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4.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inorHAnsi" w:hAnsi="Arial" w:cstheme="minorBidi"/>
          <w:color w:val="auto"/>
          <w:spacing w:val="0"/>
          <w:kern w:val="0"/>
          <w:sz w:val="16"/>
          <w:szCs w:val="16"/>
          <w:lang w:eastAsia="en-US"/>
        </w:rPr>
        <w:id w:val="-1702083118"/>
        <w:docPartObj>
          <w:docPartGallery w:val="Cover Pages"/>
          <w:docPartUnique/>
        </w:docPartObj>
      </w:sdtPr>
      <w:sdtEndPr>
        <w:rPr>
          <w:color w:val="EEECE1" w:themeColor="background2"/>
        </w:rPr>
      </w:sdtEndPr>
      <w:sdtContent>
        <w:tbl>
          <w:tblPr>
            <w:tblpPr w:leftFromText="187" w:rightFromText="187" w:bottomFromText="720" w:horzAnchor="margin" w:tblpYSpec="center"/>
            <w:tblW w:w="5000" w:type="pct"/>
            <w:tblLook w:val="04A0" w:firstRow="1" w:lastRow="0" w:firstColumn="1" w:lastColumn="0" w:noHBand="0" w:noVBand="1"/>
          </w:tblPr>
          <w:tblGrid>
            <w:gridCol w:w="9400"/>
          </w:tblGrid>
          <w:tr w:rsidR="00A260DA" w:rsidRPr="00B2627E">
            <w:tc>
              <w:tcPr>
                <w:tcW w:w="10296" w:type="dxa"/>
              </w:tcPr>
              <w:p w:rsidR="00A260DA" w:rsidRPr="00B2627E" w:rsidRDefault="0091350B">
                <w:pPr>
                  <w:pStyle w:val="Title"/>
                  <w:rPr>
                    <w:sz w:val="16"/>
                    <w:szCs w:val="16"/>
                  </w:rPr>
                </w:pPr>
                <w:sdt>
                  <w:sdtPr>
                    <w:rPr>
                      <w:sz w:val="16"/>
                      <w:szCs w:val="16"/>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A260DA" w:rsidRPr="00B2627E">
                      <w:rPr>
                        <w:sz w:val="16"/>
                        <w:szCs w:val="16"/>
                      </w:rPr>
                      <w:t>19. POROČILO O DRŽAVNIH POMOČEH</w:t>
                    </w:r>
                  </w:sdtContent>
                </w:sdt>
              </w:p>
            </w:tc>
          </w:tr>
          <w:tr w:rsidR="00A260DA" w:rsidRPr="00B2627E">
            <w:tc>
              <w:tcPr>
                <w:tcW w:w="0" w:type="auto"/>
                <w:vAlign w:val="bottom"/>
              </w:tcPr>
              <w:p w:rsidR="00A260DA" w:rsidRPr="00B2627E" w:rsidRDefault="0091350B">
                <w:pPr>
                  <w:pStyle w:val="Subtitle"/>
                  <w:rPr>
                    <w:b/>
                    <w:sz w:val="16"/>
                    <w:szCs w:val="16"/>
                  </w:rPr>
                </w:pPr>
                <w:sdt>
                  <w:sdtPr>
                    <w:rPr>
                      <w:b/>
                      <w:sz w:val="16"/>
                      <w:szCs w:val="16"/>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A260DA" w:rsidRPr="00B2627E">
                      <w:rPr>
                        <w:b/>
                        <w:sz w:val="16"/>
                        <w:szCs w:val="16"/>
                      </w:rPr>
                      <w:t>ZA LETA 2015, 2016 IN 2017</w:t>
                    </w:r>
                  </w:sdtContent>
                </w:sdt>
              </w:p>
            </w:tc>
          </w:tr>
          <w:tr w:rsidR="00A260DA" w:rsidRPr="00B2627E">
            <w:trPr>
              <w:trHeight w:val="1152"/>
            </w:trPr>
            <w:tc>
              <w:tcPr>
                <w:tcW w:w="0" w:type="auto"/>
                <w:vAlign w:val="bottom"/>
              </w:tcPr>
              <w:p w:rsidR="00A260DA" w:rsidRPr="00B2627E" w:rsidRDefault="00A260DA" w:rsidP="00A260DA">
                <w:pPr>
                  <w:rPr>
                    <w:color w:val="000000" w:themeColor="text1"/>
                    <w:sz w:val="16"/>
                    <w:szCs w:val="16"/>
                  </w:rPr>
                </w:pPr>
              </w:p>
            </w:tc>
          </w:tr>
        </w:tbl>
        <w:sdt>
          <w:sdtPr>
            <w:rPr>
              <w:sz w:val="16"/>
              <w:szCs w:val="16"/>
            </w:rPr>
            <w:id w:val="-526563202"/>
            <w:docPartObj>
              <w:docPartGallery w:val="Cover Pages"/>
              <w:docPartUnique/>
            </w:docPartObj>
          </w:sdtPr>
          <w:sdtEndPr/>
          <w:sdtContent>
            <w:p w:rsidR="00D4740D" w:rsidRPr="00B2627E" w:rsidRDefault="00D4740D" w:rsidP="00D4740D">
              <w:pPr>
                <w:rPr>
                  <w:sz w:val="16"/>
                  <w:szCs w:val="16"/>
                </w:rPr>
              </w:pPr>
              <w:r w:rsidRPr="00B2627E">
                <w:rPr>
                  <w:noProof/>
                  <w:sz w:val="16"/>
                  <w:szCs w:val="16"/>
                  <w:lang w:eastAsia="sl-SI"/>
                </w:rPr>
                <mc:AlternateContent>
                  <mc:Choice Requires="wpg">
                    <w:drawing>
                      <wp:anchor distT="0" distB="0" distL="114300" distR="114300" simplePos="0" relativeHeight="251668480" behindDoc="0" locked="0" layoutInCell="0" allowOverlap="1" wp14:anchorId="7FA8A3E3" wp14:editId="03A437B3">
                        <wp:simplePos x="0" y="0"/>
                        <wp:positionH relativeFrom="page">
                          <wp:align>center</wp:align>
                        </wp:positionH>
                        <wp:positionV relativeFrom="page">
                          <wp:align>center</wp:align>
                        </wp:positionV>
                        <wp:extent cx="7366329" cy="10513723"/>
                        <wp:effectExtent l="0" t="0" r="25400" b="20955"/>
                        <wp:wrapNone/>
                        <wp:docPr id="26"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329" cy="10513723"/>
                                  <a:chOff x="316" y="406"/>
                                  <a:chExt cx="11611" cy="15028"/>
                                </a:xfrm>
                              </wpg:grpSpPr>
                              <wpg:grpSp>
                                <wpg:cNvPr id="32" name="Group 3"/>
                                <wpg:cNvGrpSpPr>
                                  <a:grpSpLocks/>
                                </wpg:cNvGrpSpPr>
                                <wpg:grpSpPr bwMode="auto">
                                  <a:xfrm>
                                    <a:off x="316" y="406"/>
                                    <a:ext cx="11611" cy="15028"/>
                                    <a:chOff x="321" y="406"/>
                                    <a:chExt cx="11603" cy="15025"/>
                                  </a:xfrm>
                                </wpg:grpSpPr>
                                <wps:wsp>
                                  <wps:cNvPr id="43" name="Rectangle 4" descr="Zig zag"/>
                                  <wps:cNvSpPr>
                                    <a:spLocks noChangeArrowheads="1"/>
                                  </wps:cNvSpPr>
                                  <wps:spPr bwMode="auto">
                                    <a:xfrm>
                                      <a:off x="339" y="406"/>
                                      <a:ext cx="11582" cy="15025"/>
                                    </a:xfrm>
                                    <a:prstGeom prst="rect">
                                      <a:avLst/>
                                    </a:prstGeom>
                                    <a:gradFill>
                                      <a:gsLst>
                                        <a:gs pos="0">
                                          <a:srgbClr val="7AC8D2"/>
                                        </a:gs>
                                        <a:gs pos="100000">
                                          <a:srgbClr val="9ED5D6"/>
                                        </a:gs>
                                        <a:gs pos="49000">
                                          <a:srgbClr val="C7D7D7"/>
                                        </a:gs>
                                        <a:gs pos="100000">
                                          <a:srgbClr val="156B13"/>
                                        </a:gs>
                                      </a:gsLst>
                                      <a:lin ang="5400000" scaled="0"/>
                                    </a:gra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56" name="Rectangle 5"/>
                                  <wps:cNvSpPr>
                                    <a:spLocks noChangeArrowheads="1"/>
                                  </wps:cNvSpPr>
                                  <wps:spPr bwMode="auto">
                                    <a:xfrm>
                                      <a:off x="3449"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45204" w:rsidRDefault="00745204" w:rsidP="00D4740D">
                                        <w:pPr>
                                          <w:pStyle w:val="NoSpacing"/>
                                          <w:rPr>
                                            <w:color w:val="FFFFFF" w:themeColor="background1"/>
                                            <w:sz w:val="72"/>
                                            <w:szCs w:val="76"/>
                                          </w:rPr>
                                        </w:pPr>
                                      </w:p>
                                      <w:p w:rsidR="00745204" w:rsidRDefault="00745204" w:rsidP="00D4740D">
                                        <w:pPr>
                                          <w:pStyle w:val="NoSpacing"/>
                                          <w:rPr>
                                            <w:color w:val="FFFFFF" w:themeColor="background1"/>
                                            <w:sz w:val="72"/>
                                            <w:szCs w:val="76"/>
                                          </w:rPr>
                                        </w:pPr>
                                      </w:p>
                                      <w:p w:rsidR="00745204" w:rsidRDefault="00745204" w:rsidP="00D4740D">
                                        <w:pPr>
                                          <w:pStyle w:val="NoSpacing"/>
                                          <w:rPr>
                                            <w:color w:val="FFFFFF" w:themeColor="background1"/>
                                            <w:sz w:val="72"/>
                                            <w:szCs w:val="76"/>
                                          </w:rPr>
                                        </w:pPr>
                                      </w:p>
                                      <w:p w:rsidR="00745204" w:rsidRDefault="00745204" w:rsidP="00D4740D">
                                        <w:pPr>
                                          <w:pStyle w:val="NoSpacing"/>
                                          <w:rPr>
                                            <w:color w:val="FFFFFF" w:themeColor="background1"/>
                                            <w:sz w:val="72"/>
                                            <w:szCs w:val="76"/>
                                          </w:rPr>
                                        </w:pPr>
                                      </w:p>
                                      <w:sdt>
                                        <w:sdtPr>
                                          <w:rPr>
                                            <w:color w:val="FFFFFF" w:themeColor="background1"/>
                                            <w:sz w:val="80"/>
                                            <w:szCs w:val="80"/>
                                          </w:rPr>
                                          <w:alias w:val="Naslov"/>
                                          <w:id w:val="16962279"/>
                                          <w:dataBinding w:prefixMappings="xmlns:ns0='http://schemas.openxmlformats.org/package/2006/metadata/core-properties' xmlns:ns1='http://purl.org/dc/elements/1.1/'" w:xpath="/ns0:coreProperties[1]/ns1:title[1]" w:storeItemID="{6C3C8BC8-F283-45AE-878A-BAB7291924A1}"/>
                                          <w:text/>
                                        </w:sdtPr>
                                        <w:sdtEndPr/>
                                        <w:sdtContent>
                                          <w:p w:rsidR="00745204" w:rsidRPr="00062A77" w:rsidRDefault="00745204" w:rsidP="00D4740D">
                                            <w:pPr>
                                              <w:pStyle w:val="NoSpacing"/>
                                              <w:rPr>
                                                <w:color w:val="FFFFFF" w:themeColor="background1"/>
                                                <w:sz w:val="76"/>
                                                <w:szCs w:val="76"/>
                                              </w:rPr>
                                            </w:pPr>
                                            <w:r w:rsidRPr="00FE7EF8">
                                              <w:rPr>
                                                <w:color w:val="FFFFFF" w:themeColor="background1"/>
                                                <w:sz w:val="80"/>
                                                <w:szCs w:val="80"/>
                                              </w:rPr>
                                              <w:t>19. POROČILO O DRŽAVNIH POMOČEH</w:t>
                                            </w:r>
                                          </w:p>
                                        </w:sdtContent>
                                      </w:sdt>
                                      <w:p w:rsidR="00745204" w:rsidRDefault="00745204" w:rsidP="00D4740D">
                                        <w:pPr>
                                          <w:pStyle w:val="NoSpacing"/>
                                          <w:rPr>
                                            <w:color w:val="FFFFFF" w:themeColor="background1"/>
                                          </w:rPr>
                                        </w:pPr>
                                      </w:p>
                                      <w:sdt>
                                        <w:sdtPr>
                                          <w:rPr>
                                            <w:b/>
                                            <w:color w:val="FFFFFF" w:themeColor="background1"/>
                                            <w:sz w:val="40"/>
                                            <w:szCs w:val="40"/>
                                          </w:rPr>
                                          <w:alias w:val="Podnaslov"/>
                                          <w:id w:val="818001331"/>
                                          <w:dataBinding w:prefixMappings="xmlns:ns0='http://schemas.openxmlformats.org/package/2006/metadata/core-properties' xmlns:ns1='http://purl.org/dc/elements/1.1/'" w:xpath="/ns0:coreProperties[1]/ns1:subject[1]" w:storeItemID="{6C3C8BC8-F283-45AE-878A-BAB7291924A1}"/>
                                          <w:text/>
                                        </w:sdtPr>
                                        <w:sdtEndPr/>
                                        <w:sdtContent>
                                          <w:p w:rsidR="00745204" w:rsidRPr="00062A77" w:rsidRDefault="00745204" w:rsidP="00D4740D">
                                            <w:pPr>
                                              <w:pStyle w:val="NoSpacing"/>
                                              <w:rPr>
                                                <w:color w:val="FFFFFF" w:themeColor="background1"/>
                                                <w:sz w:val="40"/>
                                                <w:szCs w:val="40"/>
                                              </w:rPr>
                                            </w:pPr>
                                            <w:r w:rsidRPr="00FE7EF8">
                                              <w:rPr>
                                                <w:b/>
                                                <w:color w:val="FFFFFF" w:themeColor="background1"/>
                                                <w:sz w:val="40"/>
                                                <w:szCs w:val="40"/>
                                              </w:rPr>
                                              <w:t>ZA LETA 2015, 2016 IN 2017</w:t>
                                            </w:r>
                                          </w:p>
                                        </w:sdtContent>
                                      </w:sdt>
                                      <w:p w:rsidR="00745204" w:rsidRDefault="00745204" w:rsidP="00D4740D">
                                        <w:pPr>
                                          <w:pStyle w:val="NoSpacing"/>
                                          <w:rPr>
                                            <w:color w:val="FFFFFF" w:themeColor="background1"/>
                                          </w:rPr>
                                        </w:pPr>
                                      </w:p>
                                      <w:p w:rsidR="00745204" w:rsidRDefault="00745204" w:rsidP="00D4740D">
                                        <w:pPr>
                                          <w:pStyle w:val="NoSpacing"/>
                                          <w:rPr>
                                            <w:color w:val="FFFFFF" w:themeColor="background1"/>
                                          </w:rPr>
                                        </w:pPr>
                                      </w:p>
                                    </w:txbxContent>
                                  </wps:txbx>
                                  <wps:bodyPr rot="0" vert="horz" wrap="square" lIns="228600" tIns="1371600" rIns="457200" bIns="45720" anchor="t" anchorCtr="0" upright="1">
                                    <a:noAutofit/>
                                  </wps:bodyPr>
                                </wps:wsp>
                                <wpg:grpSp>
                                  <wpg:cNvPr id="69" name="Group 6"/>
                                  <wpg:cNvGrpSpPr>
                                    <a:grpSpLocks/>
                                  </wpg:cNvGrpSpPr>
                                  <wpg:grpSpPr bwMode="auto">
                                    <a:xfrm>
                                      <a:off x="321" y="3423"/>
                                      <a:ext cx="3128" cy="6068"/>
                                      <a:chOff x="654" y="3599"/>
                                      <a:chExt cx="2882" cy="5760"/>
                                    </a:xfrm>
                                  </wpg:grpSpPr>
                                  <wps:wsp>
                                    <wps:cNvPr id="70" name="Rectangle 7"/>
                                    <wps:cNvSpPr>
                                      <a:spLocks noChangeArrowheads="1"/>
                                    </wps:cNvSpPr>
                                    <wps:spPr bwMode="auto">
                                      <a:xfrm flipH="1">
                                        <a:off x="2096" y="6479"/>
                                        <a:ext cx="1440" cy="1440"/>
                                      </a:xfrm>
                                      <a:prstGeom prst="rect">
                                        <a:avLst/>
                                      </a:prstGeom>
                                      <a:solidFill>
                                        <a:srgbClr val="00B0F0">
                                          <a:alpha val="8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3"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4" name="Rectangle 9"/>
                                    <wps:cNvSpPr>
                                      <a:spLocks noChangeArrowheads="1"/>
                                    </wps:cNvSpPr>
                                    <wps:spPr bwMode="auto">
                                      <a:xfrm flipH="1">
                                        <a:off x="654" y="5039"/>
                                        <a:ext cx="1440" cy="1440"/>
                                      </a:xfrm>
                                      <a:prstGeom prst="rect">
                                        <a:avLst/>
                                      </a:prstGeom>
                                      <a:solidFill>
                                        <a:srgbClr val="00B0F0">
                                          <a:alpha val="8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5" name="Rectangle 10"/>
                                    <wps:cNvSpPr>
                                      <a:spLocks noChangeArrowheads="1"/>
                                    </wps:cNvSpPr>
                                    <wps:spPr bwMode="auto">
                                      <a:xfrm flipH="1">
                                        <a:off x="654" y="3599"/>
                                        <a:ext cx="1440" cy="1440"/>
                                      </a:xfrm>
                                      <a:prstGeom prst="rect">
                                        <a:avLst/>
                                      </a:prstGeom>
                                      <a:solidFill>
                                        <a:schemeClr val="bg1">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6"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7" name="Rectangle 12"/>
                                    <wps:cNvSpPr>
                                      <a:spLocks noChangeArrowheads="1"/>
                                    </wps:cNvSpPr>
                                    <wps:spPr bwMode="auto">
                                      <a:xfrm flipH="1">
                                        <a:off x="2094" y="7919"/>
                                        <a:ext cx="1440" cy="1440"/>
                                      </a:xfrm>
                                      <a:prstGeom prst="rect">
                                        <a:avLst/>
                                      </a:prstGeom>
                                      <a:solidFill>
                                        <a:schemeClr val="accent2">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8" name="Rectangle 13"/>
                                  <wps:cNvSpPr>
                                    <a:spLocks noChangeArrowheads="1"/>
                                  </wps:cNvSpPr>
                                  <wps:spPr bwMode="auto">
                                    <a:xfrm flipH="1">
                                      <a:off x="3449" y="406"/>
                                      <a:ext cx="5524" cy="644"/>
                                    </a:xfrm>
                                    <a:prstGeom prst="rect">
                                      <a:avLst/>
                                    </a:prstGeom>
                                    <a:solidFill>
                                      <a:srgbClr val="00B0F0"/>
                                    </a:solidFill>
                                    <a:ln>
                                      <a:solidFill>
                                        <a:schemeClr val="bg1"/>
                                      </a:solidFill>
                                      <a:headEnd/>
                                      <a:tailEnd/>
                                    </a:ln>
                                    <a:effectLst/>
                                    <a:extLst/>
                                  </wps:spPr>
                                  <wps:style>
                                    <a:lnRef idx="1">
                                      <a:schemeClr val="accent5"/>
                                    </a:lnRef>
                                    <a:fillRef idx="3">
                                      <a:schemeClr val="accent5"/>
                                    </a:fillRef>
                                    <a:effectRef idx="2">
                                      <a:schemeClr val="accent5"/>
                                    </a:effectRef>
                                    <a:fontRef idx="minor">
                                      <a:schemeClr val="lt1"/>
                                    </a:fontRef>
                                  </wps:style>
                                  <wps:txbx>
                                    <w:txbxContent>
                                      <w:sdt>
                                        <w:sdtPr>
                                          <w:rPr>
                                            <w:rFonts w:asciiTheme="minorHAnsi" w:hAnsiTheme="minorHAnsi" w:cstheme="majorBidi"/>
                                            <w:color w:val="FFFFFF" w:themeColor="background1"/>
                                            <w:sz w:val="48"/>
                                            <w:szCs w:val="52"/>
                                          </w:rPr>
                                          <w:alias w:val="Leto"/>
                                          <w:id w:val="-2050989450"/>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745204" w:rsidRPr="00B2627E" w:rsidRDefault="00745204" w:rsidP="00D4740D">
                                            <w:pPr>
                                              <w:shd w:val="clear" w:color="auto" w:fill="00B0F0"/>
                                              <w:jc w:val="center"/>
                                              <w:rPr>
                                                <w:rFonts w:asciiTheme="minorHAnsi" w:hAnsiTheme="minorHAnsi"/>
                                                <w:color w:val="FFFFFF" w:themeColor="background1"/>
                                                <w:sz w:val="48"/>
                                                <w:szCs w:val="48"/>
                                              </w:rPr>
                                            </w:pPr>
                                            <w:r w:rsidRPr="00B2627E">
                                              <w:rPr>
                                                <w:rFonts w:asciiTheme="minorHAnsi" w:hAnsiTheme="minorHAnsi" w:cstheme="majorBidi"/>
                                                <w:color w:val="FFFFFF" w:themeColor="background1"/>
                                                <w:sz w:val="48"/>
                                                <w:szCs w:val="52"/>
                                              </w:rPr>
                                              <w:t>Ministrstvo za finance</w:t>
                                            </w:r>
                                          </w:p>
                                        </w:sdtContent>
                                      </w:sdt>
                                    </w:txbxContent>
                                  </wps:txbx>
                                  <wps:bodyPr rot="0" vert="horz" wrap="square" lIns="91440" tIns="45720" rIns="91440" bIns="45720" anchor="b" anchorCtr="0" upright="1">
                                    <a:noAutofit/>
                                  </wps:bodyPr>
                                </wps:wsp>
                              </wpg:grpSp>
                              <wpg:grpSp>
                                <wpg:cNvPr id="79" name="Group 14"/>
                                <wpg:cNvGrpSpPr>
                                  <a:grpSpLocks/>
                                </wpg:cNvGrpSpPr>
                                <wpg:grpSpPr bwMode="auto">
                                  <a:xfrm>
                                    <a:off x="3446" y="13758"/>
                                    <a:ext cx="8169" cy="1382"/>
                                    <a:chOff x="3446" y="13758"/>
                                    <a:chExt cx="8169" cy="1382"/>
                                  </a:xfrm>
                                </wpg:grpSpPr>
                                <wpg:grpSp>
                                  <wpg:cNvPr id="80" name="Group 15"/>
                                  <wpg:cNvGrpSpPr>
                                    <a:grpSpLocks/>
                                  </wpg:cNvGrpSpPr>
                                  <wpg:grpSpPr bwMode="auto">
                                    <a:xfrm flipH="1" flipV="1">
                                      <a:off x="10833" y="14380"/>
                                      <a:ext cx="782" cy="760"/>
                                      <a:chOff x="8754" y="11945"/>
                                      <a:chExt cx="2880" cy="2859"/>
                                    </a:xfrm>
                                  </wpg:grpSpPr>
                                  <wps:wsp>
                                    <wps:cNvPr id="81"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2"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3"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4"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rPr>
                                          <w:alias w:val="Avtor"/>
                                          <w:id w:val="632688772"/>
                                          <w:dataBinding w:prefixMappings="xmlns:ns0='http://schemas.openxmlformats.org/package/2006/metadata/core-properties' xmlns:ns1='http://purl.org/dc/elements/1.1/'" w:xpath="/ns0:coreProperties[1]/ns1:creator[1]" w:storeItemID="{6C3C8BC8-F283-45AE-878A-BAB7291924A1}"/>
                                          <w:text/>
                                        </w:sdtPr>
                                        <w:sdtEndPr/>
                                        <w:sdtContent>
                                          <w:p w:rsidR="00745204" w:rsidRPr="00062A77" w:rsidRDefault="00745204" w:rsidP="00D4740D">
                                            <w:pPr>
                                              <w:pStyle w:val="NoSpacing"/>
                                              <w:jc w:val="right"/>
                                              <w:rPr>
                                                <w:b/>
                                                <w:color w:val="FFFFFF" w:themeColor="background1"/>
                                                <w:sz w:val="28"/>
                                              </w:rPr>
                                            </w:pPr>
                                            <w:r>
                                              <w:rPr>
                                                <w:b/>
                                                <w:color w:val="FFFFFF" w:themeColor="background1"/>
                                                <w:sz w:val="28"/>
                                              </w:rPr>
                                              <w:t>November 2018</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 o:spid="_x0000_s1026" style="position:absolute;left:0;text-align:left;margin-left:0;margin-top:0;width:580.05pt;height:827.85pt;z-index:251668480;mso-position-horizontal:center;mso-position-horizontal-relative:page;mso-position-vertical:center;mso-position-vertical-relative:page" coordorigin="316,406" coordsize="11611,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" o:allowincell="f">
                        <v:group id="Group 3" o:spid="_x0000_s1027" style="position:absolute;left:316;top:406;width:11611;height:15028" coordorigin="321,406" coordsize="11603,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B9MMA&#10;AADbAAAADwAAAGRycy9kb3ducmV2LnhtbESPQWsCMRSE70L/Q3iF3jTb1oquRrGFggcvWlGPj81z&#10;s7h5WZJ0d/33Rij0OMzMN8xi1dtatORD5VjB6ygDQVw4XXGp4PDzPZyCCBFZY+2YFNwowGr5NFhg&#10;rl3HO2r3sRQJwiFHBSbGJpcyFIYshpFriJN3cd5iTNKXUnvsEtzW8i3LJtJixWnBYENfhorr/tcq&#10;ONNptjMfvu2u60uZhU+5tUep1Mtzv56DiNTH//Bfe6MVjN/h8S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B9MMAAADbAAAADwAAAAAAAAAAAAAAAACYAgAAZHJzL2Rv&#10;d25yZXYueG1sUEsFBgAAAAAEAAQA9QAAAIgDAAAAAA==&#10;" fillcolor="#7ac8d2" strokecolor="white" strokeweight="1pt">
                            <v:fill color2="#156b13" rotate="t" colors="0 #7ac8d2;32113f #c7d7d7;1 #9ed5d6;1 #156b13" focus="100%" type="gradient">
                              <o:fill v:ext="view" type="gradientUnscaled"/>
                            </v:fill>
                          </v:rect>
                          <v:rect id="Rectangle 5" o:spid="_x0000_s1029" style="position:absolute;left:3449;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wz8QA&#10;AADbAAAADwAAAGRycy9kb3ducmV2LnhtbESPUWvCMBSF3wf7D+EOfJtpBxZXjbIJE9mDot0PuDbX&#10;ttjchCRq/ffLYODj4ZzzHc58OZheXMmHzrKCfJyBIK6t7rhR8FN9vU5BhIissbdMCu4UYLl4fppj&#10;qe2N93Q9xEYkCIcSFbQxulLKULdkMIytI07eyXqDMUnfSO3xluCml29ZVkiDHaeFFh2tWqrPh4tR&#10;8O4/N3m1m+zc2uXHldPf1XZbKDV6GT5mICIN8RH+b2+0gkkB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8M/EAAAA2wAAAA8AAAAAAAAAAAAAAAAAmAIAAGRycy9k&#10;b3ducmV2LnhtbFBLBQYAAAAABAAEAPUAAACJAwAAAAA=&#10;" fillcolor="gray [1629]" strokecolor="white [3212]" strokeweight="1pt">
                            <v:shadow color="#d8d8d8" offset="3pt,3pt"/>
                            <v:textbox inset="18pt,108pt,36pt">
                              <w:txbxContent>
                                <w:p w:rsidR="00745204" w:rsidRDefault="00745204" w:rsidP="00D4740D">
                                  <w:pPr>
                                    <w:pStyle w:val="NoSpacing"/>
                                    <w:rPr>
                                      <w:color w:val="FFFFFF" w:themeColor="background1"/>
                                      <w:sz w:val="72"/>
                                      <w:szCs w:val="76"/>
                                    </w:rPr>
                                  </w:pPr>
                                </w:p>
                                <w:p w:rsidR="00745204" w:rsidRDefault="00745204" w:rsidP="00D4740D">
                                  <w:pPr>
                                    <w:pStyle w:val="NoSpacing"/>
                                    <w:rPr>
                                      <w:color w:val="FFFFFF" w:themeColor="background1"/>
                                      <w:sz w:val="72"/>
                                      <w:szCs w:val="76"/>
                                    </w:rPr>
                                  </w:pPr>
                                </w:p>
                                <w:p w:rsidR="00745204" w:rsidRDefault="00745204" w:rsidP="00D4740D">
                                  <w:pPr>
                                    <w:pStyle w:val="NoSpacing"/>
                                    <w:rPr>
                                      <w:color w:val="FFFFFF" w:themeColor="background1"/>
                                      <w:sz w:val="72"/>
                                      <w:szCs w:val="76"/>
                                    </w:rPr>
                                  </w:pPr>
                                </w:p>
                                <w:p w:rsidR="00745204" w:rsidRDefault="00745204" w:rsidP="00D4740D">
                                  <w:pPr>
                                    <w:pStyle w:val="NoSpacing"/>
                                    <w:rPr>
                                      <w:color w:val="FFFFFF" w:themeColor="background1"/>
                                      <w:sz w:val="72"/>
                                      <w:szCs w:val="76"/>
                                    </w:rPr>
                                  </w:pPr>
                                </w:p>
                                <w:sdt>
                                  <w:sdtPr>
                                    <w:rPr>
                                      <w:color w:val="FFFFFF" w:themeColor="background1"/>
                                      <w:sz w:val="80"/>
                                      <w:szCs w:val="80"/>
                                    </w:rPr>
                                    <w:alias w:val="Naslov"/>
                                    <w:id w:val="16962279"/>
                                    <w:dataBinding w:prefixMappings="xmlns:ns0='http://schemas.openxmlformats.org/package/2006/metadata/core-properties' xmlns:ns1='http://purl.org/dc/elements/1.1/'" w:xpath="/ns0:coreProperties[1]/ns1:title[1]" w:storeItemID="{6C3C8BC8-F283-45AE-878A-BAB7291924A1}"/>
                                    <w:text/>
                                  </w:sdtPr>
                                  <w:sdtContent>
                                    <w:p w:rsidR="00745204" w:rsidRPr="00062A77" w:rsidRDefault="00745204" w:rsidP="00D4740D">
                                      <w:pPr>
                                        <w:pStyle w:val="NoSpacing"/>
                                        <w:rPr>
                                          <w:color w:val="FFFFFF" w:themeColor="background1"/>
                                          <w:sz w:val="76"/>
                                          <w:szCs w:val="76"/>
                                        </w:rPr>
                                      </w:pPr>
                                      <w:r w:rsidRPr="00FE7EF8">
                                        <w:rPr>
                                          <w:color w:val="FFFFFF" w:themeColor="background1"/>
                                          <w:sz w:val="80"/>
                                          <w:szCs w:val="80"/>
                                        </w:rPr>
                                        <w:t>19. POROČILO O DRŽAVNIH POMOČEH</w:t>
                                      </w:r>
                                    </w:p>
                                  </w:sdtContent>
                                </w:sdt>
                                <w:p w:rsidR="00745204" w:rsidRDefault="00745204" w:rsidP="00D4740D">
                                  <w:pPr>
                                    <w:pStyle w:val="NoSpacing"/>
                                    <w:rPr>
                                      <w:color w:val="FFFFFF" w:themeColor="background1"/>
                                    </w:rPr>
                                  </w:pPr>
                                </w:p>
                                <w:sdt>
                                  <w:sdtPr>
                                    <w:rPr>
                                      <w:b/>
                                      <w:color w:val="FFFFFF" w:themeColor="background1"/>
                                      <w:sz w:val="40"/>
                                      <w:szCs w:val="40"/>
                                    </w:rPr>
                                    <w:alias w:val="Podnaslov"/>
                                    <w:id w:val="818001331"/>
                                    <w:dataBinding w:prefixMappings="xmlns:ns0='http://schemas.openxmlformats.org/package/2006/metadata/core-properties' xmlns:ns1='http://purl.org/dc/elements/1.1/'" w:xpath="/ns0:coreProperties[1]/ns1:subject[1]" w:storeItemID="{6C3C8BC8-F283-45AE-878A-BAB7291924A1}"/>
                                    <w:text/>
                                  </w:sdtPr>
                                  <w:sdtContent>
                                    <w:p w:rsidR="00745204" w:rsidRPr="00062A77" w:rsidRDefault="00745204" w:rsidP="00D4740D">
                                      <w:pPr>
                                        <w:pStyle w:val="NoSpacing"/>
                                        <w:rPr>
                                          <w:color w:val="FFFFFF" w:themeColor="background1"/>
                                          <w:sz w:val="40"/>
                                          <w:szCs w:val="40"/>
                                        </w:rPr>
                                      </w:pPr>
                                      <w:r w:rsidRPr="00FE7EF8">
                                        <w:rPr>
                                          <w:b/>
                                          <w:color w:val="FFFFFF" w:themeColor="background1"/>
                                          <w:sz w:val="40"/>
                                          <w:szCs w:val="40"/>
                                        </w:rPr>
                                        <w:t>ZA LETA 2015, 2016 IN 2017</w:t>
                                      </w:r>
                                    </w:p>
                                  </w:sdtContent>
                                </w:sdt>
                                <w:p w:rsidR="00745204" w:rsidRDefault="00745204" w:rsidP="00D4740D">
                                  <w:pPr>
                                    <w:pStyle w:val="NoSpacing"/>
                                    <w:rPr>
                                      <w:color w:val="FFFFFF" w:themeColor="background1"/>
                                    </w:rPr>
                                  </w:pPr>
                                </w:p>
                                <w:p w:rsidR="00745204" w:rsidRDefault="00745204" w:rsidP="00D4740D">
                                  <w:pPr>
                                    <w:pStyle w:val="NoSpacing"/>
                                    <w:rPr>
                                      <w:color w:val="FFFFFF" w:themeColor="background1"/>
                                    </w:rPr>
                                  </w:pPr>
                                </w:p>
                              </w:txbxContent>
                            </v:textbox>
                          </v:rect>
                          <v:group id="Group 6" o:spid="_x0000_s1030" style="position:absolute;left:321;top:3423;width:3128;height:6068" coordorigin="654,3599" coordsize="2882,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7" o:spid="_x0000_s1031" style="position:absolute;left:2096;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rCsAA&#10;AADbAAAADwAAAGRycy9kb3ducmV2LnhtbERPTYvCMBC9L/gfwgh7W1M9bKUaRQTFi7toFTwOzdhG&#10;m0lpYq3/fnNY8Ph43/Nlb2vRUeuNYwXjUQKCuHDacKnglG++piB8QNZYOyYFL/KwXAw+5php9+QD&#10;dcdQihjCPkMFVQhNJqUvKrLoR64hjtzVtRZDhG0pdYvPGG5rOUmSb2nRcGyosKF1RcX9+LAK8vRE&#10;U50mly7f/65/zttXcTNGqc9hv5qBCNSHt/jfvdMK0rg+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2rCsAAAADbAAAADwAAAAAAAAAAAAAAAACYAgAAZHJzL2Rvd25y&#10;ZXYueG1sUEsFBgAAAAAEAAQA9QAAAIUDAAAAAA==&#10;" fillcolor="#00b0f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RlcMA&#10;AADbAAAADwAAAGRycy9kb3ducmV2LnhtbESPQWsCMRSE74X+h/CE3mpWF2xZjSLSQkE91Krn5+a5&#10;Wdy8rEmq6783hYLHYWa+YSazzjbiQj7UjhUM+hkI4tLpmisF25/P13cQISJrbByTghsFmE2fnyZY&#10;aHflb7psYiUShEOBCkyMbSFlKA1ZDH3XEifv6LzFmKSvpPZ4TXDbyGGWjaTFmtOCwZYWhsrT5tcq&#10;cDHfNbtzbpY+LMz+sFrvP25rpV563XwMIlIXH+H/9pdW8JbD35f0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eRlcMAAADbAAAADwAAAAAAAAAAAAAAAACYAgAAZHJzL2Rv&#10;d25yZXYueG1sUEsFBgAAAAAEAAQA9QAAAIg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CcQA&#10;AADbAAAADwAAAGRycy9kb3ducmV2LnhtbESPQWvCQBSE7wX/w/KE3urGUhqJboIIFi9tqbHg8ZF9&#10;JqvZtyG7xvjvu4VCj8PMfMOsitG2YqDeG8cK5rMEBHHltOFawaHcPi1A+ICssXVMCu7kocgnDyvM&#10;tLvxFw37UIsIYZ+hgiaELpPSVw1Z9DPXEUfv5HqLIcq+lrrHW4TbVj4nyau0aDguNNjRpqHqsr9a&#10;BWV6oIVOk+NQvn9uPr7f7tXZGKUep+N6CSLQGP7Df+2dVpC+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2rQnEAAAA2wAAAA8AAAAAAAAAAAAAAAAAmAIAAGRycy9k&#10;b3ducmV2LnhtbFBLBQYAAAAABAAEAPUAAACJAwAAAAA=&#10;" fillcolor="#00b0f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1c8QA&#10;AADbAAAADwAAAGRycy9kb3ducmV2LnhtbESP3WrCQBSE7wu+w3IEb4puFNpIdBVRlJZeiD8PcMge&#10;k2D2bNhdk9in7xYKvRxm5htmue5NLVpyvrKsYDpJQBDnVldcKLhe9uM5CB+QNdaWScGTPKxXg5cl&#10;Ztp2fKL2HAoRIewzVFCG0GRS+rwkg35iG+Lo3awzGKJ0hdQOuwg3tZwlybs0WHFcKLGhbUn5/fww&#10;ChpXfCXf5lDLFKn73KXH6euuVWo07DcLEIH68B/+a39oBekb/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tXPEAAAA2wAAAA8AAAAAAAAAAAAAAAAAmAIAAGRycy9k&#10;b3ducmV2LnhtbFBLBQYAAAAABAAEAPUAAACJAwAAAAA=&#10;" fillcolor="white [3212]"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yDcMA&#10;AADbAAAADwAAAGRycy9kb3ducmV2LnhtbESPQWsCMRSE74L/ITzBm2ZVsLI1iogFwXrQqufXzetm&#10;6eZlm0Rd/30jFHocZuYbZr5sbS1u5EPlWMFomIEgLpyuuFRw+ngbzECEiKyxdkwKHhRgueh25phr&#10;d+cD3Y6xFAnCIUcFJsYmlzIUhiyGoWuIk/flvMWYpC+l9nhPcFvLcZZNpcWK04LBhtaGiu/j1Spw&#10;cXKuzz8Ts/NhbS6f7/vL5rFXqt9rV68gIrXxP/zX3moFL1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yDcMAAADbAAAADwAAAAAAAAAAAAAAAACYAgAAZHJzL2Rv&#10;d25yZXYueG1sUEsFBgAAAAAEAAQA9QAAAIgDA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luMYA&#10;AADbAAAADwAAAGRycy9kb3ducmV2LnhtbESPQWsCMRSE7wX/Q3iCl1KztaXq1ihFaelBLK6FXl83&#10;z83i5mVJUl399aZQ6HGYmW+Y2aKzjTiSD7VjBffDDARx6XTNlYLP3evdBESIyBobx6TgTAEW897N&#10;DHPtTrylYxErkSAcclRgYmxzKUNpyGIYupY4eXvnLcYkfSW1x1OC20aOsuxJWqw5LRhsaWmoPBQ/&#10;VsH0ey3d5rJ6nFbN2/rj9mvriwej1KDfvTyDiNTF//Bf+10rGI/h90v6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sluMYAAADbAAAADwAAAAAAAAAAAAAAAACYAgAAZHJz&#10;L2Rvd25yZXYueG1sUEsFBgAAAAAEAAQA9QAAAIsDAAAAAA==&#10;" fillcolor="#c0504d [3205]" strokecolor="white [3212]" strokeweight="1pt">
                              <v:fill opacity="32896f"/>
                              <v:shadow color="#d8d8d8" offset="3pt,3pt"/>
                            </v:rect>
                          </v:group>
                          <v:rect id="Rectangle 13" o:spid="_x0000_s1037" style="position:absolute;left:3449;top:406;width:5524;height:644;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ld8AA&#10;AADbAAAADwAAAGRycy9kb3ducmV2LnhtbERP3WrCMBS+F3yHcATvNJ3CHNUoRVBEGTi3Bzg0x6as&#10;OalNqu2efrkQvPz4/lebzlbiTo0vHSt4myYgiHOnSy4U/HzvJh8gfEDWWDkmBT152KyHgxWm2j34&#10;i+6XUIgYwj5FBSaEOpXS54Ys+qmriSN3dY3FEGFTSN3gI4bbSs6S5F1aLDk2GKxpayj/vbRWQdu3&#10;2V/5eT4Wt6zv9mzmp9OMlRqPumwJIlAXXuKn+6AVLOLY+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lld8AAAADbAAAADwAAAAAAAAAAAAAAAACYAgAAZHJzL2Rvd25y&#10;ZXYueG1sUEsFBgAAAAAEAAQA9QAAAIUDAAAAAA==&#10;" fillcolor="#00b0f0" strokecolor="white [3212]">
                            <v:textbox>
                              <w:txbxContent>
                                <w:sdt>
                                  <w:sdtPr>
                                    <w:rPr>
                                      <w:rFonts w:asciiTheme="minorHAnsi" w:hAnsiTheme="minorHAnsi" w:cstheme="majorBidi"/>
                                      <w:color w:val="FFFFFF" w:themeColor="background1"/>
                                      <w:sz w:val="48"/>
                                      <w:szCs w:val="52"/>
                                    </w:rPr>
                                    <w:alias w:val="Leto"/>
                                    <w:id w:val="-2050989450"/>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Content>
                                    <w:p w:rsidR="00745204" w:rsidRPr="00B2627E" w:rsidRDefault="00745204" w:rsidP="00D4740D">
                                      <w:pPr>
                                        <w:shd w:val="clear" w:color="auto" w:fill="00B0F0"/>
                                        <w:jc w:val="center"/>
                                        <w:rPr>
                                          <w:rFonts w:asciiTheme="minorHAnsi" w:hAnsiTheme="minorHAnsi"/>
                                          <w:color w:val="FFFFFF" w:themeColor="background1"/>
                                          <w:sz w:val="48"/>
                                          <w:szCs w:val="48"/>
                                        </w:rPr>
                                      </w:pPr>
                                      <w:r w:rsidRPr="00B2627E">
                                        <w:rPr>
                                          <w:rFonts w:asciiTheme="minorHAnsi" w:hAnsiTheme="minorHAnsi" w:cstheme="majorBidi"/>
                                          <w:color w:val="FFFFFF" w:themeColor="background1"/>
                                          <w:sz w:val="48"/>
                                          <w:szCs w:val="52"/>
                                        </w:rPr>
                                        <w:t>Ministrstvo za finance</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LmvA8EAAADbAAAADwAA&#10;AAAAAAAAAAAAAACqAgAAZHJzL2Rvd25yZXYueG1sUEsFBgAAAAAEAAQA+gAAAJgDA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9fcQA&#10;AADbAAAADwAAAGRycy9kb3ducmV2LnhtbESPQWvCQBSE74L/YXmCt7pRbGtjVpGCYHvStJfeHtnX&#10;bEj2bchuTdJf3y0IHoeZ+YbJ9oNtxJU6XzlWsFwkIIgLpysuFXx+HB82IHxA1tg4JgUjedjvppMM&#10;U+16vtA1D6WIEPYpKjAhtKmUvjBk0S9cSxy9b9dZDFF2pdQd9hFuG7lKkidpseK4YLClV0NFnf9Y&#10;Be/jix6f38bD+vFsdPj9Kusi75Waz4bDFkSgIdzDt/ZJK9gs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vX3EAAAA2wAAAA8AAAAAAAAAAAAAAAAAmAIAAGRycy9k&#10;b3ducmV2LnhtbFBLBQYAAAAABAAEAPUAAACJ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A48MA&#10;AADbAAAADwAAAGRycy9kb3ducmV2LnhtbESPwWrDMBBE74H8g9hCbolcH0xwrYRSKIT20qQJ6XGx&#10;traJtDKSajv5+qpQyHGYmTdMtZ2sEQP50DlW8LjKQBDXTnfcKDh+vi7XIEJE1mgck4IrBdhu5rMK&#10;S+1G3tNwiI1IEA4lKmhj7EspQ92SxbByPXHyvp23GJP0jdQexwS3RuZZVkiLHaeFFnt6aam+HH6s&#10;AvPmwwcNw9f77WTP12KP+UWjUouH6fkJRKQp3sP/7Z1WsM7h7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GA48MAAADbAAAADwAAAAAAAAAAAAAAAACYAgAAZHJzL2Rv&#10;d25yZXYueG1sUEsFBgAAAAAEAAQA9QAAAIgDA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GkcQA&#10;AADbAAAADwAAAGRycy9kb3ducmV2LnhtbESPQWvCQBSE7wX/w/KE3nRjrdVGVxGhUD3Z2Etvj+xr&#10;Nph9G7Jbk/jrXUHocZiZb5jVprOVuFDjS8cKJuMEBHHudMmFgu/Tx2gBwgdkjZVjUtCTh8168LTC&#10;VLuWv+iShUJECPsUFZgQ6lRKnxuy6MeuJo7er2sshiibQuoG2wi3lXxJkjdpseS4YLCmnaH8nP1Z&#10;BYf+Xffzfb99nR2NDtef4pxnrVLPw267BBGoC//hR/tTK1hM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hpHEAAAA2wAAAA8AAAAAAAAAAAAAAAAAmAIAAGRycy9k&#10;b3ducmV2LnhtbFBLBQYAAAAABAAEAPUAAACJAw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mjsMA&#10;AADbAAAADwAAAGRycy9kb3ducmV2LnhtbESPQWsCMRSE74L/ITyhF6lZi3RlNYqKhR68aHvo8bl5&#10;3SxNXpZN1PTfN4LQ4zAz3zDLdXJWXKkPrWcF00kBgrj2uuVGwefH2/McRIjIGq1nUvBLAdar4WCJ&#10;lfY3PtL1FBuRIRwqVGBi7CopQ23IYZj4jjh73753GLPsG6l7vGW4s/KlKF6lw5bzgsGOdobqn9PF&#10;KTiUduv2dlrHsU5p3x3PpvwqlXoapc0CRKQU/8OP9rtWMJ/B/Uv+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smjsMAAADbAAAADwAAAAAAAAAAAAAAAACYAgAAZHJzL2Rv&#10;d25yZXYueG1sUEsFBgAAAAAEAAQA9QAAAIgDAAAAAA==&#10;" filled="f" stroked="f" strokecolor="white" strokeweight="1pt">
                            <v:fill opacity="52428f"/>
                            <v:shadow color="#d8d8d8" offset="3pt,3pt"/>
                            <v:textbox inset=",0,,0">
                              <w:txbxContent>
                                <w:sdt>
                                  <w:sdtPr>
                                    <w:rPr>
                                      <w:b/>
                                      <w:color w:val="FFFFFF" w:themeColor="background1"/>
                                      <w:sz w:val="28"/>
                                    </w:rPr>
                                    <w:alias w:val="Avtor"/>
                                    <w:id w:val="632688772"/>
                                    <w:dataBinding w:prefixMappings="xmlns:ns0='http://schemas.openxmlformats.org/package/2006/metadata/core-properties' xmlns:ns1='http://purl.org/dc/elements/1.1/'" w:xpath="/ns0:coreProperties[1]/ns1:creator[1]" w:storeItemID="{6C3C8BC8-F283-45AE-878A-BAB7291924A1}"/>
                                    <w:text/>
                                  </w:sdtPr>
                                  <w:sdtContent>
                                    <w:p w:rsidR="00745204" w:rsidRPr="00062A77" w:rsidRDefault="00745204" w:rsidP="00D4740D">
                                      <w:pPr>
                                        <w:pStyle w:val="NoSpacing"/>
                                        <w:jc w:val="right"/>
                                        <w:rPr>
                                          <w:b/>
                                          <w:color w:val="FFFFFF" w:themeColor="background1"/>
                                          <w:sz w:val="28"/>
                                        </w:rPr>
                                      </w:pPr>
                                      <w:r>
                                        <w:rPr>
                                          <w:b/>
                                          <w:color w:val="FFFFFF" w:themeColor="background1"/>
                                          <w:sz w:val="28"/>
                                        </w:rPr>
                                        <w:t>November 2018</w:t>
                                      </w:r>
                                    </w:p>
                                  </w:sdtContent>
                                </w:sdt>
                              </w:txbxContent>
                            </v:textbox>
                          </v:rect>
                        </v:group>
                        <w10:wrap anchorx="page" anchory="page"/>
                      </v:group>
                    </w:pict>
                  </mc:Fallback>
                </mc:AlternateContent>
              </w:r>
            </w:p>
            <w:p w:rsidR="00D4740D" w:rsidRPr="00B2627E" w:rsidRDefault="00D4740D" w:rsidP="00D4740D">
              <w:pPr>
                <w:rPr>
                  <w:sz w:val="16"/>
                  <w:szCs w:val="16"/>
                </w:rPr>
              </w:pPr>
            </w:p>
            <w:p w:rsidR="00D4740D" w:rsidRPr="00B2627E" w:rsidRDefault="00D4740D" w:rsidP="00D4740D">
              <w:pPr>
                <w:rPr>
                  <w:sz w:val="16"/>
                  <w:szCs w:val="16"/>
                </w:rPr>
              </w:pPr>
              <w:r w:rsidRPr="00B2627E">
                <w:rPr>
                  <w:sz w:val="16"/>
                  <w:szCs w:val="16"/>
                </w:rPr>
                <w:br w:type="page"/>
              </w:r>
            </w:p>
          </w:sdtContent>
        </w:sdt>
        <w:p w:rsidR="00A260DA" w:rsidRPr="00B2627E" w:rsidRDefault="0091350B">
          <w:pPr>
            <w:spacing w:line="276" w:lineRule="auto"/>
            <w:jc w:val="left"/>
            <w:rPr>
              <w:rFonts w:asciiTheme="majorHAnsi" w:hAnsiTheme="majorHAnsi"/>
              <w:b/>
              <w:bCs/>
              <w:color w:val="EEECE1" w:themeColor="background2"/>
              <w:spacing w:val="5"/>
              <w:kern w:val="28"/>
              <w:sz w:val="16"/>
              <w:szCs w:val="16"/>
              <w:lang w:eastAsia="sl-SI"/>
            </w:rPr>
          </w:pPr>
        </w:p>
      </w:sdtContent>
    </w:sdt>
    <w:sdt>
      <w:sdtPr>
        <w:rPr>
          <w:rFonts w:ascii="Arial" w:eastAsiaTheme="minorHAnsi" w:hAnsi="Arial" w:cstheme="minorBidi"/>
          <w:b w:val="0"/>
          <w:bCs w:val="0"/>
          <w:color w:val="auto"/>
          <w:spacing w:val="0"/>
          <w:sz w:val="22"/>
          <w:szCs w:val="22"/>
          <w:lang w:val="sl-SI" w:eastAsia="en-US"/>
        </w:rPr>
        <w:id w:val="-213280125"/>
        <w:docPartObj>
          <w:docPartGallery w:val="Table of Contents"/>
          <w:docPartUnique/>
        </w:docPartObj>
      </w:sdtPr>
      <w:sdtEndPr>
        <w:rPr>
          <w:noProof/>
        </w:rPr>
      </w:sdtEndPr>
      <w:sdtContent>
        <w:p w:rsidR="00AC2FA3" w:rsidRPr="00D050E9" w:rsidRDefault="00924F77" w:rsidP="00924F77">
          <w:pPr>
            <w:pStyle w:val="TOCHeading"/>
            <w:rPr>
              <w:lang w:val="sl-SI"/>
            </w:rPr>
          </w:pPr>
          <w:r w:rsidRPr="00D050E9">
            <w:rPr>
              <w:lang w:val="sl-SI"/>
            </w:rPr>
            <w:t>KAZALO VSEBINE</w:t>
          </w:r>
        </w:p>
        <w:p w:rsidR="00444BBF" w:rsidRDefault="00AC2FA3">
          <w:pPr>
            <w:pStyle w:val="TOC1"/>
            <w:rPr>
              <w:b w:val="0"/>
              <w:lang w:val="sl-SI" w:eastAsia="sl-SI"/>
            </w:rPr>
          </w:pPr>
          <w:r w:rsidRPr="00D050E9">
            <w:rPr>
              <w:lang w:val="sl-SI"/>
            </w:rPr>
            <w:fldChar w:fldCharType="begin"/>
          </w:r>
          <w:r w:rsidRPr="00D050E9">
            <w:rPr>
              <w:lang w:val="sl-SI"/>
            </w:rPr>
            <w:instrText xml:space="preserve"> TOC \o "1-3" \h \z \u </w:instrText>
          </w:r>
          <w:r w:rsidRPr="00D050E9">
            <w:rPr>
              <w:lang w:val="sl-SI"/>
            </w:rPr>
            <w:fldChar w:fldCharType="separate"/>
          </w:r>
          <w:hyperlink w:anchor="_Toc530654530" w:history="1">
            <w:r w:rsidR="00444BBF" w:rsidRPr="00580CDB">
              <w:rPr>
                <w:rStyle w:val="Hyperlink"/>
              </w:rPr>
              <w:t>UVOD</w:t>
            </w:r>
            <w:r w:rsidR="00444BBF">
              <w:rPr>
                <w:webHidden/>
              </w:rPr>
              <w:tab/>
            </w:r>
            <w:r w:rsidR="00444BBF">
              <w:rPr>
                <w:webHidden/>
              </w:rPr>
              <w:fldChar w:fldCharType="begin"/>
            </w:r>
            <w:r w:rsidR="00444BBF">
              <w:rPr>
                <w:webHidden/>
              </w:rPr>
              <w:instrText xml:space="preserve"> PAGEREF _Toc530654530 \h </w:instrText>
            </w:r>
            <w:r w:rsidR="00444BBF">
              <w:rPr>
                <w:webHidden/>
              </w:rPr>
            </w:r>
            <w:r w:rsidR="00444BBF">
              <w:rPr>
                <w:webHidden/>
              </w:rPr>
              <w:fldChar w:fldCharType="separate"/>
            </w:r>
            <w:r w:rsidR="00745204">
              <w:rPr>
                <w:webHidden/>
              </w:rPr>
              <w:t>6</w:t>
            </w:r>
            <w:r w:rsidR="00444BBF">
              <w:rPr>
                <w:webHidden/>
              </w:rPr>
              <w:fldChar w:fldCharType="end"/>
            </w:r>
          </w:hyperlink>
        </w:p>
        <w:p w:rsidR="00444BBF" w:rsidRDefault="0091350B">
          <w:pPr>
            <w:pStyle w:val="TOC1"/>
            <w:rPr>
              <w:b w:val="0"/>
              <w:lang w:val="sl-SI" w:eastAsia="sl-SI"/>
            </w:rPr>
          </w:pPr>
          <w:hyperlink w:anchor="_Toc530654531" w:history="1">
            <w:r w:rsidR="00444BBF" w:rsidRPr="00580CDB">
              <w:rPr>
                <w:rStyle w:val="Hyperlink"/>
              </w:rPr>
              <w:t>POVZETEK IN GLAVNE UGOTOVITVE</w:t>
            </w:r>
            <w:r w:rsidR="00444BBF">
              <w:rPr>
                <w:webHidden/>
              </w:rPr>
              <w:tab/>
            </w:r>
            <w:r w:rsidR="00444BBF">
              <w:rPr>
                <w:webHidden/>
              </w:rPr>
              <w:fldChar w:fldCharType="begin"/>
            </w:r>
            <w:r w:rsidR="00444BBF">
              <w:rPr>
                <w:webHidden/>
              </w:rPr>
              <w:instrText xml:space="preserve"> PAGEREF _Toc530654531 \h </w:instrText>
            </w:r>
            <w:r w:rsidR="00444BBF">
              <w:rPr>
                <w:webHidden/>
              </w:rPr>
            </w:r>
            <w:r w:rsidR="00444BBF">
              <w:rPr>
                <w:webHidden/>
              </w:rPr>
              <w:fldChar w:fldCharType="separate"/>
            </w:r>
            <w:r w:rsidR="00745204">
              <w:rPr>
                <w:webHidden/>
              </w:rPr>
              <w:t>8</w:t>
            </w:r>
            <w:r w:rsidR="00444BBF">
              <w:rPr>
                <w:webHidden/>
              </w:rPr>
              <w:fldChar w:fldCharType="end"/>
            </w:r>
          </w:hyperlink>
        </w:p>
        <w:p w:rsidR="00444BBF" w:rsidRDefault="0091350B">
          <w:pPr>
            <w:pStyle w:val="TOC1"/>
            <w:rPr>
              <w:b w:val="0"/>
              <w:lang w:val="sl-SI" w:eastAsia="sl-SI"/>
            </w:rPr>
          </w:pPr>
          <w:hyperlink w:anchor="_Toc530654532" w:history="1">
            <w:r w:rsidR="00444BBF" w:rsidRPr="00580CDB">
              <w:rPr>
                <w:rStyle w:val="Hyperlink"/>
              </w:rPr>
              <w:t>1.</w:t>
            </w:r>
            <w:r w:rsidR="00444BBF">
              <w:rPr>
                <w:b w:val="0"/>
                <w:lang w:val="sl-SI" w:eastAsia="sl-SI"/>
              </w:rPr>
              <w:tab/>
            </w:r>
            <w:r w:rsidR="00444BBF" w:rsidRPr="00580CDB">
              <w:rPr>
                <w:rStyle w:val="Hyperlink"/>
              </w:rPr>
              <w:t>OBSEG IN STRUKTURA DRŽAVNIH POMOČI V SLOVENIJI</w:t>
            </w:r>
            <w:r w:rsidR="00444BBF">
              <w:rPr>
                <w:webHidden/>
              </w:rPr>
              <w:tab/>
            </w:r>
            <w:r w:rsidR="00444BBF">
              <w:rPr>
                <w:webHidden/>
              </w:rPr>
              <w:fldChar w:fldCharType="begin"/>
            </w:r>
            <w:r w:rsidR="00444BBF">
              <w:rPr>
                <w:webHidden/>
              </w:rPr>
              <w:instrText xml:space="preserve"> PAGEREF _Toc530654532 \h </w:instrText>
            </w:r>
            <w:r w:rsidR="00444BBF">
              <w:rPr>
                <w:webHidden/>
              </w:rPr>
            </w:r>
            <w:r w:rsidR="00444BBF">
              <w:rPr>
                <w:webHidden/>
              </w:rPr>
              <w:fldChar w:fldCharType="separate"/>
            </w:r>
            <w:r w:rsidR="00745204">
              <w:rPr>
                <w:webHidden/>
              </w:rPr>
              <w:t>10</w:t>
            </w:r>
            <w:r w:rsidR="00444BBF">
              <w:rPr>
                <w:webHidden/>
              </w:rPr>
              <w:fldChar w:fldCharType="end"/>
            </w:r>
          </w:hyperlink>
        </w:p>
        <w:p w:rsidR="00444BBF" w:rsidRDefault="0091350B">
          <w:pPr>
            <w:pStyle w:val="TOC2"/>
            <w:tabs>
              <w:tab w:val="right" w:leader="dot" w:pos="9174"/>
            </w:tabs>
            <w:rPr>
              <w:noProof/>
              <w:lang w:val="sl-SI" w:eastAsia="sl-SI"/>
            </w:rPr>
          </w:pPr>
          <w:hyperlink w:anchor="_Toc530654533" w:history="1">
            <w:r w:rsidR="00444BBF" w:rsidRPr="00580CDB">
              <w:rPr>
                <w:rStyle w:val="Hyperlink"/>
                <w:noProof/>
              </w:rPr>
              <w:t>1.1 OBSEG DRŽAVNIH POMOČI V ZADNJIH TREH LETIH</w:t>
            </w:r>
            <w:r w:rsidR="00444BBF">
              <w:rPr>
                <w:noProof/>
                <w:webHidden/>
              </w:rPr>
              <w:tab/>
            </w:r>
            <w:r w:rsidR="00444BBF">
              <w:rPr>
                <w:noProof/>
                <w:webHidden/>
              </w:rPr>
              <w:fldChar w:fldCharType="begin"/>
            </w:r>
            <w:r w:rsidR="00444BBF">
              <w:rPr>
                <w:noProof/>
                <w:webHidden/>
              </w:rPr>
              <w:instrText xml:space="preserve"> PAGEREF _Toc530654533 \h </w:instrText>
            </w:r>
            <w:r w:rsidR="00444BBF">
              <w:rPr>
                <w:noProof/>
                <w:webHidden/>
              </w:rPr>
            </w:r>
            <w:r w:rsidR="00444BBF">
              <w:rPr>
                <w:noProof/>
                <w:webHidden/>
              </w:rPr>
              <w:fldChar w:fldCharType="separate"/>
            </w:r>
            <w:r w:rsidR="00745204">
              <w:rPr>
                <w:noProof/>
                <w:webHidden/>
              </w:rPr>
              <w:t>10</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34" w:history="1">
            <w:r w:rsidR="00444BBF" w:rsidRPr="00580CDB">
              <w:rPr>
                <w:rStyle w:val="Hyperlink"/>
                <w:noProof/>
              </w:rPr>
              <w:t>1.2 SPREMEMBE OBSEGA POMOČI V LETU 2017</w:t>
            </w:r>
            <w:r w:rsidR="00444BBF">
              <w:rPr>
                <w:noProof/>
                <w:webHidden/>
              </w:rPr>
              <w:tab/>
            </w:r>
            <w:r w:rsidR="00444BBF">
              <w:rPr>
                <w:noProof/>
                <w:webHidden/>
              </w:rPr>
              <w:fldChar w:fldCharType="begin"/>
            </w:r>
            <w:r w:rsidR="00444BBF">
              <w:rPr>
                <w:noProof/>
                <w:webHidden/>
              </w:rPr>
              <w:instrText xml:space="preserve"> PAGEREF _Toc530654534 \h </w:instrText>
            </w:r>
            <w:r w:rsidR="00444BBF">
              <w:rPr>
                <w:noProof/>
                <w:webHidden/>
              </w:rPr>
            </w:r>
            <w:r w:rsidR="00444BBF">
              <w:rPr>
                <w:noProof/>
                <w:webHidden/>
              </w:rPr>
              <w:fldChar w:fldCharType="separate"/>
            </w:r>
            <w:r w:rsidR="00745204">
              <w:rPr>
                <w:noProof/>
                <w:webHidden/>
              </w:rPr>
              <w:t>11</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35" w:history="1">
            <w:r w:rsidR="00444BBF" w:rsidRPr="00580CDB">
              <w:rPr>
                <w:rStyle w:val="Hyperlink"/>
                <w:noProof/>
              </w:rPr>
              <w:t>1.3 STRUKTURA DRŽAVNIH POMOČI V SLOVENIJI</w:t>
            </w:r>
            <w:r w:rsidR="00444BBF">
              <w:rPr>
                <w:noProof/>
                <w:webHidden/>
              </w:rPr>
              <w:tab/>
            </w:r>
            <w:r w:rsidR="00444BBF">
              <w:rPr>
                <w:noProof/>
                <w:webHidden/>
              </w:rPr>
              <w:fldChar w:fldCharType="begin"/>
            </w:r>
            <w:r w:rsidR="00444BBF">
              <w:rPr>
                <w:noProof/>
                <w:webHidden/>
              </w:rPr>
              <w:instrText xml:space="preserve"> PAGEREF _Toc530654535 \h </w:instrText>
            </w:r>
            <w:r w:rsidR="00444BBF">
              <w:rPr>
                <w:noProof/>
                <w:webHidden/>
              </w:rPr>
            </w:r>
            <w:r w:rsidR="00444BBF">
              <w:rPr>
                <w:noProof/>
                <w:webHidden/>
              </w:rPr>
              <w:fldChar w:fldCharType="separate"/>
            </w:r>
            <w:r w:rsidR="00745204">
              <w:rPr>
                <w:noProof/>
                <w:webHidden/>
              </w:rPr>
              <w:t>13</w:t>
            </w:r>
            <w:r w:rsidR="00444BBF">
              <w:rPr>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36" w:history="1">
            <w:r w:rsidR="00444BBF" w:rsidRPr="00444BBF">
              <w:rPr>
                <w:rStyle w:val="Hyperlink"/>
                <w:rFonts w:asciiTheme="minorHAnsi" w:hAnsiTheme="minorHAnsi"/>
                <w:noProof/>
              </w:rPr>
              <w:t>1.3.1 Državne pomoči po glavnih skupinah (ciljih) pomoči</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_Toc530654536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13</w:t>
            </w:r>
            <w:r w:rsidR="00444BBF" w:rsidRPr="00444BBF">
              <w:rPr>
                <w:rFonts w:asciiTheme="minorHAnsi" w:hAnsiTheme="minorHAnsi"/>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37" w:history="1">
            <w:r w:rsidR="00444BBF" w:rsidRPr="00444BBF">
              <w:rPr>
                <w:rStyle w:val="Hyperlink"/>
                <w:rFonts w:asciiTheme="minorHAnsi" w:hAnsiTheme="minorHAnsi"/>
                <w:noProof/>
              </w:rPr>
              <w:t>1.3.2 Državne pomoči po kategorijah (namenih) pomoči</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_Toc530654537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15</w:t>
            </w:r>
            <w:r w:rsidR="00444BBF" w:rsidRPr="00444BBF">
              <w:rPr>
                <w:rFonts w:asciiTheme="minorHAnsi" w:hAnsiTheme="minorHAnsi"/>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38" w:history="1">
            <w:r w:rsidR="00444BBF" w:rsidRPr="00444BBF">
              <w:rPr>
                <w:rStyle w:val="Hyperlink"/>
                <w:rFonts w:asciiTheme="minorHAnsi" w:hAnsiTheme="minorHAnsi"/>
                <w:noProof/>
              </w:rPr>
              <w:t>1.3.3 Državne pomoči po instrumentih pomoči</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_Toc530654538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17</w:t>
            </w:r>
            <w:r w:rsidR="00444BBF" w:rsidRPr="00444BBF">
              <w:rPr>
                <w:rFonts w:asciiTheme="minorHAnsi" w:hAnsiTheme="minorHAnsi"/>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39" w:history="1">
            <w:r w:rsidR="00444BBF" w:rsidRPr="00444BBF">
              <w:rPr>
                <w:rStyle w:val="Hyperlink"/>
                <w:rFonts w:asciiTheme="minorHAnsi" w:hAnsiTheme="minorHAnsi"/>
                <w:noProof/>
              </w:rPr>
              <w:t>1.3.4 Državne pomoči po obliki pomoči  (shema, individualna)</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_Toc530654539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21</w:t>
            </w:r>
            <w:r w:rsidR="00444BBF" w:rsidRPr="00444BBF">
              <w:rPr>
                <w:rFonts w:asciiTheme="minorHAnsi" w:hAnsiTheme="minorHAnsi"/>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40" w:history="1">
            <w:r w:rsidR="00444BBF" w:rsidRPr="00444BBF">
              <w:rPr>
                <w:rStyle w:val="Hyperlink"/>
                <w:rFonts w:asciiTheme="minorHAnsi" w:hAnsiTheme="minorHAnsi"/>
                <w:noProof/>
              </w:rPr>
              <w:t>1.3.5 Državne pomoči glede na postopek odobritve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_Toc530654540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22</w:t>
            </w:r>
            <w:r w:rsidR="00444BBF" w:rsidRPr="00444BBF">
              <w:rPr>
                <w:rFonts w:asciiTheme="minorHAnsi" w:hAnsiTheme="minorHAnsi"/>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41" w:history="1">
            <w:r w:rsidR="00444BBF" w:rsidRPr="00444BBF">
              <w:rPr>
                <w:rStyle w:val="Hyperlink"/>
                <w:rFonts w:asciiTheme="minorHAnsi" w:hAnsiTheme="minorHAnsi"/>
                <w:noProof/>
              </w:rPr>
              <w:t>1.3.6 Največji dajalci pomoči v Sloveniji</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_Toc530654541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24</w:t>
            </w:r>
            <w:r w:rsidR="00444BBF" w:rsidRPr="00444BBF">
              <w:rPr>
                <w:rFonts w:asciiTheme="minorHAnsi" w:hAnsiTheme="minorHAnsi"/>
                <w:noProof/>
                <w:webHidden/>
              </w:rPr>
              <w:fldChar w:fldCharType="end"/>
            </w:r>
          </w:hyperlink>
        </w:p>
        <w:p w:rsidR="00444BBF" w:rsidRPr="00444BBF" w:rsidRDefault="0091350B">
          <w:pPr>
            <w:pStyle w:val="TOC1"/>
            <w:rPr>
              <w:b w:val="0"/>
              <w:lang w:val="sl-SI" w:eastAsia="sl-SI"/>
            </w:rPr>
          </w:pPr>
          <w:hyperlink w:anchor="_Toc530654542" w:history="1">
            <w:r w:rsidR="00444BBF" w:rsidRPr="00444BBF">
              <w:rPr>
                <w:rStyle w:val="Hyperlink"/>
              </w:rPr>
              <w:t>2.</w:t>
            </w:r>
            <w:r w:rsidR="00444BBF" w:rsidRPr="00444BBF">
              <w:rPr>
                <w:b w:val="0"/>
                <w:lang w:val="sl-SI" w:eastAsia="sl-SI"/>
              </w:rPr>
              <w:tab/>
            </w:r>
            <w:r w:rsidR="00444BBF" w:rsidRPr="00444BBF">
              <w:rPr>
                <w:rStyle w:val="Hyperlink"/>
              </w:rPr>
              <w:t>PRIMERJAVA Z DRŽAVAMI ČLANICAMI EU</w:t>
            </w:r>
            <w:r w:rsidR="00444BBF" w:rsidRPr="00444BBF">
              <w:rPr>
                <w:webHidden/>
              </w:rPr>
              <w:tab/>
            </w:r>
            <w:r w:rsidR="00444BBF" w:rsidRPr="00444BBF">
              <w:rPr>
                <w:webHidden/>
              </w:rPr>
              <w:fldChar w:fldCharType="begin"/>
            </w:r>
            <w:r w:rsidR="00444BBF" w:rsidRPr="00444BBF">
              <w:rPr>
                <w:webHidden/>
              </w:rPr>
              <w:instrText xml:space="preserve"> PAGEREF _Toc530654542 \h </w:instrText>
            </w:r>
            <w:r w:rsidR="00444BBF" w:rsidRPr="00444BBF">
              <w:rPr>
                <w:webHidden/>
              </w:rPr>
            </w:r>
            <w:r w:rsidR="00444BBF" w:rsidRPr="00444BBF">
              <w:rPr>
                <w:webHidden/>
              </w:rPr>
              <w:fldChar w:fldCharType="separate"/>
            </w:r>
            <w:r w:rsidR="00745204">
              <w:rPr>
                <w:webHidden/>
              </w:rPr>
              <w:t>26</w:t>
            </w:r>
            <w:r w:rsidR="00444BBF" w:rsidRPr="00444BBF">
              <w:rPr>
                <w:webHidden/>
              </w:rPr>
              <w:fldChar w:fldCharType="end"/>
            </w:r>
          </w:hyperlink>
        </w:p>
        <w:p w:rsidR="00444BBF" w:rsidRDefault="0091350B">
          <w:pPr>
            <w:pStyle w:val="TOC2"/>
            <w:tabs>
              <w:tab w:val="right" w:leader="dot" w:pos="9174"/>
            </w:tabs>
            <w:rPr>
              <w:noProof/>
              <w:lang w:val="sl-SI" w:eastAsia="sl-SI"/>
            </w:rPr>
          </w:pPr>
          <w:hyperlink w:anchor="_Toc530654543" w:history="1">
            <w:r w:rsidR="00444BBF" w:rsidRPr="00580CDB">
              <w:rPr>
                <w:rStyle w:val="Hyperlink"/>
                <w:noProof/>
              </w:rPr>
              <w:t>2.1 OBSEG DRŽAVNIH POMOČI V DRŽAVAH EU V OBDOBJU 2014–2016</w:t>
            </w:r>
            <w:r w:rsidR="00444BBF">
              <w:rPr>
                <w:noProof/>
                <w:webHidden/>
              </w:rPr>
              <w:tab/>
            </w:r>
            <w:r w:rsidR="00444BBF">
              <w:rPr>
                <w:noProof/>
                <w:webHidden/>
              </w:rPr>
              <w:fldChar w:fldCharType="begin"/>
            </w:r>
            <w:r w:rsidR="00444BBF">
              <w:rPr>
                <w:noProof/>
                <w:webHidden/>
              </w:rPr>
              <w:instrText xml:space="preserve"> PAGEREF _Toc530654543 \h </w:instrText>
            </w:r>
            <w:r w:rsidR="00444BBF">
              <w:rPr>
                <w:noProof/>
                <w:webHidden/>
              </w:rPr>
            </w:r>
            <w:r w:rsidR="00444BBF">
              <w:rPr>
                <w:noProof/>
                <w:webHidden/>
              </w:rPr>
              <w:fldChar w:fldCharType="separate"/>
            </w:r>
            <w:r w:rsidR="00745204">
              <w:rPr>
                <w:noProof/>
                <w:webHidden/>
              </w:rPr>
              <w:t>26</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44" w:history="1">
            <w:r w:rsidR="00444BBF" w:rsidRPr="00580CDB">
              <w:rPr>
                <w:rStyle w:val="Hyperlink"/>
                <w:noProof/>
              </w:rPr>
              <w:t>2.2 STRUKTURA DRŽAVNIH POMOČI V EU IN PRIMERJAVA S SLOVENIJO</w:t>
            </w:r>
            <w:r w:rsidR="00444BBF">
              <w:rPr>
                <w:noProof/>
                <w:webHidden/>
              </w:rPr>
              <w:tab/>
            </w:r>
            <w:r w:rsidR="00444BBF">
              <w:rPr>
                <w:noProof/>
                <w:webHidden/>
              </w:rPr>
              <w:fldChar w:fldCharType="begin"/>
            </w:r>
            <w:r w:rsidR="00444BBF">
              <w:rPr>
                <w:noProof/>
                <w:webHidden/>
              </w:rPr>
              <w:instrText xml:space="preserve"> PAGEREF _Toc530654544 \h </w:instrText>
            </w:r>
            <w:r w:rsidR="00444BBF">
              <w:rPr>
                <w:noProof/>
                <w:webHidden/>
              </w:rPr>
            </w:r>
            <w:r w:rsidR="00444BBF">
              <w:rPr>
                <w:noProof/>
                <w:webHidden/>
              </w:rPr>
              <w:fldChar w:fldCharType="separate"/>
            </w:r>
            <w:r w:rsidR="00745204">
              <w:rPr>
                <w:noProof/>
                <w:webHidden/>
              </w:rPr>
              <w:t>28</w:t>
            </w:r>
            <w:r w:rsidR="00444BBF">
              <w:rPr>
                <w:noProof/>
                <w:webHidden/>
              </w:rPr>
              <w:fldChar w:fldCharType="end"/>
            </w:r>
          </w:hyperlink>
        </w:p>
        <w:p w:rsidR="00444BBF" w:rsidRDefault="0091350B">
          <w:pPr>
            <w:pStyle w:val="TOC1"/>
            <w:rPr>
              <w:b w:val="0"/>
              <w:lang w:val="sl-SI" w:eastAsia="sl-SI"/>
            </w:rPr>
          </w:pPr>
          <w:hyperlink w:anchor="_Toc530654545" w:history="1">
            <w:r w:rsidR="00444BBF" w:rsidRPr="00580CDB">
              <w:rPr>
                <w:rStyle w:val="Hyperlink"/>
              </w:rPr>
              <w:t>3.</w:t>
            </w:r>
            <w:r w:rsidR="00444BBF">
              <w:rPr>
                <w:b w:val="0"/>
                <w:lang w:val="sl-SI" w:eastAsia="sl-SI"/>
              </w:rPr>
              <w:tab/>
            </w:r>
            <w:r w:rsidR="00444BBF" w:rsidRPr="00580CDB">
              <w:rPr>
                <w:rStyle w:val="Hyperlink"/>
              </w:rPr>
              <w:t>PORAZDELITEV DRŽAVNIH POMOČI PO REGIJAH</w:t>
            </w:r>
            <w:r w:rsidR="00444BBF">
              <w:rPr>
                <w:webHidden/>
              </w:rPr>
              <w:tab/>
            </w:r>
            <w:r w:rsidR="00444BBF">
              <w:rPr>
                <w:webHidden/>
              </w:rPr>
              <w:fldChar w:fldCharType="begin"/>
            </w:r>
            <w:r w:rsidR="00444BBF">
              <w:rPr>
                <w:webHidden/>
              </w:rPr>
              <w:instrText xml:space="preserve"> PAGEREF _Toc530654545 \h </w:instrText>
            </w:r>
            <w:r w:rsidR="00444BBF">
              <w:rPr>
                <w:webHidden/>
              </w:rPr>
            </w:r>
            <w:r w:rsidR="00444BBF">
              <w:rPr>
                <w:webHidden/>
              </w:rPr>
              <w:fldChar w:fldCharType="separate"/>
            </w:r>
            <w:r w:rsidR="00745204">
              <w:rPr>
                <w:webHidden/>
              </w:rPr>
              <w:t>34</w:t>
            </w:r>
            <w:r w:rsidR="00444BBF">
              <w:rPr>
                <w:webHidden/>
              </w:rPr>
              <w:fldChar w:fldCharType="end"/>
            </w:r>
          </w:hyperlink>
        </w:p>
        <w:p w:rsidR="00444BBF" w:rsidRDefault="0091350B">
          <w:pPr>
            <w:pStyle w:val="TOC2"/>
            <w:tabs>
              <w:tab w:val="right" w:leader="dot" w:pos="9174"/>
            </w:tabs>
            <w:rPr>
              <w:noProof/>
              <w:lang w:val="sl-SI" w:eastAsia="sl-SI"/>
            </w:rPr>
          </w:pPr>
          <w:hyperlink w:anchor="_Toc530654546" w:history="1">
            <w:r w:rsidR="00444BBF" w:rsidRPr="00580CDB">
              <w:rPr>
                <w:rStyle w:val="Hyperlink"/>
                <w:noProof/>
              </w:rPr>
              <w:t>3.1 DRŽAVNE POMOČI PO STATISTIČNIH REGIJAH</w:t>
            </w:r>
            <w:r w:rsidR="00444BBF">
              <w:rPr>
                <w:noProof/>
                <w:webHidden/>
              </w:rPr>
              <w:tab/>
            </w:r>
            <w:r w:rsidR="00444BBF">
              <w:rPr>
                <w:noProof/>
                <w:webHidden/>
              </w:rPr>
              <w:fldChar w:fldCharType="begin"/>
            </w:r>
            <w:r w:rsidR="00444BBF">
              <w:rPr>
                <w:noProof/>
                <w:webHidden/>
              </w:rPr>
              <w:instrText xml:space="preserve"> PAGEREF _Toc530654546 \h </w:instrText>
            </w:r>
            <w:r w:rsidR="00444BBF">
              <w:rPr>
                <w:noProof/>
                <w:webHidden/>
              </w:rPr>
            </w:r>
            <w:r w:rsidR="00444BBF">
              <w:rPr>
                <w:noProof/>
                <w:webHidden/>
              </w:rPr>
              <w:fldChar w:fldCharType="separate"/>
            </w:r>
            <w:r w:rsidR="00745204">
              <w:rPr>
                <w:noProof/>
                <w:webHidden/>
              </w:rPr>
              <w:t>34</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47" w:history="1">
            <w:r w:rsidR="00444BBF" w:rsidRPr="00580CDB">
              <w:rPr>
                <w:rStyle w:val="Hyperlink"/>
                <w:noProof/>
                <w:lang w:eastAsia="sl-SI"/>
              </w:rPr>
              <w:t>3</w:t>
            </w:r>
            <w:r w:rsidR="00444BBF" w:rsidRPr="00580CDB">
              <w:rPr>
                <w:rStyle w:val="Hyperlink"/>
                <w:noProof/>
              </w:rPr>
              <w:t>.2 DRŽAVNE POMOČI PO KOHEZIJSKIH REGIJAH</w:t>
            </w:r>
            <w:r w:rsidR="00444BBF">
              <w:rPr>
                <w:noProof/>
                <w:webHidden/>
              </w:rPr>
              <w:tab/>
            </w:r>
            <w:r w:rsidR="00444BBF">
              <w:rPr>
                <w:noProof/>
                <w:webHidden/>
              </w:rPr>
              <w:fldChar w:fldCharType="begin"/>
            </w:r>
            <w:r w:rsidR="00444BBF">
              <w:rPr>
                <w:noProof/>
                <w:webHidden/>
              </w:rPr>
              <w:instrText xml:space="preserve"> PAGEREF _Toc530654547 \h </w:instrText>
            </w:r>
            <w:r w:rsidR="00444BBF">
              <w:rPr>
                <w:noProof/>
                <w:webHidden/>
              </w:rPr>
            </w:r>
            <w:r w:rsidR="00444BBF">
              <w:rPr>
                <w:noProof/>
                <w:webHidden/>
              </w:rPr>
              <w:fldChar w:fldCharType="separate"/>
            </w:r>
            <w:r w:rsidR="00745204">
              <w:rPr>
                <w:noProof/>
                <w:webHidden/>
              </w:rPr>
              <w:t>38</w:t>
            </w:r>
            <w:r w:rsidR="00444BBF">
              <w:rPr>
                <w:noProof/>
                <w:webHidden/>
              </w:rPr>
              <w:fldChar w:fldCharType="end"/>
            </w:r>
          </w:hyperlink>
        </w:p>
        <w:p w:rsidR="00444BBF" w:rsidRDefault="0091350B">
          <w:pPr>
            <w:pStyle w:val="TOC1"/>
            <w:rPr>
              <w:b w:val="0"/>
              <w:lang w:val="sl-SI" w:eastAsia="sl-SI"/>
            </w:rPr>
          </w:pPr>
          <w:hyperlink w:anchor="_Toc530654548" w:history="1">
            <w:r w:rsidR="00444BBF" w:rsidRPr="00580CDB">
              <w:rPr>
                <w:rStyle w:val="Hyperlink"/>
              </w:rPr>
              <w:t>4.</w:t>
            </w:r>
            <w:r w:rsidR="00444BBF">
              <w:rPr>
                <w:b w:val="0"/>
                <w:lang w:val="sl-SI" w:eastAsia="sl-SI"/>
              </w:rPr>
              <w:tab/>
            </w:r>
            <w:r w:rsidR="00444BBF" w:rsidRPr="00580CDB">
              <w:rPr>
                <w:rStyle w:val="Hyperlink"/>
              </w:rPr>
              <w:t>PREGLED PO POSAMEZNIH KATEGORIJAH POMOČI</w:t>
            </w:r>
            <w:r w:rsidR="00444BBF">
              <w:rPr>
                <w:webHidden/>
              </w:rPr>
              <w:tab/>
            </w:r>
            <w:r w:rsidR="00444BBF">
              <w:rPr>
                <w:webHidden/>
              </w:rPr>
              <w:fldChar w:fldCharType="begin"/>
            </w:r>
            <w:r w:rsidR="00444BBF">
              <w:rPr>
                <w:webHidden/>
              </w:rPr>
              <w:instrText xml:space="preserve"> PAGEREF _Toc530654548 \h </w:instrText>
            </w:r>
            <w:r w:rsidR="00444BBF">
              <w:rPr>
                <w:webHidden/>
              </w:rPr>
            </w:r>
            <w:r w:rsidR="00444BBF">
              <w:rPr>
                <w:webHidden/>
              </w:rPr>
              <w:fldChar w:fldCharType="separate"/>
            </w:r>
            <w:r w:rsidR="00745204">
              <w:rPr>
                <w:webHidden/>
              </w:rPr>
              <w:t>40</w:t>
            </w:r>
            <w:r w:rsidR="00444BBF">
              <w:rPr>
                <w:webHidden/>
              </w:rPr>
              <w:fldChar w:fldCharType="end"/>
            </w:r>
          </w:hyperlink>
        </w:p>
        <w:p w:rsidR="00444BBF" w:rsidRDefault="0091350B">
          <w:pPr>
            <w:pStyle w:val="TOC2"/>
            <w:tabs>
              <w:tab w:val="right" w:leader="dot" w:pos="9174"/>
            </w:tabs>
            <w:rPr>
              <w:noProof/>
              <w:lang w:val="sl-SI" w:eastAsia="sl-SI"/>
            </w:rPr>
          </w:pPr>
          <w:hyperlink w:anchor="_Toc530654549" w:history="1">
            <w:r w:rsidR="00444BBF" w:rsidRPr="00580CDB">
              <w:rPr>
                <w:rStyle w:val="Hyperlink"/>
                <w:noProof/>
              </w:rPr>
              <w:t>4.1 VARSTVO OKOLJA IN VARČEVANJE Z ENERGIJO</w:t>
            </w:r>
            <w:r w:rsidR="00444BBF">
              <w:rPr>
                <w:noProof/>
                <w:webHidden/>
              </w:rPr>
              <w:tab/>
            </w:r>
            <w:r w:rsidR="00444BBF">
              <w:rPr>
                <w:noProof/>
                <w:webHidden/>
              </w:rPr>
              <w:fldChar w:fldCharType="begin"/>
            </w:r>
            <w:r w:rsidR="00444BBF">
              <w:rPr>
                <w:noProof/>
                <w:webHidden/>
              </w:rPr>
              <w:instrText xml:space="preserve"> PAGEREF _Toc530654549 \h </w:instrText>
            </w:r>
            <w:r w:rsidR="00444BBF">
              <w:rPr>
                <w:noProof/>
                <w:webHidden/>
              </w:rPr>
            </w:r>
            <w:r w:rsidR="00444BBF">
              <w:rPr>
                <w:noProof/>
                <w:webHidden/>
              </w:rPr>
              <w:fldChar w:fldCharType="separate"/>
            </w:r>
            <w:r w:rsidR="00745204">
              <w:rPr>
                <w:noProof/>
                <w:webHidden/>
              </w:rPr>
              <w:t>40</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0" w:history="1">
            <w:r w:rsidR="00444BBF" w:rsidRPr="00580CDB">
              <w:rPr>
                <w:rStyle w:val="Hyperlink"/>
                <w:noProof/>
              </w:rPr>
              <w:t>4.2 ZAPOSLOVANJE</w:t>
            </w:r>
            <w:r w:rsidR="00444BBF">
              <w:rPr>
                <w:noProof/>
                <w:webHidden/>
              </w:rPr>
              <w:tab/>
            </w:r>
            <w:r w:rsidR="00444BBF">
              <w:rPr>
                <w:noProof/>
                <w:webHidden/>
              </w:rPr>
              <w:fldChar w:fldCharType="begin"/>
            </w:r>
            <w:r w:rsidR="00444BBF">
              <w:rPr>
                <w:noProof/>
                <w:webHidden/>
              </w:rPr>
              <w:instrText xml:space="preserve"> PAGEREF _Toc530654550 \h </w:instrText>
            </w:r>
            <w:r w:rsidR="00444BBF">
              <w:rPr>
                <w:noProof/>
                <w:webHidden/>
              </w:rPr>
            </w:r>
            <w:r w:rsidR="00444BBF">
              <w:rPr>
                <w:noProof/>
                <w:webHidden/>
              </w:rPr>
              <w:fldChar w:fldCharType="separate"/>
            </w:r>
            <w:r w:rsidR="00745204">
              <w:rPr>
                <w:noProof/>
                <w:webHidden/>
              </w:rPr>
              <w:t>43</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1" w:history="1">
            <w:r w:rsidR="00444BBF" w:rsidRPr="00580CDB">
              <w:rPr>
                <w:rStyle w:val="Hyperlink"/>
                <w:noProof/>
              </w:rPr>
              <w:t>4.3 RAZISKAVE, RAZVOJ IN INOVACIJE</w:t>
            </w:r>
            <w:r w:rsidR="00444BBF">
              <w:rPr>
                <w:noProof/>
                <w:webHidden/>
              </w:rPr>
              <w:tab/>
            </w:r>
            <w:r w:rsidR="00444BBF">
              <w:rPr>
                <w:noProof/>
                <w:webHidden/>
              </w:rPr>
              <w:fldChar w:fldCharType="begin"/>
            </w:r>
            <w:r w:rsidR="00444BBF">
              <w:rPr>
                <w:noProof/>
                <w:webHidden/>
              </w:rPr>
              <w:instrText xml:space="preserve"> PAGEREF _Toc530654551 \h </w:instrText>
            </w:r>
            <w:r w:rsidR="00444BBF">
              <w:rPr>
                <w:noProof/>
                <w:webHidden/>
              </w:rPr>
            </w:r>
            <w:r w:rsidR="00444BBF">
              <w:rPr>
                <w:noProof/>
                <w:webHidden/>
              </w:rPr>
              <w:fldChar w:fldCharType="separate"/>
            </w:r>
            <w:r w:rsidR="00745204">
              <w:rPr>
                <w:noProof/>
                <w:webHidden/>
              </w:rPr>
              <w:t>46</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2" w:history="1">
            <w:r w:rsidR="00444BBF" w:rsidRPr="00580CDB">
              <w:rPr>
                <w:rStyle w:val="Hyperlink"/>
                <w:noProof/>
              </w:rPr>
              <w:t>4.4 REGIONALNE POMOČI</w:t>
            </w:r>
            <w:r w:rsidR="00444BBF">
              <w:rPr>
                <w:noProof/>
                <w:webHidden/>
              </w:rPr>
              <w:tab/>
            </w:r>
            <w:r w:rsidR="00444BBF">
              <w:rPr>
                <w:noProof/>
                <w:webHidden/>
              </w:rPr>
              <w:fldChar w:fldCharType="begin"/>
            </w:r>
            <w:r w:rsidR="00444BBF">
              <w:rPr>
                <w:noProof/>
                <w:webHidden/>
              </w:rPr>
              <w:instrText xml:space="preserve"> PAGEREF _Toc530654552 \h </w:instrText>
            </w:r>
            <w:r w:rsidR="00444BBF">
              <w:rPr>
                <w:noProof/>
                <w:webHidden/>
              </w:rPr>
            </w:r>
            <w:r w:rsidR="00444BBF">
              <w:rPr>
                <w:noProof/>
                <w:webHidden/>
              </w:rPr>
              <w:fldChar w:fldCharType="separate"/>
            </w:r>
            <w:r w:rsidR="00745204">
              <w:rPr>
                <w:noProof/>
                <w:webHidden/>
              </w:rPr>
              <w:t>50</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3" w:history="1">
            <w:r w:rsidR="00444BBF" w:rsidRPr="00580CDB">
              <w:rPr>
                <w:rStyle w:val="Hyperlink"/>
                <w:noProof/>
              </w:rPr>
              <w:t>4.5 MALA IN SREDNJE VELIKA PODJETJA TER TVEGANO FINANCIRANJE</w:t>
            </w:r>
            <w:r w:rsidR="00444BBF">
              <w:rPr>
                <w:noProof/>
                <w:webHidden/>
              </w:rPr>
              <w:tab/>
            </w:r>
            <w:r w:rsidR="00444BBF">
              <w:rPr>
                <w:noProof/>
                <w:webHidden/>
              </w:rPr>
              <w:fldChar w:fldCharType="begin"/>
            </w:r>
            <w:r w:rsidR="00444BBF">
              <w:rPr>
                <w:noProof/>
                <w:webHidden/>
              </w:rPr>
              <w:instrText xml:space="preserve"> PAGEREF _Toc530654553 \h </w:instrText>
            </w:r>
            <w:r w:rsidR="00444BBF">
              <w:rPr>
                <w:noProof/>
                <w:webHidden/>
              </w:rPr>
            </w:r>
            <w:r w:rsidR="00444BBF">
              <w:rPr>
                <w:noProof/>
                <w:webHidden/>
              </w:rPr>
              <w:fldChar w:fldCharType="separate"/>
            </w:r>
            <w:r w:rsidR="00745204">
              <w:rPr>
                <w:noProof/>
                <w:webHidden/>
              </w:rPr>
              <w:t>53</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4" w:history="1">
            <w:r w:rsidR="00444BBF" w:rsidRPr="00580CDB">
              <w:rPr>
                <w:rStyle w:val="Hyperlink"/>
                <w:noProof/>
              </w:rPr>
              <w:t>4.6 KULTURA IN AVDIOVIZUALNA DEJAVNOST</w:t>
            </w:r>
            <w:r w:rsidR="00444BBF">
              <w:rPr>
                <w:noProof/>
                <w:webHidden/>
              </w:rPr>
              <w:tab/>
            </w:r>
            <w:r w:rsidR="00444BBF">
              <w:rPr>
                <w:noProof/>
                <w:webHidden/>
              </w:rPr>
              <w:fldChar w:fldCharType="begin"/>
            </w:r>
            <w:r w:rsidR="00444BBF">
              <w:rPr>
                <w:noProof/>
                <w:webHidden/>
              </w:rPr>
              <w:instrText xml:space="preserve"> PAGEREF _Toc530654554 \h </w:instrText>
            </w:r>
            <w:r w:rsidR="00444BBF">
              <w:rPr>
                <w:noProof/>
                <w:webHidden/>
              </w:rPr>
            </w:r>
            <w:r w:rsidR="00444BBF">
              <w:rPr>
                <w:noProof/>
                <w:webHidden/>
              </w:rPr>
              <w:fldChar w:fldCharType="separate"/>
            </w:r>
            <w:r w:rsidR="00745204">
              <w:rPr>
                <w:noProof/>
                <w:webHidden/>
              </w:rPr>
              <w:t>57</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5" w:history="1">
            <w:r w:rsidR="00444BBF" w:rsidRPr="00580CDB">
              <w:rPr>
                <w:rStyle w:val="Hyperlink"/>
                <w:noProof/>
              </w:rPr>
              <w:t>4.7 USPOSABLJANJE</w:t>
            </w:r>
            <w:r w:rsidR="00444BBF">
              <w:rPr>
                <w:noProof/>
                <w:webHidden/>
              </w:rPr>
              <w:tab/>
            </w:r>
            <w:r w:rsidR="00444BBF">
              <w:rPr>
                <w:noProof/>
                <w:webHidden/>
              </w:rPr>
              <w:fldChar w:fldCharType="begin"/>
            </w:r>
            <w:r w:rsidR="00444BBF">
              <w:rPr>
                <w:noProof/>
                <w:webHidden/>
              </w:rPr>
              <w:instrText xml:space="preserve"> PAGEREF _Toc530654555 \h </w:instrText>
            </w:r>
            <w:r w:rsidR="00444BBF">
              <w:rPr>
                <w:noProof/>
                <w:webHidden/>
              </w:rPr>
            </w:r>
            <w:r w:rsidR="00444BBF">
              <w:rPr>
                <w:noProof/>
                <w:webHidden/>
              </w:rPr>
              <w:fldChar w:fldCharType="separate"/>
            </w:r>
            <w:r w:rsidR="00745204">
              <w:rPr>
                <w:noProof/>
                <w:webHidden/>
              </w:rPr>
              <w:t>58</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6" w:history="1">
            <w:r w:rsidR="00444BBF" w:rsidRPr="00580CDB">
              <w:rPr>
                <w:rStyle w:val="Hyperlink"/>
                <w:noProof/>
              </w:rPr>
              <w:t>4.8 TRANSPORT</w:t>
            </w:r>
            <w:r w:rsidR="00444BBF">
              <w:rPr>
                <w:noProof/>
                <w:webHidden/>
              </w:rPr>
              <w:tab/>
            </w:r>
            <w:r w:rsidR="00444BBF">
              <w:rPr>
                <w:noProof/>
                <w:webHidden/>
              </w:rPr>
              <w:fldChar w:fldCharType="begin"/>
            </w:r>
            <w:r w:rsidR="00444BBF">
              <w:rPr>
                <w:noProof/>
                <w:webHidden/>
              </w:rPr>
              <w:instrText xml:space="preserve"> PAGEREF _Toc530654556 \h </w:instrText>
            </w:r>
            <w:r w:rsidR="00444BBF">
              <w:rPr>
                <w:noProof/>
                <w:webHidden/>
              </w:rPr>
            </w:r>
            <w:r w:rsidR="00444BBF">
              <w:rPr>
                <w:noProof/>
                <w:webHidden/>
              </w:rPr>
              <w:fldChar w:fldCharType="separate"/>
            </w:r>
            <w:r w:rsidR="00745204">
              <w:rPr>
                <w:noProof/>
                <w:webHidden/>
              </w:rPr>
              <w:t>60</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7" w:history="1">
            <w:r w:rsidR="00444BBF" w:rsidRPr="00580CDB">
              <w:rPr>
                <w:rStyle w:val="Hyperlink"/>
                <w:noProof/>
              </w:rPr>
              <w:t>4.9 PREMOGOVNIŠTVO</w:t>
            </w:r>
            <w:r w:rsidR="00444BBF">
              <w:rPr>
                <w:noProof/>
                <w:webHidden/>
              </w:rPr>
              <w:tab/>
            </w:r>
            <w:r w:rsidR="00444BBF">
              <w:rPr>
                <w:noProof/>
                <w:webHidden/>
              </w:rPr>
              <w:fldChar w:fldCharType="begin"/>
            </w:r>
            <w:r w:rsidR="00444BBF">
              <w:rPr>
                <w:noProof/>
                <w:webHidden/>
              </w:rPr>
              <w:instrText xml:space="preserve"> PAGEREF _Toc530654557 \h </w:instrText>
            </w:r>
            <w:r w:rsidR="00444BBF">
              <w:rPr>
                <w:noProof/>
                <w:webHidden/>
              </w:rPr>
            </w:r>
            <w:r w:rsidR="00444BBF">
              <w:rPr>
                <w:noProof/>
                <w:webHidden/>
              </w:rPr>
              <w:fldChar w:fldCharType="separate"/>
            </w:r>
            <w:r w:rsidR="00745204">
              <w:rPr>
                <w:noProof/>
                <w:webHidden/>
              </w:rPr>
              <w:t>61</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8" w:history="1">
            <w:r w:rsidR="00444BBF" w:rsidRPr="00580CDB">
              <w:rPr>
                <w:rStyle w:val="Hyperlink"/>
                <w:noProof/>
              </w:rPr>
              <w:t>4.10 REŠEVANJE IN PRESTRUKTURIRANJE</w:t>
            </w:r>
            <w:r w:rsidR="00444BBF">
              <w:rPr>
                <w:noProof/>
                <w:webHidden/>
              </w:rPr>
              <w:tab/>
            </w:r>
            <w:r w:rsidR="00444BBF">
              <w:rPr>
                <w:noProof/>
                <w:webHidden/>
              </w:rPr>
              <w:fldChar w:fldCharType="begin"/>
            </w:r>
            <w:r w:rsidR="00444BBF">
              <w:rPr>
                <w:noProof/>
                <w:webHidden/>
              </w:rPr>
              <w:instrText xml:space="preserve"> PAGEREF _Toc530654558 \h </w:instrText>
            </w:r>
            <w:r w:rsidR="00444BBF">
              <w:rPr>
                <w:noProof/>
                <w:webHidden/>
              </w:rPr>
            </w:r>
            <w:r w:rsidR="00444BBF">
              <w:rPr>
                <w:noProof/>
                <w:webHidden/>
              </w:rPr>
              <w:fldChar w:fldCharType="separate"/>
            </w:r>
            <w:r w:rsidR="00745204">
              <w:rPr>
                <w:noProof/>
                <w:webHidden/>
              </w:rPr>
              <w:t>63</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59" w:history="1">
            <w:r w:rsidR="00444BBF" w:rsidRPr="00580CDB">
              <w:rPr>
                <w:rStyle w:val="Hyperlink"/>
                <w:noProof/>
              </w:rPr>
              <w:t>4.11 NARAVNE NESREČE</w:t>
            </w:r>
            <w:r w:rsidR="00444BBF">
              <w:rPr>
                <w:noProof/>
                <w:webHidden/>
              </w:rPr>
              <w:tab/>
            </w:r>
            <w:r w:rsidR="00444BBF">
              <w:rPr>
                <w:noProof/>
                <w:webHidden/>
              </w:rPr>
              <w:fldChar w:fldCharType="begin"/>
            </w:r>
            <w:r w:rsidR="00444BBF">
              <w:rPr>
                <w:noProof/>
                <w:webHidden/>
              </w:rPr>
              <w:instrText xml:space="preserve"> PAGEREF _Toc530654559 \h </w:instrText>
            </w:r>
            <w:r w:rsidR="00444BBF">
              <w:rPr>
                <w:noProof/>
                <w:webHidden/>
              </w:rPr>
            </w:r>
            <w:r w:rsidR="00444BBF">
              <w:rPr>
                <w:noProof/>
                <w:webHidden/>
              </w:rPr>
              <w:fldChar w:fldCharType="separate"/>
            </w:r>
            <w:r w:rsidR="00745204">
              <w:rPr>
                <w:noProof/>
                <w:webHidden/>
              </w:rPr>
              <w:t>65</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60" w:history="1">
            <w:r w:rsidR="00444BBF" w:rsidRPr="00580CDB">
              <w:rPr>
                <w:rStyle w:val="Hyperlink"/>
                <w:noProof/>
              </w:rPr>
              <w:t>4.12 KMETIJSTVO IN RIBIŠTVO</w:t>
            </w:r>
            <w:r w:rsidR="00444BBF">
              <w:rPr>
                <w:noProof/>
                <w:webHidden/>
              </w:rPr>
              <w:tab/>
            </w:r>
            <w:r w:rsidR="00444BBF">
              <w:rPr>
                <w:noProof/>
                <w:webHidden/>
              </w:rPr>
              <w:fldChar w:fldCharType="begin"/>
            </w:r>
            <w:r w:rsidR="00444BBF">
              <w:rPr>
                <w:noProof/>
                <w:webHidden/>
              </w:rPr>
              <w:instrText xml:space="preserve"> PAGEREF _Toc530654560 \h </w:instrText>
            </w:r>
            <w:r w:rsidR="00444BBF">
              <w:rPr>
                <w:noProof/>
                <w:webHidden/>
              </w:rPr>
            </w:r>
            <w:r w:rsidR="00444BBF">
              <w:rPr>
                <w:noProof/>
                <w:webHidden/>
              </w:rPr>
              <w:fldChar w:fldCharType="separate"/>
            </w:r>
            <w:r w:rsidR="00745204">
              <w:rPr>
                <w:noProof/>
                <w:webHidden/>
              </w:rPr>
              <w:t>66</w:t>
            </w:r>
            <w:r w:rsidR="00444BBF">
              <w:rPr>
                <w:noProof/>
                <w:webHidden/>
              </w:rPr>
              <w:fldChar w:fldCharType="end"/>
            </w:r>
          </w:hyperlink>
        </w:p>
        <w:p w:rsidR="00444BBF" w:rsidRDefault="0091350B">
          <w:pPr>
            <w:pStyle w:val="TOC1"/>
            <w:rPr>
              <w:b w:val="0"/>
              <w:lang w:val="sl-SI" w:eastAsia="sl-SI"/>
            </w:rPr>
          </w:pPr>
          <w:hyperlink w:anchor="_Toc530654561" w:history="1">
            <w:r w:rsidR="00444BBF" w:rsidRPr="00580CDB">
              <w:rPr>
                <w:rStyle w:val="Hyperlink"/>
              </w:rPr>
              <w:t>5.</w:t>
            </w:r>
            <w:r w:rsidR="00444BBF">
              <w:rPr>
                <w:b w:val="0"/>
                <w:lang w:val="sl-SI" w:eastAsia="sl-SI"/>
              </w:rPr>
              <w:tab/>
            </w:r>
            <w:r w:rsidR="00444BBF" w:rsidRPr="00580CDB">
              <w:rPr>
                <w:rStyle w:val="Hyperlink"/>
              </w:rPr>
              <w:t>DE MINIMIS</w:t>
            </w:r>
            <w:r w:rsidR="00444BBF">
              <w:rPr>
                <w:webHidden/>
              </w:rPr>
              <w:tab/>
            </w:r>
            <w:r w:rsidR="00444BBF">
              <w:rPr>
                <w:webHidden/>
              </w:rPr>
              <w:fldChar w:fldCharType="begin"/>
            </w:r>
            <w:r w:rsidR="00444BBF">
              <w:rPr>
                <w:webHidden/>
              </w:rPr>
              <w:instrText xml:space="preserve"> PAGEREF _Toc530654561 \h </w:instrText>
            </w:r>
            <w:r w:rsidR="00444BBF">
              <w:rPr>
                <w:webHidden/>
              </w:rPr>
            </w:r>
            <w:r w:rsidR="00444BBF">
              <w:rPr>
                <w:webHidden/>
              </w:rPr>
              <w:fldChar w:fldCharType="separate"/>
            </w:r>
            <w:r w:rsidR="00745204">
              <w:rPr>
                <w:webHidden/>
              </w:rPr>
              <w:t>69</w:t>
            </w:r>
            <w:r w:rsidR="00444BBF">
              <w:rPr>
                <w:webHidden/>
              </w:rPr>
              <w:fldChar w:fldCharType="end"/>
            </w:r>
          </w:hyperlink>
        </w:p>
        <w:p w:rsidR="00444BBF" w:rsidRDefault="0091350B">
          <w:pPr>
            <w:pStyle w:val="TOC1"/>
            <w:rPr>
              <w:b w:val="0"/>
              <w:lang w:val="sl-SI" w:eastAsia="sl-SI"/>
            </w:rPr>
          </w:pPr>
          <w:hyperlink w:anchor="_Toc530654562" w:history="1">
            <w:r w:rsidR="00444BBF" w:rsidRPr="00580CDB">
              <w:rPr>
                <w:rStyle w:val="Hyperlink"/>
              </w:rPr>
              <w:t>6.</w:t>
            </w:r>
            <w:r w:rsidR="00444BBF">
              <w:rPr>
                <w:b w:val="0"/>
                <w:lang w:val="sl-SI" w:eastAsia="sl-SI"/>
              </w:rPr>
              <w:tab/>
            </w:r>
            <w:r w:rsidR="00444BBF" w:rsidRPr="00580CDB">
              <w:rPr>
                <w:rStyle w:val="Hyperlink"/>
              </w:rPr>
              <w:t>USPEŠNOST DODELJENIH DRŽAVNIH POMOČI</w:t>
            </w:r>
            <w:r w:rsidR="00444BBF">
              <w:rPr>
                <w:webHidden/>
              </w:rPr>
              <w:tab/>
            </w:r>
            <w:r w:rsidR="00444BBF">
              <w:rPr>
                <w:webHidden/>
              </w:rPr>
              <w:fldChar w:fldCharType="begin"/>
            </w:r>
            <w:r w:rsidR="00444BBF">
              <w:rPr>
                <w:webHidden/>
              </w:rPr>
              <w:instrText xml:space="preserve"> PAGEREF _Toc530654562 \h </w:instrText>
            </w:r>
            <w:r w:rsidR="00444BBF">
              <w:rPr>
                <w:webHidden/>
              </w:rPr>
            </w:r>
            <w:r w:rsidR="00444BBF">
              <w:rPr>
                <w:webHidden/>
              </w:rPr>
              <w:fldChar w:fldCharType="separate"/>
            </w:r>
            <w:r w:rsidR="00745204">
              <w:rPr>
                <w:webHidden/>
              </w:rPr>
              <w:t>74</w:t>
            </w:r>
            <w:r w:rsidR="00444BBF">
              <w:rPr>
                <w:webHidden/>
              </w:rPr>
              <w:fldChar w:fldCharType="end"/>
            </w:r>
          </w:hyperlink>
        </w:p>
        <w:p w:rsidR="00444BBF" w:rsidRDefault="0091350B">
          <w:pPr>
            <w:pStyle w:val="TOC2"/>
            <w:tabs>
              <w:tab w:val="right" w:leader="dot" w:pos="9174"/>
            </w:tabs>
            <w:rPr>
              <w:noProof/>
              <w:lang w:val="sl-SI" w:eastAsia="sl-SI"/>
            </w:rPr>
          </w:pPr>
          <w:hyperlink w:anchor="_Toc530654563" w:history="1">
            <w:r w:rsidR="00444BBF" w:rsidRPr="00580CDB">
              <w:rPr>
                <w:rStyle w:val="Hyperlink"/>
                <w:noProof/>
              </w:rPr>
              <w:t>6.1. PRIPOROČILA ZA VEČJO USPEŠNOST DODELJENIH DRŽAVNIH POMOČI</w:t>
            </w:r>
            <w:r w:rsidR="00444BBF">
              <w:rPr>
                <w:noProof/>
                <w:webHidden/>
              </w:rPr>
              <w:tab/>
            </w:r>
            <w:r w:rsidR="00444BBF">
              <w:rPr>
                <w:noProof/>
                <w:webHidden/>
              </w:rPr>
              <w:fldChar w:fldCharType="begin"/>
            </w:r>
            <w:r w:rsidR="00444BBF">
              <w:rPr>
                <w:noProof/>
                <w:webHidden/>
              </w:rPr>
              <w:instrText xml:space="preserve"> PAGEREF _Toc530654563 \h </w:instrText>
            </w:r>
            <w:r w:rsidR="00444BBF">
              <w:rPr>
                <w:noProof/>
                <w:webHidden/>
              </w:rPr>
            </w:r>
            <w:r w:rsidR="00444BBF">
              <w:rPr>
                <w:noProof/>
                <w:webHidden/>
              </w:rPr>
              <w:fldChar w:fldCharType="separate"/>
            </w:r>
            <w:r w:rsidR="00745204">
              <w:rPr>
                <w:noProof/>
                <w:webHidden/>
              </w:rPr>
              <w:t>74</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64" w:history="1">
            <w:r w:rsidR="00444BBF" w:rsidRPr="00580CDB">
              <w:rPr>
                <w:rStyle w:val="Hyperlink"/>
                <w:noProof/>
              </w:rPr>
              <w:t>6.2 VIŠINA DRŽAVNE POMOČI NA PREJEMNIKA</w:t>
            </w:r>
            <w:r w:rsidR="00444BBF">
              <w:rPr>
                <w:noProof/>
                <w:webHidden/>
              </w:rPr>
              <w:tab/>
            </w:r>
            <w:r w:rsidR="00444BBF">
              <w:rPr>
                <w:noProof/>
                <w:webHidden/>
              </w:rPr>
              <w:fldChar w:fldCharType="begin"/>
            </w:r>
            <w:r w:rsidR="00444BBF">
              <w:rPr>
                <w:noProof/>
                <w:webHidden/>
              </w:rPr>
              <w:instrText xml:space="preserve"> PAGEREF _Toc530654564 \h </w:instrText>
            </w:r>
            <w:r w:rsidR="00444BBF">
              <w:rPr>
                <w:noProof/>
                <w:webHidden/>
              </w:rPr>
            </w:r>
            <w:r w:rsidR="00444BBF">
              <w:rPr>
                <w:noProof/>
                <w:webHidden/>
              </w:rPr>
              <w:fldChar w:fldCharType="separate"/>
            </w:r>
            <w:r w:rsidR="00745204">
              <w:rPr>
                <w:noProof/>
                <w:webHidden/>
              </w:rPr>
              <w:t>76</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65" w:history="1">
            <w:r w:rsidR="00444BBF" w:rsidRPr="00580CDB">
              <w:rPr>
                <w:rStyle w:val="Hyperlink"/>
                <w:noProof/>
              </w:rPr>
              <w:t>6.3 DRŽAVNE POMOČI PO VELIKOSTI PREJEMNIKOV POMOČI</w:t>
            </w:r>
            <w:r w:rsidR="00444BBF">
              <w:rPr>
                <w:noProof/>
                <w:webHidden/>
              </w:rPr>
              <w:tab/>
            </w:r>
            <w:r w:rsidR="00444BBF">
              <w:rPr>
                <w:noProof/>
                <w:webHidden/>
              </w:rPr>
              <w:fldChar w:fldCharType="begin"/>
            </w:r>
            <w:r w:rsidR="00444BBF">
              <w:rPr>
                <w:noProof/>
                <w:webHidden/>
              </w:rPr>
              <w:instrText xml:space="preserve"> PAGEREF _Toc530654565 \h </w:instrText>
            </w:r>
            <w:r w:rsidR="00444BBF">
              <w:rPr>
                <w:noProof/>
                <w:webHidden/>
              </w:rPr>
            </w:r>
            <w:r w:rsidR="00444BBF">
              <w:rPr>
                <w:noProof/>
                <w:webHidden/>
              </w:rPr>
              <w:fldChar w:fldCharType="separate"/>
            </w:r>
            <w:r w:rsidR="00745204">
              <w:rPr>
                <w:noProof/>
                <w:webHidden/>
              </w:rPr>
              <w:t>79</w:t>
            </w:r>
            <w:r w:rsidR="00444BBF">
              <w:rPr>
                <w:noProof/>
                <w:webHidden/>
              </w:rPr>
              <w:fldChar w:fldCharType="end"/>
            </w:r>
          </w:hyperlink>
        </w:p>
        <w:p w:rsidR="00444BBF" w:rsidRDefault="0091350B">
          <w:pPr>
            <w:pStyle w:val="TOC2"/>
            <w:tabs>
              <w:tab w:val="left" w:pos="880"/>
              <w:tab w:val="right" w:leader="dot" w:pos="9174"/>
            </w:tabs>
            <w:rPr>
              <w:noProof/>
              <w:lang w:val="sl-SI" w:eastAsia="sl-SI"/>
            </w:rPr>
          </w:pPr>
          <w:hyperlink w:anchor="_Toc530654566" w:history="1">
            <w:r w:rsidR="00444BBF" w:rsidRPr="00580CDB">
              <w:rPr>
                <w:rStyle w:val="Hyperlink"/>
                <w:noProof/>
              </w:rPr>
              <w:t>6.4</w:t>
            </w:r>
            <w:r w:rsidR="00444BBF">
              <w:rPr>
                <w:noProof/>
                <w:lang w:val="sl-SI" w:eastAsia="sl-SI"/>
              </w:rPr>
              <w:tab/>
            </w:r>
            <w:r w:rsidR="00444BBF" w:rsidRPr="00580CDB">
              <w:rPr>
                <w:rStyle w:val="Hyperlink"/>
                <w:noProof/>
              </w:rPr>
              <w:t>OCENA USPEŠNOSTI DRŽAVNIH POMOČI</w:t>
            </w:r>
            <w:r w:rsidR="00444BBF">
              <w:rPr>
                <w:noProof/>
                <w:webHidden/>
              </w:rPr>
              <w:tab/>
            </w:r>
            <w:r w:rsidR="00444BBF">
              <w:rPr>
                <w:noProof/>
                <w:webHidden/>
              </w:rPr>
              <w:fldChar w:fldCharType="begin"/>
            </w:r>
            <w:r w:rsidR="00444BBF">
              <w:rPr>
                <w:noProof/>
                <w:webHidden/>
              </w:rPr>
              <w:instrText xml:space="preserve"> PAGEREF _Toc530654566 \h </w:instrText>
            </w:r>
            <w:r w:rsidR="00444BBF">
              <w:rPr>
                <w:noProof/>
                <w:webHidden/>
              </w:rPr>
            </w:r>
            <w:r w:rsidR="00444BBF">
              <w:rPr>
                <w:noProof/>
                <w:webHidden/>
              </w:rPr>
              <w:fldChar w:fldCharType="separate"/>
            </w:r>
            <w:r w:rsidR="00745204">
              <w:rPr>
                <w:noProof/>
                <w:webHidden/>
              </w:rPr>
              <w:t>81</w:t>
            </w:r>
            <w:r w:rsidR="00444BBF">
              <w:rPr>
                <w:noProof/>
                <w:webHidden/>
              </w:rPr>
              <w:fldChar w:fldCharType="end"/>
            </w:r>
          </w:hyperlink>
        </w:p>
        <w:p w:rsidR="00444BBF" w:rsidRPr="00444BBF" w:rsidRDefault="0091350B">
          <w:pPr>
            <w:pStyle w:val="TOC3"/>
            <w:rPr>
              <w:rFonts w:asciiTheme="minorHAnsi" w:eastAsiaTheme="minorEastAsia" w:hAnsiTheme="minorHAnsi"/>
              <w:noProof/>
              <w:lang w:eastAsia="sl-SI"/>
            </w:rPr>
          </w:pPr>
          <w:hyperlink w:anchor="_Toc530654567" w:history="1">
            <w:r w:rsidR="00444BBF" w:rsidRPr="00444BBF">
              <w:rPr>
                <w:rStyle w:val="Hyperlink"/>
                <w:rFonts w:asciiTheme="minorHAnsi" w:hAnsiTheme="minorHAnsi"/>
                <w:noProof/>
              </w:rPr>
              <w:t>6.4.1 Varstvo okolja in varčevanje z energijo</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_Toc530654567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81</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68" w:history="1">
            <w:r w:rsidR="00444BBF" w:rsidRPr="00444BBF">
              <w:rPr>
                <w:rStyle w:val="Hyperlink"/>
                <w:rFonts w:asciiTheme="minorHAnsi" w:hAnsiTheme="minorHAnsi"/>
                <w:noProof/>
              </w:rPr>
              <w:t>6.4.2</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Zaposlovanje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_Toc530654568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85</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69" w:history="1">
            <w:r w:rsidR="00444BBF" w:rsidRPr="00444BBF">
              <w:rPr>
                <w:rStyle w:val="Hyperlink"/>
                <w:rFonts w:asciiTheme="minorHAnsi" w:hAnsiTheme="minorHAnsi"/>
                <w:noProof/>
              </w:rPr>
              <w:t>6.4.3</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Raziskave in razvoj ter inovacije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_Toc530654569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87</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0" w:history="1">
            <w:r w:rsidR="00444BBF" w:rsidRPr="00444BBF">
              <w:rPr>
                <w:rStyle w:val="Hyperlink"/>
                <w:rFonts w:asciiTheme="minorHAnsi" w:hAnsiTheme="minorHAnsi"/>
                <w:noProof/>
              </w:rPr>
              <w:t>6.4.4</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Regionalne pomoči</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_Toc530654570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96</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1" w:history="1">
            <w:r w:rsidR="00444BBF" w:rsidRPr="00444BBF">
              <w:rPr>
                <w:rStyle w:val="Hyperlink"/>
                <w:rFonts w:asciiTheme="minorHAnsi" w:hAnsiTheme="minorHAnsi"/>
                <w:noProof/>
              </w:rPr>
              <w:t>6.4.5</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Mala in srednje velika podjetja ter tvegano financiranje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_Toc530654571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101</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2" w:history="1">
            <w:r w:rsidR="00444BBF" w:rsidRPr="00444BBF">
              <w:rPr>
                <w:rStyle w:val="Hyperlink"/>
                <w:rFonts w:asciiTheme="minorHAnsi" w:hAnsiTheme="minorHAnsi"/>
                <w:noProof/>
              </w:rPr>
              <w:t>6.4.6</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Kultura in avdiovizualna dejavnost</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_Toc530654572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104</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3" w:history="1">
            <w:r w:rsidR="00444BBF" w:rsidRPr="00444BBF">
              <w:rPr>
                <w:rStyle w:val="Hyperlink"/>
                <w:rFonts w:asciiTheme="minorHAnsi" w:hAnsiTheme="minorHAnsi"/>
                <w:noProof/>
              </w:rPr>
              <w:t>6.4.7</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Usposabljanje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_Toc530654573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107</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4" w:history="1">
            <w:r w:rsidR="00444BBF" w:rsidRPr="00444BBF">
              <w:rPr>
                <w:rStyle w:val="Hyperlink"/>
                <w:rFonts w:asciiTheme="minorHAnsi" w:hAnsiTheme="minorHAnsi"/>
                <w:noProof/>
              </w:rPr>
              <w:t>6.4.8</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Transport</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_Toc530654574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109</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5" w:history="1">
            <w:r w:rsidR="00444BBF" w:rsidRPr="00444BBF">
              <w:rPr>
                <w:rStyle w:val="Hyperlink"/>
                <w:rFonts w:asciiTheme="minorHAnsi" w:hAnsiTheme="minorHAnsi"/>
                <w:noProof/>
              </w:rPr>
              <w:t>6.4.9</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Premogovništvo</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_Toc530654575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111</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6" w:history="1">
            <w:r w:rsidR="00444BBF" w:rsidRPr="00444BBF">
              <w:rPr>
                <w:rStyle w:val="Hyperlink"/>
                <w:rFonts w:asciiTheme="minorHAnsi" w:hAnsiTheme="minorHAnsi"/>
                <w:noProof/>
              </w:rPr>
              <w:t>6.4.10</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Reševanje in prestrukturiranje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_Toc530654576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112</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7" w:history="1">
            <w:r w:rsidR="00444BBF" w:rsidRPr="00444BBF">
              <w:rPr>
                <w:rStyle w:val="Hyperlink"/>
                <w:rFonts w:asciiTheme="minorHAnsi" w:hAnsiTheme="minorHAnsi"/>
                <w:noProof/>
              </w:rPr>
              <w:t>6.4.11</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Naravne nesreče</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_Toc530654577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113</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8" w:history="1">
            <w:r w:rsidR="00444BBF" w:rsidRPr="00444BBF">
              <w:rPr>
                <w:rStyle w:val="Hyperlink"/>
                <w:rFonts w:asciiTheme="minorHAnsi" w:hAnsiTheme="minorHAnsi"/>
                <w:noProof/>
              </w:rPr>
              <w:t>6.4.12</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Razvoj širokopasovnega omrežja</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_Toc530654578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113</w:t>
            </w:r>
            <w:r w:rsidR="00444BBF" w:rsidRPr="00444BBF">
              <w:rPr>
                <w:rFonts w:asciiTheme="minorHAnsi" w:hAnsiTheme="minorHAnsi"/>
                <w:noProof/>
                <w:webHidden/>
              </w:rPr>
              <w:fldChar w:fldCharType="end"/>
            </w:r>
          </w:hyperlink>
        </w:p>
        <w:p w:rsidR="00444BBF" w:rsidRPr="00444BBF" w:rsidRDefault="0091350B">
          <w:pPr>
            <w:pStyle w:val="TOC3"/>
            <w:tabs>
              <w:tab w:val="left" w:pos="1320"/>
            </w:tabs>
            <w:rPr>
              <w:rFonts w:asciiTheme="minorHAnsi" w:eastAsiaTheme="minorEastAsia" w:hAnsiTheme="minorHAnsi"/>
              <w:noProof/>
              <w:lang w:eastAsia="sl-SI"/>
            </w:rPr>
          </w:pPr>
          <w:hyperlink w:anchor="_Toc530654579" w:history="1">
            <w:r w:rsidR="00444BBF" w:rsidRPr="00444BBF">
              <w:rPr>
                <w:rStyle w:val="Hyperlink"/>
                <w:rFonts w:asciiTheme="minorHAnsi" w:hAnsiTheme="minorHAnsi"/>
                <w:noProof/>
              </w:rPr>
              <w:t>6.4.13</w:t>
            </w:r>
            <w:r w:rsidR="00444BBF" w:rsidRPr="00444BBF">
              <w:rPr>
                <w:rFonts w:asciiTheme="minorHAnsi" w:eastAsiaTheme="minorEastAsia" w:hAnsiTheme="minorHAnsi"/>
                <w:noProof/>
                <w:lang w:eastAsia="sl-SI"/>
              </w:rPr>
              <w:tab/>
            </w:r>
            <w:r w:rsidR="00444BBF" w:rsidRPr="00444BBF">
              <w:rPr>
                <w:rStyle w:val="Hyperlink"/>
                <w:rFonts w:asciiTheme="minorHAnsi" w:hAnsiTheme="minorHAnsi"/>
                <w:noProof/>
              </w:rPr>
              <w:t>Kmetijstvo in ribištvo</w:t>
            </w:r>
            <w:r w:rsidR="00444BBF" w:rsidRPr="00444BBF">
              <w:rPr>
                <w:rFonts w:asciiTheme="minorHAnsi" w:hAnsiTheme="minorHAnsi"/>
                <w:noProof/>
                <w:webHidden/>
              </w:rPr>
              <w:tab/>
            </w:r>
            <w:r w:rsidR="00444BBF" w:rsidRPr="00444BBF">
              <w:rPr>
                <w:rFonts w:asciiTheme="minorHAnsi" w:hAnsiTheme="minorHAnsi"/>
                <w:noProof/>
                <w:webHidden/>
              </w:rPr>
              <w:fldChar w:fldCharType="begin"/>
            </w:r>
            <w:r w:rsidR="00444BBF" w:rsidRPr="00444BBF">
              <w:rPr>
                <w:rFonts w:asciiTheme="minorHAnsi" w:hAnsiTheme="minorHAnsi"/>
                <w:noProof/>
                <w:webHidden/>
              </w:rPr>
              <w:instrText xml:space="preserve"> PAGEREF _Toc530654579 \h </w:instrText>
            </w:r>
            <w:r w:rsidR="00444BBF" w:rsidRPr="00444BBF">
              <w:rPr>
                <w:rFonts w:asciiTheme="minorHAnsi" w:hAnsiTheme="minorHAnsi"/>
                <w:noProof/>
                <w:webHidden/>
              </w:rPr>
            </w:r>
            <w:r w:rsidR="00444BBF" w:rsidRPr="00444BBF">
              <w:rPr>
                <w:rFonts w:asciiTheme="minorHAnsi" w:hAnsiTheme="minorHAnsi"/>
                <w:noProof/>
                <w:webHidden/>
              </w:rPr>
              <w:fldChar w:fldCharType="separate"/>
            </w:r>
            <w:r w:rsidR="00745204">
              <w:rPr>
                <w:rFonts w:asciiTheme="minorHAnsi" w:hAnsiTheme="minorHAnsi"/>
                <w:noProof/>
                <w:webHidden/>
              </w:rPr>
              <w:t>115</w:t>
            </w:r>
            <w:r w:rsidR="00444BBF" w:rsidRPr="00444BBF">
              <w:rPr>
                <w:rFonts w:asciiTheme="minorHAnsi" w:hAnsiTheme="minorHAnsi"/>
                <w:noProof/>
                <w:webHidden/>
              </w:rPr>
              <w:fldChar w:fldCharType="end"/>
            </w:r>
          </w:hyperlink>
        </w:p>
        <w:p w:rsidR="00444BBF" w:rsidRDefault="0091350B">
          <w:pPr>
            <w:pStyle w:val="TOC1"/>
            <w:rPr>
              <w:b w:val="0"/>
              <w:lang w:val="sl-SI" w:eastAsia="sl-SI"/>
            </w:rPr>
          </w:pPr>
          <w:hyperlink w:anchor="_Toc530654580" w:history="1">
            <w:r w:rsidR="00444BBF" w:rsidRPr="00580CDB">
              <w:rPr>
                <w:rStyle w:val="Hyperlink"/>
              </w:rPr>
              <w:t>PRILOGE</w:t>
            </w:r>
            <w:r w:rsidR="00444BBF">
              <w:rPr>
                <w:webHidden/>
              </w:rPr>
              <w:tab/>
            </w:r>
            <w:r w:rsidR="00444BBF">
              <w:rPr>
                <w:webHidden/>
              </w:rPr>
              <w:fldChar w:fldCharType="begin"/>
            </w:r>
            <w:r w:rsidR="00444BBF">
              <w:rPr>
                <w:webHidden/>
              </w:rPr>
              <w:instrText xml:space="preserve"> PAGEREF _Toc530654580 \h </w:instrText>
            </w:r>
            <w:r w:rsidR="00444BBF">
              <w:rPr>
                <w:webHidden/>
              </w:rPr>
            </w:r>
            <w:r w:rsidR="00444BBF">
              <w:rPr>
                <w:webHidden/>
              </w:rPr>
              <w:fldChar w:fldCharType="separate"/>
            </w:r>
            <w:r w:rsidR="00745204">
              <w:rPr>
                <w:webHidden/>
              </w:rPr>
              <w:t>127</w:t>
            </w:r>
            <w:r w:rsidR="00444BBF">
              <w:rPr>
                <w:webHidden/>
              </w:rPr>
              <w:fldChar w:fldCharType="end"/>
            </w:r>
          </w:hyperlink>
        </w:p>
        <w:p w:rsidR="00444BBF" w:rsidRDefault="0091350B">
          <w:pPr>
            <w:pStyle w:val="TOC2"/>
            <w:tabs>
              <w:tab w:val="right" w:leader="dot" w:pos="9174"/>
            </w:tabs>
            <w:rPr>
              <w:noProof/>
              <w:lang w:val="sl-SI" w:eastAsia="sl-SI"/>
            </w:rPr>
          </w:pPr>
          <w:hyperlink w:anchor="_Toc530654581" w:history="1">
            <w:r w:rsidR="00444BBF" w:rsidRPr="00580CDB">
              <w:rPr>
                <w:rStyle w:val="Hyperlink"/>
                <w:noProof/>
              </w:rPr>
              <w:t>PRILOGA A:  METODOLOŠKA POJASNILA IN VIRI PODATKOV</w:t>
            </w:r>
            <w:r w:rsidR="00444BBF">
              <w:rPr>
                <w:noProof/>
                <w:webHidden/>
              </w:rPr>
              <w:tab/>
            </w:r>
            <w:r w:rsidR="00444BBF">
              <w:rPr>
                <w:noProof/>
                <w:webHidden/>
              </w:rPr>
              <w:fldChar w:fldCharType="begin"/>
            </w:r>
            <w:r w:rsidR="00444BBF">
              <w:rPr>
                <w:noProof/>
                <w:webHidden/>
              </w:rPr>
              <w:instrText xml:space="preserve"> PAGEREF _Toc530654581 \h </w:instrText>
            </w:r>
            <w:r w:rsidR="00444BBF">
              <w:rPr>
                <w:noProof/>
                <w:webHidden/>
              </w:rPr>
            </w:r>
            <w:r w:rsidR="00444BBF">
              <w:rPr>
                <w:noProof/>
                <w:webHidden/>
              </w:rPr>
              <w:fldChar w:fldCharType="separate"/>
            </w:r>
            <w:r w:rsidR="00745204">
              <w:rPr>
                <w:noProof/>
                <w:webHidden/>
              </w:rPr>
              <w:t>128</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82" w:history="1">
            <w:r w:rsidR="00444BBF" w:rsidRPr="00580CDB">
              <w:rPr>
                <w:rStyle w:val="Hyperlink"/>
                <w:noProof/>
              </w:rPr>
              <w:t>PRILOGA B:  KLASIFIKACIJE IN METODOLOGIJA OCENJEVANJA DRŽAVNIH POMOČI</w:t>
            </w:r>
            <w:r w:rsidR="00444BBF">
              <w:rPr>
                <w:noProof/>
                <w:webHidden/>
              </w:rPr>
              <w:tab/>
            </w:r>
            <w:r w:rsidR="00444BBF">
              <w:rPr>
                <w:noProof/>
                <w:webHidden/>
              </w:rPr>
              <w:fldChar w:fldCharType="begin"/>
            </w:r>
            <w:r w:rsidR="00444BBF">
              <w:rPr>
                <w:noProof/>
                <w:webHidden/>
              </w:rPr>
              <w:instrText xml:space="preserve"> PAGEREF _Toc530654582 \h </w:instrText>
            </w:r>
            <w:r w:rsidR="00444BBF">
              <w:rPr>
                <w:noProof/>
                <w:webHidden/>
              </w:rPr>
            </w:r>
            <w:r w:rsidR="00444BBF">
              <w:rPr>
                <w:noProof/>
                <w:webHidden/>
              </w:rPr>
              <w:fldChar w:fldCharType="separate"/>
            </w:r>
            <w:r w:rsidR="00745204">
              <w:rPr>
                <w:noProof/>
                <w:webHidden/>
              </w:rPr>
              <w:t>131</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83" w:history="1">
            <w:r w:rsidR="00444BBF" w:rsidRPr="00580CDB">
              <w:rPr>
                <w:rStyle w:val="Hyperlink"/>
                <w:noProof/>
              </w:rPr>
              <w:t>PRILOGA C: PODROBNEJŠI PODATKI O DRŽAVNIH POMOČEH V SLOVENIJI</w:t>
            </w:r>
            <w:r w:rsidR="00444BBF">
              <w:rPr>
                <w:noProof/>
                <w:webHidden/>
              </w:rPr>
              <w:tab/>
            </w:r>
            <w:r w:rsidR="00444BBF">
              <w:rPr>
                <w:noProof/>
                <w:webHidden/>
              </w:rPr>
              <w:fldChar w:fldCharType="begin"/>
            </w:r>
            <w:r w:rsidR="00444BBF">
              <w:rPr>
                <w:noProof/>
                <w:webHidden/>
              </w:rPr>
              <w:instrText xml:space="preserve"> PAGEREF _Toc530654583 \h </w:instrText>
            </w:r>
            <w:r w:rsidR="00444BBF">
              <w:rPr>
                <w:noProof/>
                <w:webHidden/>
              </w:rPr>
            </w:r>
            <w:r w:rsidR="00444BBF">
              <w:rPr>
                <w:noProof/>
                <w:webHidden/>
              </w:rPr>
              <w:fldChar w:fldCharType="separate"/>
            </w:r>
            <w:r w:rsidR="00745204">
              <w:rPr>
                <w:noProof/>
                <w:webHidden/>
              </w:rPr>
              <w:t>134</w:t>
            </w:r>
            <w:r w:rsidR="00444BBF">
              <w:rPr>
                <w:noProof/>
                <w:webHidden/>
              </w:rPr>
              <w:fldChar w:fldCharType="end"/>
            </w:r>
          </w:hyperlink>
        </w:p>
        <w:p w:rsidR="00444BBF" w:rsidRDefault="0091350B">
          <w:pPr>
            <w:pStyle w:val="TOC2"/>
            <w:tabs>
              <w:tab w:val="right" w:leader="dot" w:pos="9174"/>
            </w:tabs>
            <w:rPr>
              <w:noProof/>
              <w:lang w:val="sl-SI" w:eastAsia="sl-SI"/>
            </w:rPr>
          </w:pPr>
          <w:hyperlink w:anchor="_Toc530654584" w:history="1">
            <w:r w:rsidR="00444BBF" w:rsidRPr="00580CDB">
              <w:rPr>
                <w:rStyle w:val="Hyperlink"/>
                <w:noProof/>
              </w:rPr>
              <w:t>PRILOGA Č: SHEME DRŽAVNIH POMOČI V OBDOBJU 2015–2017 PO PRIGLASITELJIH</w:t>
            </w:r>
            <w:r w:rsidR="00444BBF">
              <w:rPr>
                <w:noProof/>
                <w:webHidden/>
              </w:rPr>
              <w:tab/>
            </w:r>
            <w:r w:rsidR="00444BBF">
              <w:rPr>
                <w:noProof/>
                <w:webHidden/>
              </w:rPr>
              <w:fldChar w:fldCharType="begin"/>
            </w:r>
            <w:r w:rsidR="00444BBF">
              <w:rPr>
                <w:noProof/>
                <w:webHidden/>
              </w:rPr>
              <w:instrText xml:space="preserve"> PAGEREF _Toc530654584 \h </w:instrText>
            </w:r>
            <w:r w:rsidR="00444BBF">
              <w:rPr>
                <w:noProof/>
                <w:webHidden/>
              </w:rPr>
            </w:r>
            <w:r w:rsidR="00444BBF">
              <w:rPr>
                <w:noProof/>
                <w:webHidden/>
              </w:rPr>
              <w:fldChar w:fldCharType="separate"/>
            </w:r>
            <w:r w:rsidR="00745204">
              <w:rPr>
                <w:noProof/>
                <w:webHidden/>
              </w:rPr>
              <w:t>176</w:t>
            </w:r>
            <w:r w:rsidR="00444BBF">
              <w:rPr>
                <w:noProof/>
                <w:webHidden/>
              </w:rPr>
              <w:fldChar w:fldCharType="end"/>
            </w:r>
          </w:hyperlink>
        </w:p>
        <w:p w:rsidR="00AC2FA3" w:rsidRPr="00D050E9" w:rsidRDefault="00AC2FA3">
          <w:r w:rsidRPr="00D050E9">
            <w:rPr>
              <w:b/>
              <w:bCs/>
              <w:noProof/>
            </w:rPr>
            <w:fldChar w:fldCharType="end"/>
          </w:r>
        </w:p>
      </w:sdtContent>
    </w:sdt>
    <w:p w:rsidR="00626BA6" w:rsidRPr="00D050E9" w:rsidRDefault="00AC2FA3" w:rsidP="00626BA6">
      <w:pPr>
        <w:spacing w:line="276" w:lineRule="auto"/>
        <w:jc w:val="left"/>
      </w:pPr>
      <w:r w:rsidRPr="00D050E9">
        <w:br w:type="page"/>
      </w:r>
    </w:p>
    <w:p w:rsidR="00626BA6" w:rsidRPr="00D050E9" w:rsidRDefault="00626BA6" w:rsidP="00626BA6">
      <w:pPr>
        <w:spacing w:line="276" w:lineRule="auto"/>
        <w:jc w:val="left"/>
        <w:rPr>
          <w:rFonts w:asciiTheme="minorHAnsi" w:eastAsiaTheme="majorEastAsia" w:hAnsiTheme="minorHAnsi" w:cstheme="majorBidi"/>
          <w:b/>
          <w:bCs/>
          <w:color w:val="1F497D" w:themeColor="text2"/>
          <w:spacing w:val="20"/>
          <w:sz w:val="24"/>
          <w:szCs w:val="28"/>
        </w:rPr>
      </w:pPr>
      <w:r w:rsidRPr="00D050E9">
        <w:rPr>
          <w:rFonts w:asciiTheme="minorHAnsi" w:eastAsiaTheme="majorEastAsia" w:hAnsiTheme="minorHAnsi" w:cstheme="majorBidi"/>
          <w:b/>
          <w:bCs/>
          <w:color w:val="1F497D" w:themeColor="text2"/>
          <w:spacing w:val="20"/>
          <w:sz w:val="24"/>
          <w:szCs w:val="28"/>
        </w:rPr>
        <w:lastRenderedPageBreak/>
        <w:t>KAZALO TABEL</w:t>
      </w:r>
    </w:p>
    <w:p w:rsidR="00444BBF" w:rsidRPr="00444BBF" w:rsidRDefault="00626BA6">
      <w:pPr>
        <w:pStyle w:val="TableofFigures"/>
        <w:tabs>
          <w:tab w:val="right" w:leader="dot" w:pos="9174"/>
        </w:tabs>
        <w:rPr>
          <w:rFonts w:asciiTheme="minorHAnsi" w:eastAsiaTheme="minorEastAsia" w:hAnsiTheme="minorHAnsi"/>
          <w:noProof/>
          <w:sz w:val="20"/>
          <w:szCs w:val="20"/>
          <w:lang w:eastAsia="sl-SI"/>
        </w:rPr>
      </w:pPr>
      <w:r w:rsidRPr="00444BBF">
        <w:rPr>
          <w:rFonts w:asciiTheme="minorHAnsi" w:eastAsiaTheme="majorEastAsia" w:hAnsiTheme="minorHAnsi" w:cstheme="majorBidi"/>
          <w:b/>
          <w:bCs/>
          <w:color w:val="1F497D" w:themeColor="text2"/>
          <w:spacing w:val="20"/>
          <w:sz w:val="20"/>
          <w:szCs w:val="20"/>
        </w:rPr>
        <w:fldChar w:fldCharType="begin"/>
      </w:r>
      <w:r w:rsidRPr="00444BBF">
        <w:rPr>
          <w:rFonts w:asciiTheme="minorHAnsi" w:eastAsiaTheme="majorEastAsia" w:hAnsiTheme="minorHAnsi" w:cstheme="majorBidi"/>
          <w:b/>
          <w:bCs/>
          <w:color w:val="1F497D" w:themeColor="text2"/>
          <w:spacing w:val="20"/>
          <w:sz w:val="20"/>
          <w:szCs w:val="20"/>
        </w:rPr>
        <w:instrText xml:space="preserve"> TOC \h \z \c "Tabela" </w:instrText>
      </w:r>
      <w:r w:rsidRPr="00444BBF">
        <w:rPr>
          <w:rFonts w:asciiTheme="minorHAnsi" w:eastAsiaTheme="majorEastAsia" w:hAnsiTheme="minorHAnsi" w:cstheme="majorBidi"/>
          <w:b/>
          <w:bCs/>
          <w:color w:val="1F497D" w:themeColor="text2"/>
          <w:spacing w:val="20"/>
          <w:sz w:val="20"/>
          <w:szCs w:val="20"/>
        </w:rPr>
        <w:fldChar w:fldCharType="separate"/>
      </w:r>
      <w:hyperlink w:anchor="_Toc530654585" w:history="1">
        <w:r w:rsidR="00444BBF" w:rsidRPr="00444BBF">
          <w:rPr>
            <w:rStyle w:val="Hyperlink"/>
            <w:rFonts w:asciiTheme="minorHAnsi" w:hAnsiTheme="minorHAnsi"/>
            <w:noProof/>
            <w:sz w:val="20"/>
            <w:szCs w:val="20"/>
            <w:lang w:bidi="hi-IN"/>
          </w:rPr>
          <w:t xml:space="preserve">Tabela 1: Državne pomoči </w:t>
        </w:r>
        <w:r w:rsidR="00444BBF" w:rsidRPr="00444BBF">
          <w:rPr>
            <w:rStyle w:val="Hyperlink"/>
            <w:rFonts w:asciiTheme="minorHAnsi" w:eastAsia="Times New Roman" w:hAnsiTheme="minorHAnsi" w:cs="Arial"/>
            <w:noProof/>
            <w:sz w:val="20"/>
            <w:szCs w:val="20"/>
            <w:lang w:eastAsia="sl-SI" w:bidi="hi-IN"/>
          </w:rPr>
          <w:t>v Sloveniji v letih 2015</w:t>
        </w:r>
        <w:r w:rsidR="00444BBF" w:rsidRPr="00444BBF">
          <w:rPr>
            <w:rStyle w:val="Hyperlink"/>
            <w:rFonts w:asciiTheme="minorHAnsi" w:hAnsiTheme="minorHAnsi"/>
            <w:noProof/>
            <w:sz w:val="20"/>
            <w:szCs w:val="20"/>
            <w:lang w:bidi="hi-IN"/>
          </w:rPr>
          <w:t>–</w:t>
        </w:r>
        <w:r w:rsidR="00444BBF" w:rsidRPr="00444BBF">
          <w:rPr>
            <w:rStyle w:val="Hyperlink"/>
            <w:rFonts w:asciiTheme="minorHAnsi" w:eastAsia="Times New Roman" w:hAnsiTheme="minorHAnsi" w:cs="Arial"/>
            <w:noProof/>
            <w:sz w:val="20"/>
            <w:szCs w:val="20"/>
            <w:lang w:eastAsia="sl-SI" w:bidi="hi-IN"/>
          </w:rPr>
          <w:t>2017 v primerjavi z izbranimi kazalniki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_Toc530654585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86" w:history="1">
        <w:r w:rsidR="00444BBF" w:rsidRPr="00444BBF">
          <w:rPr>
            <w:rStyle w:val="Hyperlink"/>
            <w:rFonts w:asciiTheme="minorHAnsi" w:hAnsiTheme="minorHAnsi"/>
            <w:noProof/>
            <w:sz w:val="20"/>
            <w:szCs w:val="20"/>
            <w:lang w:bidi="hi-IN"/>
          </w:rPr>
          <w:t>Tabela 2: Državne pomoči v Sloveniji po skupinah in kategorijah pomoči,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_Toc530654586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87" w:history="1">
        <w:r w:rsidR="00444BBF" w:rsidRPr="00444BBF">
          <w:rPr>
            <w:rStyle w:val="Hyperlink"/>
            <w:rFonts w:asciiTheme="minorHAnsi" w:hAnsiTheme="minorHAnsi"/>
            <w:noProof/>
            <w:sz w:val="20"/>
            <w:szCs w:val="20"/>
            <w:lang w:bidi="hi-IN"/>
          </w:rPr>
          <w:t>Tabela 3: Državne pomoči v Sloveniji po instrumentih pomoči,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_Toc530654587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18</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88" w:history="1">
        <w:r w:rsidR="00444BBF" w:rsidRPr="00444BBF">
          <w:rPr>
            <w:rStyle w:val="Hyperlink"/>
            <w:rFonts w:asciiTheme="minorHAnsi" w:hAnsiTheme="minorHAnsi"/>
            <w:noProof/>
            <w:sz w:val="20"/>
            <w:szCs w:val="20"/>
            <w:lang w:bidi="hi-IN"/>
          </w:rPr>
          <w:t>Tabela 4: Državne pomoči v Sloveniji po obliki pomoči, 2015–2017,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_Toc530654588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89" w:history="1">
        <w:r w:rsidR="00444BBF" w:rsidRPr="00444BBF">
          <w:rPr>
            <w:rStyle w:val="Hyperlink"/>
            <w:rFonts w:asciiTheme="minorHAnsi" w:hAnsiTheme="minorHAnsi"/>
            <w:noProof/>
            <w:sz w:val="20"/>
            <w:szCs w:val="20"/>
            <w:lang w:bidi="hi-IN"/>
          </w:rPr>
          <w:t>Tabela 5: Državne pomoči v Sloveniji glede na postopek odobritve,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_Toc530654589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0" w:history="1">
        <w:r w:rsidR="00444BBF" w:rsidRPr="00444BBF">
          <w:rPr>
            <w:rStyle w:val="Hyperlink"/>
            <w:rFonts w:asciiTheme="minorHAnsi" w:hAnsiTheme="minorHAnsi"/>
            <w:noProof/>
            <w:sz w:val="20"/>
            <w:szCs w:val="20"/>
            <w:lang w:bidi="hi-IN"/>
          </w:rPr>
          <w:t>Tabela 6: Največji dajalci pomoči v Sloveniji, razvrščeno po obsegu pomoči v letu 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1" w:history="1">
        <w:r w:rsidR="00444BBF" w:rsidRPr="00444BBF">
          <w:rPr>
            <w:rStyle w:val="Hyperlink"/>
            <w:rFonts w:asciiTheme="minorHAnsi" w:hAnsiTheme="minorHAnsi"/>
            <w:noProof/>
            <w:sz w:val="20"/>
            <w:szCs w:val="20"/>
            <w:lang w:bidi="hi-IN"/>
          </w:rPr>
          <w:t>Tabela 7: Državne pomoči po statističnih regijah,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2" w:history="1">
        <w:r w:rsidR="00444BBF" w:rsidRPr="00444BBF">
          <w:rPr>
            <w:rStyle w:val="Hyperlink"/>
            <w:rFonts w:asciiTheme="minorHAnsi" w:hAnsiTheme="minorHAnsi"/>
            <w:noProof/>
            <w:sz w:val="20"/>
            <w:szCs w:val="20"/>
            <w:lang w:bidi="hi-IN"/>
          </w:rPr>
          <w:t>Tabela 8: Državne pomoči po kohezijskih regijah,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38</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3" w:history="1">
        <w:r w:rsidR="00444BBF" w:rsidRPr="00444BBF">
          <w:rPr>
            <w:rStyle w:val="Hyperlink"/>
            <w:rFonts w:asciiTheme="minorHAnsi" w:hAnsiTheme="minorHAnsi"/>
            <w:noProof/>
            <w:sz w:val="20"/>
            <w:szCs w:val="20"/>
            <w:lang w:bidi="hi-IN"/>
          </w:rPr>
          <w:t>Tabela 9: Pomoči za varstvo okolja in varčevanje z energijo po shemah in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4" w:history="1">
        <w:r w:rsidR="00444BBF" w:rsidRPr="00444BBF">
          <w:rPr>
            <w:rStyle w:val="Hyperlink"/>
            <w:rFonts w:asciiTheme="minorHAnsi" w:hAnsiTheme="minorHAnsi"/>
            <w:noProof/>
            <w:sz w:val="20"/>
            <w:szCs w:val="20"/>
            <w:lang w:bidi="hi-IN"/>
          </w:rPr>
          <w:t>Tabela 10: Državne pomoči za zaposlovanje po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5" w:history="1">
        <w:r w:rsidR="00444BBF" w:rsidRPr="00444BBF">
          <w:rPr>
            <w:rStyle w:val="Hyperlink"/>
            <w:rFonts w:asciiTheme="minorHAnsi" w:hAnsiTheme="minorHAnsi"/>
            <w:noProof/>
            <w:sz w:val="20"/>
            <w:szCs w:val="20"/>
            <w:lang w:bidi="hi-IN"/>
          </w:rPr>
          <w:t>Tabela 11: Državne pomoči za zaposlovanje po shemah in instrumentih</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6" w:history="1">
        <w:r w:rsidR="00444BBF" w:rsidRPr="00444BBF">
          <w:rPr>
            <w:rStyle w:val="Hyperlink"/>
            <w:rFonts w:asciiTheme="minorHAnsi" w:hAnsiTheme="minorHAnsi"/>
            <w:noProof/>
            <w:sz w:val="20"/>
            <w:szCs w:val="20"/>
            <w:lang w:bidi="hi-IN"/>
          </w:rPr>
          <w:t>Tabela 12: Državne pomoči za RRI po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7" w:history="1">
        <w:r w:rsidR="00444BBF" w:rsidRPr="00444BBF">
          <w:rPr>
            <w:rStyle w:val="Hyperlink"/>
            <w:rFonts w:asciiTheme="minorHAnsi" w:hAnsiTheme="minorHAnsi"/>
            <w:noProof/>
            <w:sz w:val="20"/>
            <w:szCs w:val="20"/>
            <w:lang w:bidi="hi-IN"/>
          </w:rPr>
          <w:t>Tabela 13: Regionalne pomoči po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8" w:history="1">
        <w:r w:rsidR="00444BBF" w:rsidRPr="00444BBF">
          <w:rPr>
            <w:rStyle w:val="Hyperlink"/>
            <w:rFonts w:asciiTheme="minorHAnsi" w:hAnsiTheme="minorHAnsi"/>
            <w:noProof/>
            <w:sz w:val="20"/>
            <w:szCs w:val="20"/>
            <w:lang w:bidi="hi-IN"/>
          </w:rPr>
          <w:t>Tabela 14: Regionalen pomoči po glavnih shemah oz. namenih pomoči,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599" w:history="1">
        <w:r w:rsidR="00444BBF" w:rsidRPr="00444BBF">
          <w:rPr>
            <w:rStyle w:val="Hyperlink"/>
            <w:rFonts w:asciiTheme="minorHAnsi" w:hAnsiTheme="minorHAnsi"/>
            <w:noProof/>
            <w:sz w:val="20"/>
            <w:szCs w:val="20"/>
            <w:lang w:bidi="hi-IN"/>
          </w:rPr>
          <w:t>Tabela 15: Pomoči za MSP in tvegano financiranje po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_Toc530654599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0" w:history="1">
        <w:r w:rsidR="00444BBF" w:rsidRPr="00444BBF">
          <w:rPr>
            <w:rStyle w:val="Hyperlink"/>
            <w:rFonts w:asciiTheme="minorHAnsi" w:hAnsiTheme="minorHAnsi"/>
            <w:noProof/>
            <w:sz w:val="20"/>
            <w:szCs w:val="20"/>
            <w:lang w:bidi="hi-IN"/>
          </w:rPr>
          <w:t>Tabela 16: Državne pomoči za MSP in tvegano financiranje po dajalcih in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56</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1" w:history="1">
        <w:r w:rsidR="00444BBF" w:rsidRPr="00444BBF">
          <w:rPr>
            <w:rStyle w:val="Hyperlink"/>
            <w:rFonts w:asciiTheme="minorHAnsi" w:hAnsiTheme="minorHAnsi"/>
            <w:noProof/>
            <w:sz w:val="20"/>
            <w:szCs w:val="20"/>
            <w:lang w:bidi="hi-IN"/>
          </w:rPr>
          <w:t>Tabela 17: Državne pomoči za kulturo in avdiovizualno dejavnost po namenih pomoči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2" w:history="1">
        <w:r w:rsidR="00444BBF" w:rsidRPr="00444BBF">
          <w:rPr>
            <w:rStyle w:val="Hyperlink"/>
            <w:rFonts w:asciiTheme="minorHAnsi" w:hAnsiTheme="minorHAnsi"/>
            <w:noProof/>
            <w:sz w:val="20"/>
            <w:szCs w:val="20"/>
            <w:lang w:bidi="hi-IN"/>
          </w:rPr>
          <w:t>Tabela 18: Državne pomoči za usposabljanje po shemah in priglasiteljih,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3" w:history="1">
        <w:r w:rsidR="00444BBF" w:rsidRPr="00444BBF">
          <w:rPr>
            <w:rStyle w:val="Hyperlink"/>
            <w:rFonts w:asciiTheme="minorHAnsi" w:hAnsiTheme="minorHAnsi"/>
            <w:noProof/>
            <w:sz w:val="20"/>
            <w:szCs w:val="20"/>
            <w:lang w:bidi="hi-IN"/>
          </w:rPr>
          <w:t>Tabela 19: Državne pomoči za transport po shemah in prejemnikih</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4" w:history="1">
        <w:r w:rsidR="00444BBF" w:rsidRPr="00444BBF">
          <w:rPr>
            <w:rStyle w:val="Hyperlink"/>
            <w:rFonts w:asciiTheme="minorHAnsi" w:hAnsiTheme="minorHAnsi"/>
            <w:noProof/>
            <w:sz w:val="20"/>
            <w:szCs w:val="20"/>
            <w:lang w:bidi="hi-IN"/>
          </w:rPr>
          <w:t>Tabela 20: Prejemniki pomoči za premogovništvo,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5" w:history="1">
        <w:r w:rsidR="00444BBF" w:rsidRPr="00444BBF">
          <w:rPr>
            <w:rStyle w:val="Hyperlink"/>
            <w:rFonts w:asciiTheme="minorHAnsi" w:hAnsiTheme="minorHAnsi"/>
            <w:noProof/>
            <w:sz w:val="20"/>
            <w:szCs w:val="20"/>
            <w:lang w:bidi="hi-IN"/>
          </w:rPr>
          <w:t>Tabela 21: Državne pomoči za reševanje in prestrukturiranje, 2015–2017, po shemi in prejemnikih</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6" w:history="1">
        <w:r w:rsidR="00444BBF" w:rsidRPr="00444BBF">
          <w:rPr>
            <w:rStyle w:val="Hyperlink"/>
            <w:rFonts w:asciiTheme="minorHAnsi" w:hAnsiTheme="minorHAnsi"/>
            <w:noProof/>
            <w:sz w:val="20"/>
            <w:szCs w:val="20"/>
            <w:lang w:bidi="hi-IN"/>
          </w:rPr>
          <w:t>Tabela 22: Državne pomoči na področju kmetijstva in ribištva,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7" w:history="1">
        <w:r w:rsidR="00444BBF" w:rsidRPr="00444BBF">
          <w:rPr>
            <w:rStyle w:val="Hyperlink"/>
            <w:rFonts w:asciiTheme="minorHAnsi" w:hAnsiTheme="minorHAnsi"/>
            <w:noProof/>
            <w:sz w:val="20"/>
            <w:szCs w:val="20"/>
            <w:lang w:bidi="hi-IN"/>
          </w:rPr>
          <w:t xml:space="preserve">Tabela 23: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v letih 2015–2017 v primerjavi z državnimi pomočmi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8" w:history="1">
        <w:r w:rsidR="00444BBF" w:rsidRPr="00444BBF">
          <w:rPr>
            <w:rStyle w:val="Hyperlink"/>
            <w:rFonts w:asciiTheme="minorHAnsi" w:hAnsiTheme="minorHAnsi"/>
            <w:noProof/>
            <w:sz w:val="20"/>
            <w:szCs w:val="20"/>
            <w:lang w:bidi="hi-IN"/>
          </w:rPr>
          <w:t xml:space="preserve">Tabela 24: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po kategorijah, v mio EUR,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09" w:history="1">
        <w:r w:rsidR="00444BBF" w:rsidRPr="00444BBF">
          <w:rPr>
            <w:rStyle w:val="Hyperlink"/>
            <w:rFonts w:asciiTheme="minorHAnsi" w:hAnsiTheme="minorHAnsi"/>
            <w:noProof/>
            <w:sz w:val="20"/>
            <w:szCs w:val="20"/>
            <w:lang w:bidi="hi-IN"/>
          </w:rPr>
          <w:t xml:space="preserve">Tabela 25: Največji dajalci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_Toc530654609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73</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0" w:history="1">
        <w:r w:rsidR="00444BBF" w:rsidRPr="00444BBF">
          <w:rPr>
            <w:rStyle w:val="Hyperlink"/>
            <w:rFonts w:asciiTheme="minorHAnsi" w:hAnsiTheme="minorHAnsi"/>
            <w:noProof/>
            <w:sz w:val="20"/>
            <w:szCs w:val="20"/>
            <w:lang w:bidi="hi-IN"/>
          </w:rPr>
          <w:t>Tabela 26: Državne pomoči v letu 2017 po višini pomoči na prejemnika</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1" w:history="1">
        <w:r w:rsidR="00444BBF" w:rsidRPr="00444BBF">
          <w:rPr>
            <w:rStyle w:val="Hyperlink"/>
            <w:rFonts w:asciiTheme="minorHAnsi" w:hAnsiTheme="minorHAnsi"/>
            <w:noProof/>
            <w:sz w:val="20"/>
            <w:szCs w:val="20"/>
            <w:lang w:bidi="hi-IN"/>
          </w:rPr>
          <w:t>Tabela 27: Število upravičencev in povprečna višina državne pomoči na prejemnika,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2" w:history="1">
        <w:r w:rsidR="00444BBF" w:rsidRPr="00444BBF">
          <w:rPr>
            <w:rStyle w:val="Hyperlink"/>
            <w:rFonts w:asciiTheme="minorHAnsi" w:hAnsiTheme="minorHAnsi"/>
            <w:noProof/>
            <w:sz w:val="20"/>
            <w:szCs w:val="20"/>
            <w:lang w:bidi="hi-IN"/>
          </w:rPr>
          <w:t>Tabela 28: Število prejemnikov in povprečna vrednost državne pomoči na prejemnika po kategorijah, 2016 in 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78</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3" w:history="1">
        <w:r w:rsidR="00444BBF" w:rsidRPr="00444BBF">
          <w:rPr>
            <w:rStyle w:val="Hyperlink"/>
            <w:rFonts w:asciiTheme="minorHAnsi" w:hAnsiTheme="minorHAnsi"/>
            <w:noProof/>
            <w:sz w:val="20"/>
            <w:szCs w:val="20"/>
            <w:lang w:bidi="hi-IN"/>
          </w:rPr>
          <w:t xml:space="preserve">Tabela 29: Število prejemnikov in povprečna višina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4" w:history="1">
        <w:r w:rsidR="00444BBF" w:rsidRPr="00444BBF">
          <w:rPr>
            <w:rStyle w:val="Hyperlink"/>
            <w:rFonts w:asciiTheme="minorHAnsi" w:hAnsiTheme="minorHAnsi"/>
            <w:noProof/>
            <w:sz w:val="20"/>
            <w:szCs w:val="20"/>
            <w:lang w:bidi="hi-IN"/>
          </w:rPr>
          <w:t>Tabela 30: Državne pomoči po velikosti podjetij – prejemnikov pomoči, brez stečajev,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5" w:history="1">
        <w:r w:rsidR="00444BBF" w:rsidRPr="00444BBF">
          <w:rPr>
            <w:rStyle w:val="Hyperlink"/>
            <w:rFonts w:asciiTheme="minorHAnsi" w:hAnsiTheme="minorHAnsi"/>
            <w:noProof/>
            <w:sz w:val="20"/>
            <w:szCs w:val="20"/>
            <w:lang w:bidi="hi-IN"/>
          </w:rPr>
          <w:t>Tabela 31: Državne pomoči po velikosti podjetij podrobno,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80</w:t>
        </w:r>
        <w:r w:rsidR="00444BBF" w:rsidRPr="00444BBF">
          <w:rPr>
            <w:rFonts w:asciiTheme="minorHAnsi" w:hAnsiTheme="minorHAnsi"/>
            <w:noProof/>
            <w:webHidden/>
            <w:sz w:val="20"/>
            <w:szCs w:val="20"/>
          </w:rPr>
          <w:fldChar w:fldCharType="end"/>
        </w:r>
      </w:hyperlink>
    </w:p>
    <w:p w:rsidR="00AC2FA3" w:rsidRPr="00444BBF" w:rsidRDefault="00626BA6">
      <w:pPr>
        <w:spacing w:line="276" w:lineRule="auto"/>
        <w:jc w:val="left"/>
        <w:rPr>
          <w:rFonts w:asciiTheme="minorHAnsi" w:eastAsiaTheme="majorEastAsia" w:hAnsiTheme="minorHAnsi" w:cstheme="majorBidi"/>
          <w:b/>
          <w:bCs/>
          <w:color w:val="1F497D" w:themeColor="text2"/>
          <w:spacing w:val="20"/>
          <w:sz w:val="20"/>
          <w:szCs w:val="20"/>
        </w:rPr>
      </w:pPr>
      <w:r w:rsidRPr="00444BBF">
        <w:rPr>
          <w:rFonts w:asciiTheme="minorHAnsi" w:eastAsiaTheme="majorEastAsia" w:hAnsiTheme="minorHAnsi" w:cstheme="majorBidi"/>
          <w:b/>
          <w:bCs/>
          <w:color w:val="1F497D" w:themeColor="text2"/>
          <w:spacing w:val="20"/>
          <w:sz w:val="20"/>
          <w:szCs w:val="20"/>
        </w:rPr>
        <w:fldChar w:fldCharType="end"/>
      </w:r>
    </w:p>
    <w:p w:rsidR="00626BA6" w:rsidRPr="00443B2B" w:rsidRDefault="00626BA6">
      <w:pPr>
        <w:spacing w:line="276" w:lineRule="auto"/>
        <w:jc w:val="left"/>
        <w:rPr>
          <w:rFonts w:asciiTheme="minorHAnsi" w:eastAsiaTheme="majorEastAsia" w:hAnsiTheme="minorHAnsi" w:cstheme="majorBidi"/>
          <w:b/>
          <w:bCs/>
          <w:color w:val="1F497D" w:themeColor="text2"/>
          <w:spacing w:val="20"/>
          <w:sz w:val="20"/>
          <w:szCs w:val="20"/>
        </w:rPr>
      </w:pPr>
      <w:r w:rsidRPr="00443B2B">
        <w:rPr>
          <w:rFonts w:asciiTheme="minorHAnsi" w:eastAsiaTheme="majorEastAsia" w:hAnsiTheme="minorHAnsi" w:cstheme="majorBidi"/>
          <w:b/>
          <w:bCs/>
          <w:color w:val="1F497D" w:themeColor="text2"/>
          <w:spacing w:val="20"/>
          <w:sz w:val="20"/>
          <w:szCs w:val="20"/>
        </w:rPr>
        <w:br w:type="page"/>
      </w:r>
    </w:p>
    <w:p w:rsidR="00626BA6" w:rsidRPr="00D050E9" w:rsidRDefault="00626BA6" w:rsidP="00626BA6">
      <w:pPr>
        <w:spacing w:line="276" w:lineRule="auto"/>
        <w:jc w:val="left"/>
        <w:rPr>
          <w:rFonts w:asciiTheme="minorHAnsi" w:eastAsiaTheme="majorEastAsia" w:hAnsiTheme="minorHAnsi" w:cstheme="majorBidi"/>
          <w:b/>
          <w:bCs/>
          <w:color w:val="1F497D" w:themeColor="text2"/>
          <w:spacing w:val="20"/>
          <w:sz w:val="24"/>
          <w:szCs w:val="28"/>
        </w:rPr>
      </w:pPr>
      <w:r w:rsidRPr="00D050E9">
        <w:rPr>
          <w:rFonts w:asciiTheme="minorHAnsi" w:eastAsiaTheme="majorEastAsia" w:hAnsiTheme="minorHAnsi" w:cstheme="majorBidi"/>
          <w:b/>
          <w:bCs/>
          <w:color w:val="1F497D" w:themeColor="text2"/>
          <w:spacing w:val="20"/>
          <w:sz w:val="24"/>
          <w:szCs w:val="28"/>
        </w:rPr>
        <w:lastRenderedPageBreak/>
        <w:t>KAZALO SLIK:</w:t>
      </w:r>
    </w:p>
    <w:p w:rsidR="00444BBF" w:rsidRPr="00444BBF" w:rsidRDefault="00626BA6">
      <w:pPr>
        <w:pStyle w:val="TableofFigures"/>
        <w:tabs>
          <w:tab w:val="right" w:leader="dot" w:pos="9174"/>
        </w:tabs>
        <w:rPr>
          <w:rFonts w:asciiTheme="minorHAnsi" w:eastAsiaTheme="minorEastAsia" w:hAnsiTheme="minorHAnsi"/>
          <w:noProof/>
          <w:sz w:val="20"/>
          <w:szCs w:val="20"/>
          <w:lang w:eastAsia="sl-SI"/>
        </w:rPr>
      </w:pPr>
      <w:r w:rsidRPr="00444BBF">
        <w:rPr>
          <w:rFonts w:asciiTheme="minorHAnsi" w:eastAsiaTheme="majorEastAsia" w:hAnsiTheme="minorHAnsi" w:cstheme="majorBidi"/>
          <w:b/>
          <w:bCs/>
          <w:color w:val="1F497D" w:themeColor="text2"/>
          <w:spacing w:val="20"/>
          <w:sz w:val="20"/>
          <w:szCs w:val="20"/>
        </w:rPr>
        <w:fldChar w:fldCharType="begin"/>
      </w:r>
      <w:r w:rsidRPr="00444BBF">
        <w:rPr>
          <w:rFonts w:asciiTheme="minorHAnsi" w:eastAsiaTheme="majorEastAsia" w:hAnsiTheme="minorHAnsi" w:cstheme="majorBidi"/>
          <w:b/>
          <w:bCs/>
          <w:color w:val="1F497D" w:themeColor="text2"/>
          <w:spacing w:val="20"/>
          <w:sz w:val="20"/>
          <w:szCs w:val="20"/>
        </w:rPr>
        <w:instrText xml:space="preserve"> TOC \h \z \c "Slika" </w:instrText>
      </w:r>
      <w:r w:rsidRPr="00444BBF">
        <w:rPr>
          <w:rFonts w:asciiTheme="minorHAnsi" w:eastAsiaTheme="majorEastAsia" w:hAnsiTheme="minorHAnsi" w:cstheme="majorBidi"/>
          <w:b/>
          <w:bCs/>
          <w:color w:val="1F497D" w:themeColor="text2"/>
          <w:spacing w:val="20"/>
          <w:sz w:val="20"/>
          <w:szCs w:val="20"/>
        </w:rPr>
        <w:fldChar w:fldCharType="separate"/>
      </w:r>
      <w:hyperlink w:anchor="_Toc530654616" w:history="1">
        <w:r w:rsidR="00444BBF" w:rsidRPr="00444BBF">
          <w:rPr>
            <w:rStyle w:val="Hyperlink"/>
            <w:rFonts w:asciiTheme="minorHAnsi" w:hAnsiTheme="minorHAnsi"/>
            <w:noProof/>
            <w:sz w:val="20"/>
            <w:szCs w:val="20"/>
            <w:lang w:bidi="hi-IN"/>
          </w:rPr>
          <w:t>Slika 1: Državne pomoči v Sloveniji v letih 2008—2017, v mio EUR in kot delež BDP</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7" w:history="1">
        <w:r w:rsidR="00444BBF" w:rsidRPr="00444BBF">
          <w:rPr>
            <w:rStyle w:val="Hyperlink"/>
            <w:rFonts w:asciiTheme="minorHAnsi" w:hAnsiTheme="minorHAnsi"/>
            <w:noProof/>
            <w:sz w:val="20"/>
            <w:szCs w:val="20"/>
            <w:lang w:bidi="hi-IN"/>
          </w:rPr>
          <w:t>Slika 2: Državne pomoči vključno s pomočmi za krizne ukrepe, v mio EUR in kot delež BDP</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8" w:history="1">
        <w:r w:rsidR="00444BBF" w:rsidRPr="00444BBF">
          <w:rPr>
            <w:rStyle w:val="Hyperlink"/>
            <w:rFonts w:asciiTheme="minorHAnsi" w:hAnsiTheme="minorHAnsi"/>
            <w:noProof/>
            <w:sz w:val="20"/>
            <w:szCs w:val="20"/>
            <w:lang w:bidi="hi-IN"/>
          </w:rPr>
          <w:t>Slika 3:  Spremembe obsega pomoči v letu 2017 glede na predhodno leto po kategorijah</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19" w:history="1">
        <w:r w:rsidR="00444BBF" w:rsidRPr="00444BBF">
          <w:rPr>
            <w:rStyle w:val="Hyperlink"/>
            <w:rFonts w:asciiTheme="minorHAnsi" w:hAnsiTheme="minorHAnsi"/>
            <w:noProof/>
            <w:sz w:val="20"/>
            <w:szCs w:val="20"/>
            <w:lang w:bidi="hi-IN"/>
          </w:rPr>
          <w:t>Slika 4: Spremembe obsega pomoči po glavnih kategorijah,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_Toc530654619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0" w:history="1">
        <w:r w:rsidR="00444BBF" w:rsidRPr="00444BBF">
          <w:rPr>
            <w:rStyle w:val="Hyperlink"/>
            <w:rFonts w:asciiTheme="minorHAnsi" w:hAnsiTheme="minorHAnsi"/>
            <w:noProof/>
            <w:sz w:val="20"/>
            <w:szCs w:val="20"/>
            <w:lang w:bidi="hi-IN"/>
          </w:rPr>
          <w:t>Slika 5: Obseg državnih pomoči po kategorijah, 2008-2017, v mio EUR</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13</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1" w:history="1">
        <w:r w:rsidR="00444BBF" w:rsidRPr="00444BBF">
          <w:rPr>
            <w:rStyle w:val="Hyperlink"/>
            <w:rFonts w:asciiTheme="minorHAnsi" w:hAnsiTheme="minorHAnsi"/>
            <w:noProof/>
            <w:sz w:val="20"/>
            <w:szCs w:val="20"/>
            <w:lang w:bidi="hi-IN"/>
          </w:rPr>
          <w:t>Slika 6: Struktura državnih pomoči po glavnih skupinah pomoči v Sloveniji,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2" w:history="1">
        <w:r w:rsidR="00444BBF" w:rsidRPr="00444BBF">
          <w:rPr>
            <w:rStyle w:val="Hyperlink"/>
            <w:rFonts w:asciiTheme="minorHAnsi" w:hAnsiTheme="minorHAnsi"/>
            <w:noProof/>
            <w:sz w:val="20"/>
            <w:szCs w:val="20"/>
            <w:lang w:bidi="hi-IN"/>
          </w:rPr>
          <w:t>Slika 7: Struktura državnih pomoči v Sloveniji v letu 2017 po namenih pomoči,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16</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3" w:history="1">
        <w:r w:rsidR="00444BBF" w:rsidRPr="00444BBF">
          <w:rPr>
            <w:rStyle w:val="Hyperlink"/>
            <w:rFonts w:asciiTheme="minorHAnsi" w:hAnsiTheme="minorHAnsi"/>
            <w:noProof/>
            <w:sz w:val="20"/>
            <w:szCs w:val="20"/>
            <w:lang w:bidi="hi-IN"/>
          </w:rPr>
          <w:t>Slika 8: Trend spreminjanja strukture državnih pomoči v Sloveniji, 2008 -2017,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4" w:history="1">
        <w:r w:rsidR="00444BBF" w:rsidRPr="00444BBF">
          <w:rPr>
            <w:rStyle w:val="Hyperlink"/>
            <w:rFonts w:asciiTheme="minorHAnsi" w:hAnsiTheme="minorHAnsi"/>
            <w:noProof/>
            <w:sz w:val="20"/>
            <w:szCs w:val="20"/>
            <w:lang w:bidi="hi-IN"/>
          </w:rPr>
          <w:t>Slika 9: Struktura državnih pomoči glede na instrument pomoči, 2015–2017,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19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5" w:history="1">
        <w:r w:rsidR="00444BBF" w:rsidRPr="00444BBF">
          <w:rPr>
            <w:rStyle w:val="Hyperlink"/>
            <w:rFonts w:asciiTheme="minorHAnsi" w:hAnsiTheme="minorHAnsi"/>
            <w:noProof/>
            <w:sz w:val="20"/>
            <w:szCs w:val="20"/>
            <w:lang w:bidi="hi-IN"/>
          </w:rPr>
          <w:t>Slika 10: Sprememba v uporabi instrumentov pomoči 2016–2017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6" w:history="1">
        <w:r w:rsidR="00444BBF" w:rsidRPr="00444BBF">
          <w:rPr>
            <w:rStyle w:val="Hyperlink"/>
            <w:rFonts w:asciiTheme="minorHAnsi" w:hAnsiTheme="minorHAnsi"/>
            <w:noProof/>
            <w:sz w:val="20"/>
            <w:szCs w:val="20"/>
            <w:lang w:bidi="hi-IN"/>
          </w:rPr>
          <w:t>Slika 11: Državne pomoči po skupinah instrumentov, 2008–2017,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7" w:history="1">
        <w:r w:rsidR="00444BBF" w:rsidRPr="00444BBF">
          <w:rPr>
            <w:rStyle w:val="Hyperlink"/>
            <w:rFonts w:asciiTheme="minorHAnsi" w:hAnsiTheme="minorHAnsi"/>
            <w:noProof/>
            <w:sz w:val="20"/>
            <w:szCs w:val="20"/>
            <w:lang w:bidi="hi-IN"/>
          </w:rPr>
          <w:t>Slika 12: Državne pomoči v Sloveniji po obliki pomoči, 2008–2017,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8" w:history="1">
        <w:r w:rsidR="00444BBF" w:rsidRPr="00444BBF">
          <w:rPr>
            <w:rStyle w:val="Hyperlink"/>
            <w:rFonts w:asciiTheme="minorHAnsi" w:hAnsiTheme="minorHAnsi"/>
            <w:noProof/>
            <w:sz w:val="20"/>
            <w:szCs w:val="20"/>
            <w:lang w:bidi="hi-IN"/>
          </w:rPr>
          <w:t>Slika 13: Državne pomoči v Sloveniji glede na postopek odobritve, 2015–2017,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23</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29" w:history="1">
        <w:r w:rsidR="00444BBF" w:rsidRPr="00444BBF">
          <w:rPr>
            <w:rStyle w:val="Hyperlink"/>
            <w:rFonts w:asciiTheme="minorHAnsi" w:hAnsiTheme="minorHAnsi"/>
            <w:noProof/>
            <w:sz w:val="20"/>
            <w:szCs w:val="20"/>
            <w:lang w:bidi="hi-IN"/>
          </w:rPr>
          <w:t>Slika 14: Obseg pomoči in število shem pomoči po skupinskih izjemah kot % vseh državnih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_Toc530654629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23</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0" w:history="1">
        <w:r w:rsidR="00444BBF" w:rsidRPr="00444BBF">
          <w:rPr>
            <w:rStyle w:val="Hyperlink"/>
            <w:rFonts w:asciiTheme="minorHAnsi" w:hAnsiTheme="minorHAnsi"/>
            <w:noProof/>
            <w:sz w:val="20"/>
            <w:szCs w:val="20"/>
            <w:lang w:bidi="hi-IN"/>
          </w:rPr>
          <w:t>Slika 15: Državne pomoči v državah EU v mio EUR in kot % BDP, 2007–2016</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26</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1" w:history="1">
        <w:r w:rsidR="00444BBF" w:rsidRPr="00444BBF">
          <w:rPr>
            <w:rStyle w:val="Hyperlink"/>
            <w:rFonts w:asciiTheme="minorHAnsi" w:hAnsiTheme="minorHAnsi"/>
            <w:noProof/>
            <w:sz w:val="20"/>
            <w:szCs w:val="20"/>
            <w:lang w:bidi="hi-IN"/>
          </w:rPr>
          <w:t>Slika 16: Državne pomoči v deležu BDP v državah EU, leto 2016</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2" w:history="1">
        <w:r w:rsidR="00444BBF" w:rsidRPr="00444BBF">
          <w:rPr>
            <w:rStyle w:val="Hyperlink"/>
            <w:rFonts w:asciiTheme="minorHAnsi" w:hAnsiTheme="minorHAnsi"/>
            <w:noProof/>
            <w:sz w:val="20"/>
            <w:szCs w:val="20"/>
            <w:lang w:bidi="hi-IN"/>
          </w:rPr>
          <w:t>Slika 17: Državne pomoči v deležu BDP v državah EU, primerjava za leto 2016 in 2015</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3" w:history="1">
        <w:r w:rsidR="00444BBF" w:rsidRPr="00444BBF">
          <w:rPr>
            <w:rStyle w:val="Hyperlink"/>
            <w:rFonts w:asciiTheme="minorHAnsi" w:hAnsiTheme="minorHAnsi"/>
            <w:noProof/>
            <w:sz w:val="20"/>
            <w:szCs w:val="20"/>
            <w:lang w:bidi="hi-IN"/>
          </w:rPr>
          <w:t>Slika 18: Državne pomoči, izplačane v posamezni državi, v % vseh pomoči v EU</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28</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4" w:history="1">
        <w:r w:rsidR="00444BBF" w:rsidRPr="00444BBF">
          <w:rPr>
            <w:rStyle w:val="Hyperlink"/>
            <w:rFonts w:asciiTheme="minorHAnsi" w:hAnsiTheme="minorHAnsi"/>
            <w:noProof/>
            <w:sz w:val="20"/>
            <w:szCs w:val="20"/>
            <w:lang w:bidi="hi-IN"/>
          </w:rPr>
          <w:t>Slika 19: Struktura državnih pomoči EU po kategorijah (namenih) pomoči, 2014–2016</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5" w:history="1">
        <w:r w:rsidR="00444BBF" w:rsidRPr="00444BBF">
          <w:rPr>
            <w:rStyle w:val="Hyperlink"/>
            <w:rFonts w:asciiTheme="minorHAnsi" w:hAnsiTheme="minorHAnsi"/>
            <w:noProof/>
            <w:sz w:val="20"/>
            <w:szCs w:val="20"/>
            <w:lang w:bidi="hi-IN"/>
          </w:rPr>
          <w:t>Slika 20: Spremembe obsega pomoči po glavnih kategorijah pomoči v EU, 2014–2016</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29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6" w:history="1">
        <w:r w:rsidR="00444BBF" w:rsidRPr="00444BBF">
          <w:rPr>
            <w:rStyle w:val="Hyperlink"/>
            <w:rFonts w:asciiTheme="minorHAnsi" w:hAnsiTheme="minorHAnsi"/>
            <w:noProof/>
            <w:sz w:val="20"/>
            <w:szCs w:val="20"/>
            <w:lang w:bidi="hi-IN"/>
          </w:rPr>
          <w:t>Slika 21: Državne pomoči v EU po instrumentih, povprečje 2014–2016,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7" w:history="1">
        <w:r w:rsidR="00444BBF" w:rsidRPr="00444BBF">
          <w:rPr>
            <w:rStyle w:val="Hyperlink"/>
            <w:rFonts w:asciiTheme="minorHAnsi" w:hAnsiTheme="minorHAnsi"/>
            <w:noProof/>
            <w:sz w:val="20"/>
            <w:szCs w:val="20"/>
            <w:lang w:bidi="hi-IN"/>
          </w:rPr>
          <w:t>Slika 22: Instrumenti pomoči v EU v letih 2014–2016, v mrd EUR</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8" w:history="1">
        <w:r w:rsidR="00444BBF" w:rsidRPr="00444BBF">
          <w:rPr>
            <w:rStyle w:val="Hyperlink"/>
            <w:rFonts w:asciiTheme="minorHAnsi" w:hAnsiTheme="minorHAnsi"/>
            <w:noProof/>
            <w:sz w:val="20"/>
            <w:szCs w:val="20"/>
            <w:lang w:bidi="hi-IN"/>
          </w:rPr>
          <w:t>Slika 23: Struktura državnih pomoči v EU po instrumentih pomoči, 2007–2016</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39" w:history="1">
        <w:r w:rsidR="00444BBF" w:rsidRPr="00444BBF">
          <w:rPr>
            <w:rStyle w:val="Hyperlink"/>
            <w:rFonts w:asciiTheme="minorHAnsi" w:hAnsiTheme="minorHAnsi"/>
            <w:noProof/>
            <w:sz w:val="20"/>
            <w:szCs w:val="20"/>
            <w:lang w:bidi="hi-IN"/>
          </w:rPr>
          <w:t>Slika 24: Državne pomoči (nekmetijske) v državah EU po instrumentih, povprečje 2014–2016,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_Toc530654639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0" w:history="1">
        <w:r w:rsidR="00444BBF" w:rsidRPr="00444BBF">
          <w:rPr>
            <w:rStyle w:val="Hyperlink"/>
            <w:rFonts w:asciiTheme="minorHAnsi" w:hAnsiTheme="minorHAnsi"/>
            <w:noProof/>
            <w:sz w:val="20"/>
            <w:szCs w:val="20"/>
            <w:lang w:bidi="hi-IN"/>
          </w:rPr>
          <w:t>Slika 25: Porazdelitev državnih pomoči po statističnih regijah, povprečje 2015–2017,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1" w:history="1">
        <w:r w:rsidR="00444BBF" w:rsidRPr="00444BBF">
          <w:rPr>
            <w:rStyle w:val="Hyperlink"/>
            <w:rFonts w:asciiTheme="minorHAnsi" w:hAnsiTheme="minorHAnsi"/>
            <w:noProof/>
            <w:sz w:val="20"/>
            <w:szCs w:val="20"/>
            <w:lang w:bidi="hi-IN"/>
          </w:rPr>
          <w:t>Slika 26: Sprememba obsega državnih pomoči po statističnih regijah v letih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2" w:history="1">
        <w:r w:rsidR="00444BBF" w:rsidRPr="00444BBF">
          <w:rPr>
            <w:rStyle w:val="Hyperlink"/>
            <w:rFonts w:asciiTheme="minorHAnsi" w:hAnsiTheme="minorHAnsi"/>
            <w:noProof/>
            <w:sz w:val="20"/>
            <w:szCs w:val="20"/>
            <w:lang w:bidi="hi-IN"/>
          </w:rPr>
          <w:t>Slika 27: Državne pomoči v primerjavi z regijskim BDP</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36</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3" w:history="1">
        <w:r w:rsidR="00444BBF" w:rsidRPr="00444BBF">
          <w:rPr>
            <w:rStyle w:val="Hyperlink"/>
            <w:rFonts w:asciiTheme="minorHAnsi" w:hAnsiTheme="minorHAnsi"/>
            <w:noProof/>
            <w:sz w:val="20"/>
            <w:szCs w:val="20"/>
            <w:lang w:bidi="hi-IN"/>
          </w:rPr>
          <w:t>Slika 28: Državne pomoči v deležu BDP po statističnih regijah, 2014–2016</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36</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4" w:history="1">
        <w:r w:rsidR="00444BBF" w:rsidRPr="00444BBF">
          <w:rPr>
            <w:rStyle w:val="Hyperlink"/>
            <w:rFonts w:asciiTheme="minorHAnsi" w:hAnsiTheme="minorHAnsi"/>
            <w:noProof/>
            <w:sz w:val="20"/>
            <w:szCs w:val="20"/>
            <w:lang w:bidi="hi-IN"/>
          </w:rPr>
          <w:t>Slika 29: Državne pomoči na prebivalca statistične regije, povprečje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5" w:history="1">
        <w:r w:rsidR="00444BBF" w:rsidRPr="00444BBF">
          <w:rPr>
            <w:rStyle w:val="Hyperlink"/>
            <w:rFonts w:asciiTheme="minorHAnsi" w:hAnsiTheme="minorHAnsi"/>
            <w:noProof/>
            <w:sz w:val="20"/>
            <w:szCs w:val="20"/>
            <w:lang w:bidi="hi-IN"/>
          </w:rPr>
          <w:t>Slika 30: Porazdelitev državnih pomoči po kohezijskih regijah,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6" w:history="1">
        <w:r w:rsidR="00444BBF" w:rsidRPr="00444BBF">
          <w:rPr>
            <w:rStyle w:val="Hyperlink"/>
            <w:rFonts w:asciiTheme="minorHAnsi" w:hAnsiTheme="minorHAnsi"/>
            <w:noProof/>
            <w:sz w:val="20"/>
            <w:szCs w:val="20"/>
            <w:lang w:bidi="hi-IN"/>
          </w:rPr>
          <w:t>Slika 31: Državne pomoči v primerjavi z BDP po kohezijskih regijah,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39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7" w:history="1">
        <w:r w:rsidR="00444BBF" w:rsidRPr="00444BBF">
          <w:rPr>
            <w:rStyle w:val="Hyperlink"/>
            <w:rFonts w:asciiTheme="minorHAnsi" w:hAnsiTheme="minorHAnsi"/>
            <w:noProof/>
            <w:sz w:val="20"/>
            <w:szCs w:val="20"/>
            <w:lang w:bidi="hi-IN"/>
          </w:rPr>
          <w:t>Slika 32: Državne pomoči za varstvo okolja in varčevanje z energijo v mio eur in kot % vseh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8" w:history="1">
        <w:r w:rsidR="00444BBF" w:rsidRPr="00444BBF">
          <w:rPr>
            <w:rStyle w:val="Hyperlink"/>
            <w:rFonts w:asciiTheme="minorHAnsi" w:hAnsiTheme="minorHAnsi"/>
            <w:noProof/>
            <w:sz w:val="20"/>
            <w:szCs w:val="20"/>
            <w:lang w:bidi="hi-IN"/>
          </w:rPr>
          <w:t>Slika 33: Struktura pomoči za varstvo okolja in varčevanje z energijo po shemah oz. namenih, povprečje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49" w:history="1">
        <w:r w:rsidR="00444BBF" w:rsidRPr="00444BBF">
          <w:rPr>
            <w:rStyle w:val="Hyperlink"/>
            <w:rFonts w:asciiTheme="minorHAnsi" w:hAnsiTheme="minorHAnsi"/>
            <w:noProof/>
            <w:sz w:val="20"/>
            <w:szCs w:val="20"/>
            <w:lang w:bidi="hi-IN"/>
          </w:rPr>
          <w:t>Slika 34: Struktura pomoči za varstvo okolja po instrumentih,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_Toc530654649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0" w:history="1">
        <w:r w:rsidR="00444BBF" w:rsidRPr="00444BBF">
          <w:rPr>
            <w:rStyle w:val="Hyperlink"/>
            <w:rFonts w:asciiTheme="minorHAnsi" w:hAnsiTheme="minorHAnsi"/>
            <w:noProof/>
            <w:sz w:val="20"/>
            <w:szCs w:val="20"/>
            <w:lang w:bidi="hi-IN"/>
          </w:rPr>
          <w:t>Slika 35: Državne pomoči za zaposlovanje v Mio EUR in kot % vseh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1" w:history="1">
        <w:r w:rsidR="00444BBF" w:rsidRPr="00444BBF">
          <w:rPr>
            <w:rStyle w:val="Hyperlink"/>
            <w:rFonts w:asciiTheme="minorHAnsi" w:hAnsiTheme="minorHAnsi"/>
            <w:noProof/>
            <w:sz w:val="20"/>
            <w:szCs w:val="20"/>
            <w:lang w:bidi="hi-IN"/>
          </w:rPr>
          <w:t xml:space="preserve">Slika 36: </w:t>
        </w:r>
        <w:r w:rsidR="00444BBF" w:rsidRPr="00444BBF">
          <w:rPr>
            <w:rStyle w:val="Hyperlink"/>
            <w:rFonts w:asciiTheme="minorHAnsi" w:hAnsiTheme="minorHAnsi"/>
            <w:noProof/>
            <w:sz w:val="20"/>
            <w:szCs w:val="20"/>
            <w:lang w:eastAsia="sl-SI" w:bidi="hi-IN"/>
          </w:rPr>
          <w:t>Državne pomoči za zaposlovanje po instrumentih,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2" w:history="1">
        <w:r w:rsidR="00444BBF" w:rsidRPr="00444BBF">
          <w:rPr>
            <w:rStyle w:val="Hyperlink"/>
            <w:rFonts w:asciiTheme="minorHAnsi" w:hAnsiTheme="minorHAnsi"/>
            <w:noProof/>
            <w:sz w:val="20"/>
            <w:szCs w:val="20"/>
            <w:lang w:bidi="hi-IN"/>
          </w:rPr>
          <w:t>Slika 37: Državne pomoči za raziskave, razvoj in inovacije v mio EUR in kot % vseh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3" w:history="1">
        <w:r w:rsidR="00444BBF" w:rsidRPr="00444BBF">
          <w:rPr>
            <w:rStyle w:val="Hyperlink"/>
            <w:rFonts w:asciiTheme="minorHAnsi" w:hAnsiTheme="minorHAnsi"/>
            <w:noProof/>
            <w:sz w:val="20"/>
            <w:szCs w:val="20"/>
            <w:lang w:bidi="hi-IN"/>
          </w:rPr>
          <w:t>Slika 38: Pomoči za RRI po glavnih namenih oz. shemah,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48</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4" w:history="1">
        <w:r w:rsidR="00444BBF" w:rsidRPr="00444BBF">
          <w:rPr>
            <w:rStyle w:val="Hyperlink"/>
            <w:rFonts w:asciiTheme="minorHAnsi" w:hAnsiTheme="minorHAnsi"/>
            <w:noProof/>
            <w:sz w:val="20"/>
            <w:szCs w:val="20"/>
            <w:lang w:bidi="hi-IN"/>
          </w:rPr>
          <w:t>Slika 39: Struktura pomoči za RRI po instrumentih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49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5" w:history="1">
        <w:r w:rsidR="00444BBF" w:rsidRPr="00444BBF">
          <w:rPr>
            <w:rStyle w:val="Hyperlink"/>
            <w:rFonts w:asciiTheme="minorHAnsi" w:hAnsiTheme="minorHAnsi"/>
            <w:noProof/>
            <w:sz w:val="20"/>
            <w:szCs w:val="20"/>
            <w:lang w:bidi="hi-IN"/>
          </w:rPr>
          <w:t>Slika 40: Regionalne pomoči v obdobju 2008–2017, v mio EUR in kot % vseh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6" w:history="1">
        <w:r w:rsidR="00444BBF" w:rsidRPr="00444BBF">
          <w:rPr>
            <w:rStyle w:val="Hyperlink"/>
            <w:rFonts w:asciiTheme="minorHAnsi" w:hAnsiTheme="minorHAnsi"/>
            <w:noProof/>
            <w:sz w:val="20"/>
            <w:szCs w:val="20"/>
            <w:lang w:bidi="hi-IN"/>
          </w:rPr>
          <w:t>Slika 41: nameni dodeljevanja regionalnih pomoči v letih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7" w:history="1">
        <w:r w:rsidR="00444BBF" w:rsidRPr="00444BBF">
          <w:rPr>
            <w:rStyle w:val="Hyperlink"/>
            <w:rFonts w:asciiTheme="minorHAnsi" w:hAnsiTheme="minorHAnsi"/>
            <w:noProof/>
            <w:sz w:val="20"/>
            <w:szCs w:val="20"/>
            <w:lang w:bidi="hi-IN"/>
          </w:rPr>
          <w:t>Slika 42: Instrumenti regionalnih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53</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8" w:history="1">
        <w:r w:rsidR="00444BBF" w:rsidRPr="00444BBF">
          <w:rPr>
            <w:rStyle w:val="Hyperlink"/>
            <w:rFonts w:asciiTheme="minorHAnsi" w:hAnsiTheme="minorHAnsi"/>
            <w:noProof/>
            <w:sz w:val="20"/>
            <w:szCs w:val="20"/>
            <w:lang w:bidi="hi-IN"/>
          </w:rPr>
          <w:t>Slika 43: Pomoči za MSP in tvegano financiranje,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59" w:history="1">
        <w:r w:rsidR="00444BBF" w:rsidRPr="00444BBF">
          <w:rPr>
            <w:rStyle w:val="Hyperlink"/>
            <w:rFonts w:asciiTheme="minorHAnsi" w:hAnsiTheme="minorHAnsi"/>
            <w:noProof/>
            <w:sz w:val="20"/>
            <w:szCs w:val="20"/>
            <w:lang w:bidi="hi-IN"/>
          </w:rPr>
          <w:t>Slika 44: Državne pomoči za MSP in tvegano financiranje po instrumentih, 2008–2017,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_Toc530654659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0" w:history="1">
        <w:r w:rsidR="00444BBF" w:rsidRPr="00444BBF">
          <w:rPr>
            <w:rStyle w:val="Hyperlink"/>
            <w:rFonts w:asciiTheme="minorHAnsi" w:hAnsiTheme="minorHAnsi"/>
            <w:noProof/>
            <w:sz w:val="20"/>
            <w:szCs w:val="20"/>
            <w:lang w:bidi="hi-IN"/>
          </w:rPr>
          <w:t>Slika 45: Državne pomoči za kulturo in avdiovizualno dejavnost, 2008–2017, v mio EUR in v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1" w:history="1">
        <w:r w:rsidR="00444BBF" w:rsidRPr="00444BBF">
          <w:rPr>
            <w:rStyle w:val="Hyperlink"/>
            <w:rFonts w:asciiTheme="minorHAnsi" w:hAnsiTheme="minorHAnsi"/>
            <w:noProof/>
            <w:sz w:val="20"/>
            <w:szCs w:val="20"/>
            <w:lang w:bidi="hi-IN"/>
          </w:rPr>
          <w:t>Slika 46: Državne pomoči za kulturo in avdiovizualni sektor po namenih, 2015–2017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58</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2" w:history="1">
        <w:r w:rsidR="00444BBF" w:rsidRPr="00444BBF">
          <w:rPr>
            <w:rStyle w:val="Hyperlink"/>
            <w:rFonts w:asciiTheme="minorHAnsi" w:hAnsiTheme="minorHAnsi"/>
            <w:noProof/>
            <w:sz w:val="20"/>
            <w:szCs w:val="20"/>
            <w:lang w:bidi="hi-IN"/>
          </w:rPr>
          <w:t>Slika 47: Državne pomoči za usposabljanje v mio EUR in kot % vseh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59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3" w:history="1">
        <w:r w:rsidR="00444BBF" w:rsidRPr="00444BBF">
          <w:rPr>
            <w:rStyle w:val="Hyperlink"/>
            <w:rFonts w:asciiTheme="minorHAnsi" w:hAnsiTheme="minorHAnsi"/>
            <w:noProof/>
            <w:sz w:val="20"/>
            <w:szCs w:val="20"/>
            <w:lang w:bidi="hi-IN"/>
          </w:rPr>
          <w:t>Slika 48: Državne pomoči transportnemu sektorju, 2008–2017, v mio EUR in kot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60</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4" w:history="1">
        <w:r w:rsidR="00444BBF" w:rsidRPr="00444BBF">
          <w:rPr>
            <w:rStyle w:val="Hyperlink"/>
            <w:rFonts w:asciiTheme="minorHAnsi" w:hAnsiTheme="minorHAnsi"/>
            <w:noProof/>
            <w:sz w:val="20"/>
            <w:szCs w:val="20"/>
            <w:lang w:bidi="hi-IN"/>
          </w:rPr>
          <w:t>Slika 49: Državne pomoči za premogovništvo v mio EUR in kot % vseh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5" w:history="1">
        <w:r w:rsidR="00444BBF" w:rsidRPr="00444BBF">
          <w:rPr>
            <w:rStyle w:val="Hyperlink"/>
            <w:rFonts w:asciiTheme="minorHAnsi" w:hAnsiTheme="minorHAnsi"/>
            <w:noProof/>
            <w:sz w:val="20"/>
            <w:szCs w:val="20"/>
            <w:lang w:bidi="hi-IN"/>
          </w:rPr>
          <w:t>Slika 50: Državne pomoči za reševanje in prestrukturiranje, 2008–2017, v mio EUR in kot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_Toc530654665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63</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6" w:history="1">
        <w:r w:rsidR="00444BBF" w:rsidRPr="00444BBF">
          <w:rPr>
            <w:rStyle w:val="Hyperlink"/>
            <w:rFonts w:asciiTheme="minorHAnsi" w:hAnsiTheme="minorHAnsi"/>
            <w:noProof/>
            <w:sz w:val="20"/>
            <w:szCs w:val="20"/>
            <w:lang w:bidi="hi-IN"/>
          </w:rPr>
          <w:t>Slika 51: Državne pomoči za reševanje in prestrukturiranje po instrumentih,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_Toc530654666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64</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7" w:history="1">
        <w:r w:rsidR="00444BBF" w:rsidRPr="00444BBF">
          <w:rPr>
            <w:rStyle w:val="Hyperlink"/>
            <w:rFonts w:asciiTheme="minorHAnsi" w:hAnsiTheme="minorHAnsi"/>
            <w:noProof/>
            <w:sz w:val="20"/>
            <w:szCs w:val="20"/>
            <w:lang w:bidi="hi-IN"/>
          </w:rPr>
          <w:t>Slika 52: Pomoči za odpravo posledic naravnih nesreč, 2008–2017, v mio EUR in kot delež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_Toc530654667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65</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8" w:history="1">
        <w:r w:rsidR="00444BBF" w:rsidRPr="00444BBF">
          <w:rPr>
            <w:rStyle w:val="Hyperlink"/>
            <w:rFonts w:asciiTheme="minorHAnsi" w:hAnsiTheme="minorHAnsi"/>
            <w:noProof/>
            <w:sz w:val="20"/>
            <w:szCs w:val="20"/>
            <w:lang w:bidi="hi-IN"/>
          </w:rPr>
          <w:t>Slika 53: Državne pomoči za kmetijstvo in ribištvo, 2008–2017, v mio EUR in kot % vseh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_Toc530654668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66</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69" w:history="1">
        <w:r w:rsidR="00444BBF" w:rsidRPr="00444BBF">
          <w:rPr>
            <w:rStyle w:val="Hyperlink"/>
            <w:rFonts w:asciiTheme="minorHAnsi" w:hAnsiTheme="minorHAnsi"/>
            <w:noProof/>
            <w:sz w:val="20"/>
            <w:szCs w:val="20"/>
            <w:lang w:bidi="hi-IN"/>
          </w:rPr>
          <w:t>Slika 54: Državne pomoči za kmetijstvo po namenih za leto 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_Toc530654669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67</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70" w:history="1">
        <w:r w:rsidR="00444BBF" w:rsidRPr="00444BBF">
          <w:rPr>
            <w:rStyle w:val="Hyperlink"/>
            <w:rFonts w:asciiTheme="minorHAnsi" w:hAnsiTheme="minorHAnsi"/>
            <w:noProof/>
            <w:sz w:val="20"/>
            <w:szCs w:val="20"/>
            <w:lang w:bidi="hi-IN"/>
          </w:rPr>
          <w:t xml:space="preserve">Slika 55: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v mio EUR kot delež vseh pomoči (državne in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skupaj),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_Toc530654670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69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71" w:history="1">
        <w:r w:rsidR="00444BBF" w:rsidRPr="00444BBF">
          <w:rPr>
            <w:rStyle w:val="Hyperlink"/>
            <w:rFonts w:asciiTheme="minorHAnsi" w:hAnsiTheme="minorHAnsi"/>
            <w:noProof/>
            <w:sz w:val="20"/>
            <w:szCs w:val="20"/>
            <w:lang w:bidi="hi-IN"/>
          </w:rPr>
          <w:t xml:space="preserve">Slika 56: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po kategorijah, povprečje 2015–2017, v % vseh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_Toc530654671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71</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72" w:history="1">
        <w:r w:rsidR="00444BBF" w:rsidRPr="00444BBF">
          <w:rPr>
            <w:rStyle w:val="Hyperlink"/>
            <w:rFonts w:asciiTheme="minorHAnsi" w:hAnsiTheme="minorHAnsi"/>
            <w:noProof/>
            <w:sz w:val="20"/>
            <w:szCs w:val="20"/>
            <w:lang w:bidi="hi-IN"/>
          </w:rPr>
          <w:t xml:space="preserve">Slika 57: Struktura </w:t>
        </w:r>
        <w:r w:rsidR="00444BBF" w:rsidRPr="00444BBF">
          <w:rPr>
            <w:rStyle w:val="Hyperlink"/>
            <w:rFonts w:asciiTheme="minorHAnsi" w:hAnsiTheme="minorHAnsi"/>
            <w:i/>
            <w:noProof/>
            <w:sz w:val="20"/>
            <w:szCs w:val="20"/>
            <w:lang w:bidi="hi-IN"/>
          </w:rPr>
          <w:t>de minimis</w:t>
        </w:r>
        <w:r w:rsidR="00444BBF" w:rsidRPr="00444BBF">
          <w:rPr>
            <w:rStyle w:val="Hyperlink"/>
            <w:rFonts w:asciiTheme="minorHAnsi" w:hAnsiTheme="minorHAnsi"/>
            <w:noProof/>
            <w:sz w:val="20"/>
            <w:szCs w:val="20"/>
            <w:lang w:bidi="hi-IN"/>
          </w:rPr>
          <w:t xml:space="preserve"> pomoči po instrumentu pomoči,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_Toc530654672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72</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73" w:history="1">
        <w:r w:rsidR="00444BBF" w:rsidRPr="00444BBF">
          <w:rPr>
            <w:rStyle w:val="Hyperlink"/>
            <w:rFonts w:asciiTheme="minorHAnsi" w:hAnsiTheme="minorHAnsi"/>
            <w:noProof/>
            <w:sz w:val="20"/>
            <w:szCs w:val="20"/>
            <w:lang w:bidi="hi-IN"/>
          </w:rPr>
          <w:t>Slika 58: Državne pomoči po velikosti podjetij – prejemnikov pomoči, brez stečajev,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_Toc530654673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79</w:t>
        </w:r>
        <w:r w:rsidR="00444BBF" w:rsidRPr="00444BBF">
          <w:rPr>
            <w:rFonts w:asciiTheme="minorHAnsi" w:hAnsiTheme="minorHAnsi"/>
            <w:noProof/>
            <w:webHidden/>
            <w:sz w:val="20"/>
            <w:szCs w:val="20"/>
          </w:rPr>
          <w:fldChar w:fldCharType="end"/>
        </w:r>
      </w:hyperlink>
    </w:p>
    <w:p w:rsidR="00444BBF" w:rsidRPr="00444BBF" w:rsidRDefault="0091350B">
      <w:pPr>
        <w:pStyle w:val="TableofFigures"/>
        <w:tabs>
          <w:tab w:val="right" w:leader="dot" w:pos="9174"/>
        </w:tabs>
        <w:rPr>
          <w:rFonts w:asciiTheme="minorHAnsi" w:eastAsiaTheme="minorEastAsia" w:hAnsiTheme="minorHAnsi"/>
          <w:noProof/>
          <w:sz w:val="20"/>
          <w:szCs w:val="20"/>
          <w:lang w:eastAsia="sl-SI"/>
        </w:rPr>
      </w:pPr>
      <w:hyperlink w:anchor="_Toc530654674" w:history="1">
        <w:r w:rsidR="00444BBF" w:rsidRPr="00444BBF">
          <w:rPr>
            <w:rStyle w:val="Hyperlink"/>
            <w:rFonts w:asciiTheme="minorHAnsi" w:hAnsiTheme="minorHAnsi"/>
            <w:noProof/>
            <w:sz w:val="20"/>
            <w:szCs w:val="20"/>
            <w:lang w:bidi="hi-IN"/>
          </w:rPr>
          <w:t>Slika 59: Državne pomoči po velikosti podjetij podrobno, 2008–2017</w:t>
        </w:r>
        <w:r w:rsidR="00444BBF" w:rsidRPr="00444BBF">
          <w:rPr>
            <w:rFonts w:asciiTheme="minorHAnsi" w:hAnsiTheme="minorHAnsi"/>
            <w:noProof/>
            <w:webHidden/>
            <w:sz w:val="20"/>
            <w:szCs w:val="20"/>
          </w:rPr>
          <w:tab/>
        </w:r>
        <w:r w:rsidR="00444BBF" w:rsidRPr="00444BBF">
          <w:rPr>
            <w:rFonts w:asciiTheme="minorHAnsi" w:hAnsiTheme="minorHAnsi"/>
            <w:noProof/>
            <w:webHidden/>
            <w:sz w:val="20"/>
            <w:szCs w:val="20"/>
          </w:rPr>
          <w:fldChar w:fldCharType="begin"/>
        </w:r>
        <w:r w:rsidR="00444BBF" w:rsidRPr="00444BBF">
          <w:rPr>
            <w:rFonts w:asciiTheme="minorHAnsi" w:hAnsiTheme="minorHAnsi"/>
            <w:noProof/>
            <w:webHidden/>
            <w:sz w:val="20"/>
            <w:szCs w:val="20"/>
          </w:rPr>
          <w:instrText xml:space="preserve"> PAGEREF _Toc530654674 \h </w:instrText>
        </w:r>
        <w:r w:rsidR="00444BBF" w:rsidRPr="00444BBF">
          <w:rPr>
            <w:rFonts w:asciiTheme="minorHAnsi" w:hAnsiTheme="minorHAnsi"/>
            <w:noProof/>
            <w:webHidden/>
            <w:sz w:val="20"/>
            <w:szCs w:val="20"/>
          </w:rPr>
        </w:r>
        <w:r w:rsidR="00444BBF" w:rsidRPr="00444BBF">
          <w:rPr>
            <w:rFonts w:asciiTheme="minorHAnsi" w:hAnsiTheme="minorHAnsi"/>
            <w:noProof/>
            <w:webHidden/>
            <w:sz w:val="20"/>
            <w:szCs w:val="20"/>
          </w:rPr>
          <w:fldChar w:fldCharType="separate"/>
        </w:r>
        <w:r w:rsidR="00745204">
          <w:rPr>
            <w:rFonts w:asciiTheme="minorHAnsi" w:hAnsiTheme="minorHAnsi"/>
            <w:noProof/>
            <w:webHidden/>
            <w:sz w:val="20"/>
            <w:szCs w:val="20"/>
          </w:rPr>
          <w:t>81</w:t>
        </w:r>
        <w:r w:rsidR="00444BBF" w:rsidRPr="00444BBF">
          <w:rPr>
            <w:rFonts w:asciiTheme="minorHAnsi" w:hAnsiTheme="minorHAnsi"/>
            <w:noProof/>
            <w:webHidden/>
            <w:sz w:val="20"/>
            <w:szCs w:val="20"/>
          </w:rPr>
          <w:fldChar w:fldCharType="end"/>
        </w:r>
      </w:hyperlink>
    </w:p>
    <w:p w:rsidR="00790B07" w:rsidRPr="00444BBF" w:rsidRDefault="00626BA6">
      <w:pPr>
        <w:spacing w:line="276" w:lineRule="auto"/>
        <w:jc w:val="left"/>
        <w:rPr>
          <w:rFonts w:asciiTheme="minorHAnsi" w:eastAsiaTheme="majorEastAsia" w:hAnsiTheme="minorHAnsi" w:cstheme="majorBidi"/>
          <w:b/>
          <w:bCs/>
          <w:color w:val="1F497D" w:themeColor="text2"/>
          <w:spacing w:val="20"/>
          <w:sz w:val="20"/>
          <w:szCs w:val="20"/>
        </w:rPr>
      </w:pPr>
      <w:r w:rsidRPr="00444BBF">
        <w:rPr>
          <w:rFonts w:asciiTheme="minorHAnsi" w:eastAsiaTheme="majorEastAsia" w:hAnsiTheme="minorHAnsi" w:cstheme="majorBidi"/>
          <w:b/>
          <w:bCs/>
          <w:color w:val="1F497D" w:themeColor="text2"/>
          <w:spacing w:val="20"/>
          <w:sz w:val="20"/>
          <w:szCs w:val="20"/>
        </w:rPr>
        <w:fldChar w:fldCharType="end"/>
      </w:r>
    </w:p>
    <w:p w:rsidR="00790B07" w:rsidRPr="00D050E9" w:rsidRDefault="00790B07" w:rsidP="00790B07">
      <w:r w:rsidRPr="00D050E9">
        <w:br w:type="page"/>
      </w:r>
    </w:p>
    <w:p w:rsidR="00825909" w:rsidRPr="00D050E9" w:rsidRDefault="00825909" w:rsidP="00E72379">
      <w:pPr>
        <w:pStyle w:val="Heading1"/>
      </w:pPr>
      <w:bookmarkStart w:id="1" w:name="_Toc530654530"/>
      <w:r w:rsidRPr="00D050E9">
        <w:lastRenderedPageBreak/>
        <w:t>UVOD</w:t>
      </w:r>
      <w:bookmarkEnd w:id="1"/>
    </w:p>
    <w:p w:rsidR="003E614F" w:rsidRPr="00D050E9" w:rsidRDefault="003E614F" w:rsidP="003E614F">
      <w:pPr>
        <w:spacing w:after="0" w:line="276" w:lineRule="auto"/>
        <w:rPr>
          <w:rFonts w:asciiTheme="minorHAnsi" w:hAnsiTheme="minorHAnsi"/>
        </w:rPr>
      </w:pPr>
    </w:p>
    <w:p w:rsidR="00825909" w:rsidRPr="00D050E9" w:rsidRDefault="00825909" w:rsidP="00825909">
      <w:pPr>
        <w:spacing w:line="276" w:lineRule="auto"/>
        <w:rPr>
          <w:rFonts w:asciiTheme="minorHAnsi" w:hAnsiTheme="minorHAnsi"/>
        </w:rPr>
      </w:pPr>
      <w:r w:rsidRPr="00D050E9">
        <w:rPr>
          <w:rFonts w:asciiTheme="minorHAnsi" w:hAnsiTheme="minorHAnsi"/>
        </w:rPr>
        <w:t>Poročilo o državnih pomočeh (v nadaljevanju: Poročilo) je analitični pregled državnih pomoči izplačanih v Sloveniji v zadnjih treh letih. Poročilo je devetnajsto po vrsti in prikazuje podrobnejše podatke o državnih pomočeh v letih 2015, 2016 in 2017. Poročilo je pomemben element zagotavljanja preglednosti in nadzora nad dodeljevanjem državnih pomoči. Služi kot orodje za primerjalno analizo izdatkov za državno pomoč v Sloveniji med posameznimi leti in v primerjavi z državami članicami Evropske unije (v nadaljevanju: EU). Služi tudi kot podlaga za oceno smotrnosti dodeljevanja državnih pomoči in merjenje napredka pri doseganju manj in bolje usmerjenih pomoči, predvsem s ciljem izboljšanja konkurenčnosti gospodarstva ter zmanjševanja regionalnih in socialnih razlik.</w:t>
      </w:r>
    </w:p>
    <w:p w:rsidR="00825909" w:rsidRPr="00D050E9" w:rsidRDefault="00825909" w:rsidP="00825909">
      <w:pPr>
        <w:spacing w:line="276" w:lineRule="auto"/>
        <w:rPr>
          <w:rFonts w:asciiTheme="minorHAnsi" w:hAnsiTheme="minorHAnsi"/>
        </w:rPr>
      </w:pPr>
      <w:r w:rsidRPr="00D050E9">
        <w:rPr>
          <w:rFonts w:asciiTheme="minorHAnsi" w:hAnsiTheme="minorHAnsi"/>
        </w:rPr>
        <w:t>Državne pomoči predstavljajo tisti del javnih sredstev, ki jih javni organi (ministrstva, občine, javni</w:t>
      </w:r>
      <w:r w:rsidR="004B2F15">
        <w:rPr>
          <w:rFonts w:asciiTheme="minorHAnsi" w:hAnsiTheme="minorHAnsi"/>
        </w:rPr>
        <w:t xml:space="preserve"> zavodi,</w:t>
      </w:r>
      <w:r w:rsidRPr="00D050E9">
        <w:rPr>
          <w:rFonts w:asciiTheme="minorHAnsi" w:hAnsiTheme="minorHAnsi"/>
        </w:rPr>
        <w:t xml:space="preserve"> skladi in agencije ter drugi javni organi) </w:t>
      </w:r>
      <w:r w:rsidRPr="00D050E9">
        <w:rPr>
          <w:rFonts w:asciiTheme="minorHAnsi" w:hAnsiTheme="minorHAnsi"/>
          <w:i/>
        </w:rPr>
        <w:t>selektivno</w:t>
      </w:r>
      <w:r w:rsidRPr="00D050E9">
        <w:rPr>
          <w:rFonts w:asciiTheme="minorHAnsi" w:hAnsiTheme="minorHAnsi"/>
        </w:rPr>
        <w:t xml:space="preserve"> dodeljujejo </w:t>
      </w:r>
      <w:r w:rsidRPr="00D050E9">
        <w:rPr>
          <w:rFonts w:asciiTheme="minorHAnsi" w:hAnsiTheme="minorHAnsi"/>
          <w:i/>
        </w:rPr>
        <w:t>subjektom, ki delujejo na trgu</w:t>
      </w:r>
      <w:r w:rsidRPr="00D050E9">
        <w:rPr>
          <w:rFonts w:asciiTheme="minorHAnsi" w:hAnsiTheme="minorHAnsi"/>
        </w:rPr>
        <w:t xml:space="preserve">. Spodbude se lahko dodelijo v različnih oblikah, na primer v obliki nepovratnih sredstev, oprostitev plačil davkov in prispevkov, ugodnih posojil, garancij ali vložkov kapitala, ki niso skladni s tržnimi pogoji. Z dodelitvijo državnih pomoči se prejemnikom spodbud daje </w:t>
      </w:r>
      <w:r w:rsidRPr="00D050E9">
        <w:rPr>
          <w:rFonts w:asciiTheme="minorHAnsi" w:hAnsiTheme="minorHAnsi"/>
          <w:i/>
        </w:rPr>
        <w:t>prednost pred konkurenti</w:t>
      </w:r>
      <w:r w:rsidRPr="00D050E9">
        <w:rPr>
          <w:rFonts w:asciiTheme="minorHAnsi" w:hAnsiTheme="minorHAnsi"/>
        </w:rPr>
        <w:t>, ki je pod običajnimi tržnimi pogoji ne bi imeli</w:t>
      </w:r>
      <w:r w:rsidRPr="00D050E9">
        <w:rPr>
          <w:rStyle w:val="FootnoteReference"/>
          <w:rFonts w:asciiTheme="minorHAnsi" w:hAnsiTheme="minorHAnsi" w:cs="Arial"/>
        </w:rPr>
        <w:footnoteReference w:id="1"/>
      </w:r>
      <w:r w:rsidRPr="00D050E9">
        <w:rPr>
          <w:rFonts w:asciiTheme="minorHAnsi" w:hAnsiTheme="minorHAnsi"/>
        </w:rPr>
        <w:t xml:space="preserve">. Ker lahko državna pomoč negativno vpliva na konkurenco in trgovino v EU, so državne pomoči po pravilih EU v splošnem prepovedane in se lahko dodelijo le izjemoma, ob strogem upoštevanju pravil o državni pomoči. Namen teh pravil je, da se zagotovijo enaki pogoji delovanja za vsa podjetja v EU (vključno z državami Evropskega združenja za prosto trgovino, EFTA) in da se prepreči uporaba javnih sredstev za namen protekcionizma in favoriziranja domačih gospodarskih subjektov. Praviloma se državne pomoči lahko dodelijo le, če koristijo družbi in gospodarstvu kot celoti, tj. ko gre za odpravljanje tržnih nepopolnosti ali so namenjene za doseganja skupnih ciljev EU. Evropska komisija strogo nadzoruje dodeljevanje državnih pomoči. V ta namen so države članice dolžne obvestiti Evropsko komisijo o vseh ukrepih, ki predstavljajo državno pomoč, ali pridobiti izrecno soglasje Evropske Komisije, preden se pomoči dodelijo. Po dodelitvi pomoči se mora zagotoviti spremljanje in nadzor nad dodeljenimi državnimi pomočmi, največje prejemnike pomoči oz. projekte, ki so bili podprti z državno pomočjo, pa so države članice dolžne tudi javno objaviti na uradnih spletnih straneh. </w:t>
      </w:r>
    </w:p>
    <w:p w:rsidR="00825909" w:rsidRPr="00D050E9" w:rsidRDefault="00825909" w:rsidP="00825909">
      <w:pPr>
        <w:spacing w:line="276" w:lineRule="auto"/>
        <w:rPr>
          <w:rFonts w:asciiTheme="minorHAnsi" w:hAnsiTheme="minorHAnsi"/>
        </w:rPr>
      </w:pPr>
      <w:r w:rsidRPr="00D050E9">
        <w:rPr>
          <w:rFonts w:asciiTheme="minorHAnsi" w:hAnsiTheme="minorHAnsi"/>
        </w:rPr>
        <w:t xml:space="preserve">Poročilo temelji na podatkih o izplačanih državnih pomočeh, ki so jih posredovali dajalci državnih pomoči (ministrstva, občine, javne agencije, skladi, drugi javni organi). Pripravljeno je skladno z Zakonom o spremljanju državnih pomoči (Uradni list RS, št. 37/04; v nadaljevanju: Zakon o spremljanju državnih pomoči) in Uredbo o posredovanju podatkov in poročanju o dodeljenih državnih pomočeh in pomočeh po pravilu </w:t>
      </w:r>
      <w:r w:rsidRPr="00D050E9">
        <w:rPr>
          <w:rFonts w:asciiTheme="minorHAnsi" w:hAnsiTheme="minorHAnsi"/>
          <w:i/>
        </w:rPr>
        <w:t>de minimis</w:t>
      </w:r>
      <w:r w:rsidRPr="00D050E9">
        <w:rPr>
          <w:rFonts w:asciiTheme="minorHAnsi" w:hAnsiTheme="minorHAnsi"/>
        </w:rPr>
        <w:t xml:space="preserve"> (Uradni list RS, št. </w:t>
      </w:r>
      <w:hyperlink r:id="rId10" w:tgtFrame="_blank" w:tooltip="Uredba o posredovanju podatkov in poročanju o dodeljenih državnih pomočeh in pomočeh po pravilu " w:history="1">
        <w:r w:rsidRPr="00D050E9">
          <w:rPr>
            <w:rFonts w:asciiTheme="minorHAnsi" w:hAnsiTheme="minorHAnsi"/>
          </w:rPr>
          <w:t>61/04</w:t>
        </w:r>
      </w:hyperlink>
      <w:r w:rsidRPr="00D050E9">
        <w:rPr>
          <w:rFonts w:asciiTheme="minorHAnsi" w:hAnsiTheme="minorHAnsi"/>
        </w:rPr>
        <w:t xml:space="preserve">, </w:t>
      </w:r>
      <w:hyperlink r:id="rId11" w:tgtFrame="_blank" w:tooltip="Uredba o spremembah in dopolnitvah Uredbe o posredovanju podatkov in poročanju o dodeljenih državnih pomočeh in pomočeh po pravilu " w:history="1">
        <w:r w:rsidRPr="00D050E9">
          <w:rPr>
            <w:rFonts w:asciiTheme="minorHAnsi" w:hAnsiTheme="minorHAnsi"/>
          </w:rPr>
          <w:t>22/07</w:t>
        </w:r>
      </w:hyperlink>
      <w:r w:rsidRPr="00D050E9">
        <w:rPr>
          <w:rFonts w:asciiTheme="minorHAnsi" w:hAnsiTheme="minorHAnsi"/>
        </w:rPr>
        <w:t xml:space="preserve"> in </w:t>
      </w:r>
      <w:hyperlink r:id="rId12" w:tgtFrame="_blank" w:tooltip="Uredba o spremembi Uredbe o posredovanju podatkov in poročanju o dodeljenih državnih pomočeh in pomočeh po pravilu de minimis" w:history="1">
        <w:r w:rsidRPr="00D050E9">
          <w:rPr>
            <w:rFonts w:asciiTheme="minorHAnsi" w:hAnsiTheme="minorHAnsi"/>
          </w:rPr>
          <w:t>50/14</w:t>
        </w:r>
      </w:hyperlink>
      <w:r w:rsidRPr="00D050E9">
        <w:rPr>
          <w:rFonts w:asciiTheme="minorHAnsi" w:hAnsiTheme="minorHAnsi"/>
        </w:rPr>
        <w:t xml:space="preserve">; v nadaljevanju: Uredba o posredovanju podatkov in poročanju o dodeljenih državnih pomočeh in pomočeh po pravilu </w:t>
      </w:r>
      <w:r w:rsidRPr="00D050E9">
        <w:rPr>
          <w:rFonts w:asciiTheme="minorHAnsi" w:hAnsiTheme="minorHAnsi"/>
          <w:i/>
        </w:rPr>
        <w:t>de minimis</w:t>
      </w:r>
      <w:r w:rsidRPr="00D050E9">
        <w:rPr>
          <w:rFonts w:asciiTheme="minorHAnsi" w:hAnsiTheme="minorHAnsi"/>
        </w:rPr>
        <w:t xml:space="preserve">), ki določata postopek posredovanja podatkov o državnih pomočeh ter vsebino in obliko letnega poročila, upoštevaje ureditev razvrščanja in poročanja v Evropski uniji. Poročilo se v skladu z </w:t>
      </w:r>
      <w:r w:rsidRPr="00D050E9">
        <w:rPr>
          <w:rFonts w:asciiTheme="minorHAnsi" w:hAnsiTheme="minorHAnsi"/>
        </w:rPr>
        <w:lastRenderedPageBreak/>
        <w:t xml:space="preserve">Zakonom o spremljanju državnih pomoči predloži v sprejem Vladi RS, ki ga v 30 dneh po sprejemu predloži Državnemu zboru RS. </w:t>
      </w:r>
    </w:p>
    <w:p w:rsidR="00825909" w:rsidRPr="00D050E9" w:rsidRDefault="00825909" w:rsidP="00825909">
      <w:pPr>
        <w:spacing w:line="276" w:lineRule="auto"/>
        <w:rPr>
          <w:rFonts w:asciiTheme="minorHAnsi" w:hAnsiTheme="minorHAnsi"/>
        </w:rPr>
      </w:pPr>
      <w:r w:rsidRPr="00D050E9">
        <w:rPr>
          <w:rFonts w:asciiTheme="minorHAnsi" w:hAnsiTheme="minorHAnsi"/>
        </w:rPr>
        <w:t xml:space="preserve">Slovenija skladno z zakonodajo EU na področju državnih pomoči vsako leto o izdatkih za državne pomoči poroča tudi Evropski komisiji. Na osnovi podatkov, ki jih države članice posredujejo v standardizirani in predpisani obliki, Evropska komisija izdela Letno poročilo o državnih pomočeh (t.i. </w:t>
      </w:r>
      <w:r w:rsidRPr="00D050E9">
        <w:rPr>
          <w:rFonts w:asciiTheme="minorHAnsi" w:hAnsiTheme="minorHAnsi"/>
          <w:i/>
        </w:rPr>
        <w:t>State Aid Scoreboard</w:t>
      </w:r>
      <w:r w:rsidRPr="00D050E9">
        <w:rPr>
          <w:rFonts w:asciiTheme="minorHAnsi" w:hAnsiTheme="minorHAnsi"/>
        </w:rPr>
        <w:t xml:space="preserve">) za vsako državo članico in EU v celoti. Podatki iz letnega poročila Evropske komisije (zadnji objavljeni se nanašajo na leto 2016) so uporabljeni za analizo obsega in strukture državnih pomoči v Sloveniji v primerjavi </w:t>
      </w:r>
      <w:r w:rsidRPr="00CB7EA6">
        <w:rPr>
          <w:rFonts w:asciiTheme="minorHAnsi" w:hAnsiTheme="minorHAnsi"/>
        </w:rPr>
        <w:t>z drugi</w:t>
      </w:r>
      <w:r w:rsidR="00891BDF" w:rsidRPr="00CB7EA6">
        <w:rPr>
          <w:rFonts w:asciiTheme="minorHAnsi" w:hAnsiTheme="minorHAnsi"/>
        </w:rPr>
        <w:t>mi</w:t>
      </w:r>
      <w:r w:rsidRPr="00CB7EA6">
        <w:rPr>
          <w:rFonts w:asciiTheme="minorHAnsi" w:hAnsiTheme="minorHAnsi"/>
        </w:rPr>
        <w:t xml:space="preserve"> državami EU.</w:t>
      </w:r>
      <w:r w:rsidRPr="00D050E9">
        <w:rPr>
          <w:rFonts w:asciiTheme="minorHAnsi" w:hAnsiTheme="minorHAnsi"/>
        </w:rPr>
        <w:t xml:space="preserve"> </w:t>
      </w:r>
    </w:p>
    <w:p w:rsidR="00825909" w:rsidRPr="00D050E9" w:rsidRDefault="00825909" w:rsidP="00825909">
      <w:pPr>
        <w:spacing w:line="276" w:lineRule="auto"/>
        <w:rPr>
          <w:rFonts w:asciiTheme="minorHAnsi" w:hAnsiTheme="minorHAnsi"/>
        </w:rPr>
      </w:pPr>
      <w:r w:rsidRPr="00CB7EA6">
        <w:rPr>
          <w:rFonts w:asciiTheme="minorHAnsi" w:hAnsiTheme="minorHAnsi"/>
        </w:rPr>
        <w:t>Poročilo</w:t>
      </w:r>
      <w:r w:rsidR="00CF35A2" w:rsidRPr="00CB7EA6">
        <w:rPr>
          <w:rFonts w:asciiTheme="minorHAnsi" w:hAnsiTheme="minorHAnsi"/>
        </w:rPr>
        <w:t xml:space="preserve"> </w:t>
      </w:r>
      <w:r w:rsidRPr="00CB7EA6">
        <w:rPr>
          <w:rFonts w:asciiTheme="minorHAnsi" w:hAnsiTheme="minorHAnsi"/>
        </w:rPr>
        <w:t>vsebuje</w:t>
      </w:r>
      <w:r w:rsidRPr="00D050E9">
        <w:rPr>
          <w:rFonts w:asciiTheme="minorHAnsi" w:hAnsiTheme="minorHAnsi"/>
        </w:rPr>
        <w:t xml:space="preserve"> podatke o skupnih zneskih dodeljenih državnih pomoči v Sloveniji v letih 2014, 2015 in 2016 ter o državnih pomočeh po skupinah (ciljih) in kategorijah (namenih) pomoči ter instrumentih pomoči. Poročilo analizira spremembe obsega in strukture pomoči med leti ter v primerjavi z državami EU. Vsebina je razdeljena na 6 delov. </w:t>
      </w:r>
    </w:p>
    <w:p w:rsidR="00825909" w:rsidRPr="00D050E9" w:rsidRDefault="00825909" w:rsidP="00825909">
      <w:pPr>
        <w:spacing w:line="276" w:lineRule="auto"/>
        <w:rPr>
          <w:rFonts w:asciiTheme="minorHAnsi" w:hAnsiTheme="minorHAnsi"/>
        </w:rPr>
      </w:pPr>
      <w:r w:rsidRPr="00D050E9">
        <w:rPr>
          <w:rFonts w:asciiTheme="minorHAnsi" w:hAnsiTheme="minorHAnsi"/>
          <w:b/>
          <w:i/>
        </w:rPr>
        <w:t>V prvem delu</w:t>
      </w:r>
      <w:r w:rsidRPr="00D050E9">
        <w:rPr>
          <w:rFonts w:asciiTheme="minorHAnsi" w:hAnsiTheme="minorHAnsi"/>
        </w:rPr>
        <w:t xml:space="preserve"> so prikazani podatki o celotnem obsegu državnih pomoči v Sloveniji, v absolutnih vrednostih in v razmerju do izbranih makroekonomskih in socialno-demografskih kazalcev. Prikazani so podatki o strukturi državnih pomoči v Sloveniji po osnovnih kriterijih (skupinah in namenih pomoči, instrumentih pomoči, postopku dodeljevanja pomoči in </w:t>
      </w:r>
      <w:r w:rsidRPr="00CB7EA6">
        <w:rPr>
          <w:rFonts w:asciiTheme="minorHAnsi" w:hAnsiTheme="minorHAnsi"/>
        </w:rPr>
        <w:t>oblik</w:t>
      </w:r>
      <w:r w:rsidR="00574884" w:rsidRPr="00CB7EA6">
        <w:rPr>
          <w:rFonts w:asciiTheme="minorHAnsi" w:hAnsiTheme="minorHAnsi"/>
        </w:rPr>
        <w:t>i</w:t>
      </w:r>
      <w:r w:rsidRPr="00CB7EA6">
        <w:rPr>
          <w:rFonts w:asciiTheme="minorHAnsi" w:hAnsiTheme="minorHAnsi"/>
        </w:rPr>
        <w:t xml:space="preserve"> pomoči</w:t>
      </w:r>
      <w:r w:rsidR="002004AF" w:rsidRPr="00D050E9">
        <w:rPr>
          <w:rFonts w:asciiTheme="minorHAnsi" w:hAnsiTheme="minorHAnsi"/>
        </w:rPr>
        <w:t>, največjih dajalcih pomoči</w:t>
      </w:r>
      <w:r w:rsidRPr="00D050E9">
        <w:rPr>
          <w:rFonts w:asciiTheme="minorHAnsi" w:hAnsiTheme="minorHAnsi"/>
        </w:rPr>
        <w:t xml:space="preserve">). </w:t>
      </w:r>
    </w:p>
    <w:p w:rsidR="00825909" w:rsidRPr="00D050E9" w:rsidRDefault="00825909" w:rsidP="00825909">
      <w:pPr>
        <w:spacing w:line="276" w:lineRule="auto"/>
        <w:rPr>
          <w:rFonts w:asciiTheme="minorHAnsi" w:hAnsiTheme="minorHAnsi"/>
        </w:rPr>
      </w:pPr>
      <w:r w:rsidRPr="00D050E9">
        <w:rPr>
          <w:rFonts w:asciiTheme="minorHAnsi" w:hAnsiTheme="minorHAnsi"/>
          <w:b/>
          <w:i/>
        </w:rPr>
        <w:t>Drugi del</w:t>
      </w:r>
      <w:r w:rsidRPr="00D050E9">
        <w:rPr>
          <w:rFonts w:asciiTheme="minorHAnsi" w:hAnsiTheme="minorHAnsi"/>
        </w:rPr>
        <w:t xml:space="preserve"> prikazuje podatke o državnih pomočeh v državah članicah EU in podaja primerjalno analizo obsega in strukture državnih pomoči v Sloveniji v primerjavi s povprečjem EU in drugimi državami EU. </w:t>
      </w:r>
    </w:p>
    <w:p w:rsidR="00825909" w:rsidRPr="00D050E9" w:rsidRDefault="00825909" w:rsidP="00825909">
      <w:pPr>
        <w:spacing w:line="276" w:lineRule="auto"/>
        <w:rPr>
          <w:rFonts w:asciiTheme="minorHAnsi" w:hAnsiTheme="minorHAnsi"/>
        </w:rPr>
      </w:pPr>
      <w:r w:rsidRPr="00D050E9">
        <w:rPr>
          <w:rFonts w:asciiTheme="minorHAnsi" w:hAnsiTheme="minorHAnsi"/>
          <w:b/>
          <w:i/>
          <w:iCs/>
        </w:rPr>
        <w:t>Tretji del</w:t>
      </w:r>
      <w:r w:rsidRPr="00D050E9">
        <w:rPr>
          <w:rFonts w:asciiTheme="minorHAnsi" w:hAnsiTheme="minorHAnsi"/>
        </w:rPr>
        <w:t xml:space="preserve"> prikazuje in analizira porazdelitev državnih pomoči po statističnih in kohezijskih regijah.</w:t>
      </w:r>
    </w:p>
    <w:p w:rsidR="00825909" w:rsidRPr="00D050E9" w:rsidRDefault="00825909" w:rsidP="00825909">
      <w:pPr>
        <w:spacing w:line="276" w:lineRule="auto"/>
        <w:rPr>
          <w:rFonts w:asciiTheme="minorHAnsi" w:hAnsiTheme="minorHAnsi"/>
        </w:rPr>
      </w:pPr>
      <w:r w:rsidRPr="00D050E9">
        <w:rPr>
          <w:rFonts w:asciiTheme="minorHAnsi" w:hAnsiTheme="minorHAnsi"/>
          <w:b/>
          <w:i/>
          <w:iCs/>
        </w:rPr>
        <w:t>Četrti del</w:t>
      </w:r>
      <w:r w:rsidRPr="00D050E9">
        <w:rPr>
          <w:rFonts w:asciiTheme="minorHAnsi" w:hAnsiTheme="minorHAnsi"/>
        </w:rPr>
        <w:t xml:space="preserve"> vključuje podrobnejšo predstavitev in analizo državnih pomoči po posameznih kategorijah pomoči za zadnja tri leta. </w:t>
      </w:r>
    </w:p>
    <w:p w:rsidR="00825909" w:rsidRPr="00D050E9" w:rsidRDefault="00825909" w:rsidP="00825909">
      <w:pPr>
        <w:spacing w:line="276" w:lineRule="auto"/>
        <w:rPr>
          <w:rFonts w:asciiTheme="minorHAnsi" w:hAnsiTheme="minorHAnsi"/>
        </w:rPr>
      </w:pPr>
      <w:r w:rsidRPr="00D050E9">
        <w:rPr>
          <w:rFonts w:asciiTheme="minorHAnsi" w:hAnsiTheme="minorHAnsi"/>
          <w:b/>
          <w:i/>
          <w:iCs/>
        </w:rPr>
        <w:t>Peti del</w:t>
      </w:r>
      <w:r w:rsidRPr="00D050E9">
        <w:rPr>
          <w:rFonts w:asciiTheme="minorHAnsi" w:hAnsiTheme="minorHAnsi"/>
          <w:i/>
          <w:iCs/>
        </w:rPr>
        <w:t xml:space="preserve"> </w:t>
      </w:r>
      <w:r w:rsidRPr="00D050E9">
        <w:rPr>
          <w:rFonts w:asciiTheme="minorHAnsi" w:hAnsiTheme="minorHAnsi"/>
        </w:rPr>
        <w:t xml:space="preserve">prikazuje pregled pomoči, ki se dodeljujejo po pravilu </w:t>
      </w:r>
      <w:r w:rsidRPr="00D050E9">
        <w:rPr>
          <w:rFonts w:asciiTheme="minorHAnsi" w:hAnsiTheme="minorHAnsi"/>
          <w:i/>
        </w:rPr>
        <w:t>de minimis</w:t>
      </w:r>
      <w:r w:rsidRPr="00D050E9">
        <w:rPr>
          <w:rFonts w:asciiTheme="minorHAnsi" w:hAnsiTheme="minorHAnsi"/>
        </w:rPr>
        <w:t xml:space="preserve">. </w:t>
      </w:r>
    </w:p>
    <w:p w:rsidR="00825909" w:rsidRPr="00D050E9" w:rsidRDefault="00825909" w:rsidP="00825909">
      <w:pPr>
        <w:spacing w:line="276" w:lineRule="auto"/>
        <w:rPr>
          <w:rFonts w:asciiTheme="minorHAnsi" w:hAnsiTheme="minorHAnsi"/>
          <w:i/>
          <w:iCs/>
        </w:rPr>
      </w:pPr>
      <w:r w:rsidRPr="00D050E9">
        <w:rPr>
          <w:rFonts w:asciiTheme="minorHAnsi" w:hAnsiTheme="minorHAnsi"/>
          <w:b/>
          <w:i/>
        </w:rPr>
        <w:t>Šesti del</w:t>
      </w:r>
      <w:r w:rsidRPr="00D050E9">
        <w:rPr>
          <w:rFonts w:asciiTheme="minorHAnsi" w:hAnsiTheme="minorHAnsi"/>
        </w:rPr>
        <w:t xml:space="preserve"> vsebuje oceno smotrnosti in uspešnosti dodeljenih državnih pomoči ter vključuje povzetek poročil o učinkovitosti dodeljenih pomoči, ki so jih posredovali dajalci pomoči skladno z Navodilom o spremljanju učinkovitosti državnih pomoči</w:t>
      </w:r>
      <w:r w:rsidRPr="00D050E9">
        <w:rPr>
          <w:rFonts w:asciiTheme="minorHAnsi" w:hAnsiTheme="minorHAnsi"/>
          <w:i/>
          <w:iCs/>
        </w:rPr>
        <w:t xml:space="preserve">. </w:t>
      </w:r>
    </w:p>
    <w:p w:rsidR="00825909" w:rsidRPr="00D050E9" w:rsidRDefault="00825909" w:rsidP="00825909">
      <w:pPr>
        <w:spacing w:line="276" w:lineRule="auto"/>
        <w:rPr>
          <w:rFonts w:asciiTheme="minorHAnsi" w:hAnsiTheme="minorHAnsi"/>
        </w:rPr>
      </w:pPr>
    </w:p>
    <w:p w:rsidR="00825909" w:rsidRPr="00D050E9" w:rsidRDefault="00825909" w:rsidP="00825909">
      <w:pPr>
        <w:spacing w:line="276" w:lineRule="auto"/>
        <w:rPr>
          <w:rFonts w:asciiTheme="minorHAnsi" w:hAnsiTheme="minorHAnsi"/>
        </w:rPr>
      </w:pPr>
    </w:p>
    <w:p w:rsidR="00825909" w:rsidRPr="00D050E9" w:rsidRDefault="00825909" w:rsidP="00825909">
      <w:pPr>
        <w:spacing w:line="276" w:lineRule="auto"/>
        <w:rPr>
          <w:rFonts w:asciiTheme="minorHAnsi" w:hAnsiTheme="minorHAnsi"/>
        </w:rPr>
      </w:pPr>
    </w:p>
    <w:p w:rsidR="00825909" w:rsidRPr="00D050E9" w:rsidRDefault="00825909" w:rsidP="00825909"/>
    <w:p w:rsidR="00825909" w:rsidRPr="00D050E9" w:rsidRDefault="00825909" w:rsidP="00825909"/>
    <w:p w:rsidR="005A5088" w:rsidRPr="00D050E9" w:rsidRDefault="005A5088" w:rsidP="00825909"/>
    <w:p w:rsidR="00343952" w:rsidRPr="00D050E9" w:rsidRDefault="00343952" w:rsidP="00825909"/>
    <w:p w:rsidR="00825909" w:rsidRPr="00D050E9" w:rsidRDefault="00825909" w:rsidP="00565FD9">
      <w:pPr>
        <w:spacing w:line="276" w:lineRule="auto"/>
        <w:rPr>
          <w:rFonts w:asciiTheme="minorHAnsi" w:hAnsiTheme="minorHAnsi"/>
          <w:b/>
          <w:color w:val="8064A2" w:themeColor="accent4"/>
        </w:rPr>
      </w:pPr>
    </w:p>
    <w:p w:rsidR="00565FD9" w:rsidRPr="00D050E9" w:rsidRDefault="00AA3CCB" w:rsidP="00E72379">
      <w:pPr>
        <w:pStyle w:val="Heading1"/>
      </w:pPr>
      <w:bookmarkStart w:id="2" w:name="_Toc530654531"/>
      <w:r w:rsidRPr="00D050E9">
        <w:lastRenderedPageBreak/>
        <w:t>POV</w:t>
      </w:r>
      <w:r w:rsidR="00565FD9" w:rsidRPr="00D050E9">
        <w:t>Z</w:t>
      </w:r>
      <w:r w:rsidRPr="00D050E9">
        <w:t>E</w:t>
      </w:r>
      <w:r w:rsidR="00565FD9" w:rsidRPr="00D050E9">
        <w:t>TEK IN GLAVNE UGOTOVITVE</w:t>
      </w:r>
      <w:bookmarkEnd w:id="2"/>
    </w:p>
    <w:p w:rsidR="00A17341" w:rsidRPr="00D050E9" w:rsidRDefault="00A17341" w:rsidP="00A17341">
      <w:pPr>
        <w:pStyle w:val="ListParagraph"/>
        <w:spacing w:line="276" w:lineRule="auto"/>
        <w:ind w:left="0"/>
        <w:rPr>
          <w:rFonts w:asciiTheme="minorHAnsi" w:hAnsiTheme="minorHAnsi"/>
        </w:rPr>
      </w:pPr>
    </w:p>
    <w:p w:rsidR="005557CE" w:rsidRPr="00D050E9" w:rsidRDefault="00A17341" w:rsidP="00A17341">
      <w:pPr>
        <w:pStyle w:val="ListParagraph"/>
        <w:spacing w:line="276" w:lineRule="auto"/>
        <w:ind w:left="0"/>
        <w:rPr>
          <w:rFonts w:asciiTheme="minorHAnsi" w:hAnsiTheme="minorHAnsi"/>
        </w:rPr>
      </w:pPr>
      <w:r w:rsidRPr="00D050E9">
        <w:rPr>
          <w:rFonts w:asciiTheme="minorHAnsi" w:hAnsiTheme="minorHAnsi"/>
        </w:rPr>
        <w:t xml:space="preserve">V letu 2017 je bilo izplačanih </w:t>
      </w:r>
      <w:r w:rsidRPr="00D050E9">
        <w:rPr>
          <w:rFonts w:asciiTheme="minorHAnsi" w:hAnsiTheme="minorHAnsi"/>
          <w:b/>
        </w:rPr>
        <w:t>427,18 mio EUR</w:t>
      </w:r>
      <w:r w:rsidR="005557CE" w:rsidRPr="00D050E9">
        <w:rPr>
          <w:rFonts w:asciiTheme="minorHAnsi" w:hAnsiTheme="minorHAnsi"/>
        </w:rPr>
        <w:t xml:space="preserve"> državnih pomoči</w:t>
      </w:r>
      <w:r w:rsidRPr="00D050E9">
        <w:rPr>
          <w:rFonts w:asciiTheme="minorHAnsi" w:hAnsiTheme="minorHAnsi"/>
        </w:rPr>
        <w:t xml:space="preserve">, </w:t>
      </w:r>
      <w:r w:rsidR="005557CE" w:rsidRPr="00D050E9">
        <w:rPr>
          <w:rFonts w:asciiTheme="minorHAnsi" w:hAnsiTheme="minorHAnsi"/>
        </w:rPr>
        <w:t xml:space="preserve">kar je predstavljalo </w:t>
      </w:r>
      <w:r w:rsidR="005557CE" w:rsidRPr="00D050E9">
        <w:rPr>
          <w:rFonts w:asciiTheme="minorHAnsi" w:hAnsiTheme="minorHAnsi"/>
          <w:b/>
        </w:rPr>
        <w:t>0,99 % BDP</w:t>
      </w:r>
      <w:r w:rsidR="005557CE" w:rsidRPr="00D050E9">
        <w:rPr>
          <w:rFonts w:asciiTheme="minorHAnsi" w:hAnsiTheme="minorHAnsi"/>
        </w:rPr>
        <w:t xml:space="preserve"> Slovenije. </w:t>
      </w:r>
    </w:p>
    <w:p w:rsidR="005557CE" w:rsidRPr="00D050E9" w:rsidRDefault="005557CE" w:rsidP="00A17341">
      <w:pPr>
        <w:pStyle w:val="ListParagraph"/>
        <w:spacing w:line="276" w:lineRule="auto"/>
        <w:ind w:left="0"/>
        <w:rPr>
          <w:rFonts w:asciiTheme="minorHAnsi" w:hAnsiTheme="minorHAnsi"/>
        </w:rPr>
      </w:pPr>
    </w:p>
    <w:p w:rsidR="005557CE" w:rsidRPr="00D050E9" w:rsidRDefault="005557CE" w:rsidP="00A17341">
      <w:pPr>
        <w:pStyle w:val="ListParagraph"/>
        <w:spacing w:line="276" w:lineRule="auto"/>
        <w:ind w:left="0"/>
        <w:rPr>
          <w:rFonts w:asciiTheme="minorHAnsi" w:hAnsiTheme="minorHAnsi"/>
        </w:rPr>
      </w:pPr>
      <w:r w:rsidRPr="00D050E9">
        <w:rPr>
          <w:rFonts w:asciiTheme="minorHAnsi" w:hAnsiTheme="minorHAnsi"/>
        </w:rPr>
        <w:t xml:space="preserve">Obseg državnih pomoči se je v letu 2017 po nekajletnem zniževanju nekoliko </w:t>
      </w:r>
      <w:r w:rsidRPr="00D050E9">
        <w:rPr>
          <w:rFonts w:asciiTheme="minorHAnsi" w:hAnsiTheme="minorHAnsi"/>
          <w:b/>
        </w:rPr>
        <w:t>povečal</w:t>
      </w:r>
      <w:r w:rsidRPr="00D050E9">
        <w:rPr>
          <w:rFonts w:asciiTheme="minorHAnsi" w:hAnsiTheme="minorHAnsi"/>
        </w:rPr>
        <w:t xml:space="preserve">. Izplačanih je bilo </w:t>
      </w:r>
      <w:r w:rsidR="00A17341" w:rsidRPr="00D050E9">
        <w:rPr>
          <w:rFonts w:asciiTheme="minorHAnsi" w:hAnsiTheme="minorHAnsi"/>
          <w:b/>
          <w:i/>
        </w:rPr>
        <w:t>za 52,15 mio EUR ali 13,9</w:t>
      </w:r>
      <w:r w:rsidRPr="00D050E9">
        <w:rPr>
          <w:rFonts w:asciiTheme="minorHAnsi" w:hAnsiTheme="minorHAnsi"/>
          <w:b/>
          <w:i/>
        </w:rPr>
        <w:t> </w:t>
      </w:r>
      <w:r w:rsidR="00A17341" w:rsidRPr="00D050E9">
        <w:rPr>
          <w:rFonts w:asciiTheme="minorHAnsi" w:hAnsiTheme="minorHAnsi"/>
          <w:b/>
          <w:i/>
        </w:rPr>
        <w:t>%</w:t>
      </w:r>
      <w:r w:rsidR="00A17341" w:rsidRPr="00D050E9">
        <w:rPr>
          <w:rFonts w:asciiTheme="minorHAnsi" w:hAnsiTheme="minorHAnsi"/>
        </w:rPr>
        <w:t xml:space="preserve"> </w:t>
      </w:r>
      <w:r w:rsidR="00A17341" w:rsidRPr="00D050E9">
        <w:rPr>
          <w:rFonts w:asciiTheme="minorHAnsi" w:hAnsiTheme="minorHAnsi"/>
          <w:i/>
        </w:rPr>
        <w:t>več</w:t>
      </w:r>
      <w:r w:rsidR="00A17341" w:rsidRPr="00D050E9">
        <w:rPr>
          <w:rFonts w:asciiTheme="minorHAnsi" w:hAnsiTheme="minorHAnsi"/>
        </w:rPr>
        <w:t xml:space="preserve"> </w:t>
      </w:r>
      <w:r w:rsidRPr="00D050E9">
        <w:rPr>
          <w:rFonts w:asciiTheme="minorHAnsi" w:hAnsiTheme="minorHAnsi"/>
        </w:rPr>
        <w:t xml:space="preserve">sredstev </w:t>
      </w:r>
      <w:r w:rsidR="00A17341" w:rsidRPr="00D050E9">
        <w:rPr>
          <w:rFonts w:asciiTheme="minorHAnsi" w:hAnsiTheme="minorHAnsi"/>
        </w:rPr>
        <w:t>kot leta 2016</w:t>
      </w:r>
      <w:r w:rsidRPr="00D050E9">
        <w:rPr>
          <w:rFonts w:asciiTheme="minorHAnsi" w:hAnsiTheme="minorHAnsi"/>
        </w:rPr>
        <w:t xml:space="preserve"> (0,93 % BDP), š</w:t>
      </w:r>
      <w:r w:rsidR="00A17341" w:rsidRPr="00D050E9">
        <w:rPr>
          <w:rFonts w:asciiTheme="minorHAnsi" w:hAnsiTheme="minorHAnsi"/>
        </w:rPr>
        <w:t xml:space="preserve">e vedno pa </w:t>
      </w:r>
      <w:r w:rsidRPr="00D050E9">
        <w:rPr>
          <w:rFonts w:asciiTheme="minorHAnsi" w:hAnsiTheme="minorHAnsi"/>
        </w:rPr>
        <w:t>je bil obseg državnih pomoči precej nižji kot v letih 2011–2015, ko so državne pomoči dosegale najvišje vrednosti, v</w:t>
      </w:r>
      <w:r w:rsidR="000636F6" w:rsidRPr="00D050E9">
        <w:rPr>
          <w:rFonts w:asciiTheme="minorHAnsi" w:hAnsiTheme="minorHAnsi"/>
        </w:rPr>
        <w:t xml:space="preserve">eč kot </w:t>
      </w:r>
      <w:r w:rsidRPr="00D050E9">
        <w:rPr>
          <w:rFonts w:asciiTheme="minorHAnsi" w:hAnsiTheme="minorHAnsi"/>
        </w:rPr>
        <w:t>5</w:t>
      </w:r>
      <w:r w:rsidR="000636F6" w:rsidRPr="00D050E9">
        <w:rPr>
          <w:rFonts w:asciiTheme="minorHAnsi" w:hAnsiTheme="minorHAnsi"/>
        </w:rPr>
        <w:t>0</w:t>
      </w:r>
      <w:r w:rsidRPr="00D050E9">
        <w:rPr>
          <w:rFonts w:asciiTheme="minorHAnsi" w:hAnsiTheme="minorHAnsi"/>
        </w:rPr>
        <w:t>0 mio EUR na leto in do 1,6 % BDP.</w:t>
      </w:r>
    </w:p>
    <w:p w:rsidR="00896D5A" w:rsidRPr="00D050E9" w:rsidRDefault="005557CE" w:rsidP="00896D5A">
      <w:pPr>
        <w:spacing w:line="276" w:lineRule="auto"/>
        <w:rPr>
          <w:rFonts w:asciiTheme="minorHAnsi" w:hAnsiTheme="minorHAnsi"/>
        </w:rPr>
      </w:pPr>
      <w:r w:rsidRPr="00D050E9">
        <w:rPr>
          <w:rFonts w:asciiTheme="minorHAnsi" w:hAnsiTheme="minorHAnsi"/>
        </w:rPr>
        <w:t>N</w:t>
      </w:r>
      <w:r w:rsidR="00DC63AA" w:rsidRPr="00D050E9">
        <w:rPr>
          <w:rFonts w:asciiTheme="minorHAnsi" w:hAnsiTheme="minorHAnsi"/>
        </w:rPr>
        <w:t>ajbolj</w:t>
      </w:r>
      <w:r w:rsidRPr="00D050E9">
        <w:rPr>
          <w:rFonts w:asciiTheme="minorHAnsi" w:hAnsiTheme="minorHAnsi"/>
        </w:rPr>
        <w:t xml:space="preserve"> so se</w:t>
      </w:r>
      <w:r w:rsidR="00DC63AA" w:rsidRPr="00D050E9">
        <w:rPr>
          <w:rFonts w:asciiTheme="minorHAnsi" w:hAnsiTheme="minorHAnsi"/>
        </w:rPr>
        <w:t xml:space="preserve"> </w:t>
      </w:r>
      <w:r w:rsidR="00896D5A" w:rsidRPr="00D050E9">
        <w:rPr>
          <w:rFonts w:asciiTheme="minorHAnsi" w:hAnsiTheme="minorHAnsi"/>
          <w:b/>
        </w:rPr>
        <w:t>povečale pomoči za raziskave, razvoj in inovacije</w:t>
      </w:r>
      <w:r w:rsidR="00FB5D83" w:rsidRPr="00D050E9">
        <w:rPr>
          <w:rFonts w:asciiTheme="minorHAnsi" w:hAnsiTheme="minorHAnsi"/>
          <w:b/>
        </w:rPr>
        <w:t xml:space="preserve"> (RRI)</w:t>
      </w:r>
      <w:r w:rsidR="00896D5A" w:rsidRPr="00D050E9">
        <w:rPr>
          <w:rFonts w:asciiTheme="minorHAnsi" w:hAnsiTheme="minorHAnsi"/>
        </w:rPr>
        <w:t xml:space="preserve">, in sicer </w:t>
      </w:r>
      <w:r w:rsidR="00896D5A" w:rsidRPr="00D050E9">
        <w:rPr>
          <w:rFonts w:asciiTheme="minorHAnsi" w:hAnsiTheme="minorHAnsi"/>
          <w:b/>
        </w:rPr>
        <w:t>za 23,75 mio</w:t>
      </w:r>
      <w:r w:rsidR="00896D5A" w:rsidRPr="00D050E9">
        <w:rPr>
          <w:rFonts w:asciiTheme="minorHAnsi" w:hAnsiTheme="minorHAnsi"/>
        </w:rPr>
        <w:t xml:space="preserve"> EUR, kar pomeni več kot dvakratno povečanje </w:t>
      </w:r>
      <w:r w:rsidR="005220E1" w:rsidRPr="00D050E9">
        <w:rPr>
          <w:rFonts w:asciiTheme="minorHAnsi" w:hAnsiTheme="minorHAnsi"/>
        </w:rPr>
        <w:t xml:space="preserve">teh pomoči </w:t>
      </w:r>
      <w:r w:rsidR="00896D5A" w:rsidRPr="00D050E9">
        <w:rPr>
          <w:rFonts w:asciiTheme="minorHAnsi" w:hAnsiTheme="minorHAnsi"/>
        </w:rPr>
        <w:t>glede na leto 2016 (+223 %). Povečanje pomoči za RRI je predstavljalo skoraj polovico celotnega povečanja državnih pomoči v Sloveniji v letu 2017.</w:t>
      </w:r>
      <w:r w:rsidR="00D5216D" w:rsidRPr="00D050E9">
        <w:rPr>
          <w:rFonts w:asciiTheme="minorHAnsi" w:hAnsiTheme="minorHAnsi"/>
        </w:rPr>
        <w:t xml:space="preserve"> Občutneje so se povečale še pomoči za zaposlovanje in kmetijstvo.</w:t>
      </w:r>
      <w:r w:rsidR="00896D5A" w:rsidRPr="00D050E9">
        <w:rPr>
          <w:rFonts w:asciiTheme="minorHAnsi" w:hAnsiTheme="minorHAnsi"/>
        </w:rPr>
        <w:t xml:space="preserve"> </w:t>
      </w:r>
    </w:p>
    <w:p w:rsidR="005220E1" w:rsidRPr="00D050E9" w:rsidRDefault="002565AB" w:rsidP="002565AB">
      <w:pPr>
        <w:spacing w:line="276" w:lineRule="auto"/>
        <w:rPr>
          <w:rFonts w:asciiTheme="minorHAnsi" w:hAnsiTheme="minorHAnsi"/>
          <w:lang w:eastAsia="x-none"/>
        </w:rPr>
      </w:pPr>
      <w:r w:rsidRPr="00D050E9">
        <w:rPr>
          <w:rFonts w:asciiTheme="minorHAnsi" w:hAnsiTheme="minorHAnsi"/>
        </w:rPr>
        <w:t xml:space="preserve">V Sloveniji se večina pomoči namenja za doseganje </w:t>
      </w:r>
      <w:r w:rsidRPr="00D050E9">
        <w:rPr>
          <w:rFonts w:asciiTheme="minorHAnsi" w:hAnsiTheme="minorHAnsi"/>
          <w:b/>
        </w:rPr>
        <w:t>horizontalnih ciljev</w:t>
      </w:r>
      <w:r w:rsidRPr="00D050E9">
        <w:rPr>
          <w:rFonts w:asciiTheme="minorHAnsi" w:hAnsiTheme="minorHAnsi"/>
        </w:rPr>
        <w:t xml:space="preserve">, t.j. za pomoči, ki se dodeljujejo za </w:t>
      </w:r>
      <w:r w:rsidRPr="00D050E9">
        <w:rPr>
          <w:rFonts w:asciiTheme="minorHAnsi" w:hAnsiTheme="minorHAnsi"/>
          <w:i/>
        </w:rPr>
        <w:t>spodbujanje</w:t>
      </w:r>
      <w:r w:rsidRPr="00D050E9">
        <w:rPr>
          <w:rFonts w:asciiTheme="minorHAnsi" w:hAnsiTheme="minorHAnsi"/>
        </w:rPr>
        <w:t xml:space="preserve"> razvoja in odpravljanje tržnih nepopolnosti ne glede na sektor gospodarstva in ki imajo, v primerjavi s sektorsko specifičnimi pomočmi, manjši učinek </w:t>
      </w:r>
      <w:r w:rsidRPr="00D050E9">
        <w:rPr>
          <w:rFonts w:asciiTheme="minorHAnsi" w:hAnsiTheme="minorHAnsi"/>
          <w:lang w:eastAsia="x-none"/>
        </w:rPr>
        <w:t xml:space="preserve">na izkrivljanje konkurence in trgovine med državami EU. V letu 2017 je bilo za te pomoči namenjenih </w:t>
      </w:r>
      <w:r w:rsidRPr="00D050E9">
        <w:rPr>
          <w:rFonts w:asciiTheme="minorHAnsi" w:hAnsiTheme="minorHAnsi"/>
          <w:b/>
          <w:lang w:eastAsia="x-none"/>
        </w:rPr>
        <w:t>351,17 mio</w:t>
      </w:r>
      <w:r w:rsidRPr="00D050E9">
        <w:rPr>
          <w:rFonts w:asciiTheme="minorHAnsi" w:hAnsiTheme="minorHAnsi"/>
          <w:lang w:eastAsia="x-none"/>
        </w:rPr>
        <w:t xml:space="preserve"> EUR ali </w:t>
      </w:r>
      <w:r w:rsidRPr="00D050E9">
        <w:rPr>
          <w:rFonts w:asciiTheme="minorHAnsi" w:hAnsiTheme="minorHAnsi"/>
          <w:b/>
          <w:lang w:eastAsia="x-none"/>
        </w:rPr>
        <w:t>82,2 %</w:t>
      </w:r>
      <w:r w:rsidRPr="00D050E9">
        <w:rPr>
          <w:rFonts w:asciiTheme="minorHAnsi" w:hAnsiTheme="minorHAnsi"/>
          <w:lang w:eastAsia="x-none"/>
        </w:rPr>
        <w:t xml:space="preserve"> vseh pomoči</w:t>
      </w:r>
      <w:r w:rsidR="005220E1" w:rsidRPr="00D050E9">
        <w:rPr>
          <w:rFonts w:asciiTheme="minorHAnsi" w:hAnsiTheme="minorHAnsi"/>
          <w:lang w:eastAsia="x-none"/>
        </w:rPr>
        <w:t xml:space="preserve">, njihov delež pa se povečuje. </w:t>
      </w:r>
    </w:p>
    <w:p w:rsidR="00B120E2" w:rsidRPr="00D050E9" w:rsidRDefault="005220E1" w:rsidP="00F22217">
      <w:pPr>
        <w:spacing w:line="276" w:lineRule="auto"/>
        <w:rPr>
          <w:rFonts w:asciiTheme="minorHAnsi" w:hAnsiTheme="minorHAnsi"/>
        </w:rPr>
      </w:pPr>
      <w:r w:rsidRPr="00D050E9">
        <w:rPr>
          <w:rFonts w:asciiTheme="minorHAnsi" w:hAnsiTheme="minorHAnsi"/>
        </w:rPr>
        <w:t xml:space="preserve">Večina pomoči, dve tretjini </w:t>
      </w:r>
      <w:r w:rsidR="00896D5A" w:rsidRPr="00D050E9">
        <w:rPr>
          <w:rFonts w:asciiTheme="minorHAnsi" w:hAnsiTheme="minorHAnsi"/>
        </w:rPr>
        <w:t xml:space="preserve">vseh, ki so bile izplačane v Sloveniji v letu 2017, je bila namenjena za dva </w:t>
      </w:r>
      <w:r w:rsidRPr="00D050E9">
        <w:rPr>
          <w:rFonts w:asciiTheme="minorHAnsi" w:hAnsiTheme="minorHAnsi"/>
        </w:rPr>
        <w:t xml:space="preserve">namena: </w:t>
      </w:r>
      <w:r w:rsidR="00896D5A" w:rsidRPr="00D050E9">
        <w:rPr>
          <w:rFonts w:asciiTheme="minorHAnsi" w:hAnsiTheme="minorHAnsi"/>
          <w:b/>
          <w:i/>
        </w:rPr>
        <w:t xml:space="preserve">varstvo okolja in varčevanje z energijo (43 % </w:t>
      </w:r>
      <w:r w:rsidR="00896D5A" w:rsidRPr="00D050E9">
        <w:rPr>
          <w:rFonts w:asciiTheme="minorHAnsi" w:hAnsiTheme="minorHAnsi"/>
        </w:rPr>
        <w:t xml:space="preserve">vseh pomoči ali 182,56 mio EUR) in </w:t>
      </w:r>
      <w:r w:rsidR="00896D5A" w:rsidRPr="00D050E9">
        <w:rPr>
          <w:rFonts w:asciiTheme="minorHAnsi" w:hAnsiTheme="minorHAnsi"/>
          <w:b/>
          <w:i/>
        </w:rPr>
        <w:t>zaposlovanje,</w:t>
      </w:r>
      <w:r w:rsidR="00896D5A" w:rsidRPr="00D050E9">
        <w:rPr>
          <w:rFonts w:asciiTheme="minorHAnsi" w:hAnsiTheme="minorHAnsi"/>
          <w:b/>
        </w:rPr>
        <w:t xml:space="preserve"> </w:t>
      </w:r>
      <w:r w:rsidR="00896D5A" w:rsidRPr="00D050E9">
        <w:rPr>
          <w:rFonts w:asciiTheme="minorHAnsi" w:hAnsiTheme="minorHAnsi"/>
        </w:rPr>
        <w:t>pretežno za invalidne osebe</w:t>
      </w:r>
      <w:r w:rsidR="00896D5A" w:rsidRPr="00D050E9">
        <w:rPr>
          <w:rFonts w:asciiTheme="minorHAnsi" w:hAnsiTheme="minorHAnsi"/>
          <w:b/>
        </w:rPr>
        <w:t xml:space="preserve"> </w:t>
      </w:r>
      <w:r w:rsidR="00896D5A" w:rsidRPr="00D050E9">
        <w:rPr>
          <w:rFonts w:asciiTheme="minorHAnsi" w:hAnsiTheme="minorHAnsi"/>
          <w:i/>
        </w:rPr>
        <w:t>(</w:t>
      </w:r>
      <w:r w:rsidR="00896D5A" w:rsidRPr="00D050E9">
        <w:rPr>
          <w:rFonts w:asciiTheme="minorHAnsi" w:hAnsiTheme="minorHAnsi"/>
          <w:b/>
          <w:i/>
        </w:rPr>
        <w:t>23 %</w:t>
      </w:r>
      <w:r w:rsidR="00896D5A" w:rsidRPr="00D050E9">
        <w:rPr>
          <w:rFonts w:asciiTheme="minorHAnsi" w:hAnsiTheme="minorHAnsi"/>
        </w:rPr>
        <w:t xml:space="preserve"> ali 98,47 mio EUR). Sledijo </w:t>
      </w:r>
      <w:r w:rsidR="00896D5A" w:rsidRPr="00D050E9">
        <w:rPr>
          <w:rFonts w:asciiTheme="minorHAnsi" w:hAnsiTheme="minorHAnsi"/>
          <w:b/>
        </w:rPr>
        <w:t xml:space="preserve">pomoči za </w:t>
      </w:r>
      <w:r w:rsidR="00896D5A" w:rsidRPr="00D050E9">
        <w:rPr>
          <w:rFonts w:asciiTheme="minorHAnsi" w:hAnsiTheme="minorHAnsi"/>
          <w:b/>
          <w:i/>
        </w:rPr>
        <w:t xml:space="preserve">raziskave, razvoj in inovacije (RRI), </w:t>
      </w:r>
      <w:r w:rsidR="001C3C21">
        <w:rPr>
          <w:rFonts w:asciiTheme="minorHAnsi" w:hAnsiTheme="minorHAnsi"/>
          <w:i/>
        </w:rPr>
        <w:t>s</w:t>
      </w:r>
      <w:r w:rsidR="00896D5A" w:rsidRPr="00D050E9">
        <w:rPr>
          <w:rFonts w:asciiTheme="minorHAnsi" w:hAnsiTheme="minorHAnsi"/>
          <w:i/>
        </w:rPr>
        <w:t xml:space="preserve"> 34,40 mio EUR</w:t>
      </w:r>
      <w:r w:rsidR="00896D5A" w:rsidRPr="00D050E9">
        <w:rPr>
          <w:rFonts w:asciiTheme="minorHAnsi" w:hAnsiTheme="minorHAnsi"/>
        </w:rPr>
        <w:t xml:space="preserve"> oz. </w:t>
      </w:r>
      <w:r w:rsidR="00896D5A" w:rsidRPr="00D050E9">
        <w:rPr>
          <w:rFonts w:asciiTheme="minorHAnsi" w:hAnsiTheme="minorHAnsi"/>
          <w:b/>
        </w:rPr>
        <w:t>8,1 %</w:t>
      </w:r>
      <w:r w:rsidR="00896D5A" w:rsidRPr="00D050E9">
        <w:rPr>
          <w:rFonts w:asciiTheme="minorHAnsi" w:hAnsiTheme="minorHAnsi"/>
        </w:rPr>
        <w:t xml:space="preserve"> vseh pomoči v letu 2017 (2,8 % v letu 2016), ki so</w:t>
      </w:r>
      <w:r w:rsidR="007A11AF" w:rsidRPr="00D050E9">
        <w:rPr>
          <w:rFonts w:asciiTheme="minorHAnsi" w:hAnsiTheme="minorHAnsi"/>
        </w:rPr>
        <w:t xml:space="preserve"> </w:t>
      </w:r>
      <w:r w:rsidR="00D5216D" w:rsidRPr="00D050E9">
        <w:rPr>
          <w:rFonts w:asciiTheme="minorHAnsi" w:hAnsiTheme="minorHAnsi"/>
        </w:rPr>
        <w:t>p</w:t>
      </w:r>
      <w:r w:rsidR="002565AB" w:rsidRPr="00D050E9">
        <w:rPr>
          <w:rFonts w:asciiTheme="minorHAnsi" w:hAnsiTheme="minorHAnsi"/>
        </w:rPr>
        <w:t xml:space="preserve">o občutnem povečanju v lanskem letu </w:t>
      </w:r>
      <w:r w:rsidR="00896D5A" w:rsidRPr="00D050E9">
        <w:rPr>
          <w:rFonts w:asciiTheme="minorHAnsi" w:hAnsiTheme="minorHAnsi"/>
        </w:rPr>
        <w:t>presegle</w:t>
      </w:r>
      <w:r w:rsidR="007A11AF" w:rsidRPr="00D050E9">
        <w:rPr>
          <w:rFonts w:asciiTheme="minorHAnsi" w:hAnsiTheme="minorHAnsi"/>
        </w:rPr>
        <w:t xml:space="preserve"> obseg</w:t>
      </w:r>
      <w:r w:rsidR="00896D5A" w:rsidRPr="00D050E9">
        <w:rPr>
          <w:rFonts w:asciiTheme="minorHAnsi" w:hAnsiTheme="minorHAnsi"/>
        </w:rPr>
        <w:t xml:space="preserve"> </w:t>
      </w:r>
      <w:r w:rsidR="002565AB" w:rsidRPr="00D050E9">
        <w:rPr>
          <w:rFonts w:asciiTheme="minorHAnsi" w:hAnsiTheme="minorHAnsi"/>
          <w:b/>
        </w:rPr>
        <w:t xml:space="preserve">pomoči za regionalni razvoj. </w:t>
      </w:r>
      <w:r w:rsidR="002565AB" w:rsidRPr="00D050E9">
        <w:rPr>
          <w:rFonts w:asciiTheme="minorHAnsi" w:hAnsiTheme="minorHAnsi"/>
        </w:rPr>
        <w:t xml:space="preserve">Za slednje je bilo </w:t>
      </w:r>
      <w:r w:rsidR="00896D5A" w:rsidRPr="00D050E9">
        <w:rPr>
          <w:rFonts w:asciiTheme="minorHAnsi" w:hAnsiTheme="minorHAnsi"/>
        </w:rPr>
        <w:t>namenih</w:t>
      </w:r>
      <w:r w:rsidR="00896D5A" w:rsidRPr="00D050E9">
        <w:rPr>
          <w:rFonts w:asciiTheme="minorHAnsi" w:hAnsiTheme="minorHAnsi"/>
          <w:b/>
        </w:rPr>
        <w:t xml:space="preserve"> 20,97 mio EUR </w:t>
      </w:r>
      <w:r w:rsidR="00896D5A" w:rsidRPr="00D050E9">
        <w:rPr>
          <w:rFonts w:asciiTheme="minorHAnsi" w:hAnsiTheme="minorHAnsi"/>
        </w:rPr>
        <w:t>oz.</w:t>
      </w:r>
      <w:r w:rsidR="00896D5A" w:rsidRPr="00D050E9">
        <w:rPr>
          <w:rFonts w:asciiTheme="minorHAnsi" w:hAnsiTheme="minorHAnsi"/>
          <w:b/>
        </w:rPr>
        <w:t xml:space="preserve"> 4,9 % </w:t>
      </w:r>
      <w:r w:rsidR="00896D5A" w:rsidRPr="00D050E9">
        <w:rPr>
          <w:rFonts w:asciiTheme="minorHAnsi" w:hAnsiTheme="minorHAnsi"/>
        </w:rPr>
        <w:t xml:space="preserve">vseh pomoči v letu 2017 (5,9 % v letu 2016). </w:t>
      </w:r>
      <w:r w:rsidR="00CA6AD5" w:rsidRPr="00D050E9">
        <w:rPr>
          <w:rFonts w:asciiTheme="minorHAnsi" w:hAnsiTheme="minorHAnsi"/>
        </w:rPr>
        <w:t xml:space="preserve">Regionalne pomoči </w:t>
      </w:r>
      <w:r w:rsidRPr="00D050E9">
        <w:rPr>
          <w:rFonts w:asciiTheme="minorHAnsi" w:hAnsiTheme="minorHAnsi"/>
        </w:rPr>
        <w:t xml:space="preserve">so </w:t>
      </w:r>
      <w:r w:rsidR="00CA6AD5" w:rsidRPr="00D050E9">
        <w:rPr>
          <w:rFonts w:asciiTheme="minorHAnsi" w:hAnsiTheme="minorHAnsi"/>
        </w:rPr>
        <w:t>ena od redkih kategorij pomoči, katerih obseg se je v letu 2017 zmanjšal (-0,99 mio EUR). To velja le še za pomoči za reševanje in prestrukturiranje</w:t>
      </w:r>
      <w:r w:rsidR="00D5216D" w:rsidRPr="00D050E9">
        <w:rPr>
          <w:rFonts w:asciiTheme="minorHAnsi" w:hAnsiTheme="minorHAnsi"/>
        </w:rPr>
        <w:t xml:space="preserve"> ter</w:t>
      </w:r>
      <w:r w:rsidR="00CA6AD5" w:rsidRPr="00D050E9">
        <w:rPr>
          <w:rFonts w:asciiTheme="minorHAnsi" w:hAnsiTheme="minorHAnsi"/>
        </w:rPr>
        <w:t xml:space="preserve"> pomoči za ribištvo</w:t>
      </w:r>
      <w:r w:rsidR="00D5216D" w:rsidRPr="00D050E9">
        <w:rPr>
          <w:rFonts w:asciiTheme="minorHAnsi" w:hAnsiTheme="minorHAnsi"/>
        </w:rPr>
        <w:t>.</w:t>
      </w:r>
    </w:p>
    <w:p w:rsidR="00A16689" w:rsidRPr="00D050E9" w:rsidRDefault="00B120E2" w:rsidP="00802825">
      <w:pPr>
        <w:pStyle w:val="Odstavek"/>
        <w:spacing w:line="276" w:lineRule="auto"/>
        <w:ind w:firstLine="0"/>
        <w:rPr>
          <w:rFonts w:asciiTheme="minorHAnsi" w:hAnsiTheme="minorHAnsi"/>
        </w:rPr>
      </w:pPr>
      <w:r w:rsidRPr="00D050E9">
        <w:rPr>
          <w:rFonts w:asciiTheme="minorHAnsi" w:hAnsiTheme="minorHAnsi"/>
        </w:rPr>
        <w:t xml:space="preserve">Za </w:t>
      </w:r>
      <w:r w:rsidRPr="00D050E9">
        <w:rPr>
          <w:rFonts w:asciiTheme="minorHAnsi" w:hAnsiTheme="minorHAnsi"/>
          <w:b/>
        </w:rPr>
        <w:t xml:space="preserve">sektorske pomoči </w:t>
      </w:r>
      <w:r w:rsidRPr="00D050E9">
        <w:rPr>
          <w:rFonts w:asciiTheme="minorHAnsi" w:hAnsiTheme="minorHAnsi"/>
        </w:rPr>
        <w:t xml:space="preserve">je bilo v letu 2017 namenjenih </w:t>
      </w:r>
      <w:r w:rsidRPr="00D050E9">
        <w:rPr>
          <w:rFonts w:asciiTheme="minorHAnsi" w:hAnsiTheme="minorHAnsi"/>
          <w:b/>
        </w:rPr>
        <w:t>62,07 mio EUR</w:t>
      </w:r>
      <w:r w:rsidRPr="00D050E9">
        <w:rPr>
          <w:rFonts w:asciiTheme="minorHAnsi" w:hAnsiTheme="minorHAnsi"/>
        </w:rPr>
        <w:t xml:space="preserve"> ali </w:t>
      </w:r>
      <w:r w:rsidRPr="00D050E9">
        <w:rPr>
          <w:rFonts w:asciiTheme="minorHAnsi" w:hAnsiTheme="minorHAnsi"/>
          <w:b/>
        </w:rPr>
        <w:t>14,5 %</w:t>
      </w:r>
      <w:r w:rsidRPr="00D050E9">
        <w:rPr>
          <w:rFonts w:asciiTheme="minorHAnsi" w:hAnsiTheme="minorHAnsi"/>
        </w:rPr>
        <w:t xml:space="preserve"> vseh pomoči (15,2% v letu 2016</w:t>
      </w:r>
      <w:r w:rsidR="00FB5D83" w:rsidRPr="00D050E9">
        <w:rPr>
          <w:rFonts w:asciiTheme="minorHAnsi" w:hAnsiTheme="minorHAnsi"/>
        </w:rPr>
        <w:t>, 29 % v letu 2015</w:t>
      </w:r>
      <w:r w:rsidRPr="00D050E9">
        <w:rPr>
          <w:rFonts w:asciiTheme="minorHAnsi" w:hAnsiTheme="minorHAnsi"/>
        </w:rPr>
        <w:t xml:space="preserve">). Največji delež so predstavljala nadomestila za prevoz potnikov v </w:t>
      </w:r>
      <w:r w:rsidRPr="00D050E9">
        <w:rPr>
          <w:rFonts w:asciiTheme="minorHAnsi" w:hAnsiTheme="minorHAnsi"/>
          <w:b/>
        </w:rPr>
        <w:t>železniškem prometu</w:t>
      </w:r>
      <w:r w:rsidRPr="00D050E9">
        <w:rPr>
          <w:rFonts w:asciiTheme="minorHAnsi" w:hAnsiTheme="minorHAnsi"/>
        </w:rPr>
        <w:t xml:space="preserve">. V letu 2017 je bilo za ta namen izplačanih </w:t>
      </w:r>
      <w:r w:rsidRPr="00D050E9">
        <w:rPr>
          <w:rFonts w:asciiTheme="minorHAnsi" w:hAnsiTheme="minorHAnsi"/>
          <w:b/>
        </w:rPr>
        <w:t>45,66 mio EUR</w:t>
      </w:r>
      <w:r w:rsidRPr="00D050E9">
        <w:rPr>
          <w:rFonts w:asciiTheme="minorHAnsi" w:hAnsiTheme="minorHAnsi"/>
        </w:rPr>
        <w:t xml:space="preserve"> ali </w:t>
      </w:r>
      <w:r w:rsidRPr="00D050E9">
        <w:rPr>
          <w:rFonts w:asciiTheme="minorHAnsi" w:hAnsiTheme="minorHAnsi"/>
          <w:b/>
        </w:rPr>
        <w:t>10,7 %</w:t>
      </w:r>
      <w:r w:rsidR="00802825" w:rsidRPr="00D050E9">
        <w:rPr>
          <w:rFonts w:asciiTheme="minorHAnsi" w:hAnsiTheme="minorHAnsi"/>
        </w:rPr>
        <w:t xml:space="preserve"> vseh pomoči (</w:t>
      </w:r>
      <w:r w:rsidRPr="00D050E9">
        <w:rPr>
          <w:rFonts w:asciiTheme="minorHAnsi" w:hAnsiTheme="minorHAnsi"/>
        </w:rPr>
        <w:t>11,5</w:t>
      </w:r>
      <w:r w:rsidR="007A11AF" w:rsidRPr="00D050E9">
        <w:rPr>
          <w:rFonts w:asciiTheme="minorHAnsi" w:hAnsiTheme="minorHAnsi"/>
        </w:rPr>
        <w:t xml:space="preserve"> % </w:t>
      </w:r>
      <w:r w:rsidR="00802825" w:rsidRPr="00D050E9">
        <w:rPr>
          <w:rFonts w:asciiTheme="minorHAnsi" w:hAnsiTheme="minorHAnsi"/>
        </w:rPr>
        <w:t xml:space="preserve">v </w:t>
      </w:r>
      <w:r w:rsidR="007A11AF" w:rsidRPr="00D050E9">
        <w:rPr>
          <w:rFonts w:asciiTheme="minorHAnsi" w:hAnsiTheme="minorHAnsi"/>
        </w:rPr>
        <w:t xml:space="preserve">letu </w:t>
      </w:r>
      <w:r w:rsidR="00802825" w:rsidRPr="00D050E9">
        <w:rPr>
          <w:rFonts w:asciiTheme="minorHAnsi" w:hAnsiTheme="minorHAnsi"/>
        </w:rPr>
        <w:t>2016).</w:t>
      </w:r>
      <w:r w:rsidRPr="00D050E9">
        <w:rPr>
          <w:rFonts w:asciiTheme="minorHAnsi" w:hAnsiTheme="minorHAnsi"/>
        </w:rPr>
        <w:t xml:space="preserve"> Za </w:t>
      </w:r>
      <w:r w:rsidR="002565AB" w:rsidRPr="00D050E9">
        <w:rPr>
          <w:rFonts w:asciiTheme="minorHAnsi" w:hAnsiTheme="minorHAnsi"/>
        </w:rPr>
        <w:t xml:space="preserve">zapiranje nekonkurenčnih </w:t>
      </w:r>
      <w:r w:rsidR="009A6CAF" w:rsidRPr="00D050E9">
        <w:rPr>
          <w:rFonts w:asciiTheme="minorHAnsi" w:hAnsiTheme="minorHAnsi"/>
          <w:b/>
        </w:rPr>
        <w:t>premogovnikov</w:t>
      </w:r>
      <w:r w:rsidR="002565AB" w:rsidRPr="00D050E9">
        <w:rPr>
          <w:rFonts w:asciiTheme="minorHAnsi" w:hAnsiTheme="minorHAnsi"/>
          <w:b/>
        </w:rPr>
        <w:t xml:space="preserve"> </w:t>
      </w:r>
      <w:r w:rsidR="00802825" w:rsidRPr="00D050E9">
        <w:rPr>
          <w:rFonts w:asciiTheme="minorHAnsi" w:hAnsiTheme="minorHAnsi"/>
        </w:rPr>
        <w:t xml:space="preserve">je bilo v letu 2017 namenjenih </w:t>
      </w:r>
      <w:r w:rsidRPr="00D050E9">
        <w:rPr>
          <w:rFonts w:asciiTheme="minorHAnsi" w:hAnsiTheme="minorHAnsi"/>
          <w:b/>
        </w:rPr>
        <w:t>15,75 mio EUR</w:t>
      </w:r>
      <w:r w:rsidRPr="00D050E9">
        <w:rPr>
          <w:rFonts w:asciiTheme="minorHAnsi" w:hAnsiTheme="minorHAnsi"/>
        </w:rPr>
        <w:t xml:space="preserve"> ali </w:t>
      </w:r>
      <w:r w:rsidRPr="00D050E9">
        <w:rPr>
          <w:rFonts w:asciiTheme="minorHAnsi" w:hAnsiTheme="minorHAnsi"/>
          <w:b/>
        </w:rPr>
        <w:t>3,7 %</w:t>
      </w:r>
      <w:r w:rsidRPr="00D050E9">
        <w:rPr>
          <w:rFonts w:asciiTheme="minorHAnsi" w:hAnsiTheme="minorHAnsi"/>
        </w:rPr>
        <w:t xml:space="preserve"> vseh državnih pomoči</w:t>
      </w:r>
      <w:r w:rsidR="00802825" w:rsidRPr="00D050E9">
        <w:rPr>
          <w:rFonts w:asciiTheme="minorHAnsi" w:hAnsiTheme="minorHAnsi"/>
        </w:rPr>
        <w:t xml:space="preserve"> (3,3 % v letu 2016). V skupino</w:t>
      </w:r>
      <w:r w:rsidR="002565AB" w:rsidRPr="00D050E9">
        <w:rPr>
          <w:rFonts w:asciiTheme="minorHAnsi" w:hAnsiTheme="minorHAnsi"/>
        </w:rPr>
        <w:t xml:space="preserve"> sektorskih pomoči spadajo tudi </w:t>
      </w:r>
      <w:r w:rsidR="00802825" w:rsidRPr="00D050E9">
        <w:rPr>
          <w:rFonts w:asciiTheme="minorHAnsi" w:hAnsiTheme="minorHAnsi"/>
        </w:rPr>
        <w:t xml:space="preserve">pomoči za reševanje in prestrukturiranje podjetij, </w:t>
      </w:r>
      <w:r w:rsidR="00D34270" w:rsidRPr="00D050E9">
        <w:rPr>
          <w:rFonts w:asciiTheme="minorHAnsi" w:hAnsiTheme="minorHAnsi"/>
        </w:rPr>
        <w:t>za katere so značilna večja nihanja med leti. V letu 20</w:t>
      </w:r>
      <w:r w:rsidRPr="00D050E9">
        <w:rPr>
          <w:rFonts w:asciiTheme="minorHAnsi" w:hAnsiTheme="minorHAnsi"/>
        </w:rPr>
        <w:t>17 se pomoči</w:t>
      </w:r>
      <w:r w:rsidR="00FB5D83" w:rsidRPr="00D050E9">
        <w:rPr>
          <w:rFonts w:asciiTheme="minorHAnsi" w:hAnsiTheme="minorHAnsi"/>
        </w:rPr>
        <w:t xml:space="preserve"> za</w:t>
      </w:r>
      <w:r w:rsidRPr="00D050E9">
        <w:rPr>
          <w:rFonts w:asciiTheme="minorHAnsi" w:hAnsiTheme="minorHAnsi"/>
          <w:b/>
        </w:rPr>
        <w:t xml:space="preserve"> prestrukturiranje</w:t>
      </w:r>
      <w:r w:rsidRPr="00D050E9">
        <w:rPr>
          <w:rFonts w:asciiTheme="minorHAnsi" w:hAnsiTheme="minorHAnsi"/>
        </w:rPr>
        <w:t xml:space="preserve"> podjetij v težavah </w:t>
      </w:r>
      <w:r w:rsidR="002565AB" w:rsidRPr="00D050E9">
        <w:rPr>
          <w:rFonts w:asciiTheme="minorHAnsi" w:hAnsiTheme="minorHAnsi"/>
        </w:rPr>
        <w:t xml:space="preserve">niso izplačevale </w:t>
      </w:r>
      <w:r w:rsidRPr="00D050E9">
        <w:rPr>
          <w:rFonts w:asciiTheme="minorHAnsi" w:hAnsiTheme="minorHAnsi"/>
        </w:rPr>
        <w:t>(v letu 2016 je bilo za ta namen izplačanih 1,3 mio EUR ali 0,3 % vseh pomoči, v letu 2015 pa</w:t>
      </w:r>
      <w:r w:rsidR="00FB5D83" w:rsidRPr="00D050E9">
        <w:rPr>
          <w:rFonts w:asciiTheme="minorHAnsi" w:hAnsiTheme="minorHAnsi"/>
        </w:rPr>
        <w:t xml:space="preserve"> kar</w:t>
      </w:r>
      <w:r w:rsidRPr="00D050E9">
        <w:rPr>
          <w:rFonts w:asciiTheme="minorHAnsi" w:hAnsiTheme="minorHAnsi"/>
        </w:rPr>
        <w:t xml:space="preserve"> 10</w:t>
      </w:r>
      <w:r w:rsidR="002565AB" w:rsidRPr="00D050E9">
        <w:rPr>
          <w:rFonts w:asciiTheme="minorHAnsi" w:hAnsiTheme="minorHAnsi"/>
        </w:rPr>
        <w:t>2,94 mio EUR ali 18,6 % pomoči</w:t>
      </w:r>
      <w:r w:rsidR="00A16689" w:rsidRPr="00D050E9">
        <w:rPr>
          <w:rFonts w:asciiTheme="minorHAnsi" w:hAnsiTheme="minorHAnsi"/>
        </w:rPr>
        <w:t>).</w:t>
      </w:r>
    </w:p>
    <w:p w:rsidR="00802825" w:rsidRPr="00D050E9" w:rsidRDefault="00A16689" w:rsidP="00B120E2">
      <w:pPr>
        <w:pStyle w:val="Odstavek"/>
        <w:spacing w:line="276" w:lineRule="auto"/>
        <w:ind w:firstLine="0"/>
        <w:rPr>
          <w:rFonts w:asciiTheme="minorHAnsi" w:hAnsiTheme="minorHAnsi"/>
        </w:rPr>
      </w:pPr>
      <w:r w:rsidRPr="00D050E9">
        <w:rPr>
          <w:rFonts w:asciiTheme="minorHAnsi" w:hAnsiTheme="minorHAnsi"/>
        </w:rPr>
        <w:t>T</w:t>
      </w:r>
      <w:r w:rsidR="00B120E2" w:rsidRPr="00D050E9">
        <w:rPr>
          <w:rFonts w:asciiTheme="minorHAnsi" w:hAnsiTheme="minorHAnsi"/>
        </w:rPr>
        <w:t>retja skupina pomoči, za katere veljajo posebna</w:t>
      </w:r>
      <w:r w:rsidR="00FB5D83" w:rsidRPr="00D050E9">
        <w:rPr>
          <w:rFonts w:asciiTheme="minorHAnsi" w:hAnsiTheme="minorHAnsi"/>
        </w:rPr>
        <w:t xml:space="preserve"> sektorska</w:t>
      </w:r>
      <w:r w:rsidR="00B120E2" w:rsidRPr="00D050E9">
        <w:rPr>
          <w:rFonts w:asciiTheme="minorHAnsi" w:hAnsiTheme="minorHAnsi"/>
        </w:rPr>
        <w:t xml:space="preserve"> pravila, so pomoči na področju </w:t>
      </w:r>
      <w:r w:rsidR="00B120E2" w:rsidRPr="00D050E9">
        <w:rPr>
          <w:rFonts w:asciiTheme="minorHAnsi" w:hAnsiTheme="minorHAnsi"/>
          <w:b/>
        </w:rPr>
        <w:t>kmetijstva in ribištva</w:t>
      </w:r>
      <w:r w:rsidR="00B120E2" w:rsidRPr="00D050E9">
        <w:rPr>
          <w:rFonts w:asciiTheme="minorHAnsi" w:hAnsiTheme="minorHAnsi"/>
        </w:rPr>
        <w:t xml:space="preserve">, za katere je bilo </w:t>
      </w:r>
      <w:r w:rsidR="007A11AF" w:rsidRPr="00D050E9">
        <w:rPr>
          <w:rFonts w:asciiTheme="minorHAnsi" w:hAnsiTheme="minorHAnsi"/>
        </w:rPr>
        <w:t xml:space="preserve">v letu 2017 </w:t>
      </w:r>
      <w:r w:rsidR="00B120E2" w:rsidRPr="00D050E9">
        <w:rPr>
          <w:rFonts w:asciiTheme="minorHAnsi" w:hAnsiTheme="minorHAnsi"/>
        </w:rPr>
        <w:t xml:space="preserve">namenjenih </w:t>
      </w:r>
      <w:r w:rsidR="00B120E2" w:rsidRPr="00D050E9">
        <w:rPr>
          <w:rFonts w:asciiTheme="minorHAnsi" w:hAnsiTheme="minorHAnsi"/>
          <w:b/>
        </w:rPr>
        <w:t>13,94 mio EUR</w:t>
      </w:r>
      <w:r w:rsidR="00B120E2" w:rsidRPr="00D050E9">
        <w:rPr>
          <w:rFonts w:asciiTheme="minorHAnsi" w:hAnsiTheme="minorHAnsi"/>
        </w:rPr>
        <w:t xml:space="preserve"> pomoči ali </w:t>
      </w:r>
      <w:r w:rsidR="00B120E2" w:rsidRPr="00D050E9">
        <w:rPr>
          <w:rFonts w:asciiTheme="minorHAnsi" w:hAnsiTheme="minorHAnsi"/>
          <w:b/>
        </w:rPr>
        <w:t>3,3 %</w:t>
      </w:r>
      <w:r w:rsidR="00B120E2" w:rsidRPr="00D050E9">
        <w:rPr>
          <w:rFonts w:asciiTheme="minorHAnsi" w:hAnsiTheme="minorHAnsi"/>
        </w:rPr>
        <w:t xml:space="preserve"> vseh pomoči (1,6% v letu 2016 in 11,3 % v letu 2015). Obseg teh pomoči se v letu 2017 sicer nekoliko povečal, na splošno pa se te pomoči v zadnjih desetih letih zmanjšuje</w:t>
      </w:r>
      <w:r w:rsidR="007A11AF" w:rsidRPr="00D050E9">
        <w:rPr>
          <w:rFonts w:asciiTheme="minorHAnsi" w:hAnsiTheme="minorHAnsi"/>
        </w:rPr>
        <w:t>jo</w:t>
      </w:r>
      <w:r w:rsidR="00802825" w:rsidRPr="00D050E9">
        <w:rPr>
          <w:rFonts w:asciiTheme="minorHAnsi" w:hAnsiTheme="minorHAnsi"/>
        </w:rPr>
        <w:t xml:space="preserve">. </w:t>
      </w:r>
    </w:p>
    <w:p w:rsidR="00CE2332" w:rsidRPr="00D050E9" w:rsidRDefault="00CE2332" w:rsidP="00DC63AA">
      <w:pPr>
        <w:spacing w:line="276" w:lineRule="auto"/>
        <w:rPr>
          <w:rFonts w:asciiTheme="minorHAnsi" w:hAnsiTheme="minorHAnsi"/>
        </w:rPr>
      </w:pPr>
    </w:p>
    <w:p w:rsidR="00D5216D" w:rsidRPr="00D050E9" w:rsidRDefault="005E3161" w:rsidP="00DC63AA">
      <w:pPr>
        <w:spacing w:line="276" w:lineRule="auto"/>
        <w:rPr>
          <w:rFonts w:asciiTheme="minorHAnsi" w:hAnsiTheme="minorHAnsi"/>
        </w:rPr>
      </w:pPr>
      <w:r w:rsidRPr="00D050E9">
        <w:rPr>
          <w:rFonts w:asciiTheme="minorHAnsi" w:hAnsiTheme="minorHAnsi"/>
        </w:rPr>
        <w:lastRenderedPageBreak/>
        <w:t xml:space="preserve">Večina državnih pomoči </w:t>
      </w:r>
      <w:r w:rsidR="00896D5A" w:rsidRPr="00D050E9">
        <w:rPr>
          <w:rFonts w:asciiTheme="minorHAnsi" w:hAnsiTheme="minorHAnsi"/>
        </w:rPr>
        <w:t>je bila izplačana v obliki</w:t>
      </w:r>
      <w:r w:rsidR="002175AE" w:rsidRPr="00D050E9">
        <w:rPr>
          <w:rFonts w:asciiTheme="minorHAnsi" w:hAnsiTheme="minorHAnsi"/>
        </w:rPr>
        <w:t xml:space="preserve"> subvencij oz. drugih oblik nepovratnih sredstev. V letu 2017 so </w:t>
      </w:r>
      <w:r w:rsidR="002175AE" w:rsidRPr="00D050E9">
        <w:rPr>
          <w:rFonts w:asciiTheme="minorHAnsi" w:hAnsiTheme="minorHAnsi"/>
          <w:b/>
        </w:rPr>
        <w:t>subvencije</w:t>
      </w:r>
      <w:r w:rsidR="002175AE" w:rsidRPr="00D050E9">
        <w:rPr>
          <w:rFonts w:asciiTheme="minorHAnsi" w:hAnsiTheme="minorHAnsi"/>
        </w:rPr>
        <w:t xml:space="preserve"> predstavljale </w:t>
      </w:r>
      <w:r w:rsidR="002175AE" w:rsidRPr="00D050E9">
        <w:rPr>
          <w:rFonts w:asciiTheme="minorHAnsi" w:hAnsiTheme="minorHAnsi"/>
          <w:b/>
        </w:rPr>
        <w:t>70,8 %</w:t>
      </w:r>
      <w:r w:rsidR="002175AE" w:rsidRPr="00D050E9">
        <w:rPr>
          <w:rFonts w:asciiTheme="minorHAnsi" w:hAnsiTheme="minorHAnsi"/>
        </w:rPr>
        <w:t xml:space="preserve"> vseh pomoči ali </w:t>
      </w:r>
      <w:r w:rsidR="002175AE" w:rsidRPr="00D050E9">
        <w:rPr>
          <w:rFonts w:asciiTheme="minorHAnsi" w:hAnsiTheme="minorHAnsi"/>
          <w:b/>
        </w:rPr>
        <w:t>302,44 mio EUR</w:t>
      </w:r>
      <w:r w:rsidR="009A6CAF" w:rsidRPr="00D050E9">
        <w:rPr>
          <w:rFonts w:asciiTheme="minorHAnsi" w:hAnsiTheme="minorHAnsi"/>
          <w:b/>
        </w:rPr>
        <w:t xml:space="preserve">, </w:t>
      </w:r>
      <w:r w:rsidR="009A6CAF" w:rsidRPr="00D050E9">
        <w:rPr>
          <w:rFonts w:asciiTheme="minorHAnsi" w:hAnsiTheme="minorHAnsi"/>
        </w:rPr>
        <w:t>njihov obseg pa se je</w:t>
      </w:r>
      <w:r w:rsidR="009A6CAF" w:rsidRPr="00D050E9">
        <w:rPr>
          <w:rFonts w:asciiTheme="minorHAnsi" w:hAnsiTheme="minorHAnsi"/>
          <w:b/>
        </w:rPr>
        <w:t xml:space="preserve"> </w:t>
      </w:r>
      <w:r w:rsidR="009A6CAF" w:rsidRPr="00D050E9">
        <w:rPr>
          <w:rFonts w:asciiTheme="minorHAnsi" w:hAnsiTheme="minorHAnsi"/>
        </w:rPr>
        <w:t>v letu 2017 še povečal</w:t>
      </w:r>
      <w:r w:rsidR="009A6CAF" w:rsidRPr="00D050E9">
        <w:rPr>
          <w:rFonts w:asciiTheme="minorHAnsi" w:hAnsiTheme="minorHAnsi"/>
          <w:b/>
        </w:rPr>
        <w:t xml:space="preserve"> </w:t>
      </w:r>
      <w:r w:rsidR="00FB5D83" w:rsidRPr="00D050E9">
        <w:rPr>
          <w:rFonts w:asciiTheme="minorHAnsi" w:hAnsiTheme="minorHAnsi"/>
        </w:rPr>
        <w:t>(+</w:t>
      </w:r>
      <w:r w:rsidR="009A6CAF" w:rsidRPr="00D050E9">
        <w:rPr>
          <w:rFonts w:asciiTheme="minorHAnsi" w:hAnsiTheme="minorHAnsi"/>
        </w:rPr>
        <w:t>56 mio EUR).</w:t>
      </w:r>
      <w:r w:rsidR="009A6CAF" w:rsidRPr="00D050E9">
        <w:rPr>
          <w:rFonts w:asciiTheme="minorHAnsi" w:hAnsiTheme="minorHAnsi"/>
          <w:b/>
        </w:rPr>
        <w:t xml:space="preserve"> </w:t>
      </w:r>
      <w:r w:rsidR="002175AE" w:rsidRPr="00D050E9">
        <w:rPr>
          <w:rFonts w:asciiTheme="minorHAnsi" w:hAnsiTheme="minorHAnsi"/>
        </w:rPr>
        <w:t>Sledijo pomoči</w:t>
      </w:r>
      <w:r w:rsidR="00BC7B11" w:rsidRPr="00D050E9">
        <w:rPr>
          <w:rFonts w:asciiTheme="minorHAnsi" w:hAnsiTheme="minorHAnsi"/>
        </w:rPr>
        <w:t xml:space="preserve">, ki pomenijo znižanje javnofinančnih prihodkov in se dodeljujejo v </w:t>
      </w:r>
      <w:r w:rsidR="002175AE" w:rsidRPr="00D050E9">
        <w:rPr>
          <w:rFonts w:asciiTheme="minorHAnsi" w:hAnsiTheme="minorHAnsi"/>
        </w:rPr>
        <w:t xml:space="preserve">obliki </w:t>
      </w:r>
      <w:r w:rsidR="002175AE" w:rsidRPr="00D050E9">
        <w:rPr>
          <w:rFonts w:asciiTheme="minorHAnsi" w:hAnsiTheme="minorHAnsi"/>
          <w:b/>
        </w:rPr>
        <w:t>znižanja prispevkov za socialno varnost</w:t>
      </w:r>
      <w:r w:rsidR="00BC7B11" w:rsidRPr="00D050E9">
        <w:rPr>
          <w:rFonts w:asciiTheme="minorHAnsi" w:hAnsiTheme="minorHAnsi"/>
          <w:b/>
        </w:rPr>
        <w:t xml:space="preserve"> (</w:t>
      </w:r>
      <w:r w:rsidR="002175AE" w:rsidRPr="00D050E9">
        <w:rPr>
          <w:rFonts w:asciiTheme="minorHAnsi" w:hAnsiTheme="minorHAnsi"/>
          <w:b/>
        </w:rPr>
        <w:t>18,9 %</w:t>
      </w:r>
      <w:r w:rsidR="002175AE" w:rsidRPr="00D050E9">
        <w:rPr>
          <w:rFonts w:asciiTheme="minorHAnsi" w:hAnsiTheme="minorHAnsi"/>
        </w:rPr>
        <w:t xml:space="preserve"> vseh pomoči ali </w:t>
      </w:r>
      <w:r w:rsidR="002175AE" w:rsidRPr="00D050E9">
        <w:rPr>
          <w:rFonts w:asciiTheme="minorHAnsi" w:hAnsiTheme="minorHAnsi"/>
          <w:b/>
        </w:rPr>
        <w:t>80,61 mio EUR</w:t>
      </w:r>
      <w:r w:rsidR="00BC7B11" w:rsidRPr="00D050E9">
        <w:rPr>
          <w:rFonts w:asciiTheme="minorHAnsi" w:hAnsiTheme="minorHAnsi"/>
          <w:b/>
        </w:rPr>
        <w:t>)</w:t>
      </w:r>
      <w:r w:rsidR="009A6CAF" w:rsidRPr="00D050E9">
        <w:rPr>
          <w:rFonts w:asciiTheme="minorHAnsi" w:hAnsiTheme="minorHAnsi"/>
        </w:rPr>
        <w:t xml:space="preserve"> ter</w:t>
      </w:r>
      <w:r w:rsidR="002175AE" w:rsidRPr="00D050E9">
        <w:rPr>
          <w:rFonts w:asciiTheme="minorHAnsi" w:hAnsiTheme="minorHAnsi"/>
        </w:rPr>
        <w:t xml:space="preserve"> </w:t>
      </w:r>
      <w:r w:rsidR="009A6CAF" w:rsidRPr="00D050E9">
        <w:rPr>
          <w:rFonts w:asciiTheme="minorHAnsi" w:hAnsiTheme="minorHAnsi"/>
          <w:b/>
        </w:rPr>
        <w:t>davčnih</w:t>
      </w:r>
      <w:r w:rsidR="00BC7B11" w:rsidRPr="00D050E9">
        <w:rPr>
          <w:rFonts w:asciiTheme="minorHAnsi" w:hAnsiTheme="minorHAnsi"/>
          <w:b/>
        </w:rPr>
        <w:t xml:space="preserve"> oprostit</w:t>
      </w:r>
      <w:r w:rsidR="009A6CAF" w:rsidRPr="00D050E9">
        <w:rPr>
          <w:rFonts w:asciiTheme="minorHAnsi" w:hAnsiTheme="minorHAnsi"/>
          <w:b/>
        </w:rPr>
        <w:t>e</w:t>
      </w:r>
      <w:r w:rsidR="00BC7B11" w:rsidRPr="00D050E9">
        <w:rPr>
          <w:rFonts w:asciiTheme="minorHAnsi" w:hAnsiTheme="minorHAnsi"/>
          <w:b/>
        </w:rPr>
        <w:t xml:space="preserve">v in </w:t>
      </w:r>
      <w:r w:rsidR="009A6CAF" w:rsidRPr="00D050E9">
        <w:rPr>
          <w:rFonts w:asciiTheme="minorHAnsi" w:hAnsiTheme="minorHAnsi"/>
          <w:b/>
        </w:rPr>
        <w:t>izjem</w:t>
      </w:r>
      <w:r w:rsidR="002175AE" w:rsidRPr="00D050E9">
        <w:rPr>
          <w:rFonts w:asciiTheme="minorHAnsi" w:hAnsiTheme="minorHAnsi"/>
          <w:b/>
        </w:rPr>
        <w:t xml:space="preserve"> </w:t>
      </w:r>
      <w:r w:rsidR="00BC7B11" w:rsidRPr="00D050E9">
        <w:rPr>
          <w:rFonts w:asciiTheme="minorHAnsi" w:hAnsiTheme="minorHAnsi"/>
          <w:b/>
        </w:rPr>
        <w:t>(</w:t>
      </w:r>
      <w:r w:rsidR="002175AE" w:rsidRPr="00D050E9">
        <w:rPr>
          <w:rFonts w:asciiTheme="minorHAnsi" w:hAnsiTheme="minorHAnsi"/>
          <w:b/>
        </w:rPr>
        <w:t>9,9 %</w:t>
      </w:r>
      <w:r w:rsidR="002175AE" w:rsidRPr="00D050E9">
        <w:rPr>
          <w:rFonts w:asciiTheme="minorHAnsi" w:hAnsiTheme="minorHAnsi"/>
        </w:rPr>
        <w:t xml:space="preserve"> vseh pomoči ali </w:t>
      </w:r>
      <w:r w:rsidR="002175AE" w:rsidRPr="00D050E9">
        <w:rPr>
          <w:rFonts w:asciiTheme="minorHAnsi" w:hAnsiTheme="minorHAnsi"/>
          <w:b/>
        </w:rPr>
        <w:t>42,17 mio EUR</w:t>
      </w:r>
      <w:r w:rsidR="00BC7B11" w:rsidRPr="00D050E9">
        <w:rPr>
          <w:rFonts w:asciiTheme="minorHAnsi" w:hAnsiTheme="minorHAnsi"/>
          <w:b/>
        </w:rPr>
        <w:t>)</w:t>
      </w:r>
      <w:r w:rsidR="002175AE" w:rsidRPr="00D050E9">
        <w:rPr>
          <w:rFonts w:asciiTheme="minorHAnsi" w:hAnsiTheme="minorHAnsi"/>
        </w:rPr>
        <w:t>. Navedeni trije instrumenti so predstavljali 99,6 % vseh državnih pomoči v letu 2017 (98,6 % v letu 2016).</w:t>
      </w:r>
      <w:r w:rsidR="00D5216D" w:rsidRPr="00D050E9">
        <w:rPr>
          <w:rFonts w:asciiTheme="minorHAnsi" w:hAnsiTheme="minorHAnsi"/>
        </w:rPr>
        <w:t xml:space="preserve"> </w:t>
      </w:r>
    </w:p>
    <w:p w:rsidR="00D5216D" w:rsidRPr="00D050E9" w:rsidRDefault="00D5216D" w:rsidP="002175AE">
      <w:pPr>
        <w:spacing w:after="0" w:line="276" w:lineRule="auto"/>
        <w:rPr>
          <w:rFonts w:asciiTheme="minorHAnsi" w:hAnsiTheme="minorHAnsi"/>
        </w:rPr>
      </w:pPr>
      <w:r w:rsidRPr="00D050E9">
        <w:rPr>
          <w:rFonts w:asciiTheme="minorHAnsi" w:hAnsiTheme="minorHAnsi"/>
        </w:rPr>
        <w:t xml:space="preserve">Že tako skromen obseg </w:t>
      </w:r>
      <w:r w:rsidRPr="00D050E9">
        <w:rPr>
          <w:rFonts w:asciiTheme="minorHAnsi" w:hAnsiTheme="minorHAnsi"/>
          <w:b/>
        </w:rPr>
        <w:t>povratnih oblik pomoči</w:t>
      </w:r>
      <w:r w:rsidRPr="00D050E9">
        <w:rPr>
          <w:rFonts w:asciiTheme="minorHAnsi" w:hAnsiTheme="minorHAnsi"/>
        </w:rPr>
        <w:t xml:space="preserve"> se je v letu 2017 še nekoliko zmanjšal</w:t>
      </w:r>
      <w:r w:rsidR="00BC7B11" w:rsidRPr="00D050E9">
        <w:rPr>
          <w:rFonts w:asciiTheme="minorHAnsi" w:hAnsiTheme="minorHAnsi"/>
        </w:rPr>
        <w:t xml:space="preserve">. </w:t>
      </w:r>
      <w:r w:rsidRPr="00D050E9">
        <w:rPr>
          <w:rFonts w:asciiTheme="minorHAnsi" w:hAnsiTheme="minorHAnsi"/>
        </w:rPr>
        <w:t>Ugodna posojila</w:t>
      </w:r>
      <w:r w:rsidR="002906F5" w:rsidRPr="00D050E9">
        <w:rPr>
          <w:rFonts w:asciiTheme="minorHAnsi" w:hAnsiTheme="minorHAnsi"/>
        </w:rPr>
        <w:t xml:space="preserve"> so v letu 2017 predstavljala le</w:t>
      </w:r>
      <w:r w:rsidR="00BC7B11" w:rsidRPr="00D050E9">
        <w:rPr>
          <w:rFonts w:asciiTheme="minorHAnsi" w:hAnsiTheme="minorHAnsi"/>
        </w:rPr>
        <w:t xml:space="preserve"> </w:t>
      </w:r>
      <w:r w:rsidR="00BC7B11" w:rsidRPr="00D050E9">
        <w:rPr>
          <w:rFonts w:asciiTheme="minorHAnsi" w:hAnsiTheme="minorHAnsi"/>
          <w:b/>
        </w:rPr>
        <w:t>0,2 % ali 1,03 mio EUR pomoči</w:t>
      </w:r>
      <w:r w:rsidR="00BC7B11" w:rsidRPr="00D050E9">
        <w:rPr>
          <w:rFonts w:asciiTheme="minorHAnsi" w:hAnsiTheme="minorHAnsi"/>
        </w:rPr>
        <w:t xml:space="preserve"> (0,9 % v letu 2016, 1,7 % v letu 2015). Še manjši oz. zanemarljiv je bil obseg pomoči v obliki garancij, dodeljenih jih je bilo le za 34 tisoč EUR (530 tisoč v letu 2016). </w:t>
      </w:r>
      <w:r w:rsidR="00844530" w:rsidRPr="00D050E9">
        <w:rPr>
          <w:rFonts w:asciiTheme="minorHAnsi" w:hAnsiTheme="minorHAnsi"/>
        </w:rPr>
        <w:t xml:space="preserve">Manj je bilo predvsem </w:t>
      </w:r>
      <w:r w:rsidR="00BC7B11" w:rsidRPr="00D050E9">
        <w:rPr>
          <w:rFonts w:asciiTheme="minorHAnsi" w:hAnsiTheme="minorHAnsi"/>
        </w:rPr>
        <w:t>ugodnih posojil</w:t>
      </w:r>
      <w:r w:rsidR="00844530" w:rsidRPr="00D050E9">
        <w:rPr>
          <w:rFonts w:asciiTheme="minorHAnsi" w:hAnsiTheme="minorHAnsi"/>
        </w:rPr>
        <w:t xml:space="preserve"> </w:t>
      </w:r>
      <w:r w:rsidR="00151052" w:rsidRPr="00D050E9">
        <w:rPr>
          <w:rFonts w:asciiTheme="minorHAnsi" w:hAnsiTheme="minorHAnsi"/>
        </w:rPr>
        <w:t xml:space="preserve">za </w:t>
      </w:r>
      <w:r w:rsidR="00342E40" w:rsidRPr="00D050E9">
        <w:rPr>
          <w:rFonts w:asciiTheme="minorHAnsi" w:hAnsiTheme="minorHAnsi"/>
        </w:rPr>
        <w:t xml:space="preserve">namene </w:t>
      </w:r>
      <w:r w:rsidR="00BC7B11" w:rsidRPr="00D050E9">
        <w:rPr>
          <w:rFonts w:asciiTheme="minorHAnsi" w:hAnsiTheme="minorHAnsi"/>
        </w:rPr>
        <w:t>RRI</w:t>
      </w:r>
      <w:r w:rsidR="00FB5D83" w:rsidRPr="00D050E9">
        <w:rPr>
          <w:rFonts w:asciiTheme="minorHAnsi" w:hAnsiTheme="minorHAnsi"/>
        </w:rPr>
        <w:t xml:space="preserve"> in </w:t>
      </w:r>
      <w:r w:rsidR="00342E40" w:rsidRPr="00D050E9">
        <w:rPr>
          <w:rFonts w:asciiTheme="minorHAnsi" w:hAnsiTheme="minorHAnsi"/>
        </w:rPr>
        <w:t xml:space="preserve">za ukrepe, ki se dodeljujejo po pravilih za </w:t>
      </w:r>
      <w:r w:rsidR="00FB5D83" w:rsidRPr="00D050E9">
        <w:rPr>
          <w:rFonts w:asciiTheme="minorHAnsi" w:hAnsiTheme="minorHAnsi"/>
        </w:rPr>
        <w:t>mala in srednje velika podjetja</w:t>
      </w:r>
      <w:r w:rsidR="00D769F9" w:rsidRPr="00D050E9">
        <w:rPr>
          <w:rFonts w:asciiTheme="minorHAnsi" w:hAnsiTheme="minorHAnsi"/>
        </w:rPr>
        <w:t>. Možen r</w:t>
      </w:r>
      <w:r w:rsidR="00BC7B11" w:rsidRPr="00D050E9">
        <w:rPr>
          <w:rFonts w:asciiTheme="minorHAnsi" w:hAnsiTheme="minorHAnsi"/>
        </w:rPr>
        <w:t>azlog za to je</w:t>
      </w:r>
      <w:r w:rsidR="00D769F9" w:rsidRPr="00D050E9">
        <w:rPr>
          <w:rFonts w:asciiTheme="minorHAnsi" w:hAnsiTheme="minorHAnsi"/>
        </w:rPr>
        <w:t xml:space="preserve"> lahko</w:t>
      </w:r>
      <w:r w:rsidR="00BC7B11" w:rsidRPr="00D050E9">
        <w:rPr>
          <w:rFonts w:asciiTheme="minorHAnsi" w:hAnsiTheme="minorHAnsi"/>
        </w:rPr>
        <w:t xml:space="preserve"> </w:t>
      </w:r>
      <w:r w:rsidRPr="00D050E9">
        <w:rPr>
          <w:rFonts w:asciiTheme="minorHAnsi" w:hAnsiTheme="minorHAnsi"/>
        </w:rPr>
        <w:t>večji obseg nepovratnih s</w:t>
      </w:r>
      <w:r w:rsidR="00D769F9" w:rsidRPr="00D050E9">
        <w:rPr>
          <w:rFonts w:asciiTheme="minorHAnsi" w:hAnsiTheme="minorHAnsi"/>
        </w:rPr>
        <w:t xml:space="preserve">redstev, ki so bila na </w:t>
      </w:r>
      <w:r w:rsidR="00D769F9" w:rsidRPr="00CB7EA6">
        <w:rPr>
          <w:rFonts w:asciiTheme="minorHAnsi" w:hAnsiTheme="minorHAnsi"/>
        </w:rPr>
        <w:t xml:space="preserve">voljo </w:t>
      </w:r>
      <w:r w:rsidR="008A0AF9" w:rsidRPr="00CB7EA6">
        <w:rPr>
          <w:rFonts w:asciiTheme="minorHAnsi" w:hAnsiTheme="minorHAnsi"/>
        </w:rPr>
        <w:t xml:space="preserve">za </w:t>
      </w:r>
      <w:r w:rsidRPr="00CB7EA6">
        <w:rPr>
          <w:rFonts w:asciiTheme="minorHAnsi" w:hAnsiTheme="minorHAnsi"/>
        </w:rPr>
        <w:t>iste namene</w:t>
      </w:r>
      <w:r w:rsidR="00CB7EA6">
        <w:rPr>
          <w:rFonts w:asciiTheme="minorHAnsi" w:hAnsiTheme="minorHAnsi"/>
        </w:rPr>
        <w:t>,</w:t>
      </w:r>
      <w:r w:rsidR="00BC7B11" w:rsidRPr="00D050E9">
        <w:rPr>
          <w:rFonts w:asciiTheme="minorHAnsi" w:hAnsiTheme="minorHAnsi"/>
        </w:rPr>
        <w:t xml:space="preserve"> zlasti za RRI. </w:t>
      </w:r>
    </w:p>
    <w:p w:rsidR="000F3B8C" w:rsidRPr="00D050E9" w:rsidRDefault="000F3B8C" w:rsidP="00A16689">
      <w:pPr>
        <w:spacing w:after="0" w:line="276" w:lineRule="auto"/>
        <w:rPr>
          <w:rFonts w:asciiTheme="minorHAnsi" w:hAnsiTheme="minorHAnsi"/>
        </w:rPr>
      </w:pPr>
    </w:p>
    <w:p w:rsidR="00DA6739" w:rsidRPr="00D050E9" w:rsidRDefault="000F3B8C" w:rsidP="00A16689">
      <w:pPr>
        <w:spacing w:after="0" w:line="276" w:lineRule="auto"/>
        <w:rPr>
          <w:rFonts w:asciiTheme="minorHAnsi" w:hAnsiTheme="minorHAnsi"/>
        </w:rPr>
      </w:pPr>
      <w:r w:rsidRPr="00D050E9">
        <w:rPr>
          <w:rFonts w:asciiTheme="minorHAnsi" w:hAnsiTheme="minorHAnsi"/>
        </w:rPr>
        <w:t>V letu 2017 je bilo</w:t>
      </w:r>
      <w:r w:rsidR="00FB5D83" w:rsidRPr="00D050E9">
        <w:rPr>
          <w:rFonts w:asciiTheme="minorHAnsi" w:hAnsiTheme="minorHAnsi"/>
        </w:rPr>
        <w:t xml:space="preserve"> dodeljenih</w:t>
      </w:r>
      <w:r w:rsidRPr="00D050E9">
        <w:rPr>
          <w:rFonts w:asciiTheme="minorHAnsi" w:hAnsiTheme="minorHAnsi"/>
        </w:rPr>
        <w:t xml:space="preserve"> </w:t>
      </w:r>
      <w:r w:rsidR="00FB5D83" w:rsidRPr="00D050E9">
        <w:rPr>
          <w:rFonts w:asciiTheme="minorHAnsi" w:hAnsiTheme="minorHAnsi"/>
        </w:rPr>
        <w:t>tudi manj</w:t>
      </w:r>
      <w:r w:rsidRPr="00D050E9">
        <w:rPr>
          <w:rFonts w:asciiTheme="minorHAnsi" w:hAnsiTheme="minorHAnsi"/>
        </w:rPr>
        <w:t xml:space="preserve"> </w:t>
      </w:r>
      <w:r w:rsidRPr="00D050E9">
        <w:rPr>
          <w:rFonts w:asciiTheme="minorHAnsi" w:hAnsiTheme="minorHAnsi"/>
          <w:b/>
        </w:rPr>
        <w:t xml:space="preserve">kapitalskih naložb. </w:t>
      </w:r>
      <w:r w:rsidRPr="00D050E9">
        <w:rPr>
          <w:rFonts w:asciiTheme="minorHAnsi" w:hAnsiTheme="minorHAnsi"/>
        </w:rPr>
        <w:t xml:space="preserve">Teh je bilo za </w:t>
      </w:r>
      <w:r w:rsidRPr="00D050E9">
        <w:rPr>
          <w:rFonts w:asciiTheme="minorHAnsi" w:hAnsiTheme="minorHAnsi"/>
          <w:b/>
        </w:rPr>
        <w:t>0,90 mio EUR</w:t>
      </w:r>
      <w:r w:rsidRPr="00D050E9">
        <w:rPr>
          <w:rFonts w:asciiTheme="minorHAnsi" w:hAnsiTheme="minorHAnsi"/>
        </w:rPr>
        <w:t xml:space="preserve">, predstavljale pa so </w:t>
      </w:r>
      <w:r w:rsidRPr="00D050E9">
        <w:rPr>
          <w:rFonts w:asciiTheme="minorHAnsi" w:hAnsiTheme="minorHAnsi"/>
          <w:b/>
        </w:rPr>
        <w:t>0,2 %</w:t>
      </w:r>
      <w:r w:rsidRPr="00D050E9">
        <w:rPr>
          <w:rFonts w:asciiTheme="minorHAnsi" w:hAnsiTheme="minorHAnsi"/>
        </w:rPr>
        <w:t xml:space="preserve"> vseh pomoči (0,4 % v letu 2016). </w:t>
      </w:r>
    </w:p>
    <w:p w:rsidR="00A16689" w:rsidRPr="00D050E9" w:rsidRDefault="00A16689" w:rsidP="00A16689">
      <w:pPr>
        <w:spacing w:after="0" w:line="276" w:lineRule="auto"/>
        <w:rPr>
          <w:rFonts w:asciiTheme="minorHAnsi" w:hAnsiTheme="minorHAnsi"/>
          <w:b/>
        </w:rPr>
      </w:pPr>
    </w:p>
    <w:p w:rsidR="0023730A" w:rsidRPr="00D050E9" w:rsidRDefault="00FF39D8" w:rsidP="00A16689">
      <w:pPr>
        <w:spacing w:after="0" w:line="276" w:lineRule="auto"/>
        <w:rPr>
          <w:rFonts w:asciiTheme="minorHAnsi" w:hAnsiTheme="minorHAnsi"/>
        </w:rPr>
      </w:pPr>
      <w:r w:rsidRPr="00D050E9">
        <w:rPr>
          <w:rFonts w:asciiTheme="minorHAnsi" w:hAnsiTheme="minorHAnsi"/>
          <w:b/>
        </w:rPr>
        <w:t>Primerjava z EU</w:t>
      </w:r>
      <w:r w:rsidRPr="00D050E9">
        <w:rPr>
          <w:rFonts w:asciiTheme="minorHAnsi" w:hAnsiTheme="minorHAnsi"/>
        </w:rPr>
        <w:t xml:space="preserve"> </w:t>
      </w:r>
      <w:r w:rsidR="002C0A2C" w:rsidRPr="00D050E9">
        <w:rPr>
          <w:rFonts w:asciiTheme="minorHAnsi" w:hAnsiTheme="minorHAnsi"/>
        </w:rPr>
        <w:t>kaže p</w:t>
      </w:r>
      <w:r w:rsidR="006F198C" w:rsidRPr="00D050E9">
        <w:rPr>
          <w:rFonts w:asciiTheme="minorHAnsi" w:hAnsiTheme="minorHAnsi"/>
        </w:rPr>
        <w:t xml:space="preserve">rimerljiv obseg in strukturo </w:t>
      </w:r>
      <w:r w:rsidR="002C0A2C" w:rsidRPr="00D050E9">
        <w:rPr>
          <w:rFonts w:asciiTheme="minorHAnsi" w:hAnsiTheme="minorHAnsi"/>
        </w:rPr>
        <w:t xml:space="preserve">državnih pomoči, </w:t>
      </w:r>
      <w:r w:rsidRPr="00D050E9">
        <w:rPr>
          <w:rFonts w:asciiTheme="minorHAnsi" w:hAnsiTheme="minorHAnsi"/>
        </w:rPr>
        <w:t xml:space="preserve">zlasti </w:t>
      </w:r>
      <w:r w:rsidR="002C0A2C" w:rsidRPr="00D050E9">
        <w:rPr>
          <w:rFonts w:asciiTheme="minorHAnsi" w:hAnsiTheme="minorHAnsi"/>
        </w:rPr>
        <w:t>kar zadeva prevladujoč delež pomoči za varstvo okolja</w:t>
      </w:r>
      <w:r w:rsidRPr="00D050E9">
        <w:rPr>
          <w:rFonts w:asciiTheme="minorHAnsi" w:hAnsiTheme="minorHAnsi"/>
        </w:rPr>
        <w:t xml:space="preserve"> in varčevanje z energijo, ki se </w:t>
      </w:r>
      <w:r w:rsidR="008379D4" w:rsidRPr="00D050E9">
        <w:rPr>
          <w:rFonts w:asciiTheme="minorHAnsi" w:hAnsiTheme="minorHAnsi"/>
        </w:rPr>
        <w:t>tudi v državah EU</w:t>
      </w:r>
      <w:r w:rsidR="000F3B8C" w:rsidRPr="00D050E9">
        <w:rPr>
          <w:rFonts w:asciiTheme="minorHAnsi" w:hAnsiTheme="minorHAnsi"/>
        </w:rPr>
        <w:t xml:space="preserve"> </w:t>
      </w:r>
      <w:r w:rsidR="0023730A" w:rsidRPr="00D050E9">
        <w:rPr>
          <w:rFonts w:asciiTheme="minorHAnsi" w:hAnsiTheme="minorHAnsi"/>
        </w:rPr>
        <w:t xml:space="preserve">še </w:t>
      </w:r>
      <w:r w:rsidR="006F198C" w:rsidRPr="00D050E9">
        <w:rPr>
          <w:rFonts w:asciiTheme="minorHAnsi" w:hAnsiTheme="minorHAnsi"/>
        </w:rPr>
        <w:t>povečuje</w:t>
      </w:r>
      <w:r w:rsidR="000F3B8C" w:rsidRPr="00D050E9">
        <w:rPr>
          <w:rFonts w:asciiTheme="minorHAnsi" w:hAnsiTheme="minorHAnsi"/>
        </w:rPr>
        <w:t>.</w:t>
      </w:r>
      <w:r w:rsidR="008379D4" w:rsidRPr="00D050E9">
        <w:rPr>
          <w:rFonts w:asciiTheme="minorHAnsi" w:hAnsiTheme="minorHAnsi"/>
        </w:rPr>
        <w:t xml:space="preserve"> Hkrati je tudi v državah EU opazen trend zniževanja regionalnih pomoči in povečevanja pomoči za raziskave, razvoj in inovacije</w:t>
      </w:r>
      <w:r w:rsidR="00DA6739" w:rsidRPr="00D050E9">
        <w:rPr>
          <w:rFonts w:asciiTheme="minorHAnsi" w:hAnsiTheme="minorHAnsi"/>
        </w:rPr>
        <w:t>. Slovenija od povprečja EU najbolj odstopa po visokem deležu pomoči za zaposlovanje</w:t>
      </w:r>
      <w:r w:rsidR="0023730A" w:rsidRPr="00D050E9">
        <w:rPr>
          <w:rFonts w:asciiTheme="minorHAnsi" w:hAnsiTheme="minorHAnsi"/>
        </w:rPr>
        <w:t xml:space="preserve">, v letu 2015 pa tudi po višjem deležu pomoči za prestrukturiranje. </w:t>
      </w:r>
    </w:p>
    <w:p w:rsidR="0014793B" w:rsidRPr="00D050E9" w:rsidRDefault="0014793B" w:rsidP="00A16689">
      <w:pPr>
        <w:spacing w:after="0" w:line="276" w:lineRule="auto"/>
        <w:rPr>
          <w:rFonts w:asciiTheme="minorHAnsi" w:hAnsiTheme="minorHAnsi"/>
        </w:rPr>
      </w:pPr>
    </w:p>
    <w:p w:rsidR="001F1E89" w:rsidRPr="00D050E9" w:rsidRDefault="006F198C" w:rsidP="0023730A">
      <w:pPr>
        <w:spacing w:line="276" w:lineRule="auto"/>
        <w:rPr>
          <w:rFonts w:asciiTheme="minorHAnsi" w:hAnsiTheme="minorHAnsi"/>
        </w:rPr>
      </w:pPr>
      <w:r w:rsidRPr="00D050E9">
        <w:rPr>
          <w:rFonts w:asciiTheme="minorHAnsi" w:hAnsiTheme="minorHAnsi"/>
        </w:rPr>
        <w:t>Obseg in s</w:t>
      </w:r>
      <w:r w:rsidR="00DA6739" w:rsidRPr="00D050E9">
        <w:rPr>
          <w:rFonts w:asciiTheme="minorHAnsi" w:hAnsiTheme="minorHAnsi"/>
        </w:rPr>
        <w:t>truktura pomoči po posameznih državah se sicer precej razlikuje</w:t>
      </w:r>
      <w:r w:rsidRPr="00D050E9">
        <w:rPr>
          <w:rFonts w:asciiTheme="minorHAnsi" w:hAnsiTheme="minorHAnsi"/>
        </w:rPr>
        <w:t>ta</w:t>
      </w:r>
      <w:r w:rsidR="00DA6739" w:rsidRPr="00D050E9">
        <w:rPr>
          <w:rFonts w:asciiTheme="minorHAnsi" w:hAnsiTheme="minorHAnsi"/>
        </w:rPr>
        <w:t xml:space="preserve">, enako </w:t>
      </w:r>
      <w:r w:rsidR="000F3B8C" w:rsidRPr="00D050E9">
        <w:rPr>
          <w:rFonts w:asciiTheme="minorHAnsi" w:hAnsiTheme="minorHAnsi"/>
        </w:rPr>
        <w:t xml:space="preserve">velja tudi za </w:t>
      </w:r>
      <w:r w:rsidR="00DA6739" w:rsidRPr="00D050E9">
        <w:rPr>
          <w:rFonts w:asciiTheme="minorHAnsi" w:hAnsiTheme="minorHAnsi"/>
        </w:rPr>
        <w:t>delež državnih pomoči v BDP. Po zadnjih podatkih, za leto 2016, so državne pomoči predstavljale od</w:t>
      </w:r>
      <w:r w:rsidR="0023730A" w:rsidRPr="00D050E9">
        <w:rPr>
          <w:rFonts w:asciiTheme="minorHAnsi" w:hAnsiTheme="minorHAnsi"/>
        </w:rPr>
        <w:t xml:space="preserve"> 0,2 % BPD na Irskem do 2,10 % BDP na Madžarskem. </w:t>
      </w:r>
      <w:r w:rsidR="00DA6739" w:rsidRPr="00D050E9">
        <w:rPr>
          <w:rFonts w:asciiTheme="minorHAnsi" w:hAnsiTheme="minorHAnsi"/>
        </w:rPr>
        <w:t>Za Slovenijo je bil primerljivi delež</w:t>
      </w:r>
      <w:r w:rsidR="0023730A" w:rsidRPr="00D050E9">
        <w:rPr>
          <w:rFonts w:asciiTheme="minorHAnsi" w:hAnsiTheme="minorHAnsi"/>
        </w:rPr>
        <w:t xml:space="preserve"> državnih pomoči v BDP v letu 2016 0,76 %, kar Slovenijo uvršča</w:t>
      </w:r>
      <w:r w:rsidR="001F1E89" w:rsidRPr="00D050E9">
        <w:rPr>
          <w:rFonts w:asciiTheme="minorHAnsi" w:hAnsiTheme="minorHAnsi"/>
        </w:rPr>
        <w:t xml:space="preserve"> v sredino,</w:t>
      </w:r>
      <w:r w:rsidR="0023730A" w:rsidRPr="00D050E9">
        <w:rPr>
          <w:rFonts w:asciiTheme="minorHAnsi" w:hAnsiTheme="minorHAnsi"/>
        </w:rPr>
        <w:t xml:space="preserve"> na 12. mesto med državami članicami. Najvišje deleže državnih pomoči v BDP so imele že omenjena Madžarska, Danska</w:t>
      </w:r>
      <w:r w:rsidR="001F1E89" w:rsidRPr="00D050E9">
        <w:rPr>
          <w:rFonts w:asciiTheme="minorHAnsi" w:hAnsiTheme="minorHAnsi"/>
        </w:rPr>
        <w:t xml:space="preserve">, Latvija, Češka Republika in Nemčija, vse več kot 1,3 % BDP. </w:t>
      </w:r>
    </w:p>
    <w:p w:rsidR="00DA6739" w:rsidRPr="00D050E9" w:rsidRDefault="00DA6739" w:rsidP="002175AE">
      <w:pPr>
        <w:spacing w:after="0" w:line="276" w:lineRule="auto"/>
        <w:rPr>
          <w:rFonts w:asciiTheme="minorHAnsi" w:hAnsiTheme="minorHAnsi"/>
        </w:rPr>
      </w:pPr>
      <w:r w:rsidRPr="00D050E9">
        <w:rPr>
          <w:rFonts w:asciiTheme="minorHAnsi" w:hAnsiTheme="minorHAnsi"/>
        </w:rPr>
        <w:t>Slovenija je sicer izplačal</w:t>
      </w:r>
      <w:r w:rsidR="001F1E89" w:rsidRPr="00D050E9">
        <w:rPr>
          <w:rFonts w:asciiTheme="minorHAnsi" w:hAnsiTheme="minorHAnsi"/>
        </w:rPr>
        <w:t xml:space="preserve">a 0,3 % vseh </w:t>
      </w:r>
      <w:r w:rsidRPr="00D050E9">
        <w:rPr>
          <w:rFonts w:asciiTheme="minorHAnsi" w:hAnsiTheme="minorHAnsi"/>
        </w:rPr>
        <w:t>pomoči</w:t>
      </w:r>
      <w:r w:rsidR="001F1E89" w:rsidRPr="00D050E9">
        <w:rPr>
          <w:rFonts w:asciiTheme="minorHAnsi" w:hAnsiTheme="minorHAnsi"/>
        </w:rPr>
        <w:t xml:space="preserve"> EU od skupaj 10</w:t>
      </w:r>
      <w:r w:rsidR="002A735C" w:rsidRPr="00D050E9">
        <w:rPr>
          <w:rFonts w:asciiTheme="minorHAnsi" w:hAnsiTheme="minorHAnsi"/>
        </w:rPr>
        <w:t xml:space="preserve">4,87 </w:t>
      </w:r>
      <w:r w:rsidR="001F1E89" w:rsidRPr="00D050E9">
        <w:rPr>
          <w:rFonts w:asciiTheme="minorHAnsi" w:hAnsiTheme="minorHAnsi"/>
        </w:rPr>
        <w:t xml:space="preserve">mrd EUR, kolikor </w:t>
      </w:r>
      <w:r w:rsidR="00A425DC" w:rsidRPr="00493CA0">
        <w:rPr>
          <w:rFonts w:asciiTheme="minorHAnsi" w:hAnsiTheme="minorHAnsi"/>
        </w:rPr>
        <w:t xml:space="preserve">so z znašale državne pomoči v </w:t>
      </w:r>
      <w:r w:rsidR="001F1E89" w:rsidRPr="00493CA0">
        <w:rPr>
          <w:rFonts w:asciiTheme="minorHAnsi" w:hAnsiTheme="minorHAnsi"/>
        </w:rPr>
        <w:t xml:space="preserve">EU v letu 2016 (0,4 % v povprečju 2014–2016). Največ pomoči je izplačala Nemčija, skoraj </w:t>
      </w:r>
      <w:r w:rsidR="002A735C" w:rsidRPr="00493CA0">
        <w:rPr>
          <w:rFonts w:asciiTheme="minorHAnsi" w:hAnsiTheme="minorHAnsi"/>
        </w:rPr>
        <w:t>40 % vseh pomoči v EU (4</w:t>
      </w:r>
      <w:r w:rsidR="00493CA0" w:rsidRPr="00493CA0">
        <w:rPr>
          <w:rFonts w:asciiTheme="minorHAnsi" w:hAnsiTheme="minorHAnsi"/>
        </w:rPr>
        <w:t xml:space="preserve">1,6 mrd EUR), sledita Francija </w:t>
      </w:r>
      <w:r w:rsidR="00014DE6" w:rsidRPr="00493CA0">
        <w:rPr>
          <w:rFonts w:asciiTheme="minorHAnsi" w:hAnsiTheme="minorHAnsi"/>
        </w:rPr>
        <w:t>s</w:t>
      </w:r>
      <w:r w:rsidR="002A735C" w:rsidRPr="00493CA0">
        <w:rPr>
          <w:rFonts w:asciiTheme="minorHAnsi" w:hAnsiTheme="minorHAnsi"/>
        </w:rPr>
        <w:t xml:space="preserve"> 14 % vseh pomoči EU (14,6 mrd EUR) in Velika Britanija, ki je izplačala 8 % vseh pomoči v EU (8,6 mrd EUR) v letu 2016.</w:t>
      </w:r>
      <w:r w:rsidR="002A735C" w:rsidRPr="00D050E9">
        <w:rPr>
          <w:rFonts w:asciiTheme="minorHAnsi" w:hAnsiTheme="minorHAnsi"/>
        </w:rPr>
        <w:t xml:space="preserve"> </w:t>
      </w:r>
      <w:r w:rsidRPr="00D050E9">
        <w:rPr>
          <w:rFonts w:asciiTheme="minorHAnsi" w:hAnsiTheme="minorHAnsi"/>
        </w:rPr>
        <w:t xml:space="preserve"> </w:t>
      </w:r>
    </w:p>
    <w:p w:rsidR="00DA6739" w:rsidRPr="00D050E9" w:rsidRDefault="00DA6739" w:rsidP="002175AE">
      <w:pPr>
        <w:spacing w:after="0" w:line="276" w:lineRule="auto"/>
        <w:rPr>
          <w:rFonts w:asciiTheme="minorHAnsi" w:hAnsiTheme="minorHAnsi"/>
        </w:rPr>
      </w:pPr>
    </w:p>
    <w:p w:rsidR="00DC63AA" w:rsidRPr="00D050E9" w:rsidRDefault="00DC63AA">
      <w:pPr>
        <w:spacing w:line="276" w:lineRule="auto"/>
        <w:jc w:val="left"/>
        <w:rPr>
          <w:rFonts w:asciiTheme="minorHAnsi" w:hAnsiTheme="minorHAnsi"/>
          <w:b/>
          <w:color w:val="5F497A" w:themeColor="accent4" w:themeShade="BF"/>
          <w:sz w:val="24"/>
        </w:rPr>
      </w:pPr>
      <w:r w:rsidRPr="00D050E9">
        <w:rPr>
          <w:rFonts w:asciiTheme="minorHAnsi" w:hAnsiTheme="minorHAnsi"/>
          <w:b/>
          <w:color w:val="5F497A" w:themeColor="accent4" w:themeShade="BF"/>
          <w:sz w:val="24"/>
        </w:rPr>
        <w:br w:type="page"/>
      </w:r>
    </w:p>
    <w:p w:rsidR="001C7ACE" w:rsidRPr="00D050E9" w:rsidRDefault="001C7ACE" w:rsidP="00C93FA7">
      <w:pPr>
        <w:pStyle w:val="Heading1"/>
        <w:numPr>
          <w:ilvl w:val="0"/>
          <w:numId w:val="16"/>
        </w:numPr>
      </w:pPr>
      <w:bookmarkStart w:id="3" w:name="_Toc530654532"/>
      <w:r w:rsidRPr="00D050E9">
        <w:lastRenderedPageBreak/>
        <w:t>OBSEG IN STRUKTURA DRŽAVNIH POMOČI V SLOVENIJI</w:t>
      </w:r>
      <w:bookmarkEnd w:id="3"/>
    </w:p>
    <w:p w:rsidR="006A3167" w:rsidRPr="00D050E9" w:rsidRDefault="006A3167" w:rsidP="006A3167">
      <w:pPr>
        <w:pStyle w:val="Naslov1"/>
        <w:ind w:firstLine="0"/>
      </w:pPr>
    </w:p>
    <w:p w:rsidR="00AF2BF4" w:rsidRPr="00D050E9" w:rsidRDefault="006A3167" w:rsidP="00E72379">
      <w:pPr>
        <w:pStyle w:val="Heading2"/>
      </w:pPr>
      <w:bookmarkStart w:id="4" w:name="_Toc528581779"/>
      <w:bookmarkStart w:id="5" w:name="_Toc528594646"/>
      <w:bookmarkStart w:id="6" w:name="_Toc530654533"/>
      <w:r w:rsidRPr="00D050E9">
        <w:t xml:space="preserve">1.1 </w:t>
      </w:r>
      <w:r w:rsidR="00AF2BF4" w:rsidRPr="00D050E9">
        <w:t xml:space="preserve">OBSEG </w:t>
      </w:r>
      <w:r w:rsidR="00AE2102" w:rsidRPr="00D050E9">
        <w:t xml:space="preserve">DRŽAVNIH POMOČI V </w:t>
      </w:r>
      <w:r w:rsidR="001C7ACE" w:rsidRPr="00D050E9">
        <w:t>ZADNJIH TREH LETIH</w:t>
      </w:r>
      <w:bookmarkEnd w:id="4"/>
      <w:bookmarkEnd w:id="5"/>
      <w:bookmarkEnd w:id="6"/>
    </w:p>
    <w:p w:rsidR="005E3161" w:rsidRPr="00D050E9" w:rsidRDefault="00227B53" w:rsidP="00AE2102">
      <w:pPr>
        <w:pStyle w:val="ListParagraph"/>
        <w:spacing w:line="276" w:lineRule="auto"/>
        <w:ind w:left="0"/>
        <w:rPr>
          <w:rFonts w:asciiTheme="minorHAnsi" w:hAnsiTheme="minorHAnsi"/>
        </w:rPr>
      </w:pPr>
      <w:r w:rsidRPr="00D050E9">
        <w:rPr>
          <w:rFonts w:asciiTheme="minorHAnsi" w:hAnsiTheme="minorHAnsi"/>
        </w:rPr>
        <w:t xml:space="preserve">V letu 2017 je bilo izplačanih </w:t>
      </w:r>
      <w:r w:rsidRPr="00D050E9">
        <w:rPr>
          <w:rFonts w:asciiTheme="minorHAnsi" w:hAnsiTheme="minorHAnsi"/>
          <w:b/>
        </w:rPr>
        <w:t>427,18 mio EUR</w:t>
      </w:r>
      <w:r w:rsidR="003F6F01" w:rsidRPr="00D050E9">
        <w:rPr>
          <w:rFonts w:asciiTheme="minorHAnsi" w:hAnsiTheme="minorHAnsi"/>
        </w:rPr>
        <w:t xml:space="preserve"> državnih pomoči</w:t>
      </w:r>
      <w:r w:rsidRPr="00D050E9">
        <w:rPr>
          <w:rFonts w:asciiTheme="minorHAnsi" w:hAnsiTheme="minorHAnsi"/>
        </w:rPr>
        <w:t xml:space="preserve">, kar je </w:t>
      </w:r>
      <w:r w:rsidRPr="00D050E9">
        <w:rPr>
          <w:rFonts w:asciiTheme="minorHAnsi" w:hAnsiTheme="minorHAnsi"/>
          <w:i/>
        </w:rPr>
        <w:t>za 52,15 mio EUR ali 13,9 %</w:t>
      </w:r>
      <w:r w:rsidRPr="00D050E9">
        <w:rPr>
          <w:rFonts w:asciiTheme="minorHAnsi" w:hAnsiTheme="minorHAnsi"/>
        </w:rPr>
        <w:t xml:space="preserve"> </w:t>
      </w:r>
      <w:r w:rsidRPr="00D050E9">
        <w:rPr>
          <w:rFonts w:asciiTheme="minorHAnsi" w:hAnsiTheme="minorHAnsi"/>
          <w:i/>
        </w:rPr>
        <w:t>več</w:t>
      </w:r>
      <w:r w:rsidRPr="00D050E9">
        <w:rPr>
          <w:rFonts w:asciiTheme="minorHAnsi" w:hAnsiTheme="minorHAnsi"/>
        </w:rPr>
        <w:t xml:space="preserve"> kot leta 2016</w:t>
      </w:r>
      <w:r w:rsidR="005E3161" w:rsidRPr="00D050E9">
        <w:rPr>
          <w:rFonts w:asciiTheme="minorHAnsi" w:hAnsiTheme="minorHAnsi"/>
        </w:rPr>
        <w:t xml:space="preserve">, še vedno pa za </w:t>
      </w:r>
      <w:r w:rsidR="001C3C21">
        <w:rPr>
          <w:rFonts w:asciiTheme="minorHAnsi" w:hAnsiTheme="minorHAnsi"/>
        </w:rPr>
        <w:t>skoraj četrtino (–</w:t>
      </w:r>
      <w:r w:rsidR="00B120E2" w:rsidRPr="00D050E9">
        <w:rPr>
          <w:rFonts w:asciiTheme="minorHAnsi" w:hAnsiTheme="minorHAnsi"/>
        </w:rPr>
        <w:t>22,8 %) ali –</w:t>
      </w:r>
      <w:r w:rsidR="005E3161" w:rsidRPr="00D050E9">
        <w:rPr>
          <w:rFonts w:asciiTheme="minorHAnsi" w:hAnsiTheme="minorHAnsi"/>
        </w:rPr>
        <w:t>1</w:t>
      </w:r>
      <w:r w:rsidR="00B120E2" w:rsidRPr="00D050E9">
        <w:rPr>
          <w:rFonts w:asciiTheme="minorHAnsi" w:hAnsiTheme="minorHAnsi"/>
        </w:rPr>
        <w:t>2</w:t>
      </w:r>
      <w:r w:rsidR="005E3161" w:rsidRPr="00D050E9">
        <w:rPr>
          <w:rFonts w:asciiTheme="minorHAnsi" w:hAnsiTheme="minorHAnsi"/>
        </w:rPr>
        <w:t xml:space="preserve">6,14 mio EUR manj kot v letu 2015. </w:t>
      </w:r>
    </w:p>
    <w:p w:rsidR="00E44328" w:rsidRPr="00D050E9" w:rsidRDefault="00E44328" w:rsidP="00AE2102">
      <w:pPr>
        <w:pStyle w:val="ListParagraph"/>
        <w:spacing w:line="276" w:lineRule="auto"/>
        <w:ind w:left="0"/>
        <w:rPr>
          <w:rFonts w:asciiTheme="minorHAnsi" w:hAnsiTheme="minorHAnsi"/>
        </w:rPr>
      </w:pPr>
    </w:p>
    <w:p w:rsidR="00AE2102" w:rsidRPr="00D050E9" w:rsidRDefault="00A55413" w:rsidP="00AE2102">
      <w:pPr>
        <w:pStyle w:val="ListParagraph"/>
        <w:spacing w:line="276" w:lineRule="auto"/>
        <w:ind w:left="0"/>
        <w:rPr>
          <w:rFonts w:asciiTheme="minorHAnsi" w:hAnsiTheme="minorHAnsi"/>
        </w:rPr>
      </w:pPr>
      <w:r w:rsidRPr="00D050E9">
        <w:rPr>
          <w:rFonts w:asciiTheme="minorHAnsi" w:hAnsiTheme="minorHAnsi"/>
        </w:rPr>
        <w:t xml:space="preserve">Državne pomoči so </w:t>
      </w:r>
      <w:r w:rsidR="00B120E2" w:rsidRPr="00D050E9">
        <w:rPr>
          <w:rFonts w:asciiTheme="minorHAnsi" w:hAnsiTheme="minorHAnsi"/>
        </w:rPr>
        <w:t xml:space="preserve">v letu 2017 </w:t>
      </w:r>
      <w:r w:rsidRPr="00D050E9">
        <w:rPr>
          <w:rFonts w:asciiTheme="minorHAnsi" w:hAnsiTheme="minorHAnsi"/>
        </w:rPr>
        <w:t xml:space="preserve">predstavljale </w:t>
      </w:r>
      <w:r w:rsidRPr="00D050E9">
        <w:rPr>
          <w:rFonts w:asciiTheme="minorHAnsi" w:hAnsiTheme="minorHAnsi"/>
          <w:b/>
        </w:rPr>
        <w:t>0,99 % BDP</w:t>
      </w:r>
      <w:r w:rsidRPr="00D050E9">
        <w:rPr>
          <w:rFonts w:asciiTheme="minorHAnsi" w:hAnsiTheme="minorHAnsi"/>
        </w:rPr>
        <w:t xml:space="preserve">, kar je za 0,06 odstotne točke več kot v letu 2016 (0,93% BDP) in občutno manj kot leta </w:t>
      </w:r>
      <w:r w:rsidRPr="00493CA0">
        <w:rPr>
          <w:rFonts w:asciiTheme="minorHAnsi" w:hAnsiTheme="minorHAnsi"/>
        </w:rPr>
        <w:t>2015</w:t>
      </w:r>
      <w:r w:rsidR="00A35D6D" w:rsidRPr="00493CA0">
        <w:rPr>
          <w:rFonts w:asciiTheme="minorHAnsi" w:hAnsiTheme="minorHAnsi"/>
        </w:rPr>
        <w:t>, ko</w:t>
      </w:r>
      <w:r w:rsidRPr="00493CA0">
        <w:rPr>
          <w:rFonts w:asciiTheme="minorHAnsi" w:hAnsiTheme="minorHAnsi"/>
        </w:rPr>
        <w:t xml:space="preserve"> je delež državnih</w:t>
      </w:r>
      <w:r w:rsidRPr="00D050E9">
        <w:rPr>
          <w:rFonts w:asciiTheme="minorHAnsi" w:hAnsiTheme="minorHAnsi"/>
        </w:rPr>
        <w:t xml:space="preserve"> pomoči v BDP znašal 1,42 % BDP.</w:t>
      </w:r>
    </w:p>
    <w:p w:rsidR="00825909" w:rsidRDefault="00825909" w:rsidP="00825909">
      <w:pPr>
        <w:pStyle w:val="Caption"/>
        <w:rPr>
          <w:rFonts w:eastAsia="Times New Roman" w:cs="Arial"/>
          <w:color w:val="auto"/>
          <w:lang w:eastAsia="sl-SI"/>
        </w:rPr>
      </w:pPr>
      <w:bookmarkStart w:id="7" w:name="_Toc530654585"/>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w:t>
      </w:r>
      <w:r w:rsidRPr="00D050E9">
        <w:rPr>
          <w:color w:val="auto"/>
        </w:rPr>
        <w:fldChar w:fldCharType="end"/>
      </w:r>
      <w:r w:rsidRPr="00D050E9">
        <w:rPr>
          <w:color w:val="auto"/>
        </w:rPr>
        <w:t xml:space="preserve">: Državne pomoči </w:t>
      </w:r>
      <w:r w:rsidRPr="00D050E9">
        <w:rPr>
          <w:rFonts w:eastAsia="Times New Roman" w:cs="Arial"/>
          <w:color w:val="auto"/>
          <w:lang w:eastAsia="sl-SI"/>
        </w:rPr>
        <w:t>v Sloveniji v letih 2015</w:t>
      </w:r>
      <w:r w:rsidRPr="00D050E9">
        <w:rPr>
          <w:color w:val="auto"/>
        </w:rPr>
        <w:t>–</w:t>
      </w:r>
      <w:r w:rsidRPr="00D050E9">
        <w:rPr>
          <w:rFonts w:eastAsia="Times New Roman" w:cs="Arial"/>
          <w:color w:val="auto"/>
          <w:lang w:eastAsia="sl-SI"/>
        </w:rPr>
        <w:t>2017 v primerjavi z izbranimi kazalniki</w:t>
      </w:r>
      <w:r w:rsidR="00BB656B">
        <w:rPr>
          <w:rStyle w:val="FootnoteReference"/>
          <w:rFonts w:eastAsia="Times New Roman" w:cs="Arial"/>
          <w:color w:val="auto"/>
          <w:lang w:eastAsia="sl-SI"/>
        </w:rPr>
        <w:footnoteReference w:id="2"/>
      </w:r>
      <w:bookmarkEnd w:id="7"/>
    </w:p>
    <w:p w:rsidR="00F62368" w:rsidRPr="00F62368" w:rsidRDefault="00F62368" w:rsidP="00F62368">
      <w:pPr>
        <w:spacing w:after="0"/>
        <w:rPr>
          <w:lang w:eastAsia="sl-SI" w:bidi="hi-IN"/>
        </w:rPr>
      </w:pPr>
    </w:p>
    <w:tbl>
      <w:tblPr>
        <w:tblStyle w:val="MediumGrid1-Accent5"/>
        <w:tblW w:w="5000" w:type="pct"/>
        <w:tblLook w:val="04A0" w:firstRow="1" w:lastRow="0" w:firstColumn="1" w:lastColumn="0" w:noHBand="0" w:noVBand="1"/>
      </w:tblPr>
      <w:tblGrid>
        <w:gridCol w:w="2658"/>
        <w:gridCol w:w="887"/>
        <w:gridCol w:w="1149"/>
        <w:gridCol w:w="1006"/>
        <w:gridCol w:w="1147"/>
        <w:gridCol w:w="1433"/>
        <w:gridCol w:w="1120"/>
      </w:tblGrid>
      <w:tr w:rsidR="00F62368" w:rsidRPr="00F62368" w:rsidTr="00F6236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4" w:type="pct"/>
            <w:vMerge w:val="restart"/>
            <w:vAlign w:val="center"/>
            <w:hideMark/>
          </w:tcPr>
          <w:p w:rsidR="00F62368" w:rsidRPr="00F62368" w:rsidRDefault="00F62368" w:rsidP="00382AF7">
            <w:pPr>
              <w:jc w:val="center"/>
              <w:rPr>
                <w:rFonts w:ascii="Calibri" w:eastAsia="Times New Roman" w:hAnsi="Calibri" w:cs="Arial"/>
                <w:sz w:val="19"/>
                <w:szCs w:val="19"/>
                <w:lang w:eastAsia="sl-SI"/>
              </w:rPr>
            </w:pPr>
          </w:p>
        </w:tc>
        <w:tc>
          <w:tcPr>
            <w:tcW w:w="472" w:type="pct"/>
            <w:vMerge w:val="restart"/>
            <w:vAlign w:val="center"/>
            <w:hideMark/>
          </w:tcPr>
          <w:p w:rsidR="00F62368" w:rsidRPr="00F62368" w:rsidRDefault="00F62368" w:rsidP="00382A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i/>
                <w:iCs/>
                <w:sz w:val="19"/>
                <w:szCs w:val="19"/>
                <w:lang w:eastAsia="sl-SI"/>
              </w:rPr>
            </w:pPr>
            <w:r w:rsidRPr="00F62368">
              <w:rPr>
                <w:rFonts w:ascii="Calibri" w:eastAsia="Times New Roman" w:hAnsi="Calibri" w:cs="Arial"/>
                <w:i/>
                <w:iCs/>
                <w:sz w:val="19"/>
                <w:szCs w:val="19"/>
                <w:lang w:eastAsia="sl-SI"/>
              </w:rPr>
              <w:t>enota</w:t>
            </w:r>
          </w:p>
        </w:tc>
        <w:tc>
          <w:tcPr>
            <w:tcW w:w="611" w:type="pct"/>
            <w:vMerge w:val="restart"/>
            <w:vAlign w:val="center"/>
            <w:hideMark/>
          </w:tcPr>
          <w:p w:rsidR="00F62368" w:rsidRPr="00F62368" w:rsidRDefault="00F62368" w:rsidP="00382A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2015</w:t>
            </w:r>
          </w:p>
        </w:tc>
        <w:tc>
          <w:tcPr>
            <w:tcW w:w="535" w:type="pct"/>
            <w:vMerge w:val="restart"/>
            <w:vAlign w:val="center"/>
            <w:hideMark/>
          </w:tcPr>
          <w:p w:rsidR="00F62368" w:rsidRPr="00F62368" w:rsidRDefault="00F62368" w:rsidP="00382A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2016</w:t>
            </w:r>
          </w:p>
        </w:tc>
        <w:tc>
          <w:tcPr>
            <w:tcW w:w="610" w:type="pct"/>
            <w:vMerge w:val="restart"/>
            <w:vAlign w:val="center"/>
            <w:hideMark/>
          </w:tcPr>
          <w:p w:rsidR="00F62368" w:rsidRPr="00F62368" w:rsidRDefault="00F62368" w:rsidP="00382A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2017</w:t>
            </w:r>
          </w:p>
        </w:tc>
        <w:tc>
          <w:tcPr>
            <w:tcW w:w="1357" w:type="pct"/>
            <w:gridSpan w:val="2"/>
            <w:vAlign w:val="center"/>
            <w:hideMark/>
          </w:tcPr>
          <w:p w:rsidR="00F62368" w:rsidRPr="00F62368" w:rsidRDefault="00F62368" w:rsidP="00382A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sprememba glede na 2016</w:t>
            </w:r>
          </w:p>
        </w:tc>
      </w:tr>
      <w:tr w:rsidR="00F62368" w:rsidRPr="00F62368" w:rsidTr="00F6236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4" w:type="pct"/>
            <w:vMerge/>
            <w:hideMark/>
          </w:tcPr>
          <w:p w:rsidR="00F62368" w:rsidRPr="00F62368" w:rsidRDefault="00F62368" w:rsidP="00382AF7">
            <w:pPr>
              <w:jc w:val="left"/>
              <w:rPr>
                <w:rFonts w:ascii="Calibri" w:eastAsia="Times New Roman" w:hAnsi="Calibri" w:cs="Arial"/>
                <w:sz w:val="19"/>
                <w:szCs w:val="19"/>
                <w:lang w:eastAsia="sl-SI"/>
              </w:rPr>
            </w:pPr>
          </w:p>
        </w:tc>
        <w:tc>
          <w:tcPr>
            <w:tcW w:w="472" w:type="pct"/>
            <w:vMerge/>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iCs/>
                <w:sz w:val="19"/>
                <w:szCs w:val="19"/>
                <w:lang w:eastAsia="sl-SI"/>
              </w:rPr>
            </w:pPr>
          </w:p>
        </w:tc>
        <w:tc>
          <w:tcPr>
            <w:tcW w:w="611" w:type="pct"/>
            <w:vMerge/>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9"/>
                <w:szCs w:val="19"/>
                <w:lang w:eastAsia="sl-SI"/>
              </w:rPr>
            </w:pPr>
          </w:p>
        </w:tc>
        <w:tc>
          <w:tcPr>
            <w:tcW w:w="535" w:type="pct"/>
            <w:vMerge/>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9"/>
                <w:szCs w:val="19"/>
                <w:lang w:eastAsia="sl-SI"/>
              </w:rPr>
            </w:pPr>
          </w:p>
        </w:tc>
        <w:tc>
          <w:tcPr>
            <w:tcW w:w="610" w:type="pct"/>
            <w:vMerge/>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9"/>
                <w:szCs w:val="19"/>
                <w:lang w:eastAsia="sl-SI"/>
              </w:rPr>
            </w:pPr>
          </w:p>
        </w:tc>
        <w:tc>
          <w:tcPr>
            <w:tcW w:w="762" w:type="pct"/>
            <w:hideMark/>
          </w:tcPr>
          <w:p w:rsidR="00F62368" w:rsidRPr="00F62368" w:rsidRDefault="00F62368" w:rsidP="00382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v mio EUR / odstotne točke</w:t>
            </w:r>
          </w:p>
        </w:tc>
        <w:tc>
          <w:tcPr>
            <w:tcW w:w="595" w:type="pct"/>
            <w:hideMark/>
          </w:tcPr>
          <w:p w:rsidR="00F62368" w:rsidRPr="00F62368" w:rsidRDefault="00F62368" w:rsidP="00382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v %</w:t>
            </w:r>
          </w:p>
        </w:tc>
      </w:tr>
      <w:tr w:rsidR="00F62368" w:rsidRPr="00F62368" w:rsidTr="00F62368">
        <w:trPr>
          <w:trHeight w:val="113"/>
        </w:trPr>
        <w:tc>
          <w:tcPr>
            <w:cnfStyle w:val="001000000000" w:firstRow="0" w:lastRow="0" w:firstColumn="1" w:lastColumn="0" w:oddVBand="0" w:evenVBand="0" w:oddHBand="0" w:evenHBand="0" w:firstRowFirstColumn="0" w:firstRowLastColumn="0" w:lastRowFirstColumn="0" w:lastRowLastColumn="0"/>
            <w:tcW w:w="1414" w:type="pct"/>
            <w:hideMark/>
          </w:tcPr>
          <w:p w:rsidR="00F62368" w:rsidRPr="00F62368" w:rsidRDefault="00F62368" w:rsidP="00382AF7">
            <w:pPr>
              <w:jc w:val="left"/>
              <w:rPr>
                <w:rFonts w:ascii="Calibri" w:eastAsia="Times New Roman" w:hAnsi="Calibri" w:cs="Arial"/>
                <w:sz w:val="19"/>
                <w:szCs w:val="19"/>
                <w:lang w:eastAsia="sl-SI"/>
              </w:rPr>
            </w:pPr>
            <w:r w:rsidRPr="00F62368">
              <w:rPr>
                <w:rFonts w:ascii="Calibri" w:eastAsia="Times New Roman" w:hAnsi="Calibri" w:cs="Arial"/>
                <w:sz w:val="19"/>
                <w:szCs w:val="19"/>
                <w:lang w:eastAsia="sl-SI"/>
              </w:rPr>
              <w:t>DRŽAVNE POMOČI</w:t>
            </w:r>
          </w:p>
        </w:tc>
        <w:tc>
          <w:tcPr>
            <w:tcW w:w="472" w:type="pct"/>
            <w:hideMark/>
          </w:tcPr>
          <w:p w:rsidR="00F62368" w:rsidRPr="00F62368" w:rsidRDefault="00F62368" w:rsidP="00382AF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19"/>
                <w:szCs w:val="19"/>
                <w:lang w:eastAsia="sl-SI"/>
              </w:rPr>
            </w:pPr>
            <w:r w:rsidRPr="00F62368">
              <w:rPr>
                <w:rFonts w:ascii="Calibri" w:eastAsia="Times New Roman" w:hAnsi="Calibri" w:cs="Arial"/>
                <w:b/>
                <w:sz w:val="19"/>
                <w:szCs w:val="19"/>
                <w:lang w:eastAsia="sl-SI"/>
              </w:rPr>
              <w:t>v mio EUR</w:t>
            </w:r>
          </w:p>
        </w:tc>
        <w:tc>
          <w:tcPr>
            <w:tcW w:w="611"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9"/>
                <w:szCs w:val="19"/>
                <w:lang w:eastAsia="sl-SI"/>
              </w:rPr>
            </w:pPr>
            <w:r w:rsidRPr="00F62368">
              <w:rPr>
                <w:rFonts w:ascii="Calibri" w:eastAsia="Times New Roman" w:hAnsi="Calibri" w:cs="Arial"/>
                <w:b/>
                <w:bCs/>
                <w:sz w:val="19"/>
                <w:szCs w:val="19"/>
                <w:lang w:eastAsia="sl-SI"/>
              </w:rPr>
              <w:t>553,32</w:t>
            </w:r>
          </w:p>
        </w:tc>
        <w:tc>
          <w:tcPr>
            <w:tcW w:w="535"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9"/>
                <w:szCs w:val="19"/>
                <w:lang w:eastAsia="sl-SI"/>
              </w:rPr>
            </w:pPr>
            <w:r w:rsidRPr="00F62368">
              <w:rPr>
                <w:rFonts w:ascii="Calibri" w:eastAsia="Times New Roman" w:hAnsi="Calibri" w:cs="Arial"/>
                <w:b/>
                <w:bCs/>
                <w:sz w:val="19"/>
                <w:szCs w:val="19"/>
                <w:lang w:eastAsia="sl-SI"/>
              </w:rPr>
              <w:t>375,03</w:t>
            </w:r>
          </w:p>
        </w:tc>
        <w:tc>
          <w:tcPr>
            <w:tcW w:w="610"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9"/>
                <w:szCs w:val="19"/>
                <w:lang w:eastAsia="sl-SI"/>
              </w:rPr>
            </w:pPr>
            <w:r w:rsidRPr="00F62368">
              <w:rPr>
                <w:rFonts w:ascii="Calibri" w:eastAsia="Times New Roman" w:hAnsi="Calibri" w:cs="Arial"/>
                <w:b/>
                <w:bCs/>
                <w:sz w:val="19"/>
                <w:szCs w:val="19"/>
                <w:lang w:eastAsia="sl-SI"/>
              </w:rPr>
              <w:t>427,18</w:t>
            </w:r>
          </w:p>
        </w:tc>
        <w:tc>
          <w:tcPr>
            <w:tcW w:w="762"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9"/>
                <w:szCs w:val="19"/>
                <w:lang w:eastAsia="sl-SI"/>
              </w:rPr>
            </w:pPr>
            <w:r w:rsidRPr="00F62368">
              <w:rPr>
                <w:rFonts w:ascii="Calibri" w:eastAsia="Times New Roman" w:hAnsi="Calibri" w:cs="Arial"/>
                <w:b/>
                <w:bCs/>
                <w:sz w:val="19"/>
                <w:szCs w:val="19"/>
                <w:lang w:eastAsia="sl-SI"/>
              </w:rPr>
              <w:t>52,15</w:t>
            </w:r>
          </w:p>
        </w:tc>
        <w:tc>
          <w:tcPr>
            <w:tcW w:w="595" w:type="pct"/>
            <w:vAlign w:val="center"/>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hAnsi="Calibri" w:cs="Arial"/>
                <w:b/>
                <w:bCs/>
                <w:color w:val="7030A0"/>
                <w:sz w:val="19"/>
                <w:szCs w:val="19"/>
              </w:rPr>
            </w:pPr>
            <w:r w:rsidRPr="00F62368">
              <w:rPr>
                <w:rFonts w:ascii="Calibri" w:hAnsi="Calibri" w:cs="Arial"/>
                <w:b/>
                <w:bCs/>
                <w:sz w:val="19"/>
                <w:szCs w:val="19"/>
              </w:rPr>
              <w:t>13,9%</w:t>
            </w:r>
          </w:p>
        </w:tc>
      </w:tr>
      <w:tr w:rsidR="00F62368" w:rsidRPr="00F62368" w:rsidTr="00F6236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4" w:type="pct"/>
            <w:hideMark/>
          </w:tcPr>
          <w:p w:rsidR="00F62368" w:rsidRPr="00F62368" w:rsidRDefault="00F62368" w:rsidP="00382AF7">
            <w:pPr>
              <w:jc w:val="left"/>
              <w:rPr>
                <w:rFonts w:ascii="Calibri" w:eastAsia="Times New Roman" w:hAnsi="Calibri" w:cs="Arial"/>
                <w:b w:val="0"/>
                <w:sz w:val="19"/>
                <w:szCs w:val="19"/>
                <w:lang w:eastAsia="sl-SI"/>
              </w:rPr>
            </w:pPr>
            <w:r w:rsidRPr="00F62368">
              <w:rPr>
                <w:rFonts w:ascii="Calibri" w:eastAsia="Times New Roman" w:hAnsi="Calibri" w:cs="Arial"/>
                <w:b w:val="0"/>
                <w:sz w:val="19"/>
                <w:szCs w:val="19"/>
                <w:lang w:eastAsia="sl-SI"/>
              </w:rPr>
              <w:t>delež pomoči v BDP</w:t>
            </w:r>
          </w:p>
        </w:tc>
        <w:tc>
          <w:tcPr>
            <w:tcW w:w="472" w:type="pct"/>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v %</w:t>
            </w:r>
          </w:p>
        </w:tc>
        <w:tc>
          <w:tcPr>
            <w:tcW w:w="611"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1,42%</w:t>
            </w:r>
          </w:p>
        </w:tc>
        <w:tc>
          <w:tcPr>
            <w:tcW w:w="535"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0,93%</w:t>
            </w:r>
          </w:p>
        </w:tc>
        <w:tc>
          <w:tcPr>
            <w:tcW w:w="610"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0,99%</w:t>
            </w:r>
          </w:p>
        </w:tc>
        <w:tc>
          <w:tcPr>
            <w:tcW w:w="762"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0,06</w:t>
            </w:r>
          </w:p>
        </w:tc>
        <w:tc>
          <w:tcPr>
            <w:tcW w:w="595" w:type="pct"/>
            <w:vAlign w:val="center"/>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9"/>
                <w:szCs w:val="19"/>
              </w:rPr>
            </w:pPr>
            <w:r w:rsidRPr="00F62368">
              <w:rPr>
                <w:rFonts w:ascii="Calibri" w:hAnsi="Calibri" w:cs="Arial"/>
                <w:bCs/>
                <w:color w:val="000000"/>
                <w:sz w:val="19"/>
                <w:szCs w:val="19"/>
              </w:rPr>
              <w:t>6,5%</w:t>
            </w:r>
          </w:p>
        </w:tc>
      </w:tr>
      <w:tr w:rsidR="00F62368" w:rsidRPr="00F62368" w:rsidTr="00F62368">
        <w:trPr>
          <w:trHeight w:val="113"/>
        </w:trPr>
        <w:tc>
          <w:tcPr>
            <w:cnfStyle w:val="001000000000" w:firstRow="0" w:lastRow="0" w:firstColumn="1" w:lastColumn="0" w:oddVBand="0" w:evenVBand="0" w:oddHBand="0" w:evenHBand="0" w:firstRowFirstColumn="0" w:firstRowLastColumn="0" w:lastRowFirstColumn="0" w:lastRowLastColumn="0"/>
            <w:tcW w:w="1414" w:type="pct"/>
            <w:hideMark/>
          </w:tcPr>
          <w:p w:rsidR="00F62368" w:rsidRPr="00F62368" w:rsidRDefault="00F62368" w:rsidP="00382AF7">
            <w:pPr>
              <w:jc w:val="left"/>
              <w:rPr>
                <w:rFonts w:ascii="Calibri" w:eastAsia="Times New Roman" w:hAnsi="Calibri" w:cs="Arial"/>
                <w:b w:val="0"/>
                <w:sz w:val="19"/>
                <w:szCs w:val="19"/>
                <w:lang w:eastAsia="sl-SI"/>
              </w:rPr>
            </w:pPr>
            <w:r w:rsidRPr="00F62368">
              <w:rPr>
                <w:rFonts w:ascii="Calibri" w:eastAsia="Times New Roman" w:hAnsi="Calibri" w:cs="Arial"/>
                <w:b w:val="0"/>
                <w:sz w:val="19"/>
                <w:szCs w:val="19"/>
                <w:lang w:eastAsia="sl-SI"/>
              </w:rPr>
              <w:t>delež pomoči v dod. vrednosti</w:t>
            </w:r>
          </w:p>
        </w:tc>
        <w:tc>
          <w:tcPr>
            <w:tcW w:w="472" w:type="pct"/>
            <w:hideMark/>
          </w:tcPr>
          <w:p w:rsidR="00F62368" w:rsidRPr="00F62368" w:rsidRDefault="00F62368" w:rsidP="00382AF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v %</w:t>
            </w:r>
          </w:p>
        </w:tc>
        <w:tc>
          <w:tcPr>
            <w:tcW w:w="611"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1,65%</w:t>
            </w:r>
          </w:p>
        </w:tc>
        <w:tc>
          <w:tcPr>
            <w:tcW w:w="535"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1,07%</w:t>
            </w:r>
          </w:p>
        </w:tc>
        <w:tc>
          <w:tcPr>
            <w:tcW w:w="610"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1,13%</w:t>
            </w:r>
          </w:p>
        </w:tc>
        <w:tc>
          <w:tcPr>
            <w:tcW w:w="762"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0,58</w:t>
            </w:r>
          </w:p>
        </w:tc>
        <w:tc>
          <w:tcPr>
            <w:tcW w:w="595" w:type="pct"/>
            <w:vAlign w:val="center"/>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sz w:val="19"/>
                <w:szCs w:val="19"/>
              </w:rPr>
            </w:pPr>
            <w:r w:rsidRPr="00F62368">
              <w:rPr>
                <w:rFonts w:ascii="Calibri" w:hAnsi="Calibri" w:cs="Arial"/>
                <w:bCs/>
                <w:color w:val="000000"/>
                <w:sz w:val="19"/>
                <w:szCs w:val="19"/>
              </w:rPr>
              <w:t>5,6%</w:t>
            </w:r>
          </w:p>
        </w:tc>
      </w:tr>
      <w:tr w:rsidR="00F62368" w:rsidRPr="00F62368" w:rsidTr="00F6236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4" w:type="pct"/>
            <w:hideMark/>
          </w:tcPr>
          <w:p w:rsidR="00F62368" w:rsidRPr="00F62368" w:rsidRDefault="00F62368" w:rsidP="00382AF7">
            <w:pPr>
              <w:jc w:val="left"/>
              <w:rPr>
                <w:rFonts w:ascii="Calibri" w:eastAsia="Times New Roman" w:hAnsi="Calibri" w:cs="Arial"/>
                <w:b w:val="0"/>
                <w:sz w:val="19"/>
                <w:szCs w:val="19"/>
                <w:lang w:eastAsia="sl-SI"/>
              </w:rPr>
            </w:pPr>
            <w:r w:rsidRPr="00F62368">
              <w:rPr>
                <w:rFonts w:ascii="Calibri" w:eastAsia="Times New Roman" w:hAnsi="Calibri" w:cs="Arial"/>
                <w:b w:val="0"/>
                <w:sz w:val="19"/>
                <w:szCs w:val="19"/>
                <w:lang w:eastAsia="sl-SI"/>
              </w:rPr>
              <w:t>delež v odhodkih proračuna*</w:t>
            </w:r>
          </w:p>
        </w:tc>
        <w:tc>
          <w:tcPr>
            <w:tcW w:w="472" w:type="pct"/>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v %</w:t>
            </w:r>
          </w:p>
        </w:tc>
        <w:tc>
          <w:tcPr>
            <w:tcW w:w="611"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5,65%</w:t>
            </w:r>
          </w:p>
        </w:tc>
        <w:tc>
          <w:tcPr>
            <w:tcW w:w="535"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4,17%</w:t>
            </w:r>
          </w:p>
        </w:tc>
        <w:tc>
          <w:tcPr>
            <w:tcW w:w="610"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4,67%</w:t>
            </w:r>
          </w:p>
        </w:tc>
        <w:tc>
          <w:tcPr>
            <w:tcW w:w="762"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0,50</w:t>
            </w:r>
          </w:p>
        </w:tc>
        <w:tc>
          <w:tcPr>
            <w:tcW w:w="595" w:type="pct"/>
            <w:vAlign w:val="center"/>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9"/>
                <w:szCs w:val="19"/>
              </w:rPr>
            </w:pPr>
            <w:r w:rsidRPr="00F62368">
              <w:rPr>
                <w:rFonts w:ascii="Calibri" w:hAnsi="Calibri" w:cs="Arial"/>
                <w:bCs/>
                <w:color w:val="000000"/>
                <w:sz w:val="19"/>
                <w:szCs w:val="19"/>
              </w:rPr>
              <w:t>12,0%</w:t>
            </w:r>
          </w:p>
        </w:tc>
      </w:tr>
      <w:tr w:rsidR="00F62368" w:rsidRPr="00F62368" w:rsidTr="00F62368">
        <w:trPr>
          <w:trHeight w:val="113"/>
        </w:trPr>
        <w:tc>
          <w:tcPr>
            <w:cnfStyle w:val="001000000000" w:firstRow="0" w:lastRow="0" w:firstColumn="1" w:lastColumn="0" w:oddVBand="0" w:evenVBand="0" w:oddHBand="0" w:evenHBand="0" w:firstRowFirstColumn="0" w:firstRowLastColumn="0" w:lastRowFirstColumn="0" w:lastRowLastColumn="0"/>
            <w:tcW w:w="1414" w:type="pct"/>
            <w:hideMark/>
          </w:tcPr>
          <w:p w:rsidR="00F62368" w:rsidRPr="00F62368" w:rsidRDefault="00F62368" w:rsidP="00382AF7">
            <w:pPr>
              <w:jc w:val="left"/>
              <w:rPr>
                <w:rFonts w:ascii="Calibri" w:eastAsia="Times New Roman" w:hAnsi="Calibri" w:cs="Arial"/>
                <w:b w:val="0"/>
                <w:sz w:val="19"/>
                <w:szCs w:val="19"/>
                <w:lang w:eastAsia="sl-SI"/>
              </w:rPr>
            </w:pPr>
            <w:r w:rsidRPr="00F62368">
              <w:rPr>
                <w:rFonts w:ascii="Calibri" w:eastAsia="Times New Roman" w:hAnsi="Calibri" w:cs="Arial"/>
                <w:b w:val="0"/>
                <w:sz w:val="19"/>
                <w:szCs w:val="19"/>
                <w:lang w:eastAsia="sl-SI"/>
              </w:rPr>
              <w:t>pomoči na del. aktivnega</w:t>
            </w:r>
            <w:r w:rsidR="00444BBF">
              <w:rPr>
                <w:rFonts w:ascii="Calibri" w:eastAsia="Times New Roman" w:hAnsi="Calibri" w:cs="Arial"/>
                <w:b w:val="0"/>
                <w:sz w:val="19"/>
                <w:szCs w:val="19"/>
                <w:lang w:eastAsia="sl-SI"/>
              </w:rPr>
              <w:t xml:space="preserve"> preb.</w:t>
            </w:r>
          </w:p>
        </w:tc>
        <w:tc>
          <w:tcPr>
            <w:tcW w:w="472" w:type="pct"/>
            <w:hideMark/>
          </w:tcPr>
          <w:p w:rsidR="00F62368" w:rsidRPr="00F62368" w:rsidRDefault="00F62368" w:rsidP="00382AF7">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v EUR</w:t>
            </w:r>
          </w:p>
        </w:tc>
        <w:tc>
          <w:tcPr>
            <w:tcW w:w="611"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687,66</w:t>
            </w:r>
          </w:p>
        </w:tc>
        <w:tc>
          <w:tcPr>
            <w:tcW w:w="535"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458,92</w:t>
            </w:r>
          </w:p>
        </w:tc>
        <w:tc>
          <w:tcPr>
            <w:tcW w:w="610"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505,27</w:t>
            </w:r>
          </w:p>
        </w:tc>
        <w:tc>
          <w:tcPr>
            <w:tcW w:w="762" w:type="pct"/>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46,35</w:t>
            </w:r>
          </w:p>
        </w:tc>
        <w:tc>
          <w:tcPr>
            <w:tcW w:w="595" w:type="pct"/>
            <w:vAlign w:val="center"/>
            <w:hideMark/>
          </w:tcPr>
          <w:p w:rsidR="00F62368" w:rsidRPr="00F62368" w:rsidRDefault="00F62368" w:rsidP="00382AF7">
            <w:pPr>
              <w:jc w:val="right"/>
              <w:cnfStyle w:val="000000000000" w:firstRow="0" w:lastRow="0" w:firstColumn="0" w:lastColumn="0" w:oddVBand="0" w:evenVBand="0" w:oddHBand="0" w:evenHBand="0" w:firstRowFirstColumn="0" w:firstRowLastColumn="0" w:lastRowFirstColumn="0" w:lastRowLastColumn="0"/>
              <w:rPr>
                <w:rFonts w:ascii="Calibri" w:hAnsi="Calibri" w:cs="Arial"/>
                <w:bCs/>
                <w:color w:val="000000"/>
                <w:sz w:val="19"/>
                <w:szCs w:val="19"/>
              </w:rPr>
            </w:pPr>
            <w:r w:rsidRPr="00F62368">
              <w:rPr>
                <w:rFonts w:ascii="Calibri" w:hAnsi="Calibri" w:cs="Arial"/>
                <w:bCs/>
                <w:color w:val="000000"/>
                <w:sz w:val="19"/>
                <w:szCs w:val="19"/>
              </w:rPr>
              <w:t>10,1%</w:t>
            </w:r>
          </w:p>
        </w:tc>
      </w:tr>
      <w:tr w:rsidR="00F62368" w:rsidRPr="00F62368" w:rsidTr="00F6236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14" w:type="pct"/>
            <w:hideMark/>
          </w:tcPr>
          <w:p w:rsidR="00F62368" w:rsidRPr="00F62368" w:rsidRDefault="00F62368" w:rsidP="00382AF7">
            <w:pPr>
              <w:jc w:val="left"/>
              <w:rPr>
                <w:rFonts w:ascii="Calibri" w:eastAsia="Times New Roman" w:hAnsi="Calibri" w:cs="Arial"/>
                <w:b w:val="0"/>
                <w:sz w:val="19"/>
                <w:szCs w:val="19"/>
                <w:lang w:eastAsia="sl-SI"/>
              </w:rPr>
            </w:pPr>
            <w:r w:rsidRPr="00F62368">
              <w:rPr>
                <w:rFonts w:ascii="Calibri" w:eastAsia="Times New Roman" w:hAnsi="Calibri" w:cs="Arial"/>
                <w:b w:val="0"/>
                <w:sz w:val="19"/>
                <w:szCs w:val="19"/>
                <w:lang w:eastAsia="sl-SI"/>
              </w:rPr>
              <w:t>pomoči na prebivalca</w:t>
            </w:r>
          </w:p>
        </w:tc>
        <w:tc>
          <w:tcPr>
            <w:tcW w:w="472" w:type="pct"/>
            <w:hideMark/>
          </w:tcPr>
          <w:p w:rsidR="00F62368" w:rsidRPr="00F62368" w:rsidRDefault="00F62368" w:rsidP="00382AF7">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F62368">
              <w:rPr>
                <w:rFonts w:ascii="Calibri" w:eastAsia="Times New Roman" w:hAnsi="Calibri" w:cs="Arial"/>
                <w:sz w:val="19"/>
                <w:szCs w:val="19"/>
                <w:lang w:eastAsia="sl-SI"/>
              </w:rPr>
              <w:t>v EUR</w:t>
            </w:r>
          </w:p>
        </w:tc>
        <w:tc>
          <w:tcPr>
            <w:tcW w:w="611"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268,23</w:t>
            </w:r>
          </w:p>
        </w:tc>
        <w:tc>
          <w:tcPr>
            <w:tcW w:w="535"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181,68</w:t>
            </w:r>
          </w:p>
        </w:tc>
        <w:tc>
          <w:tcPr>
            <w:tcW w:w="610"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206,78</w:t>
            </w:r>
          </w:p>
        </w:tc>
        <w:tc>
          <w:tcPr>
            <w:tcW w:w="762" w:type="pct"/>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F62368">
              <w:rPr>
                <w:rFonts w:ascii="Calibri" w:eastAsia="Times New Roman" w:hAnsi="Calibri" w:cs="Arial"/>
                <w:bCs/>
                <w:sz w:val="19"/>
                <w:szCs w:val="19"/>
                <w:lang w:eastAsia="sl-SI"/>
              </w:rPr>
              <w:t>25,1</w:t>
            </w:r>
          </w:p>
        </w:tc>
        <w:tc>
          <w:tcPr>
            <w:tcW w:w="595" w:type="pct"/>
            <w:vAlign w:val="center"/>
            <w:hideMark/>
          </w:tcPr>
          <w:p w:rsidR="00F62368" w:rsidRPr="00F62368" w:rsidRDefault="00F62368" w:rsidP="00382AF7">
            <w:pPr>
              <w:jc w:val="right"/>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9"/>
                <w:szCs w:val="19"/>
              </w:rPr>
            </w:pPr>
            <w:r w:rsidRPr="00F62368">
              <w:rPr>
                <w:rFonts w:ascii="Calibri" w:hAnsi="Calibri" w:cs="Arial"/>
                <w:bCs/>
                <w:color w:val="000000"/>
                <w:sz w:val="19"/>
                <w:szCs w:val="19"/>
              </w:rPr>
              <w:t>13,8%</w:t>
            </w:r>
          </w:p>
        </w:tc>
      </w:tr>
      <w:tr w:rsidR="00F62368" w:rsidRPr="00F62368" w:rsidTr="00382AF7">
        <w:trPr>
          <w:trHeight w:val="113"/>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rsidR="00F62368" w:rsidRPr="00F62368" w:rsidRDefault="00F62368" w:rsidP="00382AF7">
            <w:pPr>
              <w:jc w:val="left"/>
              <w:rPr>
                <w:rFonts w:ascii="Calibri" w:eastAsia="Times New Roman" w:hAnsi="Calibri" w:cs="Arial"/>
                <w:b w:val="0"/>
                <w:sz w:val="19"/>
                <w:szCs w:val="19"/>
                <w:lang w:eastAsia="sl-SI"/>
              </w:rPr>
            </w:pPr>
            <w:r w:rsidRPr="00F62368">
              <w:rPr>
                <w:rFonts w:ascii="Calibri" w:eastAsia="Times New Roman" w:hAnsi="Calibri" w:cs="Arial"/>
                <w:b w:val="0"/>
                <w:sz w:val="19"/>
                <w:szCs w:val="19"/>
                <w:lang w:eastAsia="sl-SI"/>
              </w:rPr>
              <w:t xml:space="preserve">*opomba: državne pomoči lahko predstavljajo večje javnofinančne odhodke ali nižje javnofinančne prihodke </w:t>
            </w:r>
          </w:p>
        </w:tc>
      </w:tr>
    </w:tbl>
    <w:p w:rsidR="00F62368" w:rsidRDefault="00F62368" w:rsidP="008F216A">
      <w:pPr>
        <w:pStyle w:val="ListParagraph"/>
        <w:spacing w:after="0" w:line="276" w:lineRule="auto"/>
        <w:ind w:left="0"/>
        <w:rPr>
          <w:rFonts w:asciiTheme="minorHAnsi" w:hAnsiTheme="minorHAnsi"/>
        </w:rPr>
      </w:pPr>
    </w:p>
    <w:p w:rsidR="00AE2102" w:rsidRDefault="00A55413" w:rsidP="00AE2102">
      <w:pPr>
        <w:pStyle w:val="ListParagraph"/>
        <w:spacing w:line="276" w:lineRule="auto"/>
        <w:ind w:left="0"/>
        <w:rPr>
          <w:rFonts w:asciiTheme="minorHAnsi" w:hAnsiTheme="minorHAnsi"/>
        </w:rPr>
      </w:pPr>
      <w:r w:rsidRPr="00D050E9">
        <w:rPr>
          <w:rFonts w:asciiTheme="minorHAnsi" w:hAnsiTheme="minorHAnsi"/>
        </w:rPr>
        <w:t>V letu 2017 so se državne pomoči po nekaj letnem obdobju zmanjševanja nekoliko povečal</w:t>
      </w:r>
      <w:r w:rsidR="00A17341" w:rsidRPr="00D050E9">
        <w:rPr>
          <w:rFonts w:asciiTheme="minorHAnsi" w:hAnsiTheme="minorHAnsi"/>
        </w:rPr>
        <w:t>e</w:t>
      </w:r>
      <w:r w:rsidRPr="00D050E9">
        <w:rPr>
          <w:rFonts w:asciiTheme="minorHAnsi" w:hAnsiTheme="minorHAnsi"/>
        </w:rPr>
        <w:t>, še vedno pa so bile precej nižje kot v letih 2011–2015, ko so državne pomoči dosegale najvišje vrednosti</w:t>
      </w:r>
      <w:r w:rsidR="005E3161" w:rsidRPr="00D050E9">
        <w:rPr>
          <w:rFonts w:asciiTheme="minorHAnsi" w:hAnsiTheme="minorHAnsi"/>
        </w:rPr>
        <w:t xml:space="preserve">, </w:t>
      </w:r>
      <w:r w:rsidR="003F6F01" w:rsidRPr="00D050E9">
        <w:rPr>
          <w:rFonts w:asciiTheme="minorHAnsi" w:hAnsiTheme="minorHAnsi"/>
        </w:rPr>
        <w:t xml:space="preserve">v vseh letih več 500 mio EUR </w:t>
      </w:r>
      <w:r w:rsidR="005E3161" w:rsidRPr="00D050E9">
        <w:rPr>
          <w:rFonts w:asciiTheme="minorHAnsi" w:hAnsiTheme="minorHAnsi"/>
        </w:rPr>
        <w:t>na leto</w:t>
      </w:r>
      <w:r w:rsidR="00B120E2" w:rsidRPr="00D050E9">
        <w:rPr>
          <w:rFonts w:asciiTheme="minorHAnsi" w:hAnsiTheme="minorHAnsi"/>
        </w:rPr>
        <w:t xml:space="preserve"> in tudi do 1,6 % BDP</w:t>
      </w:r>
      <w:r w:rsidR="00460F1F" w:rsidRPr="00D050E9">
        <w:rPr>
          <w:rFonts w:asciiTheme="minorHAnsi" w:hAnsiTheme="minorHAnsi"/>
        </w:rPr>
        <w:t xml:space="preserve"> Slovenije</w:t>
      </w:r>
      <w:r w:rsidRPr="00D050E9">
        <w:rPr>
          <w:rFonts w:asciiTheme="minorHAnsi" w:hAnsiTheme="minorHAnsi"/>
        </w:rPr>
        <w:t>.</w:t>
      </w:r>
    </w:p>
    <w:p w:rsidR="00825909" w:rsidRPr="00D050E9" w:rsidRDefault="00825909" w:rsidP="00825909">
      <w:pPr>
        <w:pStyle w:val="Caption"/>
        <w:rPr>
          <w:color w:val="auto"/>
        </w:rPr>
      </w:pPr>
      <w:bookmarkStart w:id="8" w:name="_Toc530654616"/>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w:t>
      </w:r>
      <w:r w:rsidRPr="00D050E9">
        <w:rPr>
          <w:color w:val="auto"/>
        </w:rPr>
        <w:fldChar w:fldCharType="end"/>
      </w:r>
      <w:r w:rsidRPr="00D050E9">
        <w:rPr>
          <w:color w:val="auto"/>
        </w:rPr>
        <w:t>: Državne pomoči v Sloveniji v letih 2008—2017, v mio EUR in kot delež BDP</w:t>
      </w:r>
      <w:bookmarkEnd w:id="8"/>
    </w:p>
    <w:p w:rsidR="002E7259" w:rsidRPr="00D050E9" w:rsidRDefault="002E7259" w:rsidP="001D399B">
      <w:pPr>
        <w:spacing w:line="276" w:lineRule="auto"/>
        <w:rPr>
          <w:rFonts w:asciiTheme="minorHAnsi" w:hAnsiTheme="minorHAnsi"/>
        </w:rPr>
      </w:pPr>
      <w:r w:rsidRPr="00D050E9">
        <w:rPr>
          <w:rFonts w:asciiTheme="minorHAnsi" w:hAnsiTheme="minorHAnsi"/>
          <w:noProof/>
          <w:lang w:eastAsia="sl-SI"/>
        </w:rPr>
        <w:drawing>
          <wp:inline distT="0" distB="0" distL="0" distR="0" wp14:anchorId="3B3F9C46" wp14:editId="125AF9AE">
            <wp:extent cx="5951220" cy="28879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399B" w:rsidRPr="00D050E9" w:rsidRDefault="001D399B" w:rsidP="001D399B">
      <w:pPr>
        <w:spacing w:line="276" w:lineRule="auto"/>
      </w:pPr>
      <w:r w:rsidRPr="00D050E9">
        <w:rPr>
          <w:rFonts w:asciiTheme="minorHAnsi" w:hAnsiTheme="minorHAnsi"/>
        </w:rPr>
        <w:lastRenderedPageBreak/>
        <w:t>V letih 2009–2014 so se državne pomoči dodeljevale tudi za blažitev finančne krize</w:t>
      </w:r>
      <w:r w:rsidR="004F3344" w:rsidRPr="00D050E9">
        <w:rPr>
          <w:rFonts w:asciiTheme="minorHAnsi" w:hAnsiTheme="minorHAnsi"/>
        </w:rPr>
        <w:t xml:space="preserve"> (pomoči bankam)</w:t>
      </w:r>
      <w:r w:rsidRPr="00D050E9">
        <w:rPr>
          <w:rFonts w:asciiTheme="minorHAnsi" w:hAnsiTheme="minorHAnsi"/>
        </w:rPr>
        <w:t xml:space="preserve">. Te pomoči so se dodeljevale po posebnih pravilih in le za omejeno obdobje, zato se skladno z metodologijo EU prikazujejo ločeno. Za krizne ukrepe je bilo v Sloveniji skupaj izplačanih 4,7 mrd EUR, največ v letu </w:t>
      </w:r>
      <w:r w:rsidR="00825909" w:rsidRPr="00D050E9">
        <w:rPr>
          <w:rFonts w:asciiTheme="minorHAnsi" w:hAnsiTheme="minorHAnsi"/>
        </w:rPr>
        <w:t xml:space="preserve"> </w:t>
      </w:r>
      <w:r w:rsidRPr="00D050E9">
        <w:rPr>
          <w:rFonts w:asciiTheme="minorHAnsi" w:hAnsiTheme="minorHAnsi"/>
        </w:rPr>
        <w:t>2013 (3,3 mrd EUR). Delež državnih pomoči skupaj s kriznimi ukrepi je v tem letu dosegel 10,8 % BDP. Zadnje pomoči za krizne ukrepe so bile izplačane v letu 2014 (433 mio EUR). V letih 2015–2017</w:t>
      </w:r>
      <w:r w:rsidR="00825909" w:rsidRPr="00D050E9">
        <w:rPr>
          <w:rFonts w:asciiTheme="minorHAnsi" w:hAnsiTheme="minorHAnsi"/>
        </w:rPr>
        <w:t xml:space="preserve"> se pomoči za kri</w:t>
      </w:r>
      <w:r w:rsidRPr="00D050E9">
        <w:rPr>
          <w:rFonts w:asciiTheme="minorHAnsi" w:hAnsiTheme="minorHAnsi"/>
        </w:rPr>
        <w:t>zne ukrepe niso izplačevale</w:t>
      </w:r>
      <w:r w:rsidRPr="00D050E9">
        <w:t>.</w:t>
      </w:r>
    </w:p>
    <w:p w:rsidR="00825909" w:rsidRPr="00D050E9" w:rsidRDefault="00825909" w:rsidP="00825909">
      <w:pPr>
        <w:pStyle w:val="Caption"/>
        <w:rPr>
          <w:color w:val="auto"/>
        </w:rPr>
      </w:pPr>
      <w:bookmarkStart w:id="9" w:name="_Toc530654617"/>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w:t>
      </w:r>
      <w:r w:rsidRPr="00D050E9">
        <w:rPr>
          <w:color w:val="auto"/>
        </w:rPr>
        <w:fldChar w:fldCharType="end"/>
      </w:r>
      <w:r w:rsidRPr="00D050E9">
        <w:rPr>
          <w:color w:val="auto"/>
        </w:rPr>
        <w:t>: Državne pomoči vključno s pomočmi za krizne ukrepe, v mio EUR in kot delež BDP</w:t>
      </w:r>
      <w:bookmarkEnd w:id="9"/>
      <w:r w:rsidRPr="00D050E9">
        <w:rPr>
          <w:color w:val="auto"/>
        </w:rPr>
        <w:t xml:space="preserve"> </w:t>
      </w:r>
    </w:p>
    <w:p w:rsidR="002E7259" w:rsidRPr="00D050E9" w:rsidRDefault="002E7259" w:rsidP="001D399B">
      <w:pPr>
        <w:spacing w:line="276" w:lineRule="auto"/>
        <w:rPr>
          <w:rFonts w:asciiTheme="minorHAnsi" w:hAnsiTheme="minorHAnsi"/>
        </w:rPr>
      </w:pPr>
      <w:r w:rsidRPr="00D050E9">
        <w:rPr>
          <w:rFonts w:asciiTheme="minorHAnsi" w:hAnsiTheme="minorHAnsi"/>
          <w:noProof/>
          <w:lang w:eastAsia="sl-SI"/>
        </w:rPr>
        <w:drawing>
          <wp:inline distT="0" distB="0" distL="0" distR="0" wp14:anchorId="4729504B" wp14:editId="16FA1D0C">
            <wp:extent cx="5760720" cy="2834640"/>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2102" w:rsidRPr="00D050E9" w:rsidRDefault="00780C97" w:rsidP="00E72379">
      <w:pPr>
        <w:pStyle w:val="Heading2"/>
      </w:pPr>
      <w:bookmarkStart w:id="10" w:name="_Toc528581780"/>
      <w:bookmarkStart w:id="11" w:name="_Toc528594647"/>
      <w:bookmarkStart w:id="12" w:name="_Toc530654534"/>
      <w:r w:rsidRPr="00D050E9">
        <w:t>1.2</w:t>
      </w:r>
      <w:r w:rsidR="009B046C" w:rsidRPr="00D050E9">
        <w:t xml:space="preserve"> </w:t>
      </w:r>
      <w:r w:rsidR="00216C64" w:rsidRPr="00D050E9">
        <w:t xml:space="preserve">SPREMEMBE OBSEGA POMOČI </w:t>
      </w:r>
      <w:r w:rsidR="00790B07" w:rsidRPr="00D050E9">
        <w:t xml:space="preserve">V </w:t>
      </w:r>
      <w:r w:rsidR="00216C64" w:rsidRPr="00D050E9">
        <w:t>LETU</w:t>
      </w:r>
      <w:r w:rsidR="00AE2102" w:rsidRPr="00D050E9">
        <w:t xml:space="preserve"> 2017</w:t>
      </w:r>
      <w:bookmarkEnd w:id="10"/>
      <w:bookmarkEnd w:id="11"/>
      <w:bookmarkEnd w:id="12"/>
    </w:p>
    <w:p w:rsidR="009B046C" w:rsidRPr="00D050E9" w:rsidRDefault="009B046C" w:rsidP="009B046C">
      <w:pPr>
        <w:spacing w:after="0" w:line="276" w:lineRule="auto"/>
        <w:rPr>
          <w:rFonts w:asciiTheme="minorHAnsi" w:hAnsiTheme="minorHAnsi"/>
        </w:rPr>
      </w:pPr>
    </w:p>
    <w:p w:rsidR="00792C8B" w:rsidRPr="00D050E9" w:rsidRDefault="00B120E2" w:rsidP="001C7ACE">
      <w:pPr>
        <w:spacing w:line="276" w:lineRule="auto"/>
        <w:rPr>
          <w:rFonts w:asciiTheme="minorHAnsi" w:hAnsiTheme="minorHAnsi"/>
        </w:rPr>
      </w:pPr>
      <w:r w:rsidRPr="00D050E9">
        <w:rPr>
          <w:rFonts w:asciiTheme="minorHAnsi" w:hAnsiTheme="minorHAnsi"/>
        </w:rPr>
        <w:t xml:space="preserve">Povečanje obsega državnih pomoči v letu 2017 pomeni prvo povečanje po letu 2013. Povečale so se državne </w:t>
      </w:r>
      <w:r w:rsidR="00792C8B" w:rsidRPr="00D050E9">
        <w:rPr>
          <w:rFonts w:asciiTheme="minorHAnsi" w:hAnsiTheme="minorHAnsi"/>
        </w:rPr>
        <w:t xml:space="preserve">pomoči </w:t>
      </w:r>
      <w:r w:rsidR="001C3C21">
        <w:rPr>
          <w:rFonts w:asciiTheme="minorHAnsi" w:hAnsiTheme="minorHAnsi"/>
        </w:rPr>
        <w:t>v vseh glavnih skupinah pomoči -</w:t>
      </w:r>
      <w:r w:rsidR="00792C8B" w:rsidRPr="00D050E9">
        <w:rPr>
          <w:rFonts w:asciiTheme="minorHAnsi" w:hAnsiTheme="minorHAnsi"/>
        </w:rPr>
        <w:t xml:space="preserve"> tako horizontalne pomoči</w:t>
      </w:r>
      <w:r w:rsidR="008B7FFE" w:rsidRPr="00D050E9">
        <w:rPr>
          <w:rFonts w:asciiTheme="minorHAnsi" w:hAnsiTheme="minorHAnsi"/>
        </w:rPr>
        <w:t xml:space="preserve"> (+39,01 mio EUR ali </w:t>
      </w:r>
      <w:r w:rsidR="005034B0" w:rsidRPr="00D050E9">
        <w:rPr>
          <w:rFonts w:asciiTheme="minorHAnsi" w:hAnsiTheme="minorHAnsi"/>
        </w:rPr>
        <w:t>+</w:t>
      </w:r>
      <w:r w:rsidR="008B7FFE" w:rsidRPr="00D050E9">
        <w:rPr>
          <w:rFonts w:asciiTheme="minorHAnsi" w:hAnsiTheme="minorHAnsi"/>
        </w:rPr>
        <w:t>12,5 %)</w:t>
      </w:r>
      <w:r w:rsidR="00792C8B" w:rsidRPr="00D050E9">
        <w:rPr>
          <w:rFonts w:asciiTheme="minorHAnsi" w:hAnsiTheme="minorHAnsi"/>
        </w:rPr>
        <w:t>, kot pomoči za posebne sektorje</w:t>
      </w:r>
      <w:r w:rsidR="008B7FFE" w:rsidRPr="00D050E9">
        <w:rPr>
          <w:rFonts w:asciiTheme="minorHAnsi" w:hAnsiTheme="minorHAnsi"/>
        </w:rPr>
        <w:t xml:space="preserve"> (+5,19 mio EUR ali </w:t>
      </w:r>
      <w:r w:rsidR="005034B0" w:rsidRPr="00D050E9">
        <w:rPr>
          <w:rFonts w:asciiTheme="minorHAnsi" w:hAnsiTheme="minorHAnsi"/>
        </w:rPr>
        <w:t>+</w:t>
      </w:r>
      <w:r w:rsidR="008B7FFE" w:rsidRPr="00D050E9">
        <w:rPr>
          <w:rFonts w:asciiTheme="minorHAnsi" w:hAnsiTheme="minorHAnsi"/>
        </w:rPr>
        <w:t>9,1</w:t>
      </w:r>
      <w:r w:rsidRPr="00D050E9">
        <w:rPr>
          <w:rFonts w:asciiTheme="minorHAnsi" w:hAnsiTheme="minorHAnsi"/>
        </w:rPr>
        <w:t xml:space="preserve"> </w:t>
      </w:r>
      <w:r w:rsidR="008B7FFE" w:rsidRPr="00D050E9">
        <w:rPr>
          <w:rFonts w:asciiTheme="minorHAnsi" w:hAnsiTheme="minorHAnsi"/>
        </w:rPr>
        <w:t xml:space="preserve">%) </w:t>
      </w:r>
      <w:r w:rsidR="00792C8B" w:rsidRPr="00D050E9">
        <w:rPr>
          <w:rFonts w:asciiTheme="minorHAnsi" w:hAnsiTheme="minorHAnsi"/>
        </w:rPr>
        <w:t xml:space="preserve"> ter za kmetijstvo in ribištvo</w:t>
      </w:r>
      <w:r w:rsidR="008B7FFE" w:rsidRPr="00D050E9">
        <w:rPr>
          <w:rFonts w:asciiTheme="minorHAnsi" w:hAnsiTheme="minorHAnsi"/>
        </w:rPr>
        <w:t xml:space="preserve"> (+7,95 mio EUR ali </w:t>
      </w:r>
      <w:r w:rsidR="005034B0" w:rsidRPr="00D050E9">
        <w:rPr>
          <w:rFonts w:asciiTheme="minorHAnsi" w:hAnsiTheme="minorHAnsi"/>
        </w:rPr>
        <w:t>+</w:t>
      </w:r>
      <w:r w:rsidR="008B7FFE" w:rsidRPr="00D050E9">
        <w:rPr>
          <w:rFonts w:asciiTheme="minorHAnsi" w:hAnsiTheme="minorHAnsi"/>
        </w:rPr>
        <w:t>132,7</w:t>
      </w:r>
      <w:r w:rsidRPr="00D050E9">
        <w:rPr>
          <w:rFonts w:asciiTheme="minorHAnsi" w:hAnsiTheme="minorHAnsi"/>
        </w:rPr>
        <w:t xml:space="preserve"> </w:t>
      </w:r>
      <w:r w:rsidR="008B7FFE" w:rsidRPr="00D050E9">
        <w:rPr>
          <w:rFonts w:asciiTheme="minorHAnsi" w:hAnsiTheme="minorHAnsi"/>
        </w:rPr>
        <w:t>%)</w:t>
      </w:r>
      <w:r w:rsidR="00792C8B" w:rsidRPr="00D050E9">
        <w:rPr>
          <w:rFonts w:asciiTheme="minorHAnsi" w:hAnsiTheme="minorHAnsi"/>
        </w:rPr>
        <w:t xml:space="preserve">. </w:t>
      </w:r>
    </w:p>
    <w:p w:rsidR="00846984" w:rsidRPr="00D050E9" w:rsidRDefault="00792C8B" w:rsidP="001C7ACE">
      <w:pPr>
        <w:spacing w:line="276" w:lineRule="auto"/>
        <w:rPr>
          <w:rFonts w:asciiTheme="minorHAnsi" w:hAnsiTheme="minorHAnsi"/>
        </w:rPr>
      </w:pPr>
      <w:r w:rsidRPr="00D050E9">
        <w:rPr>
          <w:rFonts w:asciiTheme="minorHAnsi" w:hAnsiTheme="minorHAnsi"/>
        </w:rPr>
        <w:t>Na</w:t>
      </w:r>
      <w:r w:rsidR="008B7FFE" w:rsidRPr="00D050E9">
        <w:rPr>
          <w:rFonts w:asciiTheme="minorHAnsi" w:hAnsiTheme="minorHAnsi"/>
        </w:rPr>
        <w:t xml:space="preserve">jbolj so se povečale pomoči </w:t>
      </w:r>
      <w:r w:rsidRPr="00D050E9">
        <w:rPr>
          <w:rFonts w:asciiTheme="minorHAnsi" w:hAnsiTheme="minorHAnsi"/>
        </w:rPr>
        <w:t>za raziskave, razvoj in inovacije, za 23,75 mio EUR</w:t>
      </w:r>
      <w:r w:rsidR="008B7FFE" w:rsidRPr="00D050E9">
        <w:rPr>
          <w:rFonts w:asciiTheme="minorHAnsi" w:hAnsiTheme="minorHAnsi"/>
        </w:rPr>
        <w:t>, kar</w:t>
      </w:r>
      <w:r w:rsidR="00074F0B" w:rsidRPr="00D050E9">
        <w:rPr>
          <w:rFonts w:asciiTheme="minorHAnsi" w:hAnsiTheme="minorHAnsi"/>
        </w:rPr>
        <w:t xml:space="preserve"> pomeni za</w:t>
      </w:r>
      <w:r w:rsidR="008B7FFE" w:rsidRPr="00D050E9">
        <w:rPr>
          <w:rFonts w:asciiTheme="minorHAnsi" w:hAnsiTheme="minorHAnsi"/>
        </w:rPr>
        <w:t xml:space="preserve"> </w:t>
      </w:r>
      <w:r w:rsidRPr="00D050E9">
        <w:rPr>
          <w:rFonts w:asciiTheme="minorHAnsi" w:hAnsiTheme="minorHAnsi"/>
        </w:rPr>
        <w:t>več kot dva krat glede na leto 2016</w:t>
      </w:r>
      <w:r w:rsidR="00846984" w:rsidRPr="00D050E9">
        <w:rPr>
          <w:rFonts w:asciiTheme="minorHAnsi" w:hAnsiTheme="minorHAnsi"/>
        </w:rPr>
        <w:t xml:space="preserve"> (+223 %)</w:t>
      </w:r>
      <w:r w:rsidRPr="00D050E9">
        <w:rPr>
          <w:rFonts w:asciiTheme="minorHAnsi" w:hAnsiTheme="minorHAnsi"/>
        </w:rPr>
        <w:t>,</w:t>
      </w:r>
      <w:r w:rsidR="00846984" w:rsidRPr="00D050E9">
        <w:rPr>
          <w:rFonts w:asciiTheme="minorHAnsi" w:hAnsiTheme="minorHAnsi"/>
        </w:rPr>
        <w:t xml:space="preserve"> na 34,40 mio EUR</w:t>
      </w:r>
      <w:r w:rsidR="00E6037E">
        <w:rPr>
          <w:rFonts w:asciiTheme="minorHAnsi" w:hAnsiTheme="minorHAnsi"/>
        </w:rPr>
        <w:t>,</w:t>
      </w:r>
      <w:r w:rsidRPr="00D050E9">
        <w:rPr>
          <w:rFonts w:asciiTheme="minorHAnsi" w:hAnsiTheme="minorHAnsi"/>
        </w:rPr>
        <w:t xml:space="preserve"> sledijo pomoči za zaposlovanje</w:t>
      </w:r>
      <w:r w:rsidR="00846984" w:rsidRPr="00D050E9">
        <w:rPr>
          <w:rFonts w:asciiTheme="minorHAnsi" w:hAnsiTheme="minorHAnsi"/>
        </w:rPr>
        <w:t xml:space="preserve"> (+</w:t>
      </w:r>
      <w:r w:rsidR="004E4026" w:rsidRPr="00D050E9">
        <w:rPr>
          <w:rFonts w:asciiTheme="minorHAnsi" w:hAnsiTheme="minorHAnsi"/>
        </w:rPr>
        <w:t>8,66 mio EUR ali +9,6 %)</w:t>
      </w:r>
      <w:r w:rsidRPr="00D050E9">
        <w:rPr>
          <w:rFonts w:asciiTheme="minorHAnsi" w:hAnsiTheme="minorHAnsi"/>
        </w:rPr>
        <w:t xml:space="preserve"> in </w:t>
      </w:r>
      <w:r w:rsidR="004E4026" w:rsidRPr="00D050E9">
        <w:rPr>
          <w:rFonts w:asciiTheme="minorHAnsi" w:hAnsiTheme="minorHAnsi"/>
        </w:rPr>
        <w:t xml:space="preserve">za </w:t>
      </w:r>
      <w:r w:rsidRPr="00D050E9">
        <w:rPr>
          <w:rFonts w:asciiTheme="minorHAnsi" w:hAnsiTheme="minorHAnsi"/>
        </w:rPr>
        <w:t>kmetijstvo</w:t>
      </w:r>
      <w:r w:rsidR="004E4026" w:rsidRPr="00D050E9">
        <w:rPr>
          <w:rFonts w:asciiTheme="minorHAnsi" w:hAnsiTheme="minorHAnsi"/>
        </w:rPr>
        <w:t xml:space="preserve"> (+</w:t>
      </w:r>
      <w:r w:rsidR="00846984" w:rsidRPr="00D050E9">
        <w:rPr>
          <w:rFonts w:asciiTheme="minorHAnsi" w:hAnsiTheme="minorHAnsi"/>
        </w:rPr>
        <w:t xml:space="preserve">8,41 mio EUR ali +152 %). </w:t>
      </w:r>
    </w:p>
    <w:p w:rsidR="00846984" w:rsidRPr="00D050E9" w:rsidRDefault="00846984" w:rsidP="001C7ACE">
      <w:pPr>
        <w:spacing w:line="276" w:lineRule="auto"/>
        <w:rPr>
          <w:rFonts w:asciiTheme="minorHAnsi" w:hAnsiTheme="minorHAnsi"/>
        </w:rPr>
      </w:pPr>
      <w:r w:rsidRPr="00D050E9">
        <w:rPr>
          <w:rFonts w:asciiTheme="minorHAnsi" w:hAnsiTheme="minorHAnsi"/>
        </w:rPr>
        <w:t>Relativno najbolj so se sicer povečale pomoči za usposabljanje (+590 %), ki pa absolutno dosegajo nizke vrednosti (0,69 mio EUR v letu 2017, 0,10 mio EUR v letu 2016). V letu 2017 so bile</w:t>
      </w:r>
      <w:r w:rsidR="00641524" w:rsidRPr="00D050E9">
        <w:rPr>
          <w:rFonts w:asciiTheme="minorHAnsi" w:hAnsiTheme="minorHAnsi"/>
        </w:rPr>
        <w:t xml:space="preserve"> </w:t>
      </w:r>
      <w:r w:rsidRPr="00D050E9">
        <w:rPr>
          <w:rFonts w:asciiTheme="minorHAnsi" w:hAnsiTheme="minorHAnsi"/>
        </w:rPr>
        <w:t>izplačane tudi pomoči za zračn</w:t>
      </w:r>
      <w:r w:rsidR="00E548B6" w:rsidRPr="00D050E9">
        <w:rPr>
          <w:rFonts w:asciiTheme="minorHAnsi" w:hAnsiTheme="minorHAnsi"/>
        </w:rPr>
        <w:t>i transport (letališča), ki so znašale</w:t>
      </w:r>
      <w:r w:rsidRPr="00D050E9">
        <w:rPr>
          <w:rFonts w:asciiTheme="minorHAnsi" w:hAnsiTheme="minorHAnsi"/>
        </w:rPr>
        <w:t xml:space="preserve"> 0,61 mio EUR. </w:t>
      </w:r>
    </w:p>
    <w:p w:rsidR="00E44328" w:rsidRPr="00D050E9" w:rsidRDefault="008B7FFE" w:rsidP="001C7ACE">
      <w:pPr>
        <w:spacing w:line="276" w:lineRule="auto"/>
        <w:rPr>
          <w:rFonts w:asciiTheme="minorHAnsi" w:hAnsiTheme="minorHAnsi"/>
        </w:rPr>
      </w:pPr>
      <w:r w:rsidRPr="00D050E9">
        <w:rPr>
          <w:rFonts w:asciiTheme="minorHAnsi" w:hAnsiTheme="minorHAnsi"/>
        </w:rPr>
        <w:t>V letu 2017 je bilo manj pomoči</w:t>
      </w:r>
      <w:r w:rsidR="005034B0" w:rsidRPr="00D050E9">
        <w:rPr>
          <w:rFonts w:asciiTheme="minorHAnsi" w:hAnsiTheme="minorHAnsi"/>
        </w:rPr>
        <w:t xml:space="preserve"> izplačanih</w:t>
      </w:r>
      <w:r w:rsidRPr="00D050E9">
        <w:rPr>
          <w:rFonts w:asciiTheme="minorHAnsi" w:hAnsiTheme="minorHAnsi"/>
        </w:rPr>
        <w:t xml:space="preserve"> </w:t>
      </w:r>
      <w:r w:rsidR="00846984" w:rsidRPr="00D050E9">
        <w:rPr>
          <w:rFonts w:asciiTheme="minorHAnsi" w:hAnsiTheme="minorHAnsi"/>
        </w:rPr>
        <w:t xml:space="preserve">le </w:t>
      </w:r>
      <w:r w:rsidR="005034B0" w:rsidRPr="00D050E9">
        <w:rPr>
          <w:rFonts w:asciiTheme="minorHAnsi" w:hAnsiTheme="minorHAnsi"/>
        </w:rPr>
        <w:t xml:space="preserve">v treh kategorijah pomoči, in sicer </w:t>
      </w:r>
      <w:r w:rsidRPr="00D050E9">
        <w:rPr>
          <w:rFonts w:asciiTheme="minorHAnsi" w:hAnsiTheme="minorHAnsi"/>
        </w:rPr>
        <w:t xml:space="preserve">za reševanje in </w:t>
      </w:r>
      <w:r w:rsidRPr="00493CA0">
        <w:rPr>
          <w:rFonts w:asciiTheme="minorHAnsi" w:hAnsiTheme="minorHAnsi"/>
        </w:rPr>
        <w:t>prestru</w:t>
      </w:r>
      <w:r w:rsidR="00B5360B" w:rsidRPr="00493CA0">
        <w:rPr>
          <w:rFonts w:asciiTheme="minorHAnsi" w:hAnsiTheme="minorHAnsi"/>
        </w:rPr>
        <w:t>kturiranje</w:t>
      </w:r>
      <w:r w:rsidR="001C3C21" w:rsidRPr="00493CA0">
        <w:rPr>
          <w:rFonts w:asciiTheme="minorHAnsi" w:hAnsiTheme="minorHAnsi"/>
        </w:rPr>
        <w:t xml:space="preserve"> podjetij v težavah (–</w:t>
      </w:r>
      <w:r w:rsidRPr="00493CA0">
        <w:rPr>
          <w:rFonts w:asciiTheme="minorHAnsi" w:hAnsiTheme="minorHAnsi"/>
        </w:rPr>
        <w:t>1,25 mio EUR</w:t>
      </w:r>
      <w:r w:rsidR="00E548B6" w:rsidRPr="00493CA0">
        <w:rPr>
          <w:rFonts w:asciiTheme="minorHAnsi" w:hAnsiTheme="minorHAnsi"/>
        </w:rPr>
        <w:t xml:space="preserve"> ali –96</w:t>
      </w:r>
      <w:r w:rsidR="001C3C21" w:rsidRPr="00493CA0">
        <w:rPr>
          <w:rFonts w:asciiTheme="minorHAnsi" w:hAnsiTheme="minorHAnsi"/>
        </w:rPr>
        <w:t xml:space="preserve"> </w:t>
      </w:r>
      <w:r w:rsidR="00E548B6" w:rsidRPr="00493CA0">
        <w:rPr>
          <w:rFonts w:asciiTheme="minorHAnsi" w:hAnsiTheme="minorHAnsi"/>
        </w:rPr>
        <w:t>%)</w:t>
      </w:r>
      <w:r w:rsidRPr="00493CA0">
        <w:rPr>
          <w:rFonts w:asciiTheme="minorHAnsi" w:hAnsiTheme="minorHAnsi"/>
        </w:rPr>
        <w:t>, za regi</w:t>
      </w:r>
      <w:r w:rsidR="001C3C21" w:rsidRPr="00493CA0">
        <w:rPr>
          <w:rFonts w:asciiTheme="minorHAnsi" w:hAnsiTheme="minorHAnsi"/>
        </w:rPr>
        <w:t>onalni razvoj (–</w:t>
      </w:r>
      <w:r w:rsidR="00846984" w:rsidRPr="00493CA0">
        <w:rPr>
          <w:rFonts w:asciiTheme="minorHAnsi" w:hAnsiTheme="minorHAnsi"/>
        </w:rPr>
        <w:t>0,99 mio EUR</w:t>
      </w:r>
      <w:r w:rsidR="001C3C21">
        <w:rPr>
          <w:rFonts w:asciiTheme="minorHAnsi" w:hAnsiTheme="minorHAnsi"/>
        </w:rPr>
        <w:t xml:space="preserve"> ali  –</w:t>
      </w:r>
      <w:r w:rsidR="00EE15D3" w:rsidRPr="00D050E9">
        <w:rPr>
          <w:rFonts w:asciiTheme="minorHAnsi" w:hAnsiTheme="minorHAnsi"/>
        </w:rPr>
        <w:t>4</w:t>
      </w:r>
      <w:r w:rsidR="00E548B6" w:rsidRPr="00D050E9">
        <w:rPr>
          <w:rFonts w:asciiTheme="minorHAnsi" w:hAnsiTheme="minorHAnsi"/>
        </w:rPr>
        <w:t>,5%</w:t>
      </w:r>
      <w:r w:rsidR="00846984" w:rsidRPr="00D050E9">
        <w:rPr>
          <w:rFonts w:asciiTheme="minorHAnsi" w:hAnsiTheme="minorHAnsi"/>
        </w:rPr>
        <w:t>) ter</w:t>
      </w:r>
      <w:r w:rsidRPr="00D050E9">
        <w:rPr>
          <w:rFonts w:asciiTheme="minorHAnsi" w:hAnsiTheme="minorHAnsi"/>
        </w:rPr>
        <w:t xml:space="preserve"> za ribištvo</w:t>
      </w:r>
      <w:r w:rsidR="001C3C21">
        <w:rPr>
          <w:rFonts w:asciiTheme="minorHAnsi" w:hAnsiTheme="minorHAnsi"/>
        </w:rPr>
        <w:t xml:space="preserve"> (–</w:t>
      </w:r>
      <w:r w:rsidR="00846984" w:rsidRPr="00D050E9">
        <w:rPr>
          <w:rFonts w:asciiTheme="minorHAnsi" w:hAnsiTheme="minorHAnsi"/>
        </w:rPr>
        <w:t xml:space="preserve">0,47 mio EUR), slednje v letu </w:t>
      </w:r>
      <w:r w:rsidR="00E44328" w:rsidRPr="00D050E9">
        <w:rPr>
          <w:rFonts w:asciiTheme="minorHAnsi" w:hAnsiTheme="minorHAnsi"/>
        </w:rPr>
        <w:t xml:space="preserve">2017 niso bile izplačane. </w:t>
      </w:r>
    </w:p>
    <w:p w:rsidR="00B120E2" w:rsidRPr="00D050E9" w:rsidRDefault="00B120E2" w:rsidP="001C7ACE">
      <w:pPr>
        <w:spacing w:line="276" w:lineRule="auto"/>
        <w:rPr>
          <w:rFonts w:asciiTheme="minorHAnsi" w:hAnsiTheme="minorHAnsi"/>
          <w:highlight w:val="lightGray"/>
        </w:rPr>
      </w:pPr>
    </w:p>
    <w:p w:rsidR="00EE15D3" w:rsidRPr="00D050E9" w:rsidRDefault="00EE15D3" w:rsidP="001C7ACE">
      <w:pPr>
        <w:spacing w:line="276" w:lineRule="auto"/>
        <w:rPr>
          <w:rFonts w:asciiTheme="minorHAnsi" w:hAnsiTheme="minorHAnsi"/>
          <w:highlight w:val="lightGray"/>
        </w:rPr>
      </w:pPr>
    </w:p>
    <w:p w:rsidR="00216C64" w:rsidRPr="00D050E9" w:rsidRDefault="00216C64" w:rsidP="00216C64">
      <w:pPr>
        <w:pStyle w:val="Caption"/>
        <w:rPr>
          <w:color w:val="auto"/>
        </w:rPr>
      </w:pPr>
      <w:bookmarkStart w:id="13" w:name="_Toc530654618"/>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w:t>
      </w:r>
      <w:r w:rsidRPr="00D050E9">
        <w:rPr>
          <w:color w:val="auto"/>
        </w:rPr>
        <w:fldChar w:fldCharType="end"/>
      </w:r>
      <w:r w:rsidRPr="00D050E9">
        <w:rPr>
          <w:color w:val="auto"/>
        </w:rPr>
        <w:t>:  Spremembe obsega pomoči v letu 2017 glede na predhodno leto po kategorijah</w:t>
      </w:r>
      <w:bookmarkEnd w:id="13"/>
    </w:p>
    <w:p w:rsidR="0098390D" w:rsidRPr="00D050E9" w:rsidRDefault="0098390D" w:rsidP="0098390D">
      <w:pPr>
        <w:spacing w:after="0"/>
        <w:rPr>
          <w:lang w:bidi="hi-IN"/>
        </w:rPr>
      </w:pPr>
    </w:p>
    <w:p w:rsidR="00AE2102" w:rsidRPr="00D050E9" w:rsidRDefault="00AE2102" w:rsidP="0098390D">
      <w:pPr>
        <w:spacing w:after="0" w:line="276" w:lineRule="auto"/>
        <w:rPr>
          <w:rFonts w:asciiTheme="minorHAnsi" w:hAnsiTheme="minorHAnsi"/>
        </w:rPr>
      </w:pPr>
      <w:r w:rsidRPr="00D050E9">
        <w:rPr>
          <w:noProof/>
          <w:lang w:eastAsia="sl-SI"/>
        </w:rPr>
        <w:drawing>
          <wp:inline distT="0" distB="0" distL="0" distR="0" wp14:anchorId="143919FF" wp14:editId="6DA70DCC">
            <wp:extent cx="5882640" cy="2948940"/>
            <wp:effectExtent l="0" t="0" r="381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20E2" w:rsidRPr="00D050E9" w:rsidRDefault="00B120E2" w:rsidP="00B120E2">
      <w:pPr>
        <w:spacing w:line="276" w:lineRule="auto"/>
        <w:rPr>
          <w:rFonts w:asciiTheme="minorHAnsi" w:hAnsiTheme="minorHAnsi"/>
          <w:bCs/>
        </w:rPr>
      </w:pPr>
      <w:r w:rsidRPr="00493CA0">
        <w:rPr>
          <w:rFonts w:asciiTheme="minorHAnsi" w:hAnsiTheme="minorHAnsi"/>
        </w:rPr>
        <w:t xml:space="preserve">Spremembe obsega </w:t>
      </w:r>
      <w:r w:rsidR="00CA041A" w:rsidRPr="00493CA0">
        <w:rPr>
          <w:rFonts w:asciiTheme="minorHAnsi" w:hAnsiTheme="minorHAnsi"/>
        </w:rPr>
        <w:t xml:space="preserve">državnih </w:t>
      </w:r>
      <w:r w:rsidRPr="00493CA0">
        <w:rPr>
          <w:rFonts w:asciiTheme="minorHAnsi" w:hAnsiTheme="minorHAnsi"/>
        </w:rPr>
        <w:t>pomoči v zadnjih treh letih (2015</w:t>
      </w:r>
      <w:r w:rsidRPr="00493CA0">
        <w:rPr>
          <w:rFonts w:asciiTheme="minorHAnsi" w:hAnsiTheme="minorHAnsi"/>
          <w:bCs/>
        </w:rPr>
        <w:t>–</w:t>
      </w:r>
      <w:r w:rsidR="00CA041A" w:rsidRPr="00493CA0">
        <w:rPr>
          <w:rFonts w:asciiTheme="minorHAnsi" w:hAnsiTheme="minorHAnsi"/>
          <w:bCs/>
        </w:rPr>
        <w:t>2017) kažejo ponovno povečevanje</w:t>
      </w:r>
      <w:r w:rsidRPr="00493CA0">
        <w:rPr>
          <w:rFonts w:asciiTheme="minorHAnsi" w:hAnsiTheme="minorHAnsi"/>
          <w:bCs/>
        </w:rPr>
        <w:t xml:space="preserve"> pomoči v večini kategorij, z izjemo pomoč</w:t>
      </w:r>
      <w:r w:rsidR="000C68A8" w:rsidRPr="00493CA0">
        <w:rPr>
          <w:rFonts w:asciiTheme="minorHAnsi" w:hAnsiTheme="minorHAnsi"/>
          <w:bCs/>
        </w:rPr>
        <w:t>i</w:t>
      </w:r>
      <w:r w:rsidRPr="00493CA0">
        <w:rPr>
          <w:rFonts w:asciiTheme="minorHAnsi" w:hAnsiTheme="minorHAnsi"/>
          <w:bCs/>
        </w:rPr>
        <w:t xml:space="preserve"> za regionalni razvoj, ki se še naprej zmanjšujejo.</w:t>
      </w:r>
      <w:r w:rsidRPr="00D050E9">
        <w:rPr>
          <w:rFonts w:asciiTheme="minorHAnsi" w:hAnsiTheme="minorHAnsi"/>
          <w:bCs/>
        </w:rPr>
        <w:t xml:space="preserve"> </w:t>
      </w:r>
    </w:p>
    <w:p w:rsidR="0098390D" w:rsidRPr="00D050E9" w:rsidRDefault="0098390D" w:rsidP="0098390D">
      <w:pPr>
        <w:pStyle w:val="Caption"/>
        <w:rPr>
          <w:color w:val="auto"/>
        </w:rPr>
      </w:pPr>
      <w:bookmarkStart w:id="14" w:name="_Toc530654619"/>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w:t>
      </w:r>
      <w:r w:rsidRPr="00D050E9">
        <w:rPr>
          <w:color w:val="auto"/>
        </w:rPr>
        <w:fldChar w:fldCharType="end"/>
      </w:r>
      <w:r w:rsidRPr="00D050E9">
        <w:rPr>
          <w:color w:val="auto"/>
        </w:rPr>
        <w:t>: Spremembe obsega pomoči po glavnih kategorijah, 2015–2017</w:t>
      </w:r>
      <w:bookmarkEnd w:id="14"/>
    </w:p>
    <w:p w:rsidR="00AE2102" w:rsidRPr="00D050E9" w:rsidRDefault="00AE2102" w:rsidP="005D01B6">
      <w:pPr>
        <w:spacing w:after="0" w:line="360" w:lineRule="auto"/>
        <w:rPr>
          <w:rFonts w:asciiTheme="minorHAnsi" w:hAnsiTheme="minorHAnsi"/>
        </w:rPr>
      </w:pPr>
      <w:r w:rsidRPr="00D050E9">
        <w:rPr>
          <w:noProof/>
          <w:lang w:eastAsia="sl-SI"/>
        </w:rPr>
        <w:drawing>
          <wp:inline distT="0" distB="0" distL="0" distR="0" wp14:anchorId="3CC933DC" wp14:editId="0DD75637">
            <wp:extent cx="5821680" cy="3063240"/>
            <wp:effectExtent l="0" t="0" r="7620" b="381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0594" w:rsidRPr="00D050E9" w:rsidRDefault="00CA041A" w:rsidP="005D01B6">
      <w:pPr>
        <w:spacing w:after="0" w:line="276" w:lineRule="auto"/>
        <w:rPr>
          <w:rFonts w:asciiTheme="minorHAnsi" w:hAnsiTheme="minorHAnsi"/>
        </w:rPr>
      </w:pPr>
      <w:r>
        <w:rPr>
          <w:rFonts w:asciiTheme="minorHAnsi" w:hAnsiTheme="minorHAnsi"/>
        </w:rPr>
        <w:t>Spremembe ob</w:t>
      </w:r>
      <w:r w:rsidR="00250594" w:rsidRPr="00D050E9">
        <w:rPr>
          <w:rFonts w:asciiTheme="minorHAnsi" w:hAnsiTheme="minorHAnsi"/>
        </w:rPr>
        <w:t>sega pomoči po kategorijah v zadnjih desetih</w:t>
      </w:r>
      <w:r>
        <w:rPr>
          <w:rFonts w:asciiTheme="minorHAnsi" w:hAnsiTheme="minorHAnsi"/>
        </w:rPr>
        <w:t xml:space="preserve"> letih kaže izrazito povečevanje</w:t>
      </w:r>
      <w:r w:rsidR="00250594" w:rsidRPr="00D050E9">
        <w:rPr>
          <w:rFonts w:asciiTheme="minorHAnsi" w:hAnsiTheme="minorHAnsi"/>
        </w:rPr>
        <w:t xml:space="preserve"> pomoči za varstvo okolja in varčevanje z energijo ter pomoči za zaposlovanje (po letu 2011). Na drugi strani se </w:t>
      </w:r>
      <w:r w:rsidR="005034B0" w:rsidRPr="00D050E9">
        <w:rPr>
          <w:rFonts w:asciiTheme="minorHAnsi" w:hAnsiTheme="minorHAnsi"/>
        </w:rPr>
        <w:t xml:space="preserve">je zmanjševal </w:t>
      </w:r>
      <w:r w:rsidR="00250594" w:rsidRPr="00D050E9">
        <w:rPr>
          <w:rFonts w:asciiTheme="minorHAnsi" w:hAnsiTheme="minorHAnsi"/>
        </w:rPr>
        <w:t xml:space="preserve">obseg regionalnih pomoči in do leta 2017 tudi pomoči za raziskave, razvoj in inovacije. Pomoči za kmetijstvo so </w:t>
      </w:r>
      <w:r w:rsidR="005034B0" w:rsidRPr="00D050E9">
        <w:rPr>
          <w:rFonts w:asciiTheme="minorHAnsi" w:hAnsiTheme="minorHAnsi"/>
        </w:rPr>
        <w:t>se</w:t>
      </w:r>
      <w:r w:rsidR="00250594" w:rsidRPr="00D050E9">
        <w:rPr>
          <w:rFonts w:asciiTheme="minorHAnsi" w:hAnsiTheme="minorHAnsi"/>
        </w:rPr>
        <w:t xml:space="preserve"> </w:t>
      </w:r>
      <w:r w:rsidR="00822A0C">
        <w:rPr>
          <w:rFonts w:asciiTheme="minorHAnsi" w:hAnsiTheme="minorHAnsi"/>
        </w:rPr>
        <w:t xml:space="preserve">občutno </w:t>
      </w:r>
      <w:r w:rsidR="00250594" w:rsidRPr="00D050E9">
        <w:rPr>
          <w:rFonts w:asciiTheme="minorHAnsi" w:hAnsiTheme="minorHAnsi"/>
        </w:rPr>
        <w:t xml:space="preserve">znižale v letu 2016, pri čemer </w:t>
      </w:r>
      <w:r w:rsidR="00CE0EBF" w:rsidRPr="00D050E9">
        <w:rPr>
          <w:rFonts w:asciiTheme="minorHAnsi" w:hAnsiTheme="minorHAnsi"/>
        </w:rPr>
        <w:t>glavni</w:t>
      </w:r>
      <w:r w:rsidR="005034B0" w:rsidRPr="00D050E9">
        <w:rPr>
          <w:rFonts w:asciiTheme="minorHAnsi" w:hAnsiTheme="minorHAnsi"/>
        </w:rPr>
        <w:t xml:space="preserve"> </w:t>
      </w:r>
      <w:r w:rsidR="00250594" w:rsidRPr="00D050E9">
        <w:rPr>
          <w:rFonts w:asciiTheme="minorHAnsi" w:hAnsiTheme="minorHAnsi"/>
        </w:rPr>
        <w:t>razlog ni v zmanjšan</w:t>
      </w:r>
      <w:r w:rsidR="00D45D29">
        <w:rPr>
          <w:rFonts w:asciiTheme="minorHAnsi" w:hAnsiTheme="minorHAnsi"/>
        </w:rPr>
        <w:t xml:space="preserve">ju obsega </w:t>
      </w:r>
      <w:r w:rsidR="00D45D29" w:rsidRPr="00493CA0">
        <w:rPr>
          <w:rFonts w:asciiTheme="minorHAnsi" w:hAnsiTheme="minorHAnsi"/>
        </w:rPr>
        <w:t>sredstev za kmetijstvo</w:t>
      </w:r>
      <w:r w:rsidRPr="00493CA0">
        <w:rPr>
          <w:rFonts w:asciiTheme="minorHAnsi" w:hAnsiTheme="minorHAnsi"/>
        </w:rPr>
        <w:t>,</w:t>
      </w:r>
      <w:r w:rsidR="00250594" w:rsidRPr="00493CA0">
        <w:rPr>
          <w:rFonts w:asciiTheme="minorHAnsi" w:hAnsiTheme="minorHAnsi"/>
        </w:rPr>
        <w:t xml:space="preserve"> pač pa v metodologiji obravnave teh sredstev, ki se ne </w:t>
      </w:r>
      <w:r w:rsidR="005034B0" w:rsidRPr="00493CA0">
        <w:rPr>
          <w:rFonts w:asciiTheme="minorHAnsi" w:hAnsiTheme="minorHAnsi"/>
        </w:rPr>
        <w:t xml:space="preserve">obravnavajo </w:t>
      </w:r>
      <w:r w:rsidR="00CC65D1" w:rsidRPr="00493CA0">
        <w:rPr>
          <w:rFonts w:asciiTheme="minorHAnsi" w:hAnsiTheme="minorHAnsi"/>
        </w:rPr>
        <w:t xml:space="preserve">več </w:t>
      </w:r>
      <w:r w:rsidR="005034B0" w:rsidRPr="00493CA0">
        <w:rPr>
          <w:rFonts w:asciiTheme="minorHAnsi" w:hAnsiTheme="minorHAnsi"/>
        </w:rPr>
        <w:t>kot</w:t>
      </w:r>
      <w:r w:rsidR="005034B0" w:rsidRPr="00D050E9">
        <w:rPr>
          <w:rFonts w:asciiTheme="minorHAnsi" w:hAnsiTheme="minorHAnsi"/>
        </w:rPr>
        <w:t xml:space="preserve"> </w:t>
      </w:r>
      <w:r w:rsidR="00250594" w:rsidRPr="00D050E9">
        <w:rPr>
          <w:rFonts w:asciiTheme="minorHAnsi" w:hAnsiTheme="minorHAnsi"/>
        </w:rPr>
        <w:t>državne pomoči (glej</w:t>
      </w:r>
      <w:r w:rsidR="00CE0EBF" w:rsidRPr="00D050E9">
        <w:rPr>
          <w:rFonts w:asciiTheme="minorHAnsi" w:hAnsiTheme="minorHAnsi"/>
        </w:rPr>
        <w:t xml:space="preserve"> poglavje 4.12</w:t>
      </w:r>
      <w:r w:rsidR="00DC63AA" w:rsidRPr="00D050E9">
        <w:rPr>
          <w:rFonts w:asciiTheme="minorHAnsi" w:hAnsiTheme="minorHAnsi"/>
        </w:rPr>
        <w:t xml:space="preserve">). </w:t>
      </w:r>
      <w:r w:rsidR="00B120E2" w:rsidRPr="00D050E9">
        <w:rPr>
          <w:rFonts w:asciiTheme="minorHAnsi" w:hAnsiTheme="minorHAnsi"/>
        </w:rPr>
        <w:t xml:space="preserve">Večje spremembe med leti </w:t>
      </w:r>
      <w:r w:rsidR="00250594" w:rsidRPr="00D050E9">
        <w:rPr>
          <w:rFonts w:asciiTheme="minorHAnsi" w:hAnsiTheme="minorHAnsi"/>
        </w:rPr>
        <w:t xml:space="preserve">so pri pomočeh za reševanje in prestrukturiranje, </w:t>
      </w:r>
      <w:r w:rsidR="00822A0C">
        <w:rPr>
          <w:rFonts w:asciiTheme="minorHAnsi" w:hAnsiTheme="minorHAnsi"/>
        </w:rPr>
        <w:t xml:space="preserve">za katere je značilno, </w:t>
      </w:r>
      <w:r w:rsidR="00250594" w:rsidRPr="00D050E9">
        <w:rPr>
          <w:rFonts w:asciiTheme="minorHAnsi" w:hAnsiTheme="minorHAnsi"/>
        </w:rPr>
        <w:t xml:space="preserve">da </w:t>
      </w:r>
      <w:r>
        <w:rPr>
          <w:rFonts w:asciiTheme="minorHAnsi" w:hAnsiTheme="minorHAnsi"/>
        </w:rPr>
        <w:t xml:space="preserve">občutneje </w:t>
      </w:r>
      <w:r w:rsidR="00250594" w:rsidRPr="00D050E9">
        <w:rPr>
          <w:rFonts w:asciiTheme="minorHAnsi" w:hAnsiTheme="minorHAnsi"/>
        </w:rPr>
        <w:t>nihajo</w:t>
      </w:r>
      <w:r w:rsidR="00CE0EBF" w:rsidRPr="00D050E9">
        <w:rPr>
          <w:rFonts w:asciiTheme="minorHAnsi" w:hAnsiTheme="minorHAnsi"/>
        </w:rPr>
        <w:t xml:space="preserve"> med leti</w:t>
      </w:r>
      <w:r w:rsidR="00F07D85">
        <w:rPr>
          <w:rFonts w:asciiTheme="minorHAnsi" w:hAnsiTheme="minorHAnsi"/>
        </w:rPr>
        <w:t xml:space="preserve"> –</w:t>
      </w:r>
      <w:r w:rsidR="00250594" w:rsidRPr="00D050E9">
        <w:rPr>
          <w:rFonts w:asciiTheme="minorHAnsi" w:hAnsiTheme="minorHAnsi"/>
        </w:rPr>
        <w:t xml:space="preserve"> glede na stanje in potrebe gospodarstva.</w:t>
      </w:r>
    </w:p>
    <w:p w:rsidR="0098390D" w:rsidRPr="00D050E9" w:rsidRDefault="0098390D" w:rsidP="0098390D">
      <w:pPr>
        <w:pStyle w:val="Caption"/>
        <w:rPr>
          <w:bCs w:val="0"/>
          <w:color w:val="auto"/>
        </w:rPr>
      </w:pPr>
      <w:bookmarkStart w:id="15" w:name="_Toc530654620"/>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w:t>
      </w:r>
      <w:r w:rsidRPr="00D050E9">
        <w:rPr>
          <w:color w:val="auto"/>
        </w:rPr>
        <w:fldChar w:fldCharType="end"/>
      </w:r>
      <w:r w:rsidRPr="00D050E9">
        <w:rPr>
          <w:color w:val="auto"/>
        </w:rPr>
        <w:t>: Obseg državnih pomoči po kategorijah, 2008-2017, v mio EUR</w:t>
      </w:r>
      <w:bookmarkEnd w:id="15"/>
    </w:p>
    <w:p w:rsidR="00AE2102" w:rsidRPr="00D050E9" w:rsidRDefault="00250594" w:rsidP="00AE2102">
      <w:pPr>
        <w:spacing w:line="276" w:lineRule="auto"/>
        <w:rPr>
          <w:rFonts w:asciiTheme="minorHAnsi" w:hAnsiTheme="minorHAnsi"/>
        </w:rPr>
      </w:pPr>
      <w:r w:rsidRPr="00D050E9">
        <w:rPr>
          <w:noProof/>
          <w:lang w:eastAsia="sl-SI"/>
        </w:rPr>
        <w:drawing>
          <wp:inline distT="0" distB="0" distL="0" distR="0" wp14:anchorId="191346E9" wp14:editId="139424B3">
            <wp:extent cx="5913120" cy="324612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2102" w:rsidRPr="00D050E9" w:rsidRDefault="00780C97" w:rsidP="00E72379">
      <w:pPr>
        <w:pStyle w:val="Heading2"/>
      </w:pPr>
      <w:bookmarkStart w:id="16" w:name="_Toc528581781"/>
      <w:bookmarkStart w:id="17" w:name="_Toc528594648"/>
      <w:bookmarkStart w:id="18" w:name="_Toc530654535"/>
      <w:r w:rsidRPr="00D050E9">
        <w:t xml:space="preserve">1.3 </w:t>
      </w:r>
      <w:r w:rsidR="00E435D0" w:rsidRPr="00D050E9">
        <w:t>STRUKTURA DRŽAVNIH POMOČI V SLOVENIJI</w:t>
      </w:r>
      <w:bookmarkEnd w:id="16"/>
      <w:bookmarkEnd w:id="17"/>
      <w:bookmarkEnd w:id="18"/>
    </w:p>
    <w:p w:rsidR="00444BBF" w:rsidRDefault="00444BBF" w:rsidP="00B9182A">
      <w:pPr>
        <w:pStyle w:val="Heading3"/>
      </w:pPr>
      <w:bookmarkStart w:id="19" w:name="_Toc530654536"/>
    </w:p>
    <w:p w:rsidR="002121D3" w:rsidRPr="00D050E9" w:rsidRDefault="002121D3" w:rsidP="00B9182A">
      <w:pPr>
        <w:pStyle w:val="Heading3"/>
      </w:pPr>
      <w:r w:rsidRPr="00D050E9">
        <w:t>1.3.1 Državne pomoči po glavnih skupinah (ciljih) pomoči</w:t>
      </w:r>
      <w:bookmarkEnd w:id="19"/>
    </w:p>
    <w:p w:rsidR="00780C97" w:rsidRPr="00D050E9" w:rsidRDefault="00780C97" w:rsidP="00780C97">
      <w:pPr>
        <w:spacing w:after="0" w:line="276" w:lineRule="auto"/>
        <w:rPr>
          <w:rFonts w:asciiTheme="minorHAnsi" w:hAnsiTheme="minorHAnsi"/>
        </w:rPr>
      </w:pPr>
    </w:p>
    <w:p w:rsidR="002D49CB" w:rsidRPr="00D050E9" w:rsidRDefault="00FD286F" w:rsidP="002D49CB">
      <w:pPr>
        <w:spacing w:line="276" w:lineRule="auto"/>
        <w:rPr>
          <w:rFonts w:asciiTheme="minorHAnsi" w:hAnsiTheme="minorHAnsi"/>
          <w:lang w:eastAsia="x-none"/>
        </w:rPr>
      </w:pPr>
      <w:r w:rsidRPr="00D050E9">
        <w:rPr>
          <w:rFonts w:asciiTheme="minorHAnsi" w:hAnsiTheme="minorHAnsi"/>
        </w:rPr>
        <w:t xml:space="preserve">V Sloveniji se večina pomoči namenja za doseganje </w:t>
      </w:r>
      <w:r w:rsidR="002D49CB" w:rsidRPr="00D050E9">
        <w:rPr>
          <w:rFonts w:asciiTheme="minorHAnsi" w:hAnsiTheme="minorHAnsi"/>
          <w:b/>
        </w:rPr>
        <w:t>horizontalnih ciljev</w:t>
      </w:r>
      <w:r w:rsidR="002D49CB" w:rsidRPr="00D050E9">
        <w:rPr>
          <w:rFonts w:asciiTheme="minorHAnsi" w:hAnsiTheme="minorHAnsi"/>
        </w:rPr>
        <w:t xml:space="preserve">, t.j. za pomoči, ki se dodeljujejo za </w:t>
      </w:r>
      <w:r w:rsidR="002D49CB" w:rsidRPr="00D050E9">
        <w:rPr>
          <w:rFonts w:asciiTheme="minorHAnsi" w:hAnsiTheme="minorHAnsi"/>
          <w:i/>
        </w:rPr>
        <w:t>spodbujanje</w:t>
      </w:r>
      <w:r w:rsidR="002D49CB" w:rsidRPr="00D050E9">
        <w:rPr>
          <w:rFonts w:asciiTheme="minorHAnsi" w:hAnsiTheme="minorHAnsi"/>
        </w:rPr>
        <w:t xml:space="preserve"> razvoja in odpravljanje tržnih nepopolnosti ne glede na sektor gospodarstva in ki imajo, v primerjavi s sektorsko specifičnimi pomočmi, manjši učinek </w:t>
      </w:r>
      <w:r w:rsidR="002D49CB" w:rsidRPr="00D050E9">
        <w:rPr>
          <w:rFonts w:asciiTheme="minorHAnsi" w:hAnsiTheme="minorHAnsi"/>
          <w:lang w:eastAsia="x-none"/>
        </w:rPr>
        <w:t xml:space="preserve">na izkrivljanje konkurence in trgovine med državami EU. V letu 2017 je bilo za te pomoči namenjenih </w:t>
      </w:r>
      <w:r w:rsidR="002D49CB" w:rsidRPr="00D050E9">
        <w:rPr>
          <w:rFonts w:asciiTheme="minorHAnsi" w:hAnsiTheme="minorHAnsi"/>
          <w:b/>
          <w:lang w:eastAsia="x-none"/>
        </w:rPr>
        <w:t>351,17 mio</w:t>
      </w:r>
      <w:r w:rsidR="002D49CB" w:rsidRPr="00D050E9">
        <w:rPr>
          <w:rFonts w:asciiTheme="minorHAnsi" w:hAnsiTheme="minorHAnsi"/>
          <w:lang w:eastAsia="x-none"/>
        </w:rPr>
        <w:t xml:space="preserve"> EUR ali </w:t>
      </w:r>
      <w:r w:rsidR="002D49CB" w:rsidRPr="00D050E9">
        <w:rPr>
          <w:rFonts w:asciiTheme="minorHAnsi" w:hAnsiTheme="minorHAnsi"/>
          <w:b/>
          <w:lang w:eastAsia="x-none"/>
        </w:rPr>
        <w:t>82,2 %</w:t>
      </w:r>
      <w:r w:rsidR="002D49CB" w:rsidRPr="00D050E9">
        <w:rPr>
          <w:rFonts w:asciiTheme="minorHAnsi" w:hAnsiTheme="minorHAnsi"/>
          <w:lang w:eastAsia="x-none"/>
        </w:rPr>
        <w:t xml:space="preserve"> vseh pomoči</w:t>
      </w:r>
      <w:r w:rsidR="0021147D" w:rsidRPr="00D050E9">
        <w:rPr>
          <w:rFonts w:asciiTheme="minorHAnsi" w:hAnsiTheme="minorHAnsi"/>
          <w:lang w:eastAsia="x-none"/>
        </w:rPr>
        <w:t>,  njihov delež</w:t>
      </w:r>
      <w:r w:rsidR="00B34BC6" w:rsidRPr="00D050E9">
        <w:rPr>
          <w:rFonts w:asciiTheme="minorHAnsi" w:hAnsiTheme="minorHAnsi"/>
          <w:lang w:eastAsia="x-none"/>
        </w:rPr>
        <w:t xml:space="preserve"> pa se </w:t>
      </w:r>
      <w:r w:rsidR="0021147D" w:rsidRPr="00D050E9">
        <w:rPr>
          <w:rFonts w:asciiTheme="minorHAnsi" w:hAnsiTheme="minorHAnsi"/>
          <w:lang w:eastAsia="x-none"/>
        </w:rPr>
        <w:t>poveč</w:t>
      </w:r>
      <w:r w:rsidR="00B34BC6" w:rsidRPr="00D050E9">
        <w:rPr>
          <w:rFonts w:asciiTheme="minorHAnsi" w:hAnsiTheme="minorHAnsi"/>
          <w:lang w:eastAsia="x-none"/>
        </w:rPr>
        <w:t>uje</w:t>
      </w:r>
      <w:r w:rsidR="0021147D" w:rsidRPr="00D050E9">
        <w:rPr>
          <w:rFonts w:asciiTheme="minorHAnsi" w:hAnsiTheme="minorHAnsi"/>
          <w:lang w:eastAsia="x-none"/>
        </w:rPr>
        <w:t xml:space="preserve"> </w:t>
      </w:r>
      <w:r w:rsidR="001F7FA3" w:rsidRPr="00D050E9">
        <w:rPr>
          <w:rFonts w:asciiTheme="minorHAnsi" w:hAnsiTheme="minorHAnsi"/>
          <w:lang w:eastAsia="x-none"/>
        </w:rPr>
        <w:t>(83,2% v letu 2016</w:t>
      </w:r>
      <w:r w:rsidR="0021147D" w:rsidRPr="00D050E9">
        <w:rPr>
          <w:rFonts w:asciiTheme="minorHAnsi" w:hAnsiTheme="minorHAnsi"/>
          <w:lang w:eastAsia="x-none"/>
        </w:rPr>
        <w:t>, 59,7 % v  letu 2015).</w:t>
      </w:r>
    </w:p>
    <w:p w:rsidR="001F7FA3" w:rsidRPr="00D050E9" w:rsidRDefault="001F7FA3" w:rsidP="001F7FA3">
      <w:pPr>
        <w:pStyle w:val="Odstavek"/>
        <w:spacing w:line="276" w:lineRule="auto"/>
        <w:ind w:firstLine="0"/>
        <w:rPr>
          <w:rFonts w:asciiTheme="minorHAnsi" w:hAnsiTheme="minorHAnsi"/>
        </w:rPr>
      </w:pPr>
      <w:r w:rsidRPr="00D050E9">
        <w:rPr>
          <w:rFonts w:asciiTheme="minorHAnsi" w:hAnsiTheme="minorHAnsi"/>
        </w:rPr>
        <w:t xml:space="preserve">Za </w:t>
      </w:r>
      <w:r w:rsidRPr="00D050E9">
        <w:rPr>
          <w:rFonts w:asciiTheme="minorHAnsi" w:hAnsiTheme="minorHAnsi"/>
          <w:b/>
        </w:rPr>
        <w:t>sektorske pomoči</w:t>
      </w:r>
      <w:r w:rsidRPr="00D050E9">
        <w:rPr>
          <w:rStyle w:val="FootnoteReference"/>
          <w:rFonts w:asciiTheme="minorHAnsi" w:hAnsiTheme="minorHAnsi"/>
        </w:rPr>
        <w:footnoteReference w:id="3"/>
      </w:r>
      <w:r w:rsidRPr="00D050E9">
        <w:rPr>
          <w:rFonts w:asciiTheme="minorHAnsi" w:hAnsiTheme="minorHAnsi"/>
        </w:rPr>
        <w:t xml:space="preserve"> je bilo v letu 2017 namenjenih </w:t>
      </w:r>
      <w:r w:rsidRPr="00D050E9">
        <w:rPr>
          <w:rFonts w:asciiTheme="minorHAnsi" w:hAnsiTheme="minorHAnsi"/>
          <w:b/>
        </w:rPr>
        <w:t>62,07 mio EUR</w:t>
      </w:r>
      <w:r w:rsidRPr="00D050E9">
        <w:rPr>
          <w:rFonts w:asciiTheme="minorHAnsi" w:hAnsiTheme="minorHAnsi"/>
        </w:rPr>
        <w:t xml:space="preserve"> ali </w:t>
      </w:r>
      <w:r w:rsidRPr="00D050E9">
        <w:rPr>
          <w:rFonts w:asciiTheme="minorHAnsi" w:hAnsiTheme="minorHAnsi"/>
          <w:b/>
        </w:rPr>
        <w:t>14,5 %</w:t>
      </w:r>
      <w:r w:rsidRPr="00D050E9">
        <w:rPr>
          <w:rFonts w:asciiTheme="minorHAnsi" w:hAnsiTheme="minorHAnsi"/>
        </w:rPr>
        <w:t xml:space="preserve"> vseh pomoči</w:t>
      </w:r>
      <w:r w:rsidR="0021147D" w:rsidRPr="00D050E9">
        <w:rPr>
          <w:rFonts w:asciiTheme="minorHAnsi" w:hAnsiTheme="minorHAnsi"/>
        </w:rPr>
        <w:t xml:space="preserve"> (15,2% v </w:t>
      </w:r>
      <w:r w:rsidR="00074F0B" w:rsidRPr="00D050E9">
        <w:rPr>
          <w:rFonts w:asciiTheme="minorHAnsi" w:hAnsiTheme="minorHAnsi"/>
        </w:rPr>
        <w:t>letu 2016 in 29,0% v letu 2015)</w:t>
      </w:r>
      <w:r w:rsidR="0021147D" w:rsidRPr="00D050E9">
        <w:rPr>
          <w:rFonts w:asciiTheme="minorHAnsi" w:hAnsiTheme="minorHAnsi"/>
        </w:rPr>
        <w:t xml:space="preserve">. V to skupino spadajo </w:t>
      </w:r>
      <w:r w:rsidRPr="00D050E9">
        <w:rPr>
          <w:rFonts w:asciiTheme="minorHAnsi" w:hAnsiTheme="minorHAnsi"/>
        </w:rPr>
        <w:t xml:space="preserve">tudi pomoči za </w:t>
      </w:r>
      <w:r w:rsidR="00CE0EBF" w:rsidRPr="00D050E9">
        <w:rPr>
          <w:rFonts w:asciiTheme="minorHAnsi" w:hAnsiTheme="minorHAnsi"/>
        </w:rPr>
        <w:t xml:space="preserve">reševanje in </w:t>
      </w:r>
      <w:r w:rsidRPr="00D050E9">
        <w:rPr>
          <w:rFonts w:asciiTheme="minorHAnsi" w:hAnsiTheme="minorHAnsi"/>
        </w:rPr>
        <w:t xml:space="preserve">prestrukturiranje </w:t>
      </w:r>
      <w:r w:rsidRPr="00493CA0">
        <w:rPr>
          <w:rFonts w:asciiTheme="minorHAnsi" w:hAnsiTheme="minorHAnsi"/>
        </w:rPr>
        <w:t xml:space="preserve">podjetij, ki so glavni razlog </w:t>
      </w:r>
      <w:r w:rsidR="005D120A" w:rsidRPr="00493CA0">
        <w:rPr>
          <w:rFonts w:asciiTheme="minorHAnsi" w:hAnsiTheme="minorHAnsi"/>
        </w:rPr>
        <w:t xml:space="preserve">za </w:t>
      </w:r>
      <w:r w:rsidR="0021147D" w:rsidRPr="00493CA0">
        <w:rPr>
          <w:rFonts w:asciiTheme="minorHAnsi" w:hAnsiTheme="minorHAnsi"/>
        </w:rPr>
        <w:t>večja</w:t>
      </w:r>
      <w:r w:rsidR="005D120A" w:rsidRPr="00493CA0">
        <w:rPr>
          <w:rFonts w:asciiTheme="minorHAnsi" w:hAnsiTheme="minorHAnsi"/>
        </w:rPr>
        <w:t xml:space="preserve"> (večjih)</w:t>
      </w:r>
      <w:r w:rsidR="0021147D" w:rsidRPr="00493CA0">
        <w:rPr>
          <w:rFonts w:asciiTheme="minorHAnsi" w:hAnsiTheme="minorHAnsi"/>
        </w:rPr>
        <w:t xml:space="preserve"> nihanja obsega teh pomoči</w:t>
      </w:r>
      <w:r w:rsidRPr="00493CA0">
        <w:rPr>
          <w:rFonts w:asciiTheme="minorHAnsi" w:hAnsiTheme="minorHAnsi"/>
        </w:rPr>
        <w:t>. Delež pomoči za posebne</w:t>
      </w:r>
      <w:r w:rsidRPr="00D050E9">
        <w:rPr>
          <w:rFonts w:asciiTheme="minorHAnsi" w:hAnsiTheme="minorHAnsi"/>
        </w:rPr>
        <w:t xml:space="preserve"> sektorje se je v zadnjih desetih letih gibal od</w:t>
      </w:r>
      <w:r w:rsidR="0021147D" w:rsidRPr="00D050E9">
        <w:rPr>
          <w:rFonts w:asciiTheme="minorHAnsi" w:hAnsiTheme="minorHAnsi"/>
        </w:rPr>
        <w:t xml:space="preserve"> 12 % v letu 2012 do 29</w:t>
      </w:r>
      <w:r w:rsidR="00074F0B" w:rsidRPr="00D050E9">
        <w:rPr>
          <w:rFonts w:asciiTheme="minorHAnsi" w:hAnsiTheme="minorHAnsi"/>
        </w:rPr>
        <w:t xml:space="preserve"> % v letu 2015. </w:t>
      </w:r>
    </w:p>
    <w:p w:rsidR="00B26968" w:rsidRPr="00D050E9" w:rsidRDefault="00B26968" w:rsidP="00B26968">
      <w:pPr>
        <w:spacing w:after="0" w:line="276" w:lineRule="auto"/>
        <w:rPr>
          <w:rFonts w:asciiTheme="minorHAnsi" w:hAnsiTheme="minorHAnsi"/>
        </w:rPr>
      </w:pPr>
    </w:p>
    <w:p w:rsidR="00B26968" w:rsidRPr="00D050E9" w:rsidRDefault="00B26968" w:rsidP="00B26968">
      <w:pPr>
        <w:spacing w:after="0" w:line="276" w:lineRule="auto"/>
        <w:rPr>
          <w:rFonts w:asciiTheme="minorHAnsi" w:hAnsiTheme="minorHAnsi"/>
        </w:rPr>
      </w:pPr>
    </w:p>
    <w:p w:rsidR="00ED1E49" w:rsidRPr="00D050E9" w:rsidRDefault="00ED1E49" w:rsidP="00B26968">
      <w:pPr>
        <w:spacing w:after="0" w:line="276" w:lineRule="auto"/>
        <w:rPr>
          <w:rFonts w:asciiTheme="minorHAnsi" w:hAnsiTheme="minorHAnsi"/>
        </w:rPr>
      </w:pPr>
    </w:p>
    <w:p w:rsidR="00B26968" w:rsidRPr="00D050E9" w:rsidRDefault="00B26968" w:rsidP="00B26968">
      <w:pPr>
        <w:spacing w:after="0" w:line="276" w:lineRule="auto"/>
        <w:rPr>
          <w:rFonts w:asciiTheme="minorHAnsi" w:hAnsiTheme="minorHAnsi"/>
        </w:rPr>
      </w:pPr>
    </w:p>
    <w:p w:rsidR="00780C97" w:rsidRPr="00D050E9" w:rsidRDefault="00780C97" w:rsidP="00B26968">
      <w:pPr>
        <w:spacing w:after="0" w:line="276" w:lineRule="auto"/>
        <w:rPr>
          <w:rFonts w:asciiTheme="minorHAnsi" w:hAnsiTheme="minorHAnsi"/>
        </w:rPr>
      </w:pPr>
    </w:p>
    <w:p w:rsidR="005D01B6" w:rsidRPr="00D050E9" w:rsidRDefault="005D01B6" w:rsidP="00B26968">
      <w:pPr>
        <w:spacing w:after="0" w:line="276" w:lineRule="auto"/>
        <w:rPr>
          <w:rFonts w:asciiTheme="minorHAnsi" w:hAnsiTheme="minorHAnsi"/>
        </w:rPr>
      </w:pPr>
    </w:p>
    <w:p w:rsidR="005D01B6" w:rsidRPr="00D050E9" w:rsidRDefault="005D01B6" w:rsidP="00B26968">
      <w:pPr>
        <w:spacing w:after="0" w:line="276" w:lineRule="auto"/>
        <w:rPr>
          <w:rFonts w:asciiTheme="minorHAnsi" w:hAnsiTheme="minorHAnsi"/>
        </w:rPr>
      </w:pPr>
    </w:p>
    <w:p w:rsidR="005D01B6" w:rsidRPr="00D050E9" w:rsidRDefault="005D01B6" w:rsidP="00B26968">
      <w:pPr>
        <w:spacing w:after="0" w:line="276" w:lineRule="auto"/>
        <w:rPr>
          <w:rFonts w:asciiTheme="minorHAnsi" w:hAnsiTheme="minorHAnsi"/>
        </w:rPr>
      </w:pPr>
    </w:p>
    <w:p w:rsidR="005975DC" w:rsidRPr="00D050E9" w:rsidRDefault="005975DC" w:rsidP="005975DC">
      <w:pPr>
        <w:pStyle w:val="Caption"/>
        <w:rPr>
          <w:color w:val="auto"/>
        </w:rPr>
      </w:pPr>
      <w:bookmarkStart w:id="20" w:name="_Toc530654586"/>
      <w:r w:rsidRPr="00D050E9">
        <w:rPr>
          <w:color w:val="auto"/>
        </w:rPr>
        <w:lastRenderedPageBreak/>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w:t>
      </w:r>
      <w:r w:rsidRPr="00D050E9">
        <w:rPr>
          <w:color w:val="auto"/>
        </w:rPr>
        <w:fldChar w:fldCharType="end"/>
      </w:r>
      <w:r w:rsidRPr="00D050E9">
        <w:rPr>
          <w:color w:val="auto"/>
        </w:rPr>
        <w:t>: Državne pomoči v Sloveniji po skupinah in kategorijah pomoči, 2015–2017</w:t>
      </w:r>
      <w:bookmarkEnd w:id="20"/>
    </w:p>
    <w:p w:rsidR="005975DC" w:rsidRPr="00D050E9" w:rsidRDefault="005975DC" w:rsidP="005975DC">
      <w:pPr>
        <w:spacing w:after="0"/>
        <w:rPr>
          <w:lang w:bidi="hi-IN"/>
        </w:rPr>
      </w:pPr>
    </w:p>
    <w:tbl>
      <w:tblPr>
        <w:tblStyle w:val="LightGrid-Accent5"/>
        <w:tblW w:w="5000" w:type="pct"/>
        <w:tblLook w:val="04A0" w:firstRow="1" w:lastRow="0" w:firstColumn="1" w:lastColumn="0" w:noHBand="0" w:noVBand="1"/>
      </w:tblPr>
      <w:tblGrid>
        <w:gridCol w:w="2159"/>
        <w:gridCol w:w="1032"/>
        <w:gridCol w:w="808"/>
        <w:gridCol w:w="1032"/>
        <w:gridCol w:w="799"/>
        <w:gridCol w:w="1032"/>
        <w:gridCol w:w="799"/>
        <w:gridCol w:w="823"/>
        <w:gridCol w:w="916"/>
      </w:tblGrid>
      <w:tr w:rsidR="00B26968" w:rsidRPr="00D050E9" w:rsidTr="00ED1E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vMerge w:val="restart"/>
            <w:hideMark/>
          </w:tcPr>
          <w:p w:rsidR="00B26968" w:rsidRPr="00D050E9" w:rsidRDefault="00B26968" w:rsidP="00EE15D3">
            <w:pPr>
              <w:spacing w:line="276" w:lineRule="auto"/>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Cilj / Kategorija</w:t>
            </w:r>
          </w:p>
        </w:tc>
        <w:tc>
          <w:tcPr>
            <w:tcW w:w="979" w:type="pct"/>
            <w:gridSpan w:val="2"/>
            <w:hideMark/>
          </w:tcPr>
          <w:p w:rsidR="00B26968" w:rsidRPr="00D050E9" w:rsidRDefault="00B26968" w:rsidP="00EE15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2015</w:t>
            </w:r>
          </w:p>
        </w:tc>
        <w:tc>
          <w:tcPr>
            <w:tcW w:w="974" w:type="pct"/>
            <w:gridSpan w:val="2"/>
            <w:noWrap/>
            <w:hideMark/>
          </w:tcPr>
          <w:p w:rsidR="00B26968" w:rsidRPr="00D050E9" w:rsidRDefault="00B26968" w:rsidP="00EE15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2016</w:t>
            </w:r>
          </w:p>
        </w:tc>
        <w:tc>
          <w:tcPr>
            <w:tcW w:w="1412" w:type="pct"/>
            <w:gridSpan w:val="3"/>
            <w:noWrap/>
            <w:hideMark/>
          </w:tcPr>
          <w:p w:rsidR="00B26968" w:rsidRPr="00D050E9" w:rsidRDefault="00B26968" w:rsidP="00EE15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2017</w:t>
            </w:r>
          </w:p>
        </w:tc>
        <w:tc>
          <w:tcPr>
            <w:tcW w:w="487" w:type="pct"/>
            <w:hideMark/>
          </w:tcPr>
          <w:p w:rsidR="00B26968" w:rsidRPr="00D050E9" w:rsidRDefault="00B26968" w:rsidP="00EE15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2015–2017</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vMerge/>
            <w:hideMark/>
          </w:tcPr>
          <w:p w:rsidR="00B26968" w:rsidRPr="00D050E9" w:rsidRDefault="00B26968" w:rsidP="00EE15D3">
            <w:pPr>
              <w:jc w:val="left"/>
              <w:rPr>
                <w:rFonts w:asciiTheme="minorHAnsi" w:eastAsia="Times New Roman" w:hAnsiTheme="minorHAnsi" w:cs="Arial"/>
                <w:sz w:val="19"/>
                <w:szCs w:val="19"/>
                <w:lang w:eastAsia="sl-SI"/>
              </w:rPr>
            </w:pPr>
          </w:p>
        </w:tc>
        <w:tc>
          <w:tcPr>
            <w:tcW w:w="549" w:type="pct"/>
            <w:noWrap/>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mio EUR</w:t>
            </w:r>
          </w:p>
        </w:tc>
        <w:tc>
          <w:tcPr>
            <w:tcW w:w="430" w:type="pct"/>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w:t>
            </w:r>
          </w:p>
        </w:tc>
        <w:tc>
          <w:tcPr>
            <w:tcW w:w="549" w:type="pct"/>
            <w:noWrap/>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mio EUR</w:t>
            </w:r>
          </w:p>
        </w:tc>
        <w:tc>
          <w:tcPr>
            <w:tcW w:w="425" w:type="pct"/>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w:t>
            </w:r>
          </w:p>
        </w:tc>
        <w:tc>
          <w:tcPr>
            <w:tcW w:w="549" w:type="pct"/>
            <w:noWrap/>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mio EUR</w:t>
            </w:r>
          </w:p>
        </w:tc>
        <w:tc>
          <w:tcPr>
            <w:tcW w:w="425" w:type="pct"/>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w:t>
            </w:r>
          </w:p>
        </w:tc>
        <w:tc>
          <w:tcPr>
            <w:tcW w:w="438" w:type="pct"/>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razlika v mio EUR</w:t>
            </w:r>
          </w:p>
        </w:tc>
        <w:tc>
          <w:tcPr>
            <w:tcW w:w="487" w:type="pct"/>
            <w:hideMark/>
          </w:tcPr>
          <w:p w:rsidR="00B26968" w:rsidRPr="00D050E9" w:rsidRDefault="00B26968" w:rsidP="00EE15D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v %</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color w:val="000066"/>
                <w:sz w:val="19"/>
                <w:szCs w:val="19"/>
                <w:lang w:eastAsia="sl-SI"/>
              </w:rPr>
            </w:pPr>
            <w:r w:rsidRPr="00D050E9">
              <w:rPr>
                <w:rFonts w:asciiTheme="minorHAnsi" w:eastAsia="Times New Roman" w:hAnsiTheme="minorHAnsi" w:cs="Arial"/>
                <w:color w:val="000066"/>
                <w:sz w:val="19"/>
                <w:szCs w:val="19"/>
                <w:lang w:eastAsia="sl-SI"/>
              </w:rPr>
              <w:t xml:space="preserve">HORIZONTALNI CILJI </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330,50</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59,7%</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312,16</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83,2%</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351,17</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82,2%</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39,01</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73,3%</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Varstvo okolja</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169,86</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30,7%</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176,56</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47,1%</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182,56</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42,7%</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6,00</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39,0%</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Zaposlovanje</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93,77</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16,9%</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89,81</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23,9%</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98,47</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23,1%</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8,66</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20,8%</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RRI</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20,61</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3,7%</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10,65</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2,8%</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34,40</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8,1%</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23,75</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4,8%</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Regionalne pomoči</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28,42</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5,1%</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21,96</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5,9%</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20,97</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4,9%</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-0,99</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5,3%</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Kultura</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9,88</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1,8%</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10,31</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2,7%</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10,34</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2,4%</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0,03</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2,3%</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MSP in tvegani kapital</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5,72</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2,77</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0,7%</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3,73</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0,9%</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0,96</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0,9%</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Usposabljanje</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0,67</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0,10</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0,69</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0,2%</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0,59</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Naravne nesreče</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1,57</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0,3%</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color w:val="000066"/>
                <w:sz w:val="19"/>
                <w:szCs w:val="19"/>
                <w:lang w:eastAsia="sl-SI"/>
              </w:rPr>
            </w:pPr>
            <w:r w:rsidRPr="00D050E9">
              <w:rPr>
                <w:rFonts w:asciiTheme="minorHAnsi" w:eastAsia="Times New Roman" w:hAnsiTheme="minorHAnsi" w:cs="Arial"/>
                <w:color w:val="000066"/>
                <w:sz w:val="19"/>
                <w:szCs w:val="19"/>
                <w:lang w:eastAsia="sl-SI"/>
              </w:rPr>
              <w:t>POSEBNI SEKTORJI</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160,44</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29,0%</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56,88</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15,2%</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62,07</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14,5%</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5,19</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20,6%</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Transport (kopenski)</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52,65</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9,5%</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43,10</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11,5%</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45,66</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10,7%</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2,56</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10,4%</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Premogovništvo</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4,84</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0,9%</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12,47</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3,3%</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15,75</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3,7%</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3,28</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2,4%</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Transport zračni</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0,61</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0,61</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Pomoči za reševanje</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0,05</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0,05</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Prestrukturiranje</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102,94</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18,6%</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1,30</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0,3%</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-1,30</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7,7%</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color w:val="000066"/>
                <w:sz w:val="19"/>
                <w:szCs w:val="19"/>
                <w:lang w:eastAsia="sl-SI"/>
              </w:rPr>
            </w:pPr>
            <w:r w:rsidRPr="00D050E9">
              <w:rPr>
                <w:rFonts w:asciiTheme="minorHAnsi" w:eastAsia="Times New Roman" w:hAnsiTheme="minorHAnsi" w:cs="Arial"/>
                <w:color w:val="000066"/>
                <w:sz w:val="19"/>
                <w:szCs w:val="19"/>
                <w:lang w:eastAsia="sl-SI"/>
              </w:rPr>
              <w:t>KMETIJSTVO in RIBIŠTVO</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62,38</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11,3%</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5,99</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1,6%</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13,94</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3,3%</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7,95</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6,1%</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Kmetijstvo</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61,79</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11,2%</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5,53</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1,5%</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13,94</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3,3%</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8,41</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6,0%</w:t>
            </w:r>
          </w:p>
        </w:tc>
      </w:tr>
      <w:tr w:rsidR="00B26968"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Ribištvo</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0,59</w:t>
            </w:r>
          </w:p>
        </w:tc>
        <w:tc>
          <w:tcPr>
            <w:tcW w:w="430"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0,47</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c>
          <w:tcPr>
            <w:tcW w:w="549"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25"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c>
          <w:tcPr>
            <w:tcW w:w="438"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-0,47</w:t>
            </w:r>
          </w:p>
        </w:tc>
        <w:tc>
          <w:tcPr>
            <w:tcW w:w="487" w:type="pct"/>
            <w:hideMark/>
          </w:tcPr>
          <w:p w:rsidR="00B26968" w:rsidRPr="00D050E9" w:rsidRDefault="00B26968" w:rsidP="00EE15D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0,1%</w:t>
            </w:r>
          </w:p>
        </w:tc>
      </w:tr>
      <w:tr w:rsidR="00B26968"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48" w:type="pct"/>
            <w:hideMark/>
          </w:tcPr>
          <w:p w:rsidR="00B26968" w:rsidRPr="00D050E9" w:rsidRDefault="00B26968" w:rsidP="00EE15D3">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SKUPAJ</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553,32</w:t>
            </w:r>
          </w:p>
        </w:tc>
        <w:tc>
          <w:tcPr>
            <w:tcW w:w="430"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100,0%</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375,03</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100,0%</w:t>
            </w:r>
          </w:p>
        </w:tc>
        <w:tc>
          <w:tcPr>
            <w:tcW w:w="549"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427,18</w:t>
            </w:r>
          </w:p>
        </w:tc>
        <w:tc>
          <w:tcPr>
            <w:tcW w:w="425"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100,0%</w:t>
            </w:r>
          </w:p>
        </w:tc>
        <w:tc>
          <w:tcPr>
            <w:tcW w:w="438"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52,15</w:t>
            </w:r>
          </w:p>
        </w:tc>
        <w:tc>
          <w:tcPr>
            <w:tcW w:w="487" w:type="pct"/>
            <w:hideMark/>
          </w:tcPr>
          <w:p w:rsidR="00B26968" w:rsidRPr="00D050E9" w:rsidRDefault="00B26968" w:rsidP="00EE15D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100,0%</w:t>
            </w:r>
          </w:p>
        </w:tc>
      </w:tr>
    </w:tbl>
    <w:p w:rsidR="0021147D" w:rsidRPr="00D050E9" w:rsidRDefault="001F7FA3" w:rsidP="001F7FA3">
      <w:pPr>
        <w:pStyle w:val="Odstavek"/>
        <w:spacing w:line="276" w:lineRule="auto"/>
        <w:ind w:firstLine="0"/>
        <w:rPr>
          <w:rFonts w:asciiTheme="minorHAnsi" w:hAnsiTheme="minorHAnsi"/>
        </w:rPr>
      </w:pPr>
      <w:r w:rsidRPr="00D050E9">
        <w:rPr>
          <w:rFonts w:asciiTheme="minorHAnsi" w:hAnsiTheme="minorHAnsi"/>
        </w:rPr>
        <w:t xml:space="preserve">Tretja skupina pomoči, za katere veljajo posebna </w:t>
      </w:r>
      <w:r w:rsidR="00E548B6" w:rsidRPr="00D050E9">
        <w:rPr>
          <w:rFonts w:asciiTheme="minorHAnsi" w:hAnsiTheme="minorHAnsi"/>
        </w:rPr>
        <w:t xml:space="preserve">sektorska </w:t>
      </w:r>
      <w:r w:rsidRPr="00D050E9">
        <w:rPr>
          <w:rFonts w:asciiTheme="minorHAnsi" w:hAnsiTheme="minorHAnsi"/>
        </w:rPr>
        <w:t>pravila</w:t>
      </w:r>
      <w:r w:rsidRPr="00D050E9">
        <w:rPr>
          <w:rStyle w:val="FootnoteReference"/>
          <w:rFonts w:asciiTheme="minorHAnsi" w:hAnsiTheme="minorHAnsi"/>
        </w:rPr>
        <w:footnoteReference w:id="4"/>
      </w:r>
      <w:r w:rsidRPr="00D050E9">
        <w:rPr>
          <w:rFonts w:asciiTheme="minorHAnsi" w:hAnsiTheme="minorHAnsi"/>
        </w:rPr>
        <w:t xml:space="preserve">, so pomoči na področju </w:t>
      </w:r>
      <w:r w:rsidRPr="00D050E9">
        <w:rPr>
          <w:rFonts w:asciiTheme="minorHAnsi" w:hAnsiTheme="minorHAnsi"/>
          <w:b/>
        </w:rPr>
        <w:t>kmetijstva in ribištva</w:t>
      </w:r>
      <w:r w:rsidR="0021147D" w:rsidRPr="00D050E9">
        <w:rPr>
          <w:rFonts w:asciiTheme="minorHAnsi" w:hAnsiTheme="minorHAnsi"/>
        </w:rPr>
        <w:t xml:space="preserve">, za katere je bilo namenjenih </w:t>
      </w:r>
      <w:r w:rsidR="0021147D" w:rsidRPr="00D050E9">
        <w:rPr>
          <w:rFonts w:asciiTheme="minorHAnsi" w:hAnsiTheme="minorHAnsi"/>
          <w:b/>
        </w:rPr>
        <w:t>13,94 mio EUR</w:t>
      </w:r>
      <w:r w:rsidR="0021147D" w:rsidRPr="00D050E9">
        <w:rPr>
          <w:rFonts w:asciiTheme="minorHAnsi" w:hAnsiTheme="minorHAnsi"/>
        </w:rPr>
        <w:t xml:space="preserve"> ali </w:t>
      </w:r>
      <w:r w:rsidR="0021147D" w:rsidRPr="00D050E9">
        <w:rPr>
          <w:rFonts w:asciiTheme="minorHAnsi" w:hAnsiTheme="minorHAnsi"/>
          <w:b/>
        </w:rPr>
        <w:t>3,3 %</w:t>
      </w:r>
      <w:r w:rsidR="0021147D" w:rsidRPr="00D050E9">
        <w:rPr>
          <w:rFonts w:asciiTheme="minorHAnsi" w:hAnsiTheme="minorHAnsi"/>
        </w:rPr>
        <w:t xml:space="preserve"> vseh pomoči</w:t>
      </w:r>
      <w:r w:rsidR="007F54E7" w:rsidRPr="00D050E9">
        <w:rPr>
          <w:rFonts w:asciiTheme="minorHAnsi" w:hAnsiTheme="minorHAnsi"/>
        </w:rPr>
        <w:t xml:space="preserve"> (1,6% v letu 2016 in 11,3 % v letu 2015)</w:t>
      </w:r>
      <w:r w:rsidR="0021147D" w:rsidRPr="00D050E9">
        <w:rPr>
          <w:rFonts w:asciiTheme="minorHAnsi" w:hAnsiTheme="minorHAnsi"/>
        </w:rPr>
        <w:t xml:space="preserve">. Obseg teh pomoči se </w:t>
      </w:r>
      <w:r w:rsidR="009557D2" w:rsidRPr="00493CA0">
        <w:rPr>
          <w:rFonts w:asciiTheme="minorHAnsi" w:hAnsiTheme="minorHAnsi"/>
        </w:rPr>
        <w:t xml:space="preserve">je </w:t>
      </w:r>
      <w:r w:rsidRPr="00493CA0">
        <w:rPr>
          <w:rFonts w:asciiTheme="minorHAnsi" w:hAnsiTheme="minorHAnsi"/>
        </w:rPr>
        <w:t>v</w:t>
      </w:r>
      <w:r w:rsidR="00D27DA1" w:rsidRPr="00D050E9">
        <w:rPr>
          <w:rFonts w:asciiTheme="minorHAnsi" w:hAnsiTheme="minorHAnsi"/>
        </w:rPr>
        <w:t xml:space="preserve"> letu 2017 sicer nekoliko povečal, na splošno pa</w:t>
      </w:r>
      <w:r w:rsidRPr="00D050E9">
        <w:rPr>
          <w:rFonts w:asciiTheme="minorHAnsi" w:hAnsiTheme="minorHAnsi"/>
        </w:rPr>
        <w:t xml:space="preserve"> </w:t>
      </w:r>
      <w:r w:rsidR="00D27DA1" w:rsidRPr="00D050E9">
        <w:rPr>
          <w:rFonts w:asciiTheme="minorHAnsi" w:hAnsiTheme="minorHAnsi"/>
        </w:rPr>
        <w:t xml:space="preserve">se te pomoči v zadnjih </w:t>
      </w:r>
      <w:r w:rsidR="0021147D" w:rsidRPr="00D050E9">
        <w:rPr>
          <w:rFonts w:asciiTheme="minorHAnsi" w:hAnsiTheme="minorHAnsi"/>
        </w:rPr>
        <w:t>desetih letih zmanjšuje</w:t>
      </w:r>
      <w:r w:rsidR="007F54E7" w:rsidRPr="00D050E9">
        <w:rPr>
          <w:rFonts w:asciiTheme="minorHAnsi" w:hAnsiTheme="minorHAnsi"/>
        </w:rPr>
        <w:t xml:space="preserve">, najbolj izrazito </w:t>
      </w:r>
      <w:r w:rsidR="00D27DA1" w:rsidRPr="00D050E9">
        <w:rPr>
          <w:rFonts w:asciiTheme="minorHAnsi" w:hAnsiTheme="minorHAnsi"/>
        </w:rPr>
        <w:t xml:space="preserve">so se znižale </w:t>
      </w:r>
      <w:r w:rsidR="007F54E7" w:rsidRPr="00D050E9">
        <w:rPr>
          <w:rFonts w:asciiTheme="minorHAnsi" w:hAnsiTheme="minorHAnsi"/>
        </w:rPr>
        <w:t xml:space="preserve">v letu 2016 (glej 18. letno poročilo za leta 2014, 2015 in 2016). </w:t>
      </w:r>
    </w:p>
    <w:p w:rsidR="005975DC" w:rsidRPr="00D050E9" w:rsidRDefault="005975DC" w:rsidP="00B26968">
      <w:pPr>
        <w:pStyle w:val="Odstavek"/>
        <w:spacing w:line="276" w:lineRule="auto"/>
        <w:ind w:firstLine="0"/>
        <w:jc w:val="left"/>
        <w:rPr>
          <w:rFonts w:asciiTheme="minorHAnsi" w:hAnsiTheme="minorHAnsi"/>
        </w:rPr>
      </w:pPr>
    </w:p>
    <w:p w:rsidR="005975DC" w:rsidRPr="00D050E9" w:rsidRDefault="005975DC" w:rsidP="00B26968">
      <w:pPr>
        <w:pStyle w:val="Odstavek"/>
        <w:spacing w:line="276" w:lineRule="auto"/>
        <w:ind w:firstLine="0"/>
        <w:jc w:val="left"/>
        <w:rPr>
          <w:rFonts w:asciiTheme="minorHAnsi" w:hAnsiTheme="minorHAnsi"/>
        </w:rPr>
      </w:pPr>
    </w:p>
    <w:p w:rsidR="0014793B" w:rsidRPr="00D050E9" w:rsidRDefault="0014793B" w:rsidP="00B26968">
      <w:pPr>
        <w:pStyle w:val="Odstavek"/>
        <w:spacing w:line="276" w:lineRule="auto"/>
        <w:ind w:firstLine="0"/>
        <w:jc w:val="left"/>
        <w:rPr>
          <w:rFonts w:asciiTheme="minorHAnsi" w:hAnsiTheme="minorHAnsi"/>
        </w:rPr>
      </w:pPr>
    </w:p>
    <w:p w:rsidR="001B7E3A" w:rsidRPr="00D050E9" w:rsidRDefault="001B7E3A" w:rsidP="00B26968">
      <w:pPr>
        <w:pStyle w:val="Odstavek"/>
        <w:spacing w:line="276" w:lineRule="auto"/>
        <w:ind w:firstLine="0"/>
        <w:jc w:val="left"/>
        <w:rPr>
          <w:rFonts w:asciiTheme="minorHAnsi" w:hAnsiTheme="minorHAnsi"/>
        </w:rPr>
      </w:pPr>
    </w:p>
    <w:p w:rsidR="005975DC" w:rsidRPr="00D050E9" w:rsidRDefault="005975DC" w:rsidP="005975DC">
      <w:pPr>
        <w:pStyle w:val="Caption"/>
        <w:rPr>
          <w:color w:val="auto"/>
        </w:rPr>
      </w:pPr>
      <w:bookmarkStart w:id="21" w:name="_Toc530654621"/>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6</w:t>
      </w:r>
      <w:r w:rsidRPr="00D050E9">
        <w:rPr>
          <w:color w:val="auto"/>
        </w:rPr>
        <w:fldChar w:fldCharType="end"/>
      </w:r>
      <w:r w:rsidRPr="00D050E9">
        <w:rPr>
          <w:color w:val="auto"/>
        </w:rPr>
        <w:t>: Struktura državnih pomoči po glavnih skupinah pomoči v Sloveniji, 2008–2017</w:t>
      </w:r>
      <w:bookmarkEnd w:id="21"/>
    </w:p>
    <w:p w:rsidR="00704A1C" w:rsidRPr="00D050E9" w:rsidRDefault="00B26968" w:rsidP="00B26968">
      <w:pPr>
        <w:pStyle w:val="Odstavek"/>
        <w:spacing w:line="276" w:lineRule="auto"/>
        <w:ind w:firstLine="0"/>
        <w:jc w:val="left"/>
        <w:rPr>
          <w:rFonts w:asciiTheme="minorHAnsi" w:hAnsiTheme="minorHAnsi"/>
          <w:b/>
        </w:rPr>
      </w:pPr>
      <w:r w:rsidRPr="00D050E9">
        <w:rPr>
          <w:noProof/>
          <w:lang w:eastAsia="sl-SI"/>
        </w:rPr>
        <w:drawing>
          <wp:inline distT="0" distB="0" distL="0" distR="0" wp14:anchorId="3550A884" wp14:editId="725DA059">
            <wp:extent cx="5501640" cy="278892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3C62" w:rsidRPr="00D050E9" w:rsidRDefault="002121D3" w:rsidP="00B9182A">
      <w:pPr>
        <w:pStyle w:val="Heading3"/>
      </w:pPr>
      <w:bookmarkStart w:id="22" w:name="_Toc530654537"/>
      <w:r w:rsidRPr="00D050E9">
        <w:t>1.3.2 Državne pomoči po kategorijah (namenih) pomoči</w:t>
      </w:r>
      <w:bookmarkEnd w:id="22"/>
    </w:p>
    <w:p w:rsidR="00E72379" w:rsidRPr="00D050E9" w:rsidRDefault="00E72379" w:rsidP="00E72379">
      <w:pPr>
        <w:spacing w:after="0" w:line="276" w:lineRule="auto"/>
        <w:rPr>
          <w:rFonts w:asciiTheme="minorHAnsi" w:hAnsiTheme="minorHAnsi"/>
        </w:rPr>
      </w:pPr>
    </w:p>
    <w:p w:rsidR="00B26968" w:rsidRPr="00D050E9" w:rsidRDefault="00CE0EBF" w:rsidP="00CE0EBF">
      <w:pPr>
        <w:spacing w:line="276" w:lineRule="auto"/>
        <w:rPr>
          <w:rFonts w:asciiTheme="minorHAnsi" w:hAnsiTheme="minorHAnsi"/>
        </w:rPr>
      </w:pPr>
      <w:r w:rsidRPr="00D050E9">
        <w:rPr>
          <w:rFonts w:asciiTheme="minorHAnsi" w:hAnsiTheme="minorHAnsi"/>
        </w:rPr>
        <w:t xml:space="preserve">V Sloveniji se </w:t>
      </w:r>
      <w:r w:rsidRPr="00D050E9">
        <w:rPr>
          <w:rFonts w:asciiTheme="minorHAnsi" w:hAnsiTheme="minorHAnsi"/>
          <w:b/>
        </w:rPr>
        <w:t>največ pomoči</w:t>
      </w:r>
      <w:r w:rsidRPr="00D050E9">
        <w:rPr>
          <w:rFonts w:asciiTheme="minorHAnsi" w:hAnsiTheme="minorHAnsi"/>
        </w:rPr>
        <w:t xml:space="preserve"> dodeljuje za </w:t>
      </w:r>
      <w:r w:rsidRPr="00D050E9">
        <w:rPr>
          <w:rFonts w:asciiTheme="minorHAnsi" w:hAnsiTheme="minorHAnsi"/>
          <w:b/>
        </w:rPr>
        <w:t>varstvo okolja in varčevanje z energijo</w:t>
      </w:r>
      <w:r w:rsidRPr="00D050E9">
        <w:rPr>
          <w:rFonts w:asciiTheme="minorHAnsi" w:hAnsiTheme="minorHAnsi"/>
        </w:rPr>
        <w:t xml:space="preserve">. V letu 2017 so te pomoči predstavljale </w:t>
      </w:r>
      <w:r w:rsidRPr="00D050E9">
        <w:rPr>
          <w:rFonts w:asciiTheme="minorHAnsi" w:hAnsiTheme="minorHAnsi"/>
          <w:b/>
        </w:rPr>
        <w:t xml:space="preserve">42,7 % </w:t>
      </w:r>
      <w:r w:rsidRPr="00D050E9">
        <w:rPr>
          <w:rFonts w:asciiTheme="minorHAnsi" w:hAnsiTheme="minorHAnsi"/>
        </w:rPr>
        <w:t xml:space="preserve"> vseh pomoči ali </w:t>
      </w:r>
      <w:r w:rsidRPr="00D050E9">
        <w:rPr>
          <w:rFonts w:asciiTheme="minorHAnsi" w:hAnsiTheme="minorHAnsi"/>
          <w:b/>
        </w:rPr>
        <w:t>182,56 mio EUR</w:t>
      </w:r>
      <w:r w:rsidRPr="00D050E9">
        <w:rPr>
          <w:rFonts w:asciiTheme="minorHAnsi" w:hAnsiTheme="minorHAnsi"/>
        </w:rPr>
        <w:t>. Njihov obseg se je v zadnjem le</w:t>
      </w:r>
      <w:r w:rsidR="00BF3ADC">
        <w:rPr>
          <w:rFonts w:asciiTheme="minorHAnsi" w:hAnsiTheme="minorHAnsi"/>
        </w:rPr>
        <w:t>tu še povečal (+6 mio EUR oz. +</w:t>
      </w:r>
      <w:r w:rsidRPr="00D050E9">
        <w:rPr>
          <w:rFonts w:asciiTheme="minorHAnsi" w:hAnsiTheme="minorHAnsi"/>
        </w:rPr>
        <w:t xml:space="preserve">3,4 %), v strukturi pa malenkostno znižal (47,1 % v letu 2016, ). </w:t>
      </w:r>
    </w:p>
    <w:p w:rsidR="00CE0EBF" w:rsidRPr="00D050E9" w:rsidRDefault="00CE0EBF" w:rsidP="00CE0EBF">
      <w:pPr>
        <w:spacing w:line="276" w:lineRule="auto"/>
        <w:rPr>
          <w:rFonts w:asciiTheme="minorHAnsi" w:hAnsiTheme="minorHAnsi"/>
        </w:rPr>
      </w:pPr>
      <w:r w:rsidRPr="00D050E9">
        <w:rPr>
          <w:rFonts w:asciiTheme="minorHAnsi" w:hAnsiTheme="minorHAnsi"/>
        </w:rPr>
        <w:t xml:space="preserve">Druge po obsegu so pomoči za </w:t>
      </w:r>
      <w:r w:rsidRPr="00D050E9">
        <w:rPr>
          <w:rFonts w:asciiTheme="minorHAnsi" w:hAnsiTheme="minorHAnsi"/>
          <w:b/>
        </w:rPr>
        <w:t xml:space="preserve">zaposlovanje, </w:t>
      </w:r>
      <w:r w:rsidRPr="00D050E9">
        <w:rPr>
          <w:rFonts w:asciiTheme="minorHAnsi" w:hAnsiTheme="minorHAnsi"/>
        </w:rPr>
        <w:t xml:space="preserve">za katere je bilo v letu 2017 izplačanih </w:t>
      </w:r>
      <w:r w:rsidRPr="00D050E9">
        <w:rPr>
          <w:rFonts w:asciiTheme="minorHAnsi" w:hAnsiTheme="minorHAnsi"/>
          <w:b/>
        </w:rPr>
        <w:t>98,47 mio</w:t>
      </w:r>
      <w:r w:rsidRPr="00D050E9">
        <w:rPr>
          <w:rFonts w:asciiTheme="minorHAnsi" w:hAnsiTheme="minorHAnsi"/>
        </w:rPr>
        <w:t xml:space="preserve"> EUR, predstavljale pa so </w:t>
      </w:r>
      <w:r w:rsidRPr="00D050E9">
        <w:rPr>
          <w:rFonts w:asciiTheme="minorHAnsi" w:hAnsiTheme="minorHAnsi"/>
          <w:b/>
        </w:rPr>
        <w:t>23,1 %</w:t>
      </w:r>
      <w:r w:rsidRPr="00D050E9">
        <w:rPr>
          <w:rFonts w:asciiTheme="minorHAnsi" w:hAnsiTheme="minorHAnsi"/>
        </w:rPr>
        <w:t xml:space="preserve"> vseh pomoči. Pomoči za varstvo okolja in zaposlovanje so predstavljale skoraj dve tretjini vseh pomoči v letu 2017.</w:t>
      </w:r>
    </w:p>
    <w:p w:rsidR="00CE0EBF" w:rsidRPr="00D050E9" w:rsidRDefault="00CE0EBF" w:rsidP="00CE0EBF">
      <w:pPr>
        <w:spacing w:line="276" w:lineRule="auto"/>
        <w:rPr>
          <w:rFonts w:asciiTheme="minorHAnsi" w:hAnsiTheme="minorHAnsi"/>
        </w:rPr>
      </w:pPr>
      <w:r w:rsidRPr="00D050E9">
        <w:rPr>
          <w:rFonts w:asciiTheme="minorHAnsi" w:hAnsiTheme="minorHAnsi"/>
        </w:rPr>
        <w:t xml:space="preserve">V okviru horizontalnih pomoči sledijo </w:t>
      </w:r>
      <w:r w:rsidRPr="00D050E9">
        <w:rPr>
          <w:rFonts w:asciiTheme="minorHAnsi" w:hAnsiTheme="minorHAnsi"/>
          <w:b/>
        </w:rPr>
        <w:t xml:space="preserve">pomoči za raziskave, razvoj in inovacije (RRI), </w:t>
      </w:r>
      <w:r w:rsidR="00F07D85">
        <w:rPr>
          <w:rFonts w:asciiTheme="minorHAnsi" w:hAnsiTheme="minorHAnsi"/>
        </w:rPr>
        <w:t>s</w:t>
      </w:r>
      <w:r w:rsidRPr="00D050E9">
        <w:rPr>
          <w:rFonts w:asciiTheme="minorHAnsi" w:hAnsiTheme="minorHAnsi"/>
        </w:rPr>
        <w:t xml:space="preserve"> </w:t>
      </w:r>
      <w:r w:rsidRPr="00D050E9">
        <w:rPr>
          <w:rFonts w:asciiTheme="minorHAnsi" w:hAnsiTheme="minorHAnsi"/>
          <w:b/>
        </w:rPr>
        <w:t>34,40 mio EUR</w:t>
      </w:r>
      <w:r w:rsidRPr="00D050E9">
        <w:rPr>
          <w:rFonts w:asciiTheme="minorHAnsi" w:hAnsiTheme="minorHAnsi"/>
        </w:rPr>
        <w:t xml:space="preserve"> oz. </w:t>
      </w:r>
      <w:r w:rsidRPr="00D050E9">
        <w:rPr>
          <w:rFonts w:asciiTheme="minorHAnsi" w:hAnsiTheme="minorHAnsi"/>
          <w:b/>
        </w:rPr>
        <w:t>8,1 %</w:t>
      </w:r>
      <w:r w:rsidRPr="00D050E9">
        <w:rPr>
          <w:rFonts w:asciiTheme="minorHAnsi" w:hAnsiTheme="minorHAnsi"/>
        </w:rPr>
        <w:t xml:space="preserve"> vseh pomoči v letu 2017 (2,8 % v letu 2016)</w:t>
      </w:r>
      <w:r w:rsidR="00E548B6" w:rsidRPr="00D050E9">
        <w:rPr>
          <w:rFonts w:asciiTheme="minorHAnsi" w:hAnsiTheme="minorHAnsi"/>
        </w:rPr>
        <w:t>, ki so po o</w:t>
      </w:r>
      <w:r w:rsidRPr="00D050E9">
        <w:rPr>
          <w:rFonts w:asciiTheme="minorHAnsi" w:hAnsiTheme="minorHAnsi"/>
        </w:rPr>
        <w:t>bsegu prehitele</w:t>
      </w:r>
      <w:r w:rsidR="00E548B6" w:rsidRPr="00D050E9">
        <w:rPr>
          <w:rFonts w:asciiTheme="minorHAnsi" w:hAnsiTheme="minorHAnsi"/>
          <w:b/>
        </w:rPr>
        <w:t xml:space="preserve"> pomoči za regionalni razvoj. </w:t>
      </w:r>
      <w:r w:rsidR="00E548B6" w:rsidRPr="00D050E9">
        <w:rPr>
          <w:rFonts w:asciiTheme="minorHAnsi" w:hAnsiTheme="minorHAnsi"/>
        </w:rPr>
        <w:t>Za slednje je bilo</w:t>
      </w:r>
      <w:r w:rsidR="00E548B6" w:rsidRPr="00D050E9">
        <w:rPr>
          <w:rFonts w:asciiTheme="minorHAnsi" w:hAnsiTheme="minorHAnsi"/>
          <w:b/>
        </w:rPr>
        <w:t xml:space="preserve"> </w:t>
      </w:r>
      <w:r w:rsidRPr="00D050E9">
        <w:rPr>
          <w:rFonts w:asciiTheme="minorHAnsi" w:hAnsiTheme="minorHAnsi"/>
        </w:rPr>
        <w:t>namenih</w:t>
      </w:r>
      <w:r w:rsidRPr="00D050E9">
        <w:rPr>
          <w:rFonts w:asciiTheme="minorHAnsi" w:hAnsiTheme="minorHAnsi"/>
          <w:b/>
        </w:rPr>
        <w:t xml:space="preserve"> 20,97 mio EUR </w:t>
      </w:r>
      <w:r w:rsidRPr="00D050E9">
        <w:rPr>
          <w:rFonts w:asciiTheme="minorHAnsi" w:hAnsiTheme="minorHAnsi"/>
        </w:rPr>
        <w:t>oz.</w:t>
      </w:r>
      <w:r w:rsidRPr="00D050E9">
        <w:rPr>
          <w:rFonts w:asciiTheme="minorHAnsi" w:hAnsiTheme="minorHAnsi"/>
          <w:b/>
        </w:rPr>
        <w:t xml:space="preserve"> 4,9 % </w:t>
      </w:r>
      <w:r w:rsidRPr="00D050E9">
        <w:rPr>
          <w:rFonts w:asciiTheme="minorHAnsi" w:hAnsiTheme="minorHAnsi"/>
        </w:rPr>
        <w:t>vseh pomoči v letu 2017 (5,9 % v letu 2016), njihov obseg se zadnja tri leta zmanjšuje</w:t>
      </w:r>
      <w:r w:rsidR="00B26968" w:rsidRPr="00D050E9">
        <w:rPr>
          <w:rFonts w:asciiTheme="minorHAnsi" w:hAnsiTheme="minorHAnsi"/>
        </w:rPr>
        <w:t>.</w:t>
      </w:r>
    </w:p>
    <w:p w:rsidR="00B26968" w:rsidRPr="00D050E9" w:rsidRDefault="00B26968" w:rsidP="00B26968">
      <w:pPr>
        <w:spacing w:line="276" w:lineRule="auto"/>
        <w:rPr>
          <w:rFonts w:asciiTheme="minorHAnsi" w:hAnsiTheme="minorHAnsi"/>
        </w:rPr>
      </w:pPr>
      <w:r w:rsidRPr="00D050E9">
        <w:rPr>
          <w:rFonts w:asciiTheme="minorHAnsi" w:hAnsiTheme="minorHAnsi"/>
        </w:rPr>
        <w:t xml:space="preserve">Za </w:t>
      </w:r>
      <w:r w:rsidRPr="00D050E9">
        <w:rPr>
          <w:rFonts w:asciiTheme="minorHAnsi" w:hAnsiTheme="minorHAnsi"/>
          <w:b/>
        </w:rPr>
        <w:t xml:space="preserve">kulturo in avdiovizualno dejavnost </w:t>
      </w:r>
      <w:r w:rsidRPr="00D050E9">
        <w:rPr>
          <w:rFonts w:asciiTheme="minorHAnsi" w:hAnsiTheme="minorHAnsi"/>
        </w:rPr>
        <w:t xml:space="preserve">je bilo v letu 2017 izplačanih </w:t>
      </w:r>
      <w:r w:rsidRPr="00D050E9">
        <w:rPr>
          <w:rFonts w:asciiTheme="minorHAnsi" w:hAnsiTheme="minorHAnsi"/>
          <w:b/>
        </w:rPr>
        <w:t>10,34 mio EUR</w:t>
      </w:r>
      <w:r w:rsidRPr="00D050E9">
        <w:rPr>
          <w:rFonts w:asciiTheme="minorHAnsi" w:hAnsiTheme="minorHAnsi"/>
        </w:rPr>
        <w:t xml:space="preserve">, kar je enak obseg kot leta 2016, v deležu je to </w:t>
      </w:r>
      <w:r w:rsidRPr="00D050E9">
        <w:rPr>
          <w:rFonts w:asciiTheme="minorHAnsi" w:hAnsiTheme="minorHAnsi"/>
          <w:b/>
        </w:rPr>
        <w:t>2,4 %</w:t>
      </w:r>
      <w:r w:rsidRPr="00D050E9">
        <w:rPr>
          <w:rFonts w:asciiTheme="minorHAnsi" w:hAnsiTheme="minorHAnsi"/>
        </w:rPr>
        <w:t xml:space="preserve"> vseh pomoči v 2017 (2,7 % v letu 2016). </w:t>
      </w:r>
    </w:p>
    <w:p w:rsidR="00CE0EBF" w:rsidRPr="00D050E9" w:rsidRDefault="00737816" w:rsidP="00CE0EBF">
      <w:pPr>
        <w:spacing w:line="276" w:lineRule="auto"/>
        <w:rPr>
          <w:rFonts w:asciiTheme="minorHAnsi" w:hAnsiTheme="minorHAnsi"/>
        </w:rPr>
      </w:pPr>
      <w:r w:rsidRPr="00D050E9">
        <w:rPr>
          <w:rFonts w:asciiTheme="minorHAnsi" w:hAnsiTheme="minorHAnsi"/>
        </w:rPr>
        <w:t>Pomoč</w:t>
      </w:r>
      <w:r w:rsidR="00CC65D1" w:rsidRPr="00D050E9">
        <w:rPr>
          <w:rFonts w:asciiTheme="minorHAnsi" w:hAnsiTheme="minorHAnsi"/>
        </w:rPr>
        <w:t>i</w:t>
      </w:r>
      <w:r w:rsidRPr="00D050E9">
        <w:rPr>
          <w:rFonts w:asciiTheme="minorHAnsi" w:hAnsiTheme="minorHAnsi"/>
        </w:rPr>
        <w:t xml:space="preserve"> za </w:t>
      </w:r>
      <w:r w:rsidRPr="00D050E9">
        <w:rPr>
          <w:rFonts w:asciiTheme="minorHAnsi" w:hAnsiTheme="minorHAnsi"/>
          <w:b/>
        </w:rPr>
        <w:t>mala in srednje velika podjetja (MSP) ter tvegano financiranje</w:t>
      </w:r>
      <w:r w:rsidRPr="00D050E9">
        <w:rPr>
          <w:rFonts w:asciiTheme="minorHAnsi" w:hAnsiTheme="minorHAnsi"/>
        </w:rPr>
        <w:t xml:space="preserve"> so v letu 2017 znašale 3,73 mio EUR ali 0,9 % </w:t>
      </w:r>
      <w:r w:rsidR="00E11D95" w:rsidRPr="00D050E9">
        <w:rPr>
          <w:rFonts w:asciiTheme="minorHAnsi" w:hAnsiTheme="minorHAnsi"/>
        </w:rPr>
        <w:t>vseh pomoči</w:t>
      </w:r>
      <w:r w:rsidR="00EB184C" w:rsidRPr="00D050E9">
        <w:rPr>
          <w:rFonts w:asciiTheme="minorHAnsi" w:hAnsiTheme="minorHAnsi"/>
        </w:rPr>
        <w:t xml:space="preserve">, kar je 0,96 mio EUR več kot v letu 2016, ko so predstavljale 0,8 % vseh pomoči. </w:t>
      </w:r>
    </w:p>
    <w:p w:rsidR="001E1209" w:rsidRPr="00D050E9" w:rsidRDefault="001E1209" w:rsidP="0074415F">
      <w:pPr>
        <w:spacing w:line="276" w:lineRule="auto"/>
        <w:rPr>
          <w:rFonts w:asciiTheme="minorHAnsi" w:hAnsiTheme="minorHAnsi"/>
        </w:rPr>
      </w:pPr>
      <w:r w:rsidRPr="00D050E9">
        <w:rPr>
          <w:rFonts w:asciiTheme="minorHAnsi" w:hAnsiTheme="minorHAnsi"/>
        </w:rPr>
        <w:t xml:space="preserve">Za </w:t>
      </w:r>
      <w:r w:rsidRPr="00D050E9">
        <w:rPr>
          <w:rFonts w:asciiTheme="minorHAnsi" w:hAnsiTheme="minorHAnsi"/>
          <w:b/>
        </w:rPr>
        <w:t>usposabljanje</w:t>
      </w:r>
      <w:r w:rsidRPr="00D050E9">
        <w:rPr>
          <w:rFonts w:asciiTheme="minorHAnsi" w:hAnsiTheme="minorHAnsi"/>
        </w:rPr>
        <w:t xml:space="preserve"> je bilo v letu 2017 namenjenih 0,69 mio EUR ali 0,2 % vseh pomoči, kar je </w:t>
      </w:r>
      <w:r w:rsidRPr="001E1212">
        <w:rPr>
          <w:rFonts w:asciiTheme="minorHAnsi" w:hAnsiTheme="minorHAnsi"/>
        </w:rPr>
        <w:t>skoraj šest</w:t>
      </w:r>
      <w:r w:rsidR="001E1212" w:rsidRPr="001E1212">
        <w:rPr>
          <w:rFonts w:asciiTheme="minorHAnsi" w:hAnsiTheme="minorHAnsi"/>
        </w:rPr>
        <w:t xml:space="preserve"> </w:t>
      </w:r>
      <w:r w:rsidRPr="001E1212">
        <w:rPr>
          <w:rFonts w:asciiTheme="minorHAnsi" w:hAnsiTheme="minorHAnsi"/>
        </w:rPr>
        <w:t xml:space="preserve"> krat več</w:t>
      </w:r>
      <w:r w:rsidRPr="00D050E9">
        <w:rPr>
          <w:rFonts w:asciiTheme="minorHAnsi" w:hAnsiTheme="minorHAnsi"/>
        </w:rPr>
        <w:t xml:space="preserve"> kot v letu 2016, ko je bilo za ta namen izplačanih le 0,10 mio EUR pomoči. </w:t>
      </w:r>
    </w:p>
    <w:p w:rsidR="002873D2" w:rsidRPr="00D050E9" w:rsidRDefault="002873D2" w:rsidP="0074415F">
      <w:pPr>
        <w:spacing w:line="276" w:lineRule="auto"/>
        <w:rPr>
          <w:rFonts w:asciiTheme="minorHAnsi" w:hAnsiTheme="minorHAnsi"/>
        </w:rPr>
      </w:pPr>
    </w:p>
    <w:p w:rsidR="002873D2" w:rsidRPr="00D050E9" w:rsidRDefault="002873D2" w:rsidP="0074415F">
      <w:pPr>
        <w:spacing w:line="276" w:lineRule="auto"/>
        <w:rPr>
          <w:rFonts w:asciiTheme="minorHAnsi" w:hAnsiTheme="minorHAnsi"/>
        </w:rPr>
      </w:pPr>
    </w:p>
    <w:p w:rsidR="0014793B" w:rsidRPr="00D050E9" w:rsidRDefault="0014793B" w:rsidP="0074415F">
      <w:pPr>
        <w:spacing w:line="276" w:lineRule="auto"/>
        <w:rPr>
          <w:rFonts w:asciiTheme="minorHAnsi" w:hAnsiTheme="minorHAnsi"/>
        </w:rPr>
      </w:pPr>
    </w:p>
    <w:p w:rsidR="0034523E" w:rsidRPr="00D050E9" w:rsidRDefault="005975DC" w:rsidP="005975DC">
      <w:pPr>
        <w:pStyle w:val="Caption"/>
        <w:rPr>
          <w:color w:val="auto"/>
        </w:rPr>
      </w:pPr>
      <w:bookmarkStart w:id="23" w:name="_Toc530654622"/>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7</w:t>
      </w:r>
      <w:r w:rsidRPr="00D050E9">
        <w:rPr>
          <w:color w:val="auto"/>
        </w:rPr>
        <w:fldChar w:fldCharType="end"/>
      </w:r>
      <w:r w:rsidRPr="00D050E9">
        <w:rPr>
          <w:color w:val="auto"/>
        </w:rPr>
        <w:t>: Struktura državnih pomoči v Sloveniji v letu 2017 po namenih pomoči, v % vseh pomoči</w:t>
      </w:r>
      <w:bookmarkEnd w:id="23"/>
    </w:p>
    <w:p w:rsidR="005975DC" w:rsidRPr="00D050E9" w:rsidRDefault="005975DC" w:rsidP="005975DC">
      <w:pPr>
        <w:rPr>
          <w:lang w:bidi="hi-IN"/>
        </w:rPr>
      </w:pPr>
    </w:p>
    <w:p w:rsidR="00BD1CD7" w:rsidRPr="00D050E9" w:rsidRDefault="00BD1CD7" w:rsidP="001D399B">
      <w:pPr>
        <w:spacing w:line="276" w:lineRule="auto"/>
        <w:rPr>
          <w:rFonts w:asciiTheme="minorHAnsi" w:hAnsiTheme="minorHAnsi"/>
        </w:rPr>
      </w:pPr>
      <w:r w:rsidRPr="00D050E9">
        <w:rPr>
          <w:noProof/>
          <w:color w:val="7030A0"/>
          <w:lang w:eastAsia="sl-SI"/>
        </w:rPr>
        <w:drawing>
          <wp:inline distT="0" distB="0" distL="0" distR="0" wp14:anchorId="0CDD72B7" wp14:editId="26869E0A">
            <wp:extent cx="5623560" cy="31318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6968" w:rsidRPr="00D050E9" w:rsidRDefault="00B26968" w:rsidP="00EB184C">
      <w:pPr>
        <w:spacing w:line="276" w:lineRule="auto"/>
        <w:rPr>
          <w:rFonts w:asciiTheme="minorHAnsi" w:hAnsiTheme="minorHAnsi"/>
        </w:rPr>
      </w:pPr>
    </w:p>
    <w:p w:rsidR="008B5D04" w:rsidRPr="00D050E9" w:rsidRDefault="004E4026" w:rsidP="00EB184C">
      <w:pPr>
        <w:spacing w:line="276" w:lineRule="auto"/>
        <w:rPr>
          <w:rFonts w:asciiTheme="minorHAnsi" w:hAnsiTheme="minorHAnsi"/>
        </w:rPr>
      </w:pPr>
      <w:r w:rsidRPr="00D050E9">
        <w:rPr>
          <w:rFonts w:asciiTheme="minorHAnsi" w:hAnsiTheme="minorHAnsi"/>
        </w:rPr>
        <w:t xml:space="preserve">V okviru pomoči za posebne sektorje je bilo največ pomoči namenjenih za </w:t>
      </w:r>
      <w:r w:rsidR="008B5D04" w:rsidRPr="00D050E9">
        <w:rPr>
          <w:rFonts w:asciiTheme="minorHAnsi" w:hAnsiTheme="minorHAnsi"/>
        </w:rPr>
        <w:t xml:space="preserve">kopenski </w:t>
      </w:r>
      <w:r w:rsidRPr="00D050E9">
        <w:rPr>
          <w:rFonts w:asciiTheme="minorHAnsi" w:hAnsiTheme="minorHAnsi"/>
        </w:rPr>
        <w:t>transport,</w:t>
      </w:r>
      <w:r w:rsidR="008B5D04" w:rsidRPr="00D050E9">
        <w:rPr>
          <w:rFonts w:asciiTheme="minorHAnsi" w:hAnsiTheme="minorHAnsi"/>
        </w:rPr>
        <w:t xml:space="preserve"> izplačana so bile kot </w:t>
      </w:r>
      <w:r w:rsidRPr="00D050E9">
        <w:rPr>
          <w:rFonts w:asciiTheme="minorHAnsi" w:hAnsiTheme="minorHAnsi"/>
          <w:b/>
        </w:rPr>
        <w:t>nadomestila za prevoz potnikov v železniškem prometu</w:t>
      </w:r>
      <w:r w:rsidRPr="00D050E9">
        <w:rPr>
          <w:rFonts w:asciiTheme="minorHAnsi" w:hAnsiTheme="minorHAnsi"/>
        </w:rPr>
        <w:t xml:space="preserve">. V letu 2017 je bilo za ta namen izplačanih </w:t>
      </w:r>
      <w:r w:rsidRPr="00D050E9">
        <w:rPr>
          <w:rFonts w:asciiTheme="minorHAnsi" w:hAnsiTheme="minorHAnsi"/>
          <w:b/>
        </w:rPr>
        <w:t>45,66 mio EUR</w:t>
      </w:r>
      <w:r w:rsidRPr="00D050E9">
        <w:rPr>
          <w:rFonts w:asciiTheme="minorHAnsi" w:hAnsiTheme="minorHAnsi"/>
        </w:rPr>
        <w:t xml:space="preserve"> ali </w:t>
      </w:r>
      <w:r w:rsidRPr="00D050E9">
        <w:rPr>
          <w:rFonts w:asciiTheme="minorHAnsi" w:hAnsiTheme="minorHAnsi"/>
          <w:b/>
        </w:rPr>
        <w:t>10,7 %</w:t>
      </w:r>
      <w:r w:rsidRPr="00D050E9">
        <w:rPr>
          <w:rFonts w:asciiTheme="minorHAnsi" w:hAnsiTheme="minorHAnsi"/>
        </w:rPr>
        <w:t xml:space="preserve"> vseh pomoči, kar je </w:t>
      </w:r>
      <w:r w:rsidR="008B5D04" w:rsidRPr="00D050E9">
        <w:rPr>
          <w:rFonts w:asciiTheme="minorHAnsi" w:hAnsiTheme="minorHAnsi"/>
        </w:rPr>
        <w:t xml:space="preserve">nekaj (2,56 mio EUR) več kot v letu 2016, ko so sicer predstavljale višji, 11,5-odstotni delež vseh pomoči. </w:t>
      </w:r>
    </w:p>
    <w:p w:rsidR="00C540E9" w:rsidRPr="00D050E9" w:rsidRDefault="008B5D04" w:rsidP="00EB184C">
      <w:pPr>
        <w:spacing w:line="276" w:lineRule="auto"/>
        <w:rPr>
          <w:rFonts w:asciiTheme="minorHAnsi" w:hAnsiTheme="minorHAnsi"/>
        </w:rPr>
      </w:pPr>
      <w:r w:rsidRPr="00D050E9">
        <w:rPr>
          <w:rFonts w:asciiTheme="minorHAnsi" w:hAnsiTheme="minorHAnsi"/>
        </w:rPr>
        <w:t xml:space="preserve">Za </w:t>
      </w:r>
      <w:r w:rsidRPr="00D050E9">
        <w:rPr>
          <w:rFonts w:asciiTheme="minorHAnsi" w:hAnsiTheme="minorHAnsi"/>
          <w:b/>
        </w:rPr>
        <w:t>premogovništvo</w:t>
      </w:r>
      <w:r w:rsidRPr="00D050E9">
        <w:rPr>
          <w:rFonts w:asciiTheme="minorHAnsi" w:hAnsiTheme="minorHAnsi"/>
        </w:rPr>
        <w:t xml:space="preserve"> je bilo v letu 2017 izplačanih </w:t>
      </w:r>
      <w:r w:rsidRPr="00D050E9">
        <w:rPr>
          <w:rFonts w:asciiTheme="minorHAnsi" w:hAnsiTheme="minorHAnsi"/>
          <w:b/>
        </w:rPr>
        <w:t>15,75 mio EUR</w:t>
      </w:r>
      <w:r w:rsidRPr="00D050E9">
        <w:rPr>
          <w:rFonts w:asciiTheme="minorHAnsi" w:hAnsiTheme="minorHAnsi"/>
        </w:rPr>
        <w:t xml:space="preserve"> a</w:t>
      </w:r>
      <w:r w:rsidR="00C540E9" w:rsidRPr="00D050E9">
        <w:rPr>
          <w:rFonts w:asciiTheme="minorHAnsi" w:hAnsiTheme="minorHAnsi"/>
        </w:rPr>
        <w:t xml:space="preserve">li </w:t>
      </w:r>
      <w:r w:rsidR="00C540E9" w:rsidRPr="00D050E9">
        <w:rPr>
          <w:rFonts w:asciiTheme="minorHAnsi" w:hAnsiTheme="minorHAnsi"/>
          <w:b/>
        </w:rPr>
        <w:t>3,7 %</w:t>
      </w:r>
      <w:r w:rsidR="00C540E9" w:rsidRPr="00D050E9">
        <w:rPr>
          <w:rFonts w:asciiTheme="minorHAnsi" w:hAnsiTheme="minorHAnsi"/>
        </w:rPr>
        <w:t xml:space="preserve"> vseh državnih pomoči, kar je 3,28 mio EUR več kot v letu 2016, ko so te pomoči predstavljale 3,3 % vseh pomoči. </w:t>
      </w:r>
      <w:r w:rsidRPr="00D050E9">
        <w:rPr>
          <w:rFonts w:asciiTheme="minorHAnsi" w:hAnsiTheme="minorHAnsi"/>
        </w:rPr>
        <w:t>Namenjene so bile kritju izrednih stro</w:t>
      </w:r>
      <w:r w:rsidR="00C540E9" w:rsidRPr="00D050E9">
        <w:rPr>
          <w:rFonts w:asciiTheme="minorHAnsi" w:hAnsiTheme="minorHAnsi"/>
        </w:rPr>
        <w:t>škov zapiranja</w:t>
      </w:r>
      <w:r w:rsidR="0034523E" w:rsidRPr="00D050E9">
        <w:rPr>
          <w:rFonts w:asciiTheme="minorHAnsi" w:hAnsiTheme="minorHAnsi"/>
        </w:rPr>
        <w:t xml:space="preserve"> rudnika T</w:t>
      </w:r>
      <w:r w:rsidR="00C540E9" w:rsidRPr="00D050E9">
        <w:rPr>
          <w:rFonts w:asciiTheme="minorHAnsi" w:hAnsiTheme="minorHAnsi"/>
        </w:rPr>
        <w:t>rbovlje-Hrastnik.</w:t>
      </w:r>
    </w:p>
    <w:p w:rsidR="00C540E9" w:rsidRPr="00D050E9" w:rsidRDefault="00C540E9" w:rsidP="00EB184C">
      <w:pPr>
        <w:spacing w:line="276" w:lineRule="auto"/>
        <w:rPr>
          <w:rFonts w:asciiTheme="minorHAnsi" w:hAnsiTheme="minorHAnsi"/>
        </w:rPr>
      </w:pPr>
      <w:r w:rsidRPr="00D050E9">
        <w:rPr>
          <w:rFonts w:asciiTheme="minorHAnsi" w:hAnsiTheme="minorHAnsi"/>
        </w:rPr>
        <w:t>V letu 2017 so bile</w:t>
      </w:r>
      <w:r w:rsidR="0024675C" w:rsidRPr="00D050E9">
        <w:rPr>
          <w:rFonts w:asciiTheme="minorHAnsi" w:hAnsiTheme="minorHAnsi"/>
        </w:rPr>
        <w:t xml:space="preserve"> </w:t>
      </w:r>
      <w:r w:rsidR="00CE0EBF" w:rsidRPr="00D050E9">
        <w:rPr>
          <w:rFonts w:asciiTheme="minorHAnsi" w:hAnsiTheme="minorHAnsi"/>
        </w:rPr>
        <w:t>ponovno</w:t>
      </w:r>
      <w:r w:rsidRPr="00D050E9">
        <w:rPr>
          <w:rFonts w:asciiTheme="minorHAnsi" w:hAnsiTheme="minorHAnsi"/>
        </w:rPr>
        <w:t xml:space="preserve"> izplačane tudi pomoči za </w:t>
      </w:r>
      <w:r w:rsidRPr="00D050E9">
        <w:rPr>
          <w:rFonts w:asciiTheme="minorHAnsi" w:hAnsiTheme="minorHAnsi"/>
          <w:b/>
        </w:rPr>
        <w:t>zračni transport</w:t>
      </w:r>
      <w:r w:rsidR="004E3E96" w:rsidRPr="00D050E9">
        <w:rPr>
          <w:rFonts w:asciiTheme="minorHAnsi" w:hAnsiTheme="minorHAnsi"/>
          <w:b/>
        </w:rPr>
        <w:t xml:space="preserve">, </w:t>
      </w:r>
      <w:r w:rsidR="004E3E96" w:rsidRPr="00D050E9">
        <w:rPr>
          <w:rFonts w:asciiTheme="minorHAnsi" w:hAnsiTheme="minorHAnsi"/>
        </w:rPr>
        <w:t>in sicer kot pomoči za tekoče poslovan</w:t>
      </w:r>
      <w:r w:rsidR="00B26968" w:rsidRPr="00D050E9">
        <w:rPr>
          <w:rFonts w:asciiTheme="minorHAnsi" w:hAnsiTheme="minorHAnsi"/>
        </w:rPr>
        <w:t xml:space="preserve">je </w:t>
      </w:r>
      <w:r w:rsidR="00CC65D1" w:rsidRPr="00D050E9">
        <w:rPr>
          <w:rFonts w:asciiTheme="minorHAnsi" w:hAnsiTheme="minorHAnsi"/>
        </w:rPr>
        <w:t xml:space="preserve">regionalnim </w:t>
      </w:r>
      <w:r w:rsidR="00B26968" w:rsidRPr="00D050E9">
        <w:rPr>
          <w:rFonts w:asciiTheme="minorHAnsi" w:hAnsiTheme="minorHAnsi"/>
        </w:rPr>
        <w:t>letališčem državnega pomena.</w:t>
      </w:r>
      <w:r w:rsidR="0024675C" w:rsidRPr="00D050E9">
        <w:rPr>
          <w:rFonts w:asciiTheme="minorHAnsi" w:hAnsiTheme="minorHAnsi"/>
        </w:rPr>
        <w:t xml:space="preserve"> Skupaj je bilo za ta namen izplačanih 0,61 mio EUR, kar je predstavljajo 0,2 % vseh državnih pomoči. </w:t>
      </w:r>
    </w:p>
    <w:p w:rsidR="001E1209" w:rsidRPr="00493CA0" w:rsidRDefault="001E1209" w:rsidP="00EB184C">
      <w:pPr>
        <w:spacing w:line="276" w:lineRule="auto"/>
        <w:rPr>
          <w:rFonts w:asciiTheme="minorHAnsi" w:hAnsiTheme="minorHAnsi"/>
        </w:rPr>
      </w:pPr>
      <w:r w:rsidRPr="00D050E9">
        <w:rPr>
          <w:rFonts w:asciiTheme="minorHAnsi" w:hAnsiTheme="minorHAnsi"/>
        </w:rPr>
        <w:t xml:space="preserve">V letu 2017 se niso </w:t>
      </w:r>
      <w:r w:rsidRPr="00493CA0">
        <w:rPr>
          <w:rFonts w:asciiTheme="minorHAnsi" w:hAnsiTheme="minorHAnsi"/>
        </w:rPr>
        <w:t xml:space="preserve">izplačevale </w:t>
      </w:r>
      <w:r w:rsidRPr="00493CA0">
        <w:rPr>
          <w:rFonts w:asciiTheme="minorHAnsi" w:hAnsiTheme="minorHAnsi"/>
          <w:b/>
        </w:rPr>
        <w:t xml:space="preserve">pomoči </w:t>
      </w:r>
      <w:r w:rsidR="00481FDE" w:rsidRPr="00493CA0">
        <w:rPr>
          <w:rFonts w:asciiTheme="minorHAnsi" w:hAnsiTheme="minorHAnsi"/>
          <w:b/>
        </w:rPr>
        <w:t xml:space="preserve">za </w:t>
      </w:r>
      <w:r w:rsidRPr="00493CA0">
        <w:rPr>
          <w:rFonts w:asciiTheme="minorHAnsi" w:hAnsiTheme="minorHAnsi"/>
          <w:b/>
        </w:rPr>
        <w:t>prestrukturiranje</w:t>
      </w:r>
      <w:r w:rsidRPr="00493CA0">
        <w:rPr>
          <w:rFonts w:asciiTheme="minorHAnsi" w:hAnsiTheme="minorHAnsi"/>
        </w:rPr>
        <w:t xml:space="preserve"> podjetij v težavah (v letu 2016 je bilo za ta namen izplačanih 1,3 mio EUR ali 0,3 % vseh pomoči, v letu 2015 pa 102,94 mio EUR ali 18,6 % pomoči). </w:t>
      </w:r>
      <w:r w:rsidRPr="00493CA0">
        <w:rPr>
          <w:rFonts w:asciiTheme="minorHAnsi" w:hAnsiTheme="minorHAnsi"/>
          <w:b/>
        </w:rPr>
        <w:t>Pomoč za reševanje</w:t>
      </w:r>
      <w:r w:rsidR="0065008B" w:rsidRPr="00493CA0">
        <w:rPr>
          <w:rFonts w:asciiTheme="minorHAnsi" w:hAnsiTheme="minorHAnsi"/>
        </w:rPr>
        <w:t xml:space="preserve"> pa je prejelo eno podjetje</w:t>
      </w:r>
      <w:r w:rsidRPr="00493CA0">
        <w:rPr>
          <w:rFonts w:asciiTheme="minorHAnsi" w:hAnsiTheme="minorHAnsi"/>
        </w:rPr>
        <w:t xml:space="preserve">, v višini </w:t>
      </w:r>
      <w:r w:rsidR="00F67BFE" w:rsidRPr="00493CA0">
        <w:rPr>
          <w:rFonts w:asciiTheme="minorHAnsi" w:hAnsiTheme="minorHAnsi"/>
        </w:rPr>
        <w:t xml:space="preserve">nekaj več kot </w:t>
      </w:r>
      <w:r w:rsidRPr="00493CA0">
        <w:rPr>
          <w:rFonts w:asciiTheme="minorHAnsi" w:hAnsiTheme="minorHAnsi"/>
        </w:rPr>
        <w:t>50 tisoč EUR</w:t>
      </w:r>
      <w:r w:rsidR="00993978" w:rsidRPr="00493CA0">
        <w:rPr>
          <w:rFonts w:asciiTheme="minorHAnsi" w:hAnsiTheme="minorHAnsi"/>
        </w:rPr>
        <w:t xml:space="preserve">. </w:t>
      </w:r>
    </w:p>
    <w:p w:rsidR="000170E9" w:rsidRPr="00D050E9" w:rsidRDefault="00F24E0A" w:rsidP="001D399B">
      <w:pPr>
        <w:spacing w:line="276" w:lineRule="auto"/>
        <w:rPr>
          <w:rFonts w:asciiTheme="minorHAnsi" w:hAnsiTheme="minorHAnsi"/>
        </w:rPr>
      </w:pPr>
      <w:r w:rsidRPr="00493CA0">
        <w:rPr>
          <w:rFonts w:asciiTheme="minorHAnsi" w:hAnsiTheme="minorHAnsi"/>
        </w:rPr>
        <w:t>V strukturi pomoči je v zadnjem desetletju opazen trend povečevanja pomoči za varstvo okolja in zaposlovanje (invalidne osebe), na drugi strani pa izrazito zniževanje pomoči za kmetijstvo in ribištvo ter regionalnih pomoči. Pri pomočeh za RRI se je trend zniževanje v letu 2017 ustavil. Ostale kategorije pomoči so</w:t>
      </w:r>
      <w:r w:rsidR="0074415F" w:rsidRPr="00493CA0">
        <w:rPr>
          <w:rFonts w:asciiTheme="minorHAnsi" w:hAnsiTheme="minorHAnsi"/>
        </w:rPr>
        <w:t xml:space="preserve"> ohranile </w:t>
      </w:r>
      <w:r w:rsidRPr="00493CA0">
        <w:rPr>
          <w:rFonts w:asciiTheme="minorHAnsi" w:hAnsiTheme="minorHAnsi"/>
        </w:rPr>
        <w:t>deleže</w:t>
      </w:r>
      <w:r w:rsidR="00B34371" w:rsidRPr="00493CA0">
        <w:rPr>
          <w:rFonts w:asciiTheme="minorHAnsi" w:hAnsiTheme="minorHAnsi"/>
        </w:rPr>
        <w:t>, izjema so pomoč</w:t>
      </w:r>
      <w:r w:rsidR="00886597" w:rsidRPr="00493CA0">
        <w:rPr>
          <w:rFonts w:asciiTheme="minorHAnsi" w:hAnsiTheme="minorHAnsi"/>
        </w:rPr>
        <w:t>i</w:t>
      </w:r>
      <w:r w:rsidR="00B34371" w:rsidRPr="00493CA0">
        <w:rPr>
          <w:rFonts w:asciiTheme="minorHAnsi" w:hAnsiTheme="minorHAnsi"/>
        </w:rPr>
        <w:t xml:space="preserve"> za reševanje in prestrukturiranje, za katere je značilno večje nihanje med leti, odvisno od stanje in potreb gospodarstva.</w:t>
      </w:r>
      <w:r w:rsidR="00B34371" w:rsidRPr="00D050E9">
        <w:rPr>
          <w:rFonts w:asciiTheme="minorHAnsi" w:hAnsiTheme="minorHAnsi"/>
        </w:rPr>
        <w:t xml:space="preserve"> </w:t>
      </w:r>
    </w:p>
    <w:p w:rsidR="0014793B" w:rsidRPr="00D050E9" w:rsidRDefault="0014793B" w:rsidP="00840785">
      <w:pPr>
        <w:pStyle w:val="Caption"/>
        <w:rPr>
          <w:color w:val="auto"/>
        </w:rPr>
      </w:pPr>
    </w:p>
    <w:p w:rsidR="0014793B" w:rsidRPr="00D050E9" w:rsidRDefault="0014793B" w:rsidP="00840785">
      <w:pPr>
        <w:pStyle w:val="Caption"/>
        <w:rPr>
          <w:color w:val="auto"/>
        </w:rPr>
      </w:pPr>
    </w:p>
    <w:p w:rsidR="00840785" w:rsidRPr="00D050E9" w:rsidRDefault="00840785" w:rsidP="00840785">
      <w:pPr>
        <w:pStyle w:val="Caption"/>
        <w:rPr>
          <w:color w:val="auto"/>
        </w:rPr>
      </w:pPr>
      <w:bookmarkStart w:id="24" w:name="_Toc530654623"/>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8</w:t>
      </w:r>
      <w:r w:rsidRPr="00D050E9">
        <w:rPr>
          <w:color w:val="auto"/>
        </w:rPr>
        <w:fldChar w:fldCharType="end"/>
      </w:r>
      <w:r w:rsidRPr="00D050E9">
        <w:rPr>
          <w:color w:val="auto"/>
        </w:rPr>
        <w:t>: Trend spreminjanja strukture državnih pomoči v Sloveniji, 2008 -2017, v % vseh pomoči</w:t>
      </w:r>
      <w:bookmarkEnd w:id="24"/>
    </w:p>
    <w:p w:rsidR="00B26968" w:rsidRPr="00D050E9" w:rsidRDefault="005A1703" w:rsidP="00DE7747">
      <w:pPr>
        <w:spacing w:line="276" w:lineRule="auto"/>
        <w:jc w:val="left"/>
        <w:rPr>
          <w:rFonts w:asciiTheme="minorHAnsi" w:hAnsiTheme="minorHAnsi"/>
        </w:rPr>
      </w:pPr>
      <w:r w:rsidRPr="00D050E9">
        <w:rPr>
          <w:noProof/>
          <w:color w:val="0070C0"/>
          <w:lang w:eastAsia="sl-SI"/>
        </w:rPr>
        <w:drawing>
          <wp:inline distT="0" distB="0" distL="0" distR="0" wp14:anchorId="1569AB05" wp14:editId="11D299F0">
            <wp:extent cx="5784273" cy="2951018"/>
            <wp:effectExtent l="0" t="0" r="6985"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793B" w:rsidRPr="00D050E9" w:rsidRDefault="0014793B" w:rsidP="00B9182A">
      <w:pPr>
        <w:pStyle w:val="Heading3"/>
      </w:pPr>
    </w:p>
    <w:p w:rsidR="00387347" w:rsidRPr="00D050E9" w:rsidRDefault="007F0D69" w:rsidP="00B9182A">
      <w:pPr>
        <w:pStyle w:val="Heading3"/>
      </w:pPr>
      <w:bookmarkStart w:id="25" w:name="_Toc530654538"/>
      <w:r w:rsidRPr="00D050E9">
        <w:t>1.3.3 Državne pomoči po instrumentih pomoči</w:t>
      </w:r>
      <w:bookmarkEnd w:id="25"/>
      <w:r w:rsidRPr="00D050E9">
        <w:t xml:space="preserve">  </w:t>
      </w:r>
    </w:p>
    <w:p w:rsidR="005A5088" w:rsidRPr="00D050E9" w:rsidRDefault="005A5088" w:rsidP="005A5088">
      <w:pPr>
        <w:spacing w:after="0" w:line="276" w:lineRule="auto"/>
        <w:rPr>
          <w:rFonts w:asciiTheme="minorHAnsi" w:hAnsiTheme="minorHAnsi"/>
        </w:rPr>
      </w:pPr>
    </w:p>
    <w:p w:rsidR="00FE39BD" w:rsidRPr="00D050E9" w:rsidRDefault="00B91306" w:rsidP="002A626C">
      <w:pPr>
        <w:spacing w:line="276" w:lineRule="auto"/>
        <w:rPr>
          <w:rFonts w:asciiTheme="minorHAnsi" w:hAnsiTheme="minorHAnsi"/>
        </w:rPr>
      </w:pPr>
      <w:r w:rsidRPr="00D050E9">
        <w:rPr>
          <w:rFonts w:asciiTheme="minorHAnsi" w:hAnsiTheme="minorHAnsi"/>
        </w:rPr>
        <w:t>Državne pomoči se lahko dodeljujejo z uporabo različnih instrumentov, npr. kot subvencije, ugodna posojila, garancije, davčne olajšave</w:t>
      </w:r>
      <w:r w:rsidR="002A626C" w:rsidRPr="00D050E9">
        <w:rPr>
          <w:rFonts w:asciiTheme="minorHAnsi" w:hAnsiTheme="minorHAnsi"/>
        </w:rPr>
        <w:t>.</w:t>
      </w:r>
      <w:r w:rsidR="002A626C" w:rsidRPr="00D050E9">
        <w:rPr>
          <w:rFonts w:asciiTheme="minorHAnsi" w:hAnsiTheme="minorHAnsi"/>
          <w:b/>
        </w:rPr>
        <w:t xml:space="preserve"> </w:t>
      </w:r>
      <w:r w:rsidR="002A626C" w:rsidRPr="00D050E9">
        <w:rPr>
          <w:rFonts w:asciiTheme="minorHAnsi" w:hAnsiTheme="minorHAnsi"/>
        </w:rPr>
        <w:t>Glede na vpliv na javne finance</w:t>
      </w:r>
      <w:r w:rsidR="00FE39BD" w:rsidRPr="00D050E9">
        <w:rPr>
          <w:rFonts w:asciiTheme="minorHAnsi" w:hAnsiTheme="minorHAnsi"/>
        </w:rPr>
        <w:t xml:space="preserve"> </w:t>
      </w:r>
      <w:r w:rsidR="002A626C" w:rsidRPr="00D050E9">
        <w:rPr>
          <w:rFonts w:asciiTheme="minorHAnsi" w:hAnsiTheme="minorHAnsi"/>
        </w:rPr>
        <w:t>govorimo o (i) pomočeh,</w:t>
      </w:r>
      <w:r w:rsidR="002A626C" w:rsidRPr="00D050E9">
        <w:rPr>
          <w:rFonts w:asciiTheme="minorHAnsi" w:hAnsiTheme="minorHAnsi"/>
          <w:b/>
        </w:rPr>
        <w:t xml:space="preserve"> </w:t>
      </w:r>
      <w:r w:rsidRPr="00D050E9">
        <w:rPr>
          <w:rFonts w:asciiTheme="minorHAnsi" w:hAnsiTheme="minorHAnsi"/>
        </w:rPr>
        <w:t>ki se zagotavlja</w:t>
      </w:r>
      <w:r w:rsidR="002A626C" w:rsidRPr="00D050E9">
        <w:rPr>
          <w:rFonts w:asciiTheme="minorHAnsi" w:hAnsiTheme="minorHAnsi"/>
        </w:rPr>
        <w:t>jo</w:t>
      </w:r>
      <w:r w:rsidRPr="00D050E9">
        <w:rPr>
          <w:rFonts w:asciiTheme="minorHAnsi" w:hAnsiTheme="minorHAnsi"/>
        </w:rPr>
        <w:t xml:space="preserve"> s proračunom </w:t>
      </w:r>
      <w:r w:rsidR="002538E7" w:rsidRPr="00D050E9">
        <w:rPr>
          <w:rFonts w:asciiTheme="minorHAnsi" w:hAnsiTheme="minorHAnsi"/>
        </w:rPr>
        <w:t xml:space="preserve">in </w:t>
      </w:r>
      <w:r w:rsidRPr="00D050E9">
        <w:rPr>
          <w:rFonts w:asciiTheme="minorHAnsi" w:hAnsiTheme="minorHAnsi"/>
        </w:rPr>
        <w:t>vplivajo na</w:t>
      </w:r>
      <w:r w:rsidR="002538E7" w:rsidRPr="00D050E9">
        <w:rPr>
          <w:rFonts w:asciiTheme="minorHAnsi" w:hAnsiTheme="minorHAnsi"/>
        </w:rPr>
        <w:t xml:space="preserve"> </w:t>
      </w:r>
      <w:r w:rsidR="002538E7" w:rsidRPr="00D050E9">
        <w:rPr>
          <w:rFonts w:asciiTheme="minorHAnsi" w:hAnsiTheme="minorHAnsi"/>
          <w:b/>
        </w:rPr>
        <w:t>večje</w:t>
      </w:r>
      <w:r w:rsidRPr="00D050E9">
        <w:rPr>
          <w:rFonts w:asciiTheme="minorHAnsi" w:hAnsiTheme="minorHAnsi"/>
        </w:rPr>
        <w:t xml:space="preserve"> </w:t>
      </w:r>
      <w:r w:rsidRPr="00D050E9">
        <w:rPr>
          <w:rFonts w:asciiTheme="minorHAnsi" w:hAnsiTheme="minorHAnsi"/>
          <w:b/>
        </w:rPr>
        <w:t>javnofinančne odhodke</w:t>
      </w:r>
      <w:r w:rsidRPr="00D050E9">
        <w:rPr>
          <w:rFonts w:asciiTheme="minorHAnsi" w:hAnsiTheme="minorHAnsi"/>
        </w:rPr>
        <w:t xml:space="preserve"> </w:t>
      </w:r>
      <w:r w:rsidR="00FE39BD" w:rsidRPr="00D050E9">
        <w:rPr>
          <w:rFonts w:asciiTheme="minorHAnsi" w:hAnsiTheme="minorHAnsi"/>
        </w:rPr>
        <w:t xml:space="preserve">(subvencije, ugodna posojila,  kapitalske naložbe, garancije) in </w:t>
      </w:r>
      <w:r w:rsidR="002538E7" w:rsidRPr="00D050E9">
        <w:rPr>
          <w:rFonts w:asciiTheme="minorHAnsi" w:hAnsiTheme="minorHAnsi"/>
        </w:rPr>
        <w:t xml:space="preserve">o </w:t>
      </w:r>
      <w:r w:rsidRPr="00D050E9">
        <w:rPr>
          <w:rFonts w:asciiTheme="minorHAnsi" w:hAnsiTheme="minorHAnsi"/>
        </w:rPr>
        <w:t xml:space="preserve">(ii) </w:t>
      </w:r>
      <w:r w:rsidR="002A626C" w:rsidRPr="00D050E9">
        <w:rPr>
          <w:rFonts w:asciiTheme="minorHAnsi" w:hAnsiTheme="minorHAnsi"/>
        </w:rPr>
        <w:t>pomočeh</w:t>
      </w:r>
      <w:r w:rsidRPr="00D050E9">
        <w:rPr>
          <w:rFonts w:asciiTheme="minorHAnsi" w:hAnsiTheme="minorHAnsi"/>
        </w:rPr>
        <w:t xml:space="preserve">, ki se zagotavljajo s sistemom davčnih olajšav in izjem ter oprostitev prispevkov za socialno varnost in se kažejo kot </w:t>
      </w:r>
      <w:r w:rsidRPr="00D050E9">
        <w:rPr>
          <w:rFonts w:asciiTheme="minorHAnsi" w:hAnsiTheme="minorHAnsi"/>
          <w:b/>
        </w:rPr>
        <w:t>zmanjšanje javnofinančnih prihodkov</w:t>
      </w:r>
      <w:r w:rsidRPr="00D050E9">
        <w:rPr>
          <w:rFonts w:asciiTheme="minorHAnsi" w:hAnsiTheme="minorHAnsi"/>
        </w:rPr>
        <w:t xml:space="preserve">. </w:t>
      </w:r>
    </w:p>
    <w:p w:rsidR="007E1BEA" w:rsidRPr="00D050E9" w:rsidRDefault="002A626C" w:rsidP="002A626C">
      <w:pPr>
        <w:spacing w:line="276" w:lineRule="auto"/>
        <w:rPr>
          <w:rFonts w:asciiTheme="minorHAnsi" w:hAnsiTheme="minorHAnsi"/>
        </w:rPr>
      </w:pPr>
      <w:r w:rsidRPr="00D050E9">
        <w:rPr>
          <w:rFonts w:asciiTheme="minorHAnsi" w:hAnsiTheme="minorHAnsi"/>
        </w:rPr>
        <w:t xml:space="preserve">Pomoči lahko </w:t>
      </w:r>
      <w:r w:rsidR="00FE39BD" w:rsidRPr="00D050E9">
        <w:rPr>
          <w:rFonts w:asciiTheme="minorHAnsi" w:hAnsiTheme="minorHAnsi"/>
        </w:rPr>
        <w:t xml:space="preserve">glede na uporabo instrumentov </w:t>
      </w:r>
      <w:r w:rsidRPr="00D050E9">
        <w:rPr>
          <w:rFonts w:asciiTheme="minorHAnsi" w:hAnsiTheme="minorHAnsi"/>
        </w:rPr>
        <w:t xml:space="preserve">delimo </w:t>
      </w:r>
      <w:r w:rsidR="00FE39BD" w:rsidRPr="00D050E9">
        <w:rPr>
          <w:rFonts w:asciiTheme="minorHAnsi" w:hAnsiTheme="minorHAnsi"/>
        </w:rPr>
        <w:t xml:space="preserve">tudi v (i) </w:t>
      </w:r>
      <w:r w:rsidR="00FE39BD" w:rsidRPr="00D050E9">
        <w:rPr>
          <w:rFonts w:asciiTheme="minorHAnsi" w:hAnsiTheme="minorHAnsi"/>
          <w:b/>
        </w:rPr>
        <w:t>nepovratne</w:t>
      </w:r>
      <w:r w:rsidR="00FE39BD" w:rsidRPr="00D050E9">
        <w:rPr>
          <w:rFonts w:asciiTheme="minorHAnsi" w:hAnsiTheme="minorHAnsi"/>
        </w:rPr>
        <w:t xml:space="preserve"> oblike pomoči (nepovratna sredstva, davčne olajšave, oprostitve plačil </w:t>
      </w:r>
      <w:r w:rsidR="0059418E" w:rsidRPr="00D050E9">
        <w:rPr>
          <w:rFonts w:asciiTheme="minorHAnsi" w:hAnsiTheme="minorHAnsi"/>
        </w:rPr>
        <w:t>prispevkov za socialno varnost)</w:t>
      </w:r>
      <w:r w:rsidR="00FE39BD" w:rsidRPr="00D050E9">
        <w:rPr>
          <w:rFonts w:asciiTheme="minorHAnsi" w:hAnsiTheme="minorHAnsi"/>
        </w:rPr>
        <w:t xml:space="preserve"> in v (ii) </w:t>
      </w:r>
      <w:r w:rsidR="00FE39BD" w:rsidRPr="00D050E9">
        <w:rPr>
          <w:rFonts w:asciiTheme="minorHAnsi" w:hAnsiTheme="minorHAnsi"/>
          <w:b/>
        </w:rPr>
        <w:t>povratne</w:t>
      </w:r>
      <w:r w:rsidR="00FE39BD" w:rsidRPr="00D050E9">
        <w:rPr>
          <w:rFonts w:asciiTheme="minorHAnsi" w:hAnsiTheme="minorHAnsi"/>
        </w:rPr>
        <w:t xml:space="preserve"> oblike pomoči (ugodna posojila, garancije), ki jih prejemnik pomoči mora (deloma) odplačati.  </w:t>
      </w:r>
    </w:p>
    <w:p w:rsidR="00B91306" w:rsidRPr="00D050E9" w:rsidRDefault="007E1BEA" w:rsidP="002A626C">
      <w:pPr>
        <w:spacing w:line="276" w:lineRule="auto"/>
        <w:rPr>
          <w:rFonts w:asciiTheme="minorHAnsi" w:hAnsiTheme="minorHAnsi"/>
        </w:rPr>
      </w:pPr>
      <w:r w:rsidRPr="00D050E9">
        <w:rPr>
          <w:rFonts w:asciiTheme="minorHAnsi" w:hAnsiTheme="minorHAnsi"/>
        </w:rPr>
        <w:t xml:space="preserve">Skladno z metodologijo EU se instrumenti </w:t>
      </w:r>
      <w:r w:rsidR="002538E7" w:rsidRPr="00D050E9">
        <w:rPr>
          <w:rFonts w:asciiTheme="minorHAnsi" w:hAnsiTheme="minorHAnsi"/>
        </w:rPr>
        <w:t xml:space="preserve">pomoči delijo v skupine pomoči, </w:t>
      </w:r>
      <w:r w:rsidRPr="00D050E9">
        <w:rPr>
          <w:rFonts w:asciiTheme="minorHAnsi" w:hAnsiTheme="minorHAnsi"/>
        </w:rPr>
        <w:t xml:space="preserve">ki so podrobneje predstavljene v prilogi </w:t>
      </w:r>
      <w:r w:rsidR="00B91306" w:rsidRPr="00D050E9">
        <w:rPr>
          <w:rFonts w:asciiTheme="minorHAnsi" w:hAnsiTheme="minorHAnsi"/>
        </w:rPr>
        <w:t>1</w:t>
      </w:r>
      <w:r w:rsidRPr="00D050E9">
        <w:rPr>
          <w:rFonts w:asciiTheme="minorHAnsi" w:hAnsiTheme="minorHAnsi"/>
        </w:rPr>
        <w:t xml:space="preserve">. </w:t>
      </w:r>
      <w:r w:rsidR="002A626C" w:rsidRPr="00D050E9">
        <w:rPr>
          <w:rFonts w:asciiTheme="minorHAnsi" w:hAnsiTheme="minorHAnsi"/>
        </w:rPr>
        <w:t xml:space="preserve"> </w:t>
      </w:r>
    </w:p>
    <w:p w:rsidR="00A36518" w:rsidRPr="00D050E9" w:rsidRDefault="00A36518" w:rsidP="00840785">
      <w:pPr>
        <w:pStyle w:val="Caption"/>
        <w:rPr>
          <w:color w:val="auto"/>
        </w:rPr>
      </w:pPr>
    </w:p>
    <w:p w:rsidR="00A36518" w:rsidRPr="00D050E9" w:rsidRDefault="00A36518" w:rsidP="00840785">
      <w:pPr>
        <w:pStyle w:val="Caption"/>
        <w:rPr>
          <w:color w:val="auto"/>
        </w:rPr>
      </w:pPr>
    </w:p>
    <w:p w:rsidR="0014793B" w:rsidRPr="00D050E9" w:rsidRDefault="0014793B" w:rsidP="0014793B">
      <w:pPr>
        <w:rPr>
          <w:lang w:bidi="hi-IN"/>
        </w:rPr>
      </w:pPr>
    </w:p>
    <w:p w:rsidR="0014793B" w:rsidRPr="00D050E9" w:rsidRDefault="0014793B" w:rsidP="0014793B">
      <w:pPr>
        <w:rPr>
          <w:lang w:bidi="hi-IN"/>
        </w:rPr>
      </w:pPr>
    </w:p>
    <w:p w:rsidR="0014793B" w:rsidRPr="00D050E9" w:rsidRDefault="0014793B" w:rsidP="0014793B">
      <w:pPr>
        <w:rPr>
          <w:lang w:bidi="hi-IN"/>
        </w:rPr>
      </w:pPr>
    </w:p>
    <w:p w:rsidR="0014793B" w:rsidRPr="00D050E9" w:rsidRDefault="0014793B" w:rsidP="0014793B">
      <w:pPr>
        <w:rPr>
          <w:lang w:bidi="hi-IN"/>
        </w:rPr>
      </w:pPr>
    </w:p>
    <w:p w:rsidR="0014793B" w:rsidRPr="00D050E9" w:rsidRDefault="0014793B" w:rsidP="0014793B">
      <w:pPr>
        <w:rPr>
          <w:lang w:bidi="hi-IN"/>
        </w:rPr>
      </w:pPr>
    </w:p>
    <w:p w:rsidR="0014793B" w:rsidRPr="00D050E9" w:rsidRDefault="0014793B" w:rsidP="0014793B">
      <w:pPr>
        <w:rPr>
          <w:lang w:bidi="hi-IN"/>
        </w:rPr>
      </w:pPr>
    </w:p>
    <w:p w:rsidR="001B7E3A" w:rsidRPr="00D050E9" w:rsidRDefault="001B7E3A" w:rsidP="0014793B">
      <w:pPr>
        <w:rPr>
          <w:lang w:bidi="hi-IN"/>
        </w:rPr>
      </w:pPr>
    </w:p>
    <w:p w:rsidR="0014793B" w:rsidRPr="00D050E9" w:rsidRDefault="0014793B" w:rsidP="0014793B">
      <w:pPr>
        <w:rPr>
          <w:lang w:bidi="hi-IN"/>
        </w:rPr>
      </w:pPr>
    </w:p>
    <w:p w:rsidR="0074415F" w:rsidRPr="00D050E9" w:rsidRDefault="00840785" w:rsidP="00840785">
      <w:pPr>
        <w:pStyle w:val="Caption"/>
        <w:rPr>
          <w:color w:val="auto"/>
        </w:rPr>
      </w:pPr>
      <w:bookmarkStart w:id="26" w:name="_Toc530654587"/>
      <w:r w:rsidRPr="00D050E9">
        <w:rPr>
          <w:color w:val="auto"/>
        </w:rPr>
        <w:lastRenderedPageBreak/>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3</w:t>
      </w:r>
      <w:r w:rsidRPr="00D050E9">
        <w:rPr>
          <w:color w:val="auto"/>
        </w:rPr>
        <w:fldChar w:fldCharType="end"/>
      </w:r>
      <w:r w:rsidRPr="00D050E9">
        <w:rPr>
          <w:color w:val="auto"/>
        </w:rPr>
        <w:t xml:space="preserve">: </w:t>
      </w:r>
      <w:r w:rsidR="00BF5FC5" w:rsidRPr="00D050E9">
        <w:rPr>
          <w:color w:val="auto"/>
        </w:rPr>
        <w:t>Državne pomoči v Sloveniji po instrumentih pomoči</w:t>
      </w:r>
      <w:r w:rsidR="00975CF8" w:rsidRPr="00D050E9">
        <w:rPr>
          <w:color w:val="auto"/>
        </w:rPr>
        <w:t>, 2015–2017</w:t>
      </w:r>
      <w:bookmarkEnd w:id="26"/>
    </w:p>
    <w:p w:rsidR="00840785" w:rsidRPr="00D050E9" w:rsidRDefault="00840785" w:rsidP="00D65B82">
      <w:pPr>
        <w:spacing w:after="0" w:line="276" w:lineRule="auto"/>
        <w:rPr>
          <w:rFonts w:asciiTheme="minorHAnsi" w:hAnsiTheme="minorHAnsi"/>
        </w:rPr>
      </w:pPr>
    </w:p>
    <w:tbl>
      <w:tblPr>
        <w:tblStyle w:val="LightGrid-Accent5"/>
        <w:tblW w:w="9316" w:type="dxa"/>
        <w:tblInd w:w="6" w:type="dxa"/>
        <w:tblLook w:val="04A0" w:firstRow="1" w:lastRow="0" w:firstColumn="1" w:lastColumn="0" w:noHBand="0" w:noVBand="1"/>
      </w:tblPr>
      <w:tblGrid>
        <w:gridCol w:w="2835"/>
        <w:gridCol w:w="867"/>
        <w:gridCol w:w="759"/>
        <w:gridCol w:w="867"/>
        <w:gridCol w:w="759"/>
        <w:gridCol w:w="867"/>
        <w:gridCol w:w="759"/>
        <w:gridCol w:w="854"/>
        <w:gridCol w:w="749"/>
      </w:tblGrid>
      <w:tr w:rsidR="00EB6B3E" w:rsidRPr="00D050E9" w:rsidTr="00ED1E4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F67BFE" w:rsidRPr="00D050E9" w:rsidRDefault="00F67BFE" w:rsidP="00F67BFE">
            <w:pPr>
              <w:jc w:val="center"/>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w:t>
            </w:r>
          </w:p>
        </w:tc>
        <w:tc>
          <w:tcPr>
            <w:tcW w:w="0" w:type="auto"/>
            <w:hideMark/>
          </w:tcPr>
          <w:p w:rsidR="00F67BFE" w:rsidRPr="00D050E9" w:rsidRDefault="00F67BFE" w:rsidP="00F67BF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gridSpan w:val="2"/>
            <w:hideMark/>
          </w:tcPr>
          <w:p w:rsidR="00F67BFE" w:rsidRPr="00D050E9" w:rsidRDefault="00F67BFE" w:rsidP="00F67B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2016</w:t>
            </w:r>
          </w:p>
        </w:tc>
        <w:tc>
          <w:tcPr>
            <w:tcW w:w="3229" w:type="dxa"/>
            <w:gridSpan w:val="4"/>
            <w:hideMark/>
          </w:tcPr>
          <w:p w:rsidR="00F67BFE" w:rsidRPr="00D050E9" w:rsidRDefault="00F67BFE" w:rsidP="00F67BF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Merge/>
            <w:hideMark/>
          </w:tcPr>
          <w:p w:rsidR="00F67BFE" w:rsidRPr="00D050E9" w:rsidRDefault="00F67BFE" w:rsidP="00F67BFE">
            <w:pPr>
              <w:jc w:val="left"/>
              <w:rPr>
                <w:rFonts w:ascii="Calibri" w:eastAsia="Times New Roman" w:hAnsi="Calibri" w:cs="Arial"/>
                <w:color w:val="000000"/>
                <w:sz w:val="18"/>
                <w:szCs w:val="18"/>
                <w:lang w:eastAsia="sl-SI"/>
              </w:rPr>
            </w:pP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mio EUR</w:t>
            </w: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 DP</w:t>
            </w: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mio EUR</w:t>
            </w: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 DP</w:t>
            </w: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mio EUR</w:t>
            </w: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 DP</w:t>
            </w:r>
          </w:p>
        </w:tc>
        <w:tc>
          <w:tcPr>
            <w:tcW w:w="0" w:type="auto"/>
            <w:hideMark/>
          </w:tcPr>
          <w:p w:rsidR="00F67BFE" w:rsidRPr="00D050E9" w:rsidRDefault="00F67BFE" w:rsidP="00F67BF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razlika</w:t>
            </w:r>
            <w:r w:rsidRPr="00D050E9">
              <w:rPr>
                <w:rFonts w:ascii="Calibri" w:eastAsia="Times New Roman" w:hAnsi="Calibri" w:cs="Arial"/>
                <w:b/>
                <w:bCs/>
                <w:color w:val="000000"/>
                <w:sz w:val="18"/>
                <w:szCs w:val="18"/>
                <w:lang w:eastAsia="sl-SI"/>
              </w:rPr>
              <w:br/>
              <w:t>v mio EUR</w:t>
            </w:r>
          </w:p>
        </w:tc>
        <w:tc>
          <w:tcPr>
            <w:tcW w:w="749" w:type="dxa"/>
            <w:hideMark/>
          </w:tcPr>
          <w:p w:rsidR="00EB6B3E" w:rsidRPr="00D050E9" w:rsidRDefault="00EB6B3E" w:rsidP="00EB6B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razlika</w:t>
            </w:r>
          </w:p>
          <w:p w:rsidR="00F67BFE" w:rsidRPr="00D050E9" w:rsidRDefault="00F67BFE" w:rsidP="00EB6B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xml:space="preserve"> </w:t>
            </w:r>
            <w:r w:rsidR="00EB6B3E" w:rsidRPr="00D050E9">
              <w:rPr>
                <w:rFonts w:ascii="Calibri" w:eastAsia="Times New Roman" w:hAnsi="Calibri" w:cs="Arial"/>
                <w:b/>
                <w:bCs/>
                <w:color w:val="000000"/>
                <w:sz w:val="18"/>
                <w:szCs w:val="18"/>
                <w:lang w:eastAsia="sl-SI"/>
              </w:rPr>
              <w:t xml:space="preserve">v </w:t>
            </w:r>
            <w:r w:rsidRPr="00D050E9">
              <w:rPr>
                <w:rFonts w:ascii="Calibri" w:eastAsia="Times New Roman" w:hAnsi="Calibri" w:cs="Arial"/>
                <w:b/>
                <w:bCs/>
                <w:color w:val="000000"/>
                <w:sz w:val="18"/>
                <w:szCs w:val="18"/>
                <w:lang w:eastAsia="sl-SI"/>
              </w:rPr>
              <w:t>%</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A1 (Nepovratna sredstva)</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371,99</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67,2%</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246,54</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65,7%</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302,44</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70,8%</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55,90</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22,7%</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Subvencije</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327,85</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59,3%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246,51</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65,7%</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302,43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70,8%</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55,92</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22,7%</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Subvencioniranje obrestne mere</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16,62</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0,0%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0,01</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0,0%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-0,02</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-77,3%</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Odpis posojila - prisilna poravnava</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27,52</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B1 (Kapitalske naložbe)</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56,73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1,46</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0,4%</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0,90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0,2%</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-0,56</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-38,2%</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Kapitalske naložbe</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5,37</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1,46</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0,4%</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0,90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-0,56</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-38,2%</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Konverzija dolga v lastniški delež</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51,36</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0,00</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Skupina C1 (Ugodna posojila)</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9,63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1,7%</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3,28</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0,9%</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0,2%</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-2,26</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-68,7%</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Ugodna posojila</w:t>
            </w:r>
            <w:r w:rsidR="00F0066E" w:rsidRPr="00D050E9">
              <w:rPr>
                <w:rStyle w:val="FootnoteReference"/>
                <w:rFonts w:ascii="Calibri" w:eastAsia="Times New Roman" w:hAnsi="Calibri" w:cs="Arial"/>
                <w:b w:val="0"/>
                <w:color w:val="000000"/>
                <w:sz w:val="18"/>
                <w:szCs w:val="18"/>
                <w:lang w:eastAsia="sl-SI"/>
              </w:rPr>
              <w:footnoteReference w:id="5"/>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2,17</w:t>
            </w:r>
            <w:r w:rsidRPr="00D050E9">
              <w:rPr>
                <w:rFonts w:ascii="Calibri" w:eastAsia="Times New Roman" w:hAnsi="Calibri" w:cs="Arial"/>
                <w:color w:val="000000"/>
                <w:sz w:val="18"/>
                <w:szCs w:val="18"/>
                <w:lang w:eastAsia="sl-SI"/>
              </w:rPr>
              <w:br/>
              <w:t>(17,79)</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0,4%</w:t>
            </w:r>
          </w:p>
        </w:tc>
        <w:tc>
          <w:tcPr>
            <w:tcW w:w="0" w:type="auto"/>
            <w:hideMark/>
          </w:tcPr>
          <w:p w:rsidR="00F67BFE" w:rsidRPr="00D050E9" w:rsidRDefault="00EB6B3E" w:rsidP="00EB6B3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2,48</w:t>
            </w:r>
            <w:r w:rsidRPr="00D050E9">
              <w:rPr>
                <w:rFonts w:ascii="Calibri" w:eastAsia="Times New Roman" w:hAnsi="Calibri" w:cs="Arial"/>
                <w:color w:val="000000"/>
                <w:sz w:val="18"/>
                <w:szCs w:val="18"/>
                <w:lang w:eastAsia="sl-SI"/>
              </w:rPr>
              <w:br/>
              <w:t>(26,6</w:t>
            </w:r>
            <w:r w:rsidR="00F67BFE" w:rsidRPr="00D050E9">
              <w:rPr>
                <w:rFonts w:ascii="Calibri" w:eastAsia="Times New Roman" w:hAnsi="Calibri" w:cs="Arial"/>
                <w:color w:val="000000"/>
                <w:sz w:val="18"/>
                <w:szCs w:val="18"/>
                <w:lang w:eastAsia="sl-SI"/>
              </w:rPr>
              <w:t>1)</w:t>
            </w:r>
          </w:p>
        </w:tc>
        <w:tc>
          <w:tcPr>
            <w:tcW w:w="0" w:type="auto"/>
            <w:hideMark/>
          </w:tcPr>
          <w:p w:rsidR="00F67BFE" w:rsidRPr="00D050E9" w:rsidRDefault="00F67BFE" w:rsidP="00EB6B3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w:t>
            </w:r>
            <w:r w:rsidR="00EB6B3E" w:rsidRPr="00D050E9">
              <w:rPr>
                <w:rFonts w:ascii="Calibri" w:eastAsia="Times New Roman" w:hAnsi="Calibri" w:cs="Arial"/>
                <w:color w:val="000000"/>
                <w:sz w:val="18"/>
                <w:szCs w:val="18"/>
                <w:lang w:eastAsia="sl-SI"/>
              </w:rPr>
              <w:t>7</w:t>
            </w:r>
            <w:r w:rsidRPr="00D050E9">
              <w:rPr>
                <w:rFonts w:ascii="Calibri" w:eastAsia="Times New Roman" w:hAnsi="Calibri" w:cs="Arial"/>
                <w:color w:val="000000"/>
                <w:sz w:val="18"/>
                <w:szCs w:val="18"/>
                <w:lang w:eastAsia="sl-SI"/>
              </w:rPr>
              <w:t>%</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0,97</w:t>
            </w:r>
            <w:r w:rsidRPr="00D050E9">
              <w:rPr>
                <w:rFonts w:ascii="Calibri" w:eastAsia="Times New Roman" w:hAnsi="Calibri" w:cs="Arial"/>
                <w:color w:val="000000"/>
                <w:sz w:val="18"/>
                <w:szCs w:val="18"/>
                <w:lang w:eastAsia="sl-SI"/>
              </w:rPr>
              <w:br/>
              <w:t>(12,69)</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p>
        </w:tc>
        <w:tc>
          <w:tcPr>
            <w:tcW w:w="0" w:type="auto"/>
            <w:hideMark/>
          </w:tcPr>
          <w:p w:rsidR="00426ECB" w:rsidRPr="00D050E9" w:rsidRDefault="00F67BFE" w:rsidP="00EB6B3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w:t>
            </w:r>
            <w:r w:rsidR="00EB6B3E" w:rsidRPr="00D050E9">
              <w:rPr>
                <w:rFonts w:ascii="Calibri" w:eastAsia="Times New Roman" w:hAnsi="Calibri" w:cs="Arial"/>
                <w:color w:val="000000"/>
                <w:sz w:val="18"/>
                <w:szCs w:val="18"/>
                <w:lang w:eastAsia="sl-SI"/>
              </w:rPr>
              <w:t>1,51</w:t>
            </w:r>
          </w:p>
          <w:p w:rsidR="00F67BFE" w:rsidRPr="00D050E9" w:rsidRDefault="00426ECB" w:rsidP="00EB6B3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xml:space="preserve">(-13,92)     </w:t>
            </w:r>
          </w:p>
        </w:tc>
        <w:tc>
          <w:tcPr>
            <w:tcW w:w="749" w:type="dxa"/>
            <w:hideMark/>
          </w:tcPr>
          <w:p w:rsidR="00F67BFE" w:rsidRPr="00D050E9" w:rsidRDefault="00426ECB" w:rsidP="00426EC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w:t>
            </w:r>
            <w:r w:rsidR="00EB6B3E" w:rsidRPr="00D050E9">
              <w:rPr>
                <w:rFonts w:ascii="Calibri" w:eastAsia="Times New Roman" w:hAnsi="Calibri" w:cs="Arial"/>
                <w:color w:val="000000"/>
                <w:sz w:val="18"/>
                <w:szCs w:val="18"/>
                <w:lang w:eastAsia="sl-SI"/>
              </w:rPr>
              <w:t>60,9</w:t>
            </w:r>
            <w:r w:rsidR="00F67BFE" w:rsidRPr="00D050E9">
              <w:rPr>
                <w:rFonts w:ascii="Calibri" w:eastAsia="Times New Roman" w:hAnsi="Calibri" w:cs="Arial"/>
                <w:color w:val="000000"/>
                <w:sz w:val="18"/>
                <w:szCs w:val="18"/>
                <w:lang w:eastAsia="sl-SI"/>
              </w:rPr>
              <w:t>%</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Posojila podjetjem v težavah</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7,46</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w:t>
            </w:r>
          </w:p>
        </w:tc>
        <w:tc>
          <w:tcPr>
            <w:tcW w:w="0" w:type="auto"/>
            <w:hideMark/>
          </w:tcPr>
          <w:p w:rsidR="00F67BFE" w:rsidRPr="00D050E9" w:rsidRDefault="00EB6B3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0,8</w:t>
            </w:r>
          </w:p>
        </w:tc>
        <w:tc>
          <w:tcPr>
            <w:tcW w:w="0" w:type="auto"/>
            <w:hideMark/>
          </w:tcPr>
          <w:p w:rsidR="00F67BFE" w:rsidRPr="00D050E9" w:rsidRDefault="00EB6B3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r w:rsidR="00F67BFE" w:rsidRPr="00D050E9">
              <w:rPr>
                <w:rFonts w:ascii="Calibri" w:eastAsia="Times New Roman" w:hAnsi="Calibri" w:cs="Arial"/>
                <w:color w:val="000000"/>
                <w:sz w:val="18"/>
                <w:szCs w:val="18"/>
                <w:lang w:eastAsia="sl-SI"/>
              </w:rPr>
              <w:t> </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0,05</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w:t>
            </w:r>
          </w:p>
        </w:tc>
        <w:tc>
          <w:tcPr>
            <w:tcW w:w="0" w:type="auto"/>
            <w:hideMark/>
          </w:tcPr>
          <w:p w:rsidR="00F67BFE" w:rsidRPr="00D050E9" w:rsidRDefault="00EB6B3E" w:rsidP="00EB6B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-0,75</w:t>
            </w:r>
          </w:p>
        </w:tc>
        <w:tc>
          <w:tcPr>
            <w:tcW w:w="749" w:type="dxa"/>
            <w:hideMark/>
          </w:tcPr>
          <w:p w:rsidR="00EB6B3E" w:rsidRPr="00D050E9" w:rsidRDefault="00F67BFE" w:rsidP="00EB6B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r w:rsidR="00EB6B3E" w:rsidRPr="00D050E9">
              <w:rPr>
                <w:rFonts w:ascii="Calibri" w:eastAsia="Times New Roman" w:hAnsi="Calibri" w:cs="Arial"/>
                <w:color w:val="000000"/>
                <w:sz w:val="18"/>
                <w:szCs w:val="18"/>
                <w:lang w:eastAsia="sl-SI"/>
              </w:rPr>
              <w:t>-93,2</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D (Garancije)</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0,53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0,1%</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-0,50</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-93,7%</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Garancije</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0,53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0,1%</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-0,50</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-93,7%</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A2 (Davčne olajšave, znižanje prispevkov)</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114,96</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20,8%</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123,21</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32,9%</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122,78</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28,7%</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-0,43</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-0,4%</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Znižanje prispevkov za socialno varnost</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72,22</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73,25</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19,5%</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80,61</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18,9%</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7,36</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w:t>
            </w:r>
          </w:p>
        </w:tc>
      </w:tr>
      <w:tr w:rsidR="00426ECB" w:rsidRPr="00D050E9" w:rsidTr="00ED1E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Davčne oprostitve, izjeme in olajšave</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42,74</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49,96</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13,3%</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42,17</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9,9%</w:t>
            </w:r>
          </w:p>
        </w:tc>
        <w:tc>
          <w:tcPr>
            <w:tcW w:w="0" w:type="auto"/>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-7,79</w:t>
            </w:r>
          </w:p>
        </w:tc>
        <w:tc>
          <w:tcPr>
            <w:tcW w:w="749" w:type="dxa"/>
            <w:hideMark/>
          </w:tcPr>
          <w:p w:rsidR="00F67BFE" w:rsidRPr="00D050E9" w:rsidRDefault="00F67BFE" w:rsidP="00F67BF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-15,6%</w:t>
            </w:r>
          </w:p>
        </w:tc>
      </w:tr>
      <w:tr w:rsidR="00426ECB" w:rsidRPr="00D050E9" w:rsidTr="00ED1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F67BFE" w:rsidRPr="00D050E9" w:rsidRDefault="00F67BFE" w:rsidP="00F67BFE">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SKUPAJ</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553,32</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100,0%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375,03</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100,0%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427,18 </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100,0%</w:t>
            </w:r>
          </w:p>
        </w:tc>
        <w:tc>
          <w:tcPr>
            <w:tcW w:w="0" w:type="auto"/>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52,15 </w:t>
            </w:r>
          </w:p>
        </w:tc>
        <w:tc>
          <w:tcPr>
            <w:tcW w:w="749" w:type="dxa"/>
            <w:hideMark/>
          </w:tcPr>
          <w:p w:rsidR="00F67BFE" w:rsidRPr="00D050E9" w:rsidRDefault="00F67BFE" w:rsidP="00F67BF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13,9%</w:t>
            </w:r>
          </w:p>
        </w:tc>
      </w:tr>
    </w:tbl>
    <w:p w:rsidR="00B26968" w:rsidRPr="00D050E9" w:rsidRDefault="00B26968" w:rsidP="00F67BFE">
      <w:pPr>
        <w:spacing w:after="0" w:line="276" w:lineRule="auto"/>
        <w:rPr>
          <w:rFonts w:asciiTheme="minorHAnsi" w:hAnsiTheme="minorHAnsi"/>
        </w:rPr>
      </w:pPr>
    </w:p>
    <w:p w:rsidR="00F67BFE" w:rsidRPr="00D050E9" w:rsidRDefault="007E1BEA" w:rsidP="00F67BFE">
      <w:pPr>
        <w:spacing w:after="0" w:line="276" w:lineRule="auto"/>
        <w:rPr>
          <w:rFonts w:asciiTheme="minorHAnsi" w:hAnsiTheme="minorHAnsi"/>
          <w:b/>
        </w:rPr>
      </w:pPr>
      <w:r w:rsidRPr="00D050E9">
        <w:rPr>
          <w:rFonts w:asciiTheme="minorHAnsi" w:hAnsiTheme="minorHAnsi"/>
        </w:rPr>
        <w:t>V Sloveniji se večina državnih po</w:t>
      </w:r>
      <w:r w:rsidR="00374079" w:rsidRPr="00D050E9">
        <w:rPr>
          <w:rFonts w:asciiTheme="minorHAnsi" w:hAnsiTheme="minorHAnsi"/>
        </w:rPr>
        <w:t>moči izplačuje</w:t>
      </w:r>
      <w:r w:rsidRPr="00D050E9">
        <w:rPr>
          <w:rFonts w:asciiTheme="minorHAnsi" w:hAnsiTheme="minorHAnsi"/>
        </w:rPr>
        <w:t xml:space="preserve"> v obliki subvencij oz. drugih oblik nepovratnih sredstev. V letu 2017 so </w:t>
      </w:r>
      <w:r w:rsidR="00374079" w:rsidRPr="00D050E9">
        <w:rPr>
          <w:rFonts w:asciiTheme="minorHAnsi" w:hAnsiTheme="minorHAnsi"/>
          <w:b/>
        </w:rPr>
        <w:t>subvencije</w:t>
      </w:r>
      <w:r w:rsidR="00374079" w:rsidRPr="00D050E9">
        <w:rPr>
          <w:rFonts w:asciiTheme="minorHAnsi" w:hAnsiTheme="minorHAnsi"/>
        </w:rPr>
        <w:t xml:space="preserve"> predstavljale </w:t>
      </w:r>
      <w:r w:rsidR="00374079" w:rsidRPr="00D050E9">
        <w:rPr>
          <w:rFonts w:asciiTheme="minorHAnsi" w:hAnsiTheme="minorHAnsi"/>
          <w:b/>
        </w:rPr>
        <w:t>70,8</w:t>
      </w:r>
      <w:r w:rsidRPr="00D050E9">
        <w:rPr>
          <w:rFonts w:asciiTheme="minorHAnsi" w:hAnsiTheme="minorHAnsi"/>
          <w:b/>
        </w:rPr>
        <w:t xml:space="preserve"> %</w:t>
      </w:r>
      <w:r w:rsidRPr="00D050E9">
        <w:rPr>
          <w:rFonts w:asciiTheme="minorHAnsi" w:hAnsiTheme="minorHAnsi"/>
        </w:rPr>
        <w:t xml:space="preserve"> vseh pomoči ali </w:t>
      </w:r>
      <w:r w:rsidRPr="00D050E9">
        <w:rPr>
          <w:rFonts w:asciiTheme="minorHAnsi" w:hAnsiTheme="minorHAnsi"/>
          <w:b/>
        </w:rPr>
        <w:t>302,44 mio EUR</w:t>
      </w:r>
      <w:r w:rsidR="00D65B82" w:rsidRPr="00D050E9">
        <w:rPr>
          <w:rFonts w:asciiTheme="minorHAnsi" w:hAnsiTheme="minorHAnsi"/>
        </w:rPr>
        <w:t xml:space="preserve">. Sledijo pomoči v obliki </w:t>
      </w:r>
      <w:r w:rsidR="00D65B82" w:rsidRPr="00D050E9">
        <w:rPr>
          <w:rFonts w:asciiTheme="minorHAnsi" w:hAnsiTheme="minorHAnsi"/>
          <w:b/>
        </w:rPr>
        <w:t>znižanja prispevkov za socialno varnost 18,9 %</w:t>
      </w:r>
      <w:r w:rsidR="00D65B82" w:rsidRPr="00D050E9">
        <w:rPr>
          <w:rFonts w:asciiTheme="minorHAnsi" w:hAnsiTheme="minorHAnsi"/>
        </w:rPr>
        <w:t xml:space="preserve"> vseh pomoči ali 80,61 mio EUR in </w:t>
      </w:r>
      <w:r w:rsidR="00D65B82" w:rsidRPr="00D050E9">
        <w:rPr>
          <w:rFonts w:asciiTheme="minorHAnsi" w:hAnsiTheme="minorHAnsi"/>
          <w:b/>
        </w:rPr>
        <w:t>davčne oprostitve in izjeme, 9,9 %</w:t>
      </w:r>
      <w:r w:rsidR="00D65B82" w:rsidRPr="00D050E9">
        <w:rPr>
          <w:rFonts w:asciiTheme="minorHAnsi" w:hAnsiTheme="minorHAnsi"/>
        </w:rPr>
        <w:t xml:space="preserve"> vseh pomoči ali 42,17 mio EUR. Navedeni trije instrumenti so predstavljali 99,6 % vseh državn</w:t>
      </w:r>
      <w:r w:rsidR="00275A84" w:rsidRPr="00D050E9">
        <w:rPr>
          <w:rFonts w:asciiTheme="minorHAnsi" w:hAnsiTheme="minorHAnsi"/>
        </w:rPr>
        <w:t>ih pomoči v letu 2017 (98,6 % v letu 2016).</w:t>
      </w:r>
      <w:r w:rsidR="00F67BFE" w:rsidRPr="00D050E9">
        <w:rPr>
          <w:rFonts w:asciiTheme="minorHAnsi" w:hAnsiTheme="minorHAnsi"/>
        </w:rPr>
        <w:t xml:space="preserve"> Državnih pomoči v obliki </w:t>
      </w:r>
      <w:r w:rsidR="00F67BFE" w:rsidRPr="00D050E9">
        <w:rPr>
          <w:rFonts w:asciiTheme="minorHAnsi" w:hAnsiTheme="minorHAnsi"/>
          <w:b/>
        </w:rPr>
        <w:t>ugodnih posojil</w:t>
      </w:r>
      <w:r w:rsidR="00F67BFE" w:rsidRPr="00D050E9">
        <w:rPr>
          <w:rFonts w:asciiTheme="minorHAnsi" w:hAnsiTheme="minorHAnsi"/>
        </w:rPr>
        <w:t xml:space="preserve"> </w:t>
      </w:r>
      <w:r w:rsidR="00380F54" w:rsidRPr="00D050E9">
        <w:rPr>
          <w:rFonts w:asciiTheme="minorHAnsi" w:hAnsiTheme="minorHAnsi"/>
        </w:rPr>
        <w:t xml:space="preserve">(vključno s posojilom podjetjem v težavah) </w:t>
      </w:r>
      <w:r w:rsidR="00F67BFE" w:rsidRPr="00D050E9">
        <w:rPr>
          <w:rFonts w:asciiTheme="minorHAnsi" w:hAnsiTheme="minorHAnsi"/>
        </w:rPr>
        <w:t xml:space="preserve">je bilo za </w:t>
      </w:r>
      <w:r w:rsidR="00F67BFE" w:rsidRPr="00D050E9">
        <w:rPr>
          <w:rFonts w:asciiTheme="minorHAnsi" w:hAnsiTheme="minorHAnsi"/>
          <w:b/>
        </w:rPr>
        <w:t>0,2 %</w:t>
      </w:r>
      <w:r w:rsidR="00F67BFE" w:rsidRPr="00D050E9">
        <w:rPr>
          <w:rFonts w:asciiTheme="minorHAnsi" w:hAnsiTheme="minorHAnsi"/>
        </w:rPr>
        <w:t xml:space="preserve"> vseh pomoči ali </w:t>
      </w:r>
      <w:r w:rsidR="00380F54" w:rsidRPr="00D050E9">
        <w:rPr>
          <w:rFonts w:asciiTheme="minorHAnsi" w:hAnsiTheme="minorHAnsi"/>
        </w:rPr>
        <w:t>1,027</w:t>
      </w:r>
      <w:r w:rsidR="00F67BFE" w:rsidRPr="00D050E9">
        <w:rPr>
          <w:rFonts w:asciiTheme="minorHAnsi" w:hAnsiTheme="minorHAnsi"/>
        </w:rPr>
        <w:t xml:space="preserve"> mio EUR</w:t>
      </w:r>
      <w:r w:rsidR="002873D2" w:rsidRPr="00D050E9">
        <w:rPr>
          <w:rFonts w:asciiTheme="minorHAnsi" w:hAnsiTheme="minorHAnsi"/>
        </w:rPr>
        <w:t xml:space="preserve"> </w:t>
      </w:r>
      <w:r w:rsidR="00371907" w:rsidRPr="00D050E9">
        <w:rPr>
          <w:rFonts w:asciiTheme="minorHAnsi" w:hAnsiTheme="minorHAnsi"/>
        </w:rPr>
        <w:t>oziroma</w:t>
      </w:r>
      <w:r w:rsidR="00380F54" w:rsidRPr="00D050E9">
        <w:rPr>
          <w:rFonts w:asciiTheme="minorHAnsi" w:hAnsiTheme="minorHAnsi"/>
        </w:rPr>
        <w:t xml:space="preserve"> bruto 12,74</w:t>
      </w:r>
      <w:r w:rsidR="00F67BFE" w:rsidRPr="00D050E9">
        <w:rPr>
          <w:rFonts w:asciiTheme="minorHAnsi" w:hAnsiTheme="minorHAnsi"/>
        </w:rPr>
        <w:t xml:space="preserve"> mio EUR dodeljenih ugodnih posojil), enak delež, </w:t>
      </w:r>
      <w:r w:rsidR="00F67BFE" w:rsidRPr="00D050E9">
        <w:rPr>
          <w:rFonts w:asciiTheme="minorHAnsi" w:hAnsiTheme="minorHAnsi"/>
          <w:b/>
        </w:rPr>
        <w:t>0,2</w:t>
      </w:r>
      <w:r w:rsidR="00380F54" w:rsidRPr="00D050E9">
        <w:rPr>
          <w:rFonts w:asciiTheme="minorHAnsi" w:hAnsiTheme="minorHAnsi"/>
          <w:b/>
        </w:rPr>
        <w:t> </w:t>
      </w:r>
      <w:r w:rsidR="00F67BFE" w:rsidRPr="00D050E9">
        <w:rPr>
          <w:rFonts w:asciiTheme="minorHAnsi" w:hAnsiTheme="minorHAnsi"/>
          <w:b/>
        </w:rPr>
        <w:t>%</w:t>
      </w:r>
      <w:r w:rsidR="00F67BFE" w:rsidRPr="00D050E9">
        <w:rPr>
          <w:rFonts w:asciiTheme="minorHAnsi" w:hAnsiTheme="minorHAnsi"/>
        </w:rPr>
        <w:t xml:space="preserve"> ali 0,90 mio EUR pa so predstavljale </w:t>
      </w:r>
      <w:r w:rsidR="00F67BFE" w:rsidRPr="00D050E9">
        <w:rPr>
          <w:rFonts w:asciiTheme="minorHAnsi" w:hAnsiTheme="minorHAnsi"/>
          <w:b/>
        </w:rPr>
        <w:t>kapitalske naložbe.</w:t>
      </w:r>
    </w:p>
    <w:p w:rsidR="00857412" w:rsidRPr="00D050E9" w:rsidRDefault="00857412" w:rsidP="00F67BFE">
      <w:pPr>
        <w:spacing w:after="0" w:line="276" w:lineRule="auto"/>
        <w:rPr>
          <w:rFonts w:asciiTheme="minorHAnsi" w:hAnsiTheme="minorHAnsi"/>
          <w:b/>
        </w:rPr>
      </w:pPr>
    </w:p>
    <w:p w:rsidR="00D65B82" w:rsidRPr="00D050E9" w:rsidRDefault="00D65B82" w:rsidP="00404F48">
      <w:pPr>
        <w:spacing w:line="276" w:lineRule="auto"/>
        <w:rPr>
          <w:rFonts w:asciiTheme="minorHAnsi" w:hAnsiTheme="minorHAnsi"/>
        </w:rPr>
      </w:pPr>
      <w:r w:rsidRPr="00D050E9">
        <w:rPr>
          <w:rFonts w:asciiTheme="minorHAnsi" w:hAnsiTheme="minorHAnsi"/>
        </w:rPr>
        <w:t xml:space="preserve">Struktura instrumentov pomoči je nekoliko drugačna, če upoštevamo </w:t>
      </w:r>
      <w:r w:rsidRPr="00D050E9">
        <w:rPr>
          <w:rFonts w:asciiTheme="minorHAnsi" w:hAnsiTheme="minorHAnsi"/>
          <w:b/>
        </w:rPr>
        <w:t>povprečje 2015–</w:t>
      </w:r>
      <w:r w:rsidR="00404F48" w:rsidRPr="00D050E9">
        <w:rPr>
          <w:rFonts w:asciiTheme="minorHAnsi" w:hAnsiTheme="minorHAnsi"/>
          <w:b/>
        </w:rPr>
        <w:t>2017</w:t>
      </w:r>
      <w:r w:rsidRPr="00D050E9">
        <w:rPr>
          <w:rFonts w:asciiTheme="minorHAnsi" w:hAnsiTheme="minorHAnsi"/>
        </w:rPr>
        <w:t>. R</w:t>
      </w:r>
      <w:r w:rsidR="002175AE" w:rsidRPr="00D050E9">
        <w:rPr>
          <w:rFonts w:asciiTheme="minorHAnsi" w:hAnsiTheme="minorHAnsi"/>
        </w:rPr>
        <w:t xml:space="preserve">azlika </w:t>
      </w:r>
      <w:r w:rsidR="008C750D" w:rsidRPr="00D050E9">
        <w:rPr>
          <w:rFonts w:asciiTheme="minorHAnsi" w:hAnsiTheme="minorHAnsi"/>
        </w:rPr>
        <w:t xml:space="preserve">je </w:t>
      </w:r>
      <w:r w:rsidR="002175AE" w:rsidRPr="00D050E9">
        <w:rPr>
          <w:rFonts w:asciiTheme="minorHAnsi" w:hAnsiTheme="minorHAnsi"/>
        </w:rPr>
        <w:t xml:space="preserve">zlasti v večjem obsegu </w:t>
      </w:r>
      <w:r w:rsidRPr="00D050E9">
        <w:rPr>
          <w:rFonts w:asciiTheme="minorHAnsi" w:hAnsiTheme="minorHAnsi"/>
        </w:rPr>
        <w:t>kapitalskih naložb</w:t>
      </w:r>
      <w:r w:rsidR="00DC114E" w:rsidRPr="00D050E9">
        <w:rPr>
          <w:rFonts w:asciiTheme="minorHAnsi" w:hAnsiTheme="minorHAnsi"/>
        </w:rPr>
        <w:t xml:space="preserve"> (4,4 % vseh pomoči)</w:t>
      </w:r>
      <w:r w:rsidRPr="00D050E9">
        <w:rPr>
          <w:rFonts w:asciiTheme="minorHAnsi" w:hAnsiTheme="minorHAnsi"/>
        </w:rPr>
        <w:t xml:space="preserve"> ter posojil podjetjem v težavah</w:t>
      </w:r>
      <w:r w:rsidR="00380F54" w:rsidRPr="00D050E9">
        <w:rPr>
          <w:rFonts w:asciiTheme="minorHAnsi" w:hAnsiTheme="minorHAnsi"/>
        </w:rPr>
        <w:t xml:space="preserve"> (0,6 % od skupaj 1,0 % ugodnih posojil) </w:t>
      </w:r>
      <w:r w:rsidRPr="00D050E9">
        <w:rPr>
          <w:rFonts w:asciiTheme="minorHAnsi" w:hAnsiTheme="minorHAnsi"/>
        </w:rPr>
        <w:t>in odpisov posojil</w:t>
      </w:r>
      <w:r w:rsidR="00DC114E" w:rsidRPr="00D050E9">
        <w:rPr>
          <w:rFonts w:asciiTheme="minorHAnsi" w:hAnsiTheme="minorHAnsi"/>
        </w:rPr>
        <w:t xml:space="preserve"> (2 % vseh pomoči)</w:t>
      </w:r>
      <w:r w:rsidRPr="00D050E9">
        <w:rPr>
          <w:rFonts w:asciiTheme="minorHAnsi" w:hAnsiTheme="minorHAnsi"/>
        </w:rPr>
        <w:t xml:space="preserve">, ki </w:t>
      </w:r>
      <w:r w:rsidR="00C92F01" w:rsidRPr="00D050E9">
        <w:rPr>
          <w:rFonts w:asciiTheme="minorHAnsi" w:hAnsiTheme="minorHAnsi"/>
        </w:rPr>
        <w:t xml:space="preserve">so se dodeljevala </w:t>
      </w:r>
      <w:r w:rsidRPr="00D050E9">
        <w:rPr>
          <w:rFonts w:asciiTheme="minorHAnsi" w:hAnsiTheme="minorHAnsi"/>
        </w:rPr>
        <w:t xml:space="preserve">za </w:t>
      </w:r>
      <w:r w:rsidR="00275A84" w:rsidRPr="00D050E9">
        <w:rPr>
          <w:rFonts w:asciiTheme="minorHAnsi" w:hAnsiTheme="minorHAnsi"/>
        </w:rPr>
        <w:t>namen prestrukturiranja</w:t>
      </w:r>
      <w:r w:rsidR="00380F54" w:rsidRPr="00D050E9">
        <w:rPr>
          <w:rFonts w:asciiTheme="minorHAnsi" w:hAnsiTheme="minorHAnsi"/>
        </w:rPr>
        <w:t xml:space="preserve"> podjetij </w:t>
      </w:r>
      <w:r w:rsidR="00275A84" w:rsidRPr="00D050E9">
        <w:rPr>
          <w:rFonts w:asciiTheme="minorHAnsi" w:hAnsiTheme="minorHAnsi"/>
        </w:rPr>
        <w:t xml:space="preserve">v težavah </w:t>
      </w:r>
      <w:r w:rsidRPr="00D050E9">
        <w:rPr>
          <w:rFonts w:asciiTheme="minorHAnsi" w:hAnsiTheme="minorHAnsi"/>
        </w:rPr>
        <w:t xml:space="preserve">v letu 2015. </w:t>
      </w:r>
    </w:p>
    <w:p w:rsidR="00B26968" w:rsidRPr="00D050E9" w:rsidRDefault="00B26968" w:rsidP="00404F48">
      <w:pPr>
        <w:spacing w:line="276" w:lineRule="auto"/>
        <w:rPr>
          <w:rFonts w:asciiTheme="minorHAnsi" w:hAnsiTheme="minorHAnsi"/>
        </w:rPr>
      </w:pPr>
    </w:p>
    <w:p w:rsidR="005D01B6" w:rsidRPr="00D050E9" w:rsidRDefault="005D01B6" w:rsidP="00404F48">
      <w:pPr>
        <w:spacing w:line="276" w:lineRule="auto"/>
        <w:rPr>
          <w:rFonts w:asciiTheme="minorHAnsi" w:hAnsiTheme="minorHAnsi"/>
        </w:rPr>
      </w:pPr>
    </w:p>
    <w:p w:rsidR="00D462B0" w:rsidRPr="00D050E9" w:rsidRDefault="00840785" w:rsidP="00840785">
      <w:pPr>
        <w:pStyle w:val="Caption"/>
        <w:rPr>
          <w:color w:val="auto"/>
        </w:rPr>
      </w:pPr>
      <w:bookmarkStart w:id="27" w:name="_Toc530654624"/>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9</w:t>
      </w:r>
      <w:r w:rsidRPr="00D050E9">
        <w:rPr>
          <w:color w:val="auto"/>
        </w:rPr>
        <w:fldChar w:fldCharType="end"/>
      </w:r>
      <w:r w:rsidRPr="00D050E9">
        <w:rPr>
          <w:color w:val="auto"/>
        </w:rPr>
        <w:t xml:space="preserve">: </w:t>
      </w:r>
      <w:r w:rsidR="00D462B0" w:rsidRPr="00D050E9">
        <w:rPr>
          <w:color w:val="auto"/>
        </w:rPr>
        <w:t>Struktura državnih pomoči glede na instrument pomoči, 2015–2017, v % vseh pomoči</w:t>
      </w:r>
      <w:bookmarkEnd w:id="27"/>
    </w:p>
    <w:p w:rsidR="00840785" w:rsidRPr="00D050E9" w:rsidRDefault="00840785" w:rsidP="00840785">
      <w:pPr>
        <w:rPr>
          <w:lang w:bidi="hi-IN"/>
        </w:rPr>
      </w:pPr>
    </w:p>
    <w:p w:rsidR="00F96DC5" w:rsidRPr="00D050E9" w:rsidRDefault="00F96DC5" w:rsidP="00404F48">
      <w:pPr>
        <w:spacing w:line="276" w:lineRule="auto"/>
        <w:rPr>
          <w:rFonts w:asciiTheme="minorHAnsi" w:hAnsiTheme="minorHAnsi"/>
        </w:rPr>
      </w:pPr>
      <w:r w:rsidRPr="00D050E9">
        <w:rPr>
          <w:noProof/>
          <w:lang w:eastAsia="sl-SI"/>
        </w:rPr>
        <w:drawing>
          <wp:inline distT="0" distB="0" distL="0" distR="0" wp14:anchorId="57684BBA" wp14:editId="572DF99B">
            <wp:extent cx="5646420" cy="299466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60F0" w:rsidRPr="00D050E9" w:rsidRDefault="005460F0" w:rsidP="005460F0">
      <w:pPr>
        <w:spacing w:line="276" w:lineRule="auto"/>
        <w:rPr>
          <w:rFonts w:asciiTheme="minorHAnsi" w:hAnsiTheme="minorHAnsi"/>
        </w:rPr>
      </w:pPr>
      <w:r w:rsidRPr="00D050E9">
        <w:rPr>
          <w:rFonts w:asciiTheme="minorHAnsi" w:hAnsiTheme="minorHAnsi"/>
        </w:rPr>
        <w:t>V letu 2017 se je poveča</w:t>
      </w:r>
      <w:r w:rsidR="00F67BFE" w:rsidRPr="00D050E9">
        <w:rPr>
          <w:rFonts w:asciiTheme="minorHAnsi" w:hAnsiTheme="minorHAnsi"/>
        </w:rPr>
        <w:t>l tako obseg (prvič po letu 2012</w:t>
      </w:r>
      <w:r w:rsidRPr="00D050E9">
        <w:rPr>
          <w:rFonts w:asciiTheme="minorHAnsi" w:hAnsiTheme="minorHAnsi"/>
        </w:rPr>
        <w:t>) kot delež nepovratnih sredstev – subvencije, subvencionirane obrestne mere</w:t>
      </w:r>
      <w:r w:rsidR="008C750D" w:rsidRPr="00D050E9">
        <w:rPr>
          <w:rFonts w:asciiTheme="minorHAnsi" w:hAnsiTheme="minorHAnsi"/>
        </w:rPr>
        <w:t>, odpis posojil</w:t>
      </w:r>
      <w:r w:rsidRPr="00D050E9">
        <w:rPr>
          <w:rFonts w:asciiTheme="minorHAnsi" w:hAnsiTheme="minorHAnsi"/>
        </w:rPr>
        <w:t xml:space="preserve"> (67 % v </w:t>
      </w:r>
      <w:r w:rsidR="00F67BFE" w:rsidRPr="00D050E9">
        <w:rPr>
          <w:rFonts w:asciiTheme="minorHAnsi" w:hAnsiTheme="minorHAnsi"/>
        </w:rPr>
        <w:t xml:space="preserve">letu 2015 in 66 % v letu 2016). </w:t>
      </w:r>
      <w:r w:rsidRPr="00D050E9">
        <w:rPr>
          <w:rFonts w:asciiTheme="minorHAnsi" w:hAnsiTheme="minorHAnsi"/>
        </w:rPr>
        <w:t xml:space="preserve">Povečanje je posledica večjega obsega </w:t>
      </w:r>
      <w:r w:rsidR="00F96DC5" w:rsidRPr="00D050E9">
        <w:rPr>
          <w:rFonts w:asciiTheme="minorHAnsi" w:hAnsiTheme="minorHAnsi"/>
          <w:b/>
        </w:rPr>
        <w:t>subvencij (+55</w:t>
      </w:r>
      <w:r w:rsidRPr="00D050E9">
        <w:rPr>
          <w:rFonts w:asciiTheme="minorHAnsi" w:hAnsiTheme="minorHAnsi"/>
          <w:b/>
        </w:rPr>
        <w:t>,92</w:t>
      </w:r>
      <w:r w:rsidRPr="00D050E9">
        <w:rPr>
          <w:rFonts w:asciiTheme="minorHAnsi" w:hAnsiTheme="minorHAnsi"/>
        </w:rPr>
        <w:t xml:space="preserve"> mio EUR oz. +23 % glede na leto 2016), skoraj polovica od tega je bila izplačana za pomoči </w:t>
      </w:r>
      <w:r w:rsidRPr="00D050E9">
        <w:rPr>
          <w:rFonts w:asciiTheme="minorHAnsi" w:hAnsiTheme="minorHAnsi"/>
          <w:b/>
        </w:rPr>
        <w:t>na področju RRI (+24,6 mio EUR</w:t>
      </w:r>
      <w:r w:rsidR="00F96DC5" w:rsidRPr="00D050E9">
        <w:rPr>
          <w:rFonts w:asciiTheme="minorHAnsi" w:hAnsiTheme="minorHAnsi"/>
        </w:rPr>
        <w:t>). Kljub povečanju</w:t>
      </w:r>
      <w:r w:rsidRPr="00D050E9">
        <w:rPr>
          <w:rFonts w:asciiTheme="minorHAnsi" w:hAnsiTheme="minorHAnsi"/>
        </w:rPr>
        <w:t xml:space="preserve"> je obseg nepovratnih sredstev še vedno nižji, tako v obsegu kot v deležu, kot je bil v povprečju v zadnjem desetletju (388 mio EUR oz. 82 %</w:t>
      </w:r>
      <w:r w:rsidR="00CD3312" w:rsidRPr="00D050E9">
        <w:rPr>
          <w:rFonts w:asciiTheme="minorHAnsi" w:hAnsiTheme="minorHAnsi"/>
        </w:rPr>
        <w:t xml:space="preserve"> vseh pomoči</w:t>
      </w:r>
      <w:r w:rsidRPr="00D050E9">
        <w:rPr>
          <w:rFonts w:asciiTheme="minorHAnsi" w:hAnsiTheme="minorHAnsi"/>
        </w:rPr>
        <w:t xml:space="preserve">). Večina subvencij, 48 % v letu 2017 in 47 % v povprečju 2015–2017, je bila izplačana za pomoči za varstvo okolja in varčevanje z energijo.  </w:t>
      </w:r>
    </w:p>
    <w:p w:rsidR="00ED1E49" w:rsidRPr="00D050E9" w:rsidRDefault="00D462B0" w:rsidP="00D462B0">
      <w:pPr>
        <w:spacing w:line="276" w:lineRule="auto"/>
        <w:rPr>
          <w:rFonts w:asciiTheme="minorHAnsi" w:hAnsiTheme="minorHAnsi"/>
        </w:rPr>
      </w:pPr>
      <w:r w:rsidRPr="00D050E9">
        <w:rPr>
          <w:rFonts w:asciiTheme="minorHAnsi" w:hAnsiTheme="minorHAnsi"/>
        </w:rPr>
        <w:t xml:space="preserve">Na drugi strani v letu 2017 beležimo </w:t>
      </w:r>
      <w:r w:rsidRPr="00D050E9">
        <w:rPr>
          <w:rFonts w:asciiTheme="minorHAnsi" w:hAnsiTheme="minorHAnsi"/>
          <w:b/>
        </w:rPr>
        <w:t xml:space="preserve">zmanjšanje povratnih oblik pomoči, </w:t>
      </w:r>
      <w:r w:rsidRPr="00D050E9">
        <w:rPr>
          <w:rFonts w:asciiTheme="minorHAnsi" w:hAnsiTheme="minorHAnsi"/>
        </w:rPr>
        <w:t>ki so že sicer predstavljale majhen delež državnih pomoči. V letu 2017 je bilo</w:t>
      </w:r>
      <w:r w:rsidR="00DD5C3E" w:rsidRPr="00D050E9">
        <w:rPr>
          <w:rFonts w:asciiTheme="minorHAnsi" w:hAnsiTheme="minorHAnsi"/>
        </w:rPr>
        <w:t xml:space="preserve"> tako</w:t>
      </w:r>
      <w:r w:rsidR="00003371" w:rsidRPr="00D050E9">
        <w:rPr>
          <w:rFonts w:asciiTheme="minorHAnsi" w:hAnsiTheme="minorHAnsi"/>
          <w:b/>
        </w:rPr>
        <w:t xml:space="preserve"> </w:t>
      </w:r>
      <w:r w:rsidR="00003371" w:rsidRPr="00D050E9">
        <w:rPr>
          <w:rFonts w:asciiTheme="minorHAnsi" w:hAnsiTheme="minorHAnsi"/>
        </w:rPr>
        <w:t>pomoč</w:t>
      </w:r>
      <w:r w:rsidR="00950900" w:rsidRPr="00D050E9">
        <w:rPr>
          <w:rFonts w:asciiTheme="minorHAnsi" w:hAnsiTheme="minorHAnsi"/>
        </w:rPr>
        <w:t>i</w:t>
      </w:r>
      <w:r w:rsidR="00003371" w:rsidRPr="00D050E9">
        <w:rPr>
          <w:rFonts w:asciiTheme="minorHAnsi" w:hAnsiTheme="minorHAnsi"/>
        </w:rPr>
        <w:t xml:space="preserve"> iz naslova</w:t>
      </w:r>
      <w:r w:rsidR="00003371" w:rsidRPr="00D050E9">
        <w:rPr>
          <w:rFonts w:asciiTheme="minorHAnsi" w:hAnsiTheme="minorHAnsi"/>
          <w:b/>
        </w:rPr>
        <w:t xml:space="preserve"> ugodnih posojil</w:t>
      </w:r>
      <w:r w:rsidR="00950900" w:rsidRPr="00D050E9">
        <w:rPr>
          <w:rFonts w:asciiTheme="minorHAnsi" w:hAnsiTheme="minorHAnsi"/>
        </w:rPr>
        <w:t xml:space="preserve"> </w:t>
      </w:r>
      <w:r w:rsidR="00DD5C3E" w:rsidRPr="00D050E9">
        <w:rPr>
          <w:rFonts w:asciiTheme="minorHAnsi" w:hAnsiTheme="minorHAnsi"/>
        </w:rPr>
        <w:t xml:space="preserve">le </w:t>
      </w:r>
      <w:r w:rsidR="00950900" w:rsidRPr="00D050E9">
        <w:rPr>
          <w:rFonts w:asciiTheme="minorHAnsi" w:hAnsiTheme="minorHAnsi"/>
        </w:rPr>
        <w:t>za</w:t>
      </w:r>
      <w:r w:rsidR="00950900" w:rsidRPr="00D050E9">
        <w:rPr>
          <w:rFonts w:asciiTheme="minorHAnsi" w:hAnsiTheme="minorHAnsi"/>
          <w:b/>
        </w:rPr>
        <w:t xml:space="preserve"> </w:t>
      </w:r>
      <w:r w:rsidR="00F96DC5" w:rsidRPr="00D050E9">
        <w:rPr>
          <w:rFonts w:asciiTheme="minorHAnsi" w:hAnsiTheme="minorHAnsi"/>
          <w:b/>
        </w:rPr>
        <w:t>1,03</w:t>
      </w:r>
      <w:r w:rsidR="00003371" w:rsidRPr="00D050E9">
        <w:rPr>
          <w:rFonts w:asciiTheme="minorHAnsi" w:hAnsiTheme="minorHAnsi"/>
          <w:b/>
        </w:rPr>
        <w:t xml:space="preserve"> mio EUR</w:t>
      </w:r>
      <w:r w:rsidR="008C750D" w:rsidRPr="00D050E9">
        <w:rPr>
          <w:rStyle w:val="FootnoteReference"/>
          <w:rFonts w:asciiTheme="minorHAnsi" w:hAnsiTheme="minorHAnsi"/>
        </w:rPr>
        <w:footnoteReference w:id="6"/>
      </w:r>
      <w:r w:rsidR="00003371" w:rsidRPr="00D050E9">
        <w:rPr>
          <w:rFonts w:asciiTheme="minorHAnsi" w:hAnsiTheme="minorHAnsi"/>
          <w:b/>
        </w:rPr>
        <w:t xml:space="preserve"> </w:t>
      </w:r>
      <w:r w:rsidR="00F96DC5" w:rsidRPr="00D050E9">
        <w:rPr>
          <w:rFonts w:asciiTheme="minorHAnsi" w:hAnsiTheme="minorHAnsi"/>
        </w:rPr>
        <w:t>(-2,26</w:t>
      </w:r>
      <w:r w:rsidRPr="00D050E9">
        <w:rPr>
          <w:rFonts w:asciiTheme="minorHAnsi" w:hAnsiTheme="minorHAnsi"/>
        </w:rPr>
        <w:t xml:space="preserve"> mio EUR </w:t>
      </w:r>
      <w:r w:rsidR="0097498D" w:rsidRPr="00D050E9">
        <w:rPr>
          <w:rFonts w:asciiTheme="minorHAnsi" w:hAnsiTheme="minorHAnsi"/>
        </w:rPr>
        <w:t xml:space="preserve">ali -69 </w:t>
      </w:r>
      <w:r w:rsidR="00CD3312" w:rsidRPr="00D050E9">
        <w:rPr>
          <w:rFonts w:asciiTheme="minorHAnsi" w:hAnsiTheme="minorHAnsi"/>
        </w:rPr>
        <w:t xml:space="preserve">% </w:t>
      </w:r>
      <w:r w:rsidRPr="00D050E9">
        <w:rPr>
          <w:rFonts w:asciiTheme="minorHAnsi" w:hAnsiTheme="minorHAnsi"/>
        </w:rPr>
        <w:t>glede na leto 2016</w:t>
      </w:r>
      <w:r w:rsidR="00CD3312" w:rsidRPr="00D050E9">
        <w:rPr>
          <w:rFonts w:asciiTheme="minorHAnsi" w:hAnsiTheme="minorHAnsi"/>
        </w:rPr>
        <w:t>)</w:t>
      </w:r>
      <w:r w:rsidR="0097498D" w:rsidRPr="00D050E9">
        <w:rPr>
          <w:rFonts w:asciiTheme="minorHAnsi" w:hAnsiTheme="minorHAnsi"/>
        </w:rPr>
        <w:t xml:space="preserve">, kar je predstavljajo </w:t>
      </w:r>
      <w:r w:rsidRPr="00D050E9">
        <w:rPr>
          <w:rFonts w:asciiTheme="minorHAnsi" w:hAnsiTheme="minorHAnsi"/>
        </w:rPr>
        <w:t>0,2 % vseh pomoči (0,9 % v letu 2016, 1,7 % v letu 2015)</w:t>
      </w:r>
      <w:r w:rsidR="00F96DC5" w:rsidRPr="00D050E9">
        <w:rPr>
          <w:rStyle w:val="FootnoteReference"/>
          <w:rFonts w:asciiTheme="minorHAnsi" w:hAnsiTheme="minorHAnsi"/>
        </w:rPr>
        <w:footnoteReference w:id="7"/>
      </w:r>
      <w:r w:rsidRPr="00D050E9">
        <w:rPr>
          <w:rFonts w:asciiTheme="minorHAnsi" w:hAnsiTheme="minorHAnsi"/>
        </w:rPr>
        <w:t xml:space="preserve">. Še manjši je bil obseg pomoči v obliki </w:t>
      </w:r>
      <w:r w:rsidRPr="00D050E9">
        <w:rPr>
          <w:rFonts w:asciiTheme="minorHAnsi" w:hAnsiTheme="minorHAnsi"/>
          <w:b/>
        </w:rPr>
        <w:t>garancij</w:t>
      </w:r>
      <w:r w:rsidRPr="00D050E9">
        <w:rPr>
          <w:rFonts w:asciiTheme="minorHAnsi" w:hAnsiTheme="minorHAnsi"/>
        </w:rPr>
        <w:t>, 33.644 EUR, kar je le 7</w:t>
      </w:r>
      <w:r w:rsidR="00ED1E49" w:rsidRPr="00D050E9">
        <w:rPr>
          <w:rFonts w:asciiTheme="minorHAnsi" w:hAnsiTheme="minorHAnsi"/>
        </w:rPr>
        <w:t> </w:t>
      </w:r>
      <w:r w:rsidRPr="00D050E9">
        <w:rPr>
          <w:rFonts w:asciiTheme="minorHAnsi" w:hAnsiTheme="minorHAnsi"/>
        </w:rPr>
        <w:t xml:space="preserve">% </w:t>
      </w:r>
      <w:r w:rsidR="00BF3ADC">
        <w:rPr>
          <w:rFonts w:asciiTheme="minorHAnsi" w:hAnsiTheme="minorHAnsi"/>
        </w:rPr>
        <w:t xml:space="preserve">državnih pomoči iz naslova </w:t>
      </w:r>
      <w:r w:rsidRPr="00D050E9">
        <w:rPr>
          <w:rFonts w:asciiTheme="minorHAnsi" w:hAnsiTheme="minorHAnsi"/>
        </w:rPr>
        <w:t>garancij</w:t>
      </w:r>
      <w:r w:rsidR="00F474CF">
        <w:rPr>
          <w:rFonts w:asciiTheme="minorHAnsi" w:hAnsiTheme="minorHAnsi"/>
        </w:rPr>
        <w:t xml:space="preserve"> v </w:t>
      </w:r>
      <w:r w:rsidRPr="00D050E9">
        <w:rPr>
          <w:rFonts w:asciiTheme="minorHAnsi" w:hAnsiTheme="minorHAnsi"/>
        </w:rPr>
        <w:t xml:space="preserve">letu 2016, ko je bilo </w:t>
      </w:r>
      <w:r w:rsidR="007A296D" w:rsidRPr="00D050E9">
        <w:rPr>
          <w:rFonts w:asciiTheme="minorHAnsi" w:hAnsiTheme="minorHAnsi"/>
        </w:rPr>
        <w:t xml:space="preserve">teh za </w:t>
      </w:r>
      <w:r w:rsidRPr="00D050E9">
        <w:rPr>
          <w:rFonts w:asciiTheme="minorHAnsi" w:hAnsiTheme="minorHAnsi"/>
        </w:rPr>
        <w:t xml:space="preserve">531.251 EUR. </w:t>
      </w:r>
    </w:p>
    <w:p w:rsidR="00D462B0" w:rsidRPr="00D050E9" w:rsidRDefault="00D462B0" w:rsidP="00D462B0">
      <w:pPr>
        <w:spacing w:line="276" w:lineRule="auto"/>
        <w:rPr>
          <w:rFonts w:asciiTheme="minorHAnsi" w:hAnsiTheme="minorHAnsi"/>
        </w:rPr>
      </w:pPr>
      <w:r w:rsidRPr="00D050E9">
        <w:rPr>
          <w:rFonts w:asciiTheme="minorHAnsi" w:hAnsiTheme="minorHAnsi"/>
        </w:rPr>
        <w:t xml:space="preserve">Manj </w:t>
      </w:r>
      <w:r w:rsidR="002F01A2" w:rsidRPr="00D050E9">
        <w:rPr>
          <w:rFonts w:asciiTheme="minorHAnsi" w:hAnsiTheme="minorHAnsi"/>
        </w:rPr>
        <w:t>je bilo</w:t>
      </w:r>
      <w:r w:rsidR="00ED1E49" w:rsidRPr="00D050E9">
        <w:rPr>
          <w:rFonts w:asciiTheme="minorHAnsi" w:hAnsiTheme="minorHAnsi"/>
        </w:rPr>
        <w:t xml:space="preserve"> dodeljenih</w:t>
      </w:r>
      <w:r w:rsidR="002F01A2" w:rsidRPr="00D050E9">
        <w:rPr>
          <w:rFonts w:asciiTheme="minorHAnsi" w:hAnsiTheme="minorHAnsi"/>
        </w:rPr>
        <w:t xml:space="preserve"> ugodnih posojil, ki jih je v preteklih letih dodeljevala SID banka, zlasti za </w:t>
      </w:r>
      <w:r w:rsidRPr="00D050E9">
        <w:rPr>
          <w:rFonts w:asciiTheme="minorHAnsi" w:hAnsiTheme="minorHAnsi"/>
        </w:rPr>
        <w:t>RRI (v letu 2017 se tovrstna posojila niso dodeljevala)</w:t>
      </w:r>
      <w:r w:rsidR="002F01A2" w:rsidRPr="00D050E9">
        <w:rPr>
          <w:rFonts w:asciiTheme="minorHAnsi" w:hAnsiTheme="minorHAnsi"/>
        </w:rPr>
        <w:t xml:space="preserve"> ter za </w:t>
      </w:r>
      <w:r w:rsidRPr="00D050E9">
        <w:rPr>
          <w:rFonts w:asciiTheme="minorHAnsi" w:hAnsiTheme="minorHAnsi"/>
        </w:rPr>
        <w:t>MSP</w:t>
      </w:r>
      <w:r w:rsidR="002F01A2" w:rsidRPr="00D050E9">
        <w:rPr>
          <w:rFonts w:asciiTheme="minorHAnsi" w:hAnsiTheme="minorHAnsi"/>
        </w:rPr>
        <w:t xml:space="preserve"> in regionalni razvoj. Manj je bilo tudi posojil podjetjem v težavah, prejelo ga je le eno </w:t>
      </w:r>
      <w:r w:rsidR="002F01A2" w:rsidRPr="00493CA0">
        <w:rPr>
          <w:rFonts w:asciiTheme="minorHAnsi" w:hAnsiTheme="minorHAnsi"/>
        </w:rPr>
        <w:t>podjetj</w:t>
      </w:r>
      <w:r w:rsidR="003D6B44" w:rsidRPr="00493CA0">
        <w:rPr>
          <w:rFonts w:asciiTheme="minorHAnsi" w:hAnsiTheme="minorHAnsi"/>
        </w:rPr>
        <w:t>e</w:t>
      </w:r>
      <w:r w:rsidR="00ED1E49" w:rsidRPr="00493CA0">
        <w:rPr>
          <w:rFonts w:asciiTheme="minorHAnsi" w:hAnsiTheme="minorHAnsi"/>
        </w:rPr>
        <w:t>, v višini dobrih 50 tisoč EUR</w:t>
      </w:r>
      <w:r w:rsidR="002F01A2" w:rsidRPr="00493CA0">
        <w:rPr>
          <w:rFonts w:asciiTheme="minorHAnsi" w:hAnsiTheme="minorHAnsi"/>
        </w:rPr>
        <w:t>. V</w:t>
      </w:r>
      <w:r w:rsidRPr="00493CA0">
        <w:rPr>
          <w:rFonts w:asciiTheme="minorHAnsi" w:hAnsiTheme="minorHAnsi"/>
        </w:rPr>
        <w:t xml:space="preserve"> zadnjem desetletju so ugodna posojala v povprečju predstavljala 0,9 % vseh pomoči</w:t>
      </w:r>
      <w:r w:rsidR="002F01A2" w:rsidRPr="00D050E9">
        <w:rPr>
          <w:rFonts w:asciiTheme="minorHAnsi" w:hAnsiTheme="minorHAnsi"/>
        </w:rPr>
        <w:t>,</w:t>
      </w:r>
      <w:r w:rsidR="00333C3B" w:rsidRPr="00D050E9">
        <w:rPr>
          <w:rFonts w:asciiTheme="minorHAnsi" w:hAnsiTheme="minorHAnsi"/>
        </w:rPr>
        <w:t xml:space="preserve"> od tega 0,4 % posojila</w:t>
      </w:r>
      <w:r w:rsidR="00CE2C69" w:rsidRPr="00D050E9">
        <w:rPr>
          <w:rFonts w:asciiTheme="minorHAnsi" w:hAnsiTheme="minorHAnsi"/>
        </w:rPr>
        <w:t xml:space="preserve"> podjetjem</w:t>
      </w:r>
      <w:r w:rsidR="002F01A2" w:rsidRPr="00D050E9">
        <w:rPr>
          <w:rFonts w:asciiTheme="minorHAnsi" w:hAnsiTheme="minorHAnsi"/>
        </w:rPr>
        <w:t xml:space="preserve"> v težavah. </w:t>
      </w:r>
      <w:r w:rsidRPr="00D050E9">
        <w:rPr>
          <w:rFonts w:asciiTheme="minorHAnsi" w:hAnsiTheme="minorHAnsi"/>
        </w:rPr>
        <w:t>V letu 2017 s</w:t>
      </w:r>
      <w:r w:rsidR="00CD3312" w:rsidRPr="00D050E9">
        <w:rPr>
          <w:rFonts w:asciiTheme="minorHAnsi" w:hAnsiTheme="minorHAnsi"/>
        </w:rPr>
        <w:t>o se ugodna posojila uporabljala</w:t>
      </w:r>
      <w:r w:rsidRPr="00D050E9">
        <w:rPr>
          <w:rFonts w:asciiTheme="minorHAnsi" w:hAnsiTheme="minorHAnsi"/>
        </w:rPr>
        <w:t xml:space="preserve"> za spodbujanje MSP, za regionalne pomoči in za kmetijstvo, v letih 2015 in 2016 pa tudi za RRI. </w:t>
      </w:r>
    </w:p>
    <w:p w:rsidR="00CD3312" w:rsidRPr="00D050E9" w:rsidRDefault="00840785" w:rsidP="00840785">
      <w:pPr>
        <w:pStyle w:val="Caption"/>
        <w:rPr>
          <w:color w:val="auto"/>
        </w:rPr>
      </w:pPr>
      <w:bookmarkStart w:id="28" w:name="_Toc530654625"/>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10</w:t>
      </w:r>
      <w:r w:rsidRPr="00D050E9">
        <w:rPr>
          <w:color w:val="auto"/>
        </w:rPr>
        <w:fldChar w:fldCharType="end"/>
      </w:r>
      <w:r w:rsidRPr="00D050E9">
        <w:rPr>
          <w:color w:val="auto"/>
        </w:rPr>
        <w:t xml:space="preserve">: </w:t>
      </w:r>
      <w:r w:rsidR="00CD3312" w:rsidRPr="00D050E9">
        <w:rPr>
          <w:color w:val="auto"/>
        </w:rPr>
        <w:t>Sprememba v uporabi instrumentov pomoči 201</w:t>
      </w:r>
      <w:r w:rsidR="00DD5C3E" w:rsidRPr="00D050E9">
        <w:rPr>
          <w:color w:val="auto"/>
        </w:rPr>
        <w:t>6</w:t>
      </w:r>
      <w:r w:rsidR="00CD3312" w:rsidRPr="00D050E9">
        <w:rPr>
          <w:color w:val="auto"/>
        </w:rPr>
        <w:t>–2017</w:t>
      </w:r>
      <w:bookmarkEnd w:id="28"/>
    </w:p>
    <w:p w:rsidR="00D462B0" w:rsidRPr="00D050E9" w:rsidRDefault="00D462B0" w:rsidP="005460F0">
      <w:pPr>
        <w:spacing w:line="276" w:lineRule="auto"/>
        <w:rPr>
          <w:rFonts w:asciiTheme="minorHAnsi" w:hAnsiTheme="minorHAnsi"/>
        </w:rPr>
      </w:pPr>
      <w:r w:rsidRPr="00D050E9">
        <w:rPr>
          <w:noProof/>
          <w:lang w:eastAsia="sl-SI"/>
        </w:rPr>
        <w:drawing>
          <wp:inline distT="0" distB="0" distL="0" distR="0" wp14:anchorId="19CDA3C0" wp14:editId="010FBA92">
            <wp:extent cx="5177790" cy="2849880"/>
            <wp:effectExtent l="0" t="0" r="381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4D22" w:rsidRPr="00D050E9" w:rsidRDefault="005340CD" w:rsidP="00840307">
      <w:pPr>
        <w:spacing w:line="276" w:lineRule="auto"/>
        <w:rPr>
          <w:rFonts w:asciiTheme="minorHAnsi" w:hAnsiTheme="minorHAnsi"/>
        </w:rPr>
      </w:pPr>
      <w:r w:rsidRPr="00D050E9">
        <w:rPr>
          <w:rFonts w:asciiTheme="minorHAnsi" w:hAnsiTheme="minorHAnsi"/>
        </w:rPr>
        <w:t xml:space="preserve">V letu 2017 je bilo </w:t>
      </w:r>
      <w:r w:rsidR="00ED1E49" w:rsidRPr="00D050E9">
        <w:rPr>
          <w:rFonts w:asciiTheme="minorHAnsi" w:hAnsiTheme="minorHAnsi"/>
        </w:rPr>
        <w:t xml:space="preserve">dodeljenih </w:t>
      </w:r>
      <w:r w:rsidRPr="00D050E9">
        <w:rPr>
          <w:rFonts w:asciiTheme="minorHAnsi" w:hAnsiTheme="minorHAnsi"/>
        </w:rPr>
        <w:t>tudi</w:t>
      </w:r>
      <w:r w:rsidR="00ED1E49" w:rsidRPr="00D050E9">
        <w:rPr>
          <w:rFonts w:asciiTheme="minorHAnsi" w:hAnsiTheme="minorHAnsi"/>
        </w:rPr>
        <w:t xml:space="preserve"> manj</w:t>
      </w:r>
      <w:r w:rsidRPr="00D050E9">
        <w:rPr>
          <w:rFonts w:asciiTheme="minorHAnsi" w:hAnsiTheme="minorHAnsi"/>
        </w:rPr>
        <w:t xml:space="preserve"> </w:t>
      </w:r>
      <w:r w:rsidRPr="00D050E9">
        <w:rPr>
          <w:rFonts w:asciiTheme="minorHAnsi" w:hAnsiTheme="minorHAnsi"/>
          <w:b/>
        </w:rPr>
        <w:t>kapitalskih naložb</w:t>
      </w:r>
      <w:r w:rsidR="00D462B0" w:rsidRPr="00D050E9">
        <w:rPr>
          <w:rFonts w:asciiTheme="minorHAnsi" w:hAnsiTheme="minorHAnsi"/>
          <w:b/>
        </w:rPr>
        <w:t xml:space="preserve">. </w:t>
      </w:r>
      <w:r w:rsidRPr="00D050E9">
        <w:rPr>
          <w:rFonts w:asciiTheme="minorHAnsi" w:hAnsiTheme="minorHAnsi"/>
        </w:rPr>
        <w:t xml:space="preserve">Teh je bilo za </w:t>
      </w:r>
      <w:r w:rsidR="00CE2C69" w:rsidRPr="00D050E9">
        <w:rPr>
          <w:rFonts w:asciiTheme="minorHAnsi" w:hAnsiTheme="minorHAnsi"/>
          <w:b/>
        </w:rPr>
        <w:t>0,90</w:t>
      </w:r>
      <w:r w:rsidRPr="00D050E9">
        <w:rPr>
          <w:rFonts w:asciiTheme="minorHAnsi" w:hAnsiTheme="minorHAnsi"/>
          <w:b/>
        </w:rPr>
        <w:t xml:space="preserve"> mio EUR</w:t>
      </w:r>
      <w:r w:rsidRPr="00D050E9">
        <w:rPr>
          <w:rFonts w:asciiTheme="minorHAnsi" w:hAnsiTheme="minorHAnsi"/>
        </w:rPr>
        <w:t>, kar je skoraj 40 % manj kot v letu 2016 (1,46 mio EUR)</w:t>
      </w:r>
      <w:r w:rsidR="0033103A" w:rsidRPr="00D050E9">
        <w:rPr>
          <w:rFonts w:asciiTheme="minorHAnsi" w:hAnsiTheme="minorHAnsi"/>
        </w:rPr>
        <w:t xml:space="preserve">, predstavljale so </w:t>
      </w:r>
      <w:r w:rsidRPr="00D050E9">
        <w:rPr>
          <w:rFonts w:asciiTheme="minorHAnsi" w:hAnsiTheme="minorHAnsi"/>
          <w:b/>
        </w:rPr>
        <w:t>0,2 %</w:t>
      </w:r>
      <w:r w:rsidRPr="00D050E9">
        <w:rPr>
          <w:rFonts w:asciiTheme="minorHAnsi" w:hAnsiTheme="minorHAnsi"/>
        </w:rPr>
        <w:t xml:space="preserve"> v</w:t>
      </w:r>
      <w:r w:rsidR="007A296D" w:rsidRPr="00D050E9">
        <w:rPr>
          <w:rFonts w:asciiTheme="minorHAnsi" w:hAnsiTheme="minorHAnsi"/>
        </w:rPr>
        <w:t>seh pomoči (0,4 % v letu 2016).</w:t>
      </w:r>
      <w:r w:rsidRPr="00D050E9">
        <w:rPr>
          <w:rFonts w:asciiTheme="minorHAnsi" w:hAnsiTheme="minorHAnsi"/>
        </w:rPr>
        <w:t xml:space="preserve"> Še večji je padec glede na leto 2015, ko so kapitalske naložbe predstavljale več kot desetino vseh pomoči</w:t>
      </w:r>
      <w:r w:rsidR="000D129A" w:rsidRPr="00D050E9">
        <w:rPr>
          <w:rFonts w:asciiTheme="minorHAnsi" w:hAnsiTheme="minorHAnsi"/>
        </w:rPr>
        <w:t xml:space="preserve">, kar pa je posledica </w:t>
      </w:r>
      <w:r w:rsidR="00C85348">
        <w:rPr>
          <w:rFonts w:asciiTheme="minorHAnsi" w:hAnsiTheme="minorHAnsi"/>
        </w:rPr>
        <w:t xml:space="preserve">večjega </w:t>
      </w:r>
      <w:r w:rsidRPr="00D050E9">
        <w:rPr>
          <w:rFonts w:asciiTheme="minorHAnsi" w:hAnsiTheme="minorHAnsi"/>
        </w:rPr>
        <w:t>ob</w:t>
      </w:r>
      <w:r w:rsidR="00F43969">
        <w:rPr>
          <w:rFonts w:asciiTheme="minorHAnsi" w:hAnsiTheme="minorHAnsi"/>
        </w:rPr>
        <w:t>sega pomoči za prestrukturiranja</w:t>
      </w:r>
      <w:r w:rsidRPr="00D050E9">
        <w:rPr>
          <w:rFonts w:asciiTheme="minorHAnsi" w:hAnsiTheme="minorHAnsi"/>
        </w:rPr>
        <w:t xml:space="preserve"> podj</w:t>
      </w:r>
      <w:r w:rsidR="000F3B8C" w:rsidRPr="00D050E9">
        <w:rPr>
          <w:rFonts w:asciiTheme="minorHAnsi" w:hAnsiTheme="minorHAnsi"/>
        </w:rPr>
        <w:t xml:space="preserve">etij v težavah (Cimos d.o.o.) </w:t>
      </w:r>
      <w:r w:rsidR="00CD3312" w:rsidRPr="00D050E9">
        <w:rPr>
          <w:rFonts w:asciiTheme="minorHAnsi" w:hAnsiTheme="minorHAnsi"/>
        </w:rPr>
        <w:t xml:space="preserve">v obliki konverzije dolga v lastniške deleže. </w:t>
      </w:r>
      <w:r w:rsidRPr="00D050E9">
        <w:rPr>
          <w:rFonts w:asciiTheme="minorHAnsi" w:hAnsiTheme="minorHAnsi"/>
        </w:rPr>
        <w:t xml:space="preserve">Vse kapitalske naložbe v letu 2017 so bile </w:t>
      </w:r>
      <w:r w:rsidR="000D129A" w:rsidRPr="00D050E9">
        <w:rPr>
          <w:rFonts w:asciiTheme="minorHAnsi" w:hAnsiTheme="minorHAnsi"/>
        </w:rPr>
        <w:t xml:space="preserve">izvedene </w:t>
      </w:r>
      <w:r w:rsidRPr="00D050E9">
        <w:rPr>
          <w:rFonts w:asciiTheme="minorHAnsi" w:hAnsiTheme="minorHAnsi"/>
        </w:rPr>
        <w:t>na področju</w:t>
      </w:r>
      <w:r w:rsidR="0033103A" w:rsidRPr="00D050E9">
        <w:rPr>
          <w:rFonts w:asciiTheme="minorHAnsi" w:hAnsiTheme="minorHAnsi"/>
        </w:rPr>
        <w:t xml:space="preserve"> spodbujanja</w:t>
      </w:r>
      <w:r w:rsidRPr="00D050E9">
        <w:rPr>
          <w:rFonts w:asciiTheme="minorHAnsi" w:hAnsiTheme="minorHAnsi"/>
        </w:rPr>
        <w:t xml:space="preserve"> MSP in tveganega financiranja. Kapitalske naložbe so v povp</w:t>
      </w:r>
      <w:r w:rsidR="0033103A" w:rsidRPr="00D050E9">
        <w:rPr>
          <w:rFonts w:asciiTheme="minorHAnsi" w:hAnsiTheme="minorHAnsi"/>
        </w:rPr>
        <w:t>rečju v zadnjem desetletju</w:t>
      </w:r>
      <w:r w:rsidRPr="00D050E9">
        <w:rPr>
          <w:rFonts w:asciiTheme="minorHAnsi" w:hAnsiTheme="minorHAnsi"/>
        </w:rPr>
        <w:t xml:space="preserve"> znašale 2,6 % vseh pomoči</w:t>
      </w:r>
      <w:r w:rsidR="00994D22" w:rsidRPr="00D050E9">
        <w:rPr>
          <w:rFonts w:asciiTheme="minorHAnsi" w:hAnsiTheme="minorHAnsi"/>
        </w:rPr>
        <w:t xml:space="preserve">, največ v letih 2011 in 2015, ko je šlo za večje pomoči za reševanje in prestrukturiranje podjetij v težavah. </w:t>
      </w:r>
    </w:p>
    <w:p w:rsidR="00C92F01" w:rsidRPr="00D050E9" w:rsidRDefault="002C738B" w:rsidP="00840307">
      <w:pPr>
        <w:spacing w:line="276" w:lineRule="auto"/>
        <w:rPr>
          <w:rFonts w:asciiTheme="minorHAnsi" w:hAnsiTheme="minorHAnsi"/>
        </w:rPr>
      </w:pPr>
      <w:r w:rsidRPr="00D050E9">
        <w:rPr>
          <w:rFonts w:asciiTheme="minorHAnsi" w:hAnsiTheme="minorHAnsi"/>
        </w:rPr>
        <w:t xml:space="preserve">Skupaj so pomoči v obliki </w:t>
      </w:r>
      <w:r w:rsidR="00C92F01" w:rsidRPr="00D050E9">
        <w:rPr>
          <w:rFonts w:asciiTheme="minorHAnsi" w:hAnsiTheme="minorHAnsi"/>
          <w:b/>
        </w:rPr>
        <w:t>večjih</w:t>
      </w:r>
      <w:r w:rsidR="00C92F01" w:rsidRPr="00D050E9">
        <w:rPr>
          <w:rFonts w:asciiTheme="minorHAnsi" w:hAnsiTheme="minorHAnsi"/>
        </w:rPr>
        <w:t xml:space="preserve"> </w:t>
      </w:r>
      <w:r w:rsidRPr="00D050E9">
        <w:rPr>
          <w:rFonts w:asciiTheme="minorHAnsi" w:hAnsiTheme="minorHAnsi"/>
          <w:b/>
        </w:rPr>
        <w:t>javnofinančnih od</w:t>
      </w:r>
      <w:r w:rsidR="000D129A" w:rsidRPr="00D050E9">
        <w:rPr>
          <w:rFonts w:asciiTheme="minorHAnsi" w:hAnsiTheme="minorHAnsi"/>
          <w:b/>
        </w:rPr>
        <w:t>hodkov</w:t>
      </w:r>
      <w:r w:rsidR="000D129A" w:rsidRPr="00D050E9">
        <w:rPr>
          <w:rFonts w:asciiTheme="minorHAnsi" w:hAnsiTheme="minorHAnsi"/>
        </w:rPr>
        <w:t xml:space="preserve"> v letu 2017 predstavljale</w:t>
      </w:r>
      <w:r w:rsidRPr="00D050E9">
        <w:rPr>
          <w:rFonts w:asciiTheme="minorHAnsi" w:hAnsiTheme="minorHAnsi"/>
        </w:rPr>
        <w:t xml:space="preserve"> </w:t>
      </w:r>
      <w:r w:rsidR="00840307" w:rsidRPr="00D050E9">
        <w:rPr>
          <w:rFonts w:asciiTheme="minorHAnsi" w:hAnsiTheme="minorHAnsi"/>
          <w:b/>
        </w:rPr>
        <w:t>71,3 %</w:t>
      </w:r>
      <w:r w:rsidR="00840307" w:rsidRPr="00D050E9">
        <w:rPr>
          <w:rFonts w:asciiTheme="minorHAnsi" w:hAnsiTheme="minorHAnsi"/>
        </w:rPr>
        <w:t xml:space="preserve"> </w:t>
      </w:r>
      <w:r w:rsidR="003237DB" w:rsidRPr="00D050E9">
        <w:rPr>
          <w:rFonts w:asciiTheme="minorHAnsi" w:hAnsiTheme="minorHAnsi"/>
        </w:rPr>
        <w:t xml:space="preserve">ali </w:t>
      </w:r>
      <w:r w:rsidR="00840307" w:rsidRPr="00D050E9">
        <w:rPr>
          <w:rFonts w:asciiTheme="minorHAnsi" w:hAnsiTheme="minorHAnsi"/>
        </w:rPr>
        <w:t>304,4 mio EUR (79,2% v letu 2015, 67,1 % v letu 2016).</w:t>
      </w:r>
      <w:r w:rsidR="00C92F01" w:rsidRPr="00D050E9">
        <w:rPr>
          <w:rFonts w:asciiTheme="minorHAnsi" w:hAnsiTheme="minorHAnsi"/>
        </w:rPr>
        <w:t xml:space="preserve"> </w:t>
      </w:r>
    </w:p>
    <w:p w:rsidR="00CD3312" w:rsidRPr="00D050E9" w:rsidRDefault="00C92F01" w:rsidP="00840307">
      <w:pPr>
        <w:spacing w:line="276" w:lineRule="auto"/>
        <w:rPr>
          <w:rFonts w:asciiTheme="minorHAnsi" w:hAnsiTheme="minorHAnsi"/>
        </w:rPr>
      </w:pPr>
      <w:r w:rsidRPr="00D050E9">
        <w:rPr>
          <w:rFonts w:asciiTheme="minorHAnsi" w:hAnsiTheme="minorHAnsi"/>
        </w:rPr>
        <w:t xml:space="preserve">Na drugi strani so instrumenti, ki za </w:t>
      </w:r>
      <w:r w:rsidR="000D129A" w:rsidRPr="00D050E9">
        <w:rPr>
          <w:rFonts w:asciiTheme="minorHAnsi" w:hAnsiTheme="minorHAnsi"/>
        </w:rPr>
        <w:t>razliko od prej navedenih</w:t>
      </w:r>
      <w:r w:rsidR="0033103A" w:rsidRPr="00D050E9">
        <w:rPr>
          <w:rFonts w:asciiTheme="minorHAnsi" w:hAnsiTheme="minorHAnsi"/>
        </w:rPr>
        <w:t xml:space="preserve"> </w:t>
      </w:r>
      <w:r w:rsidR="000871EA" w:rsidRPr="00D050E9">
        <w:rPr>
          <w:rFonts w:asciiTheme="minorHAnsi" w:hAnsiTheme="minorHAnsi"/>
        </w:rPr>
        <w:t xml:space="preserve">predstavljajo </w:t>
      </w:r>
      <w:r w:rsidR="000D129A" w:rsidRPr="00D050E9">
        <w:rPr>
          <w:rFonts w:asciiTheme="minorHAnsi" w:hAnsiTheme="minorHAnsi"/>
          <w:b/>
        </w:rPr>
        <w:t>znižanje javnofinančnih prihodkov</w:t>
      </w:r>
      <w:r w:rsidR="000871EA" w:rsidRPr="00D050E9">
        <w:rPr>
          <w:rFonts w:asciiTheme="minorHAnsi" w:hAnsiTheme="minorHAnsi"/>
        </w:rPr>
        <w:t xml:space="preserve"> (davčne olajšave,</w:t>
      </w:r>
      <w:r w:rsidR="00E601FF" w:rsidRPr="00D050E9">
        <w:rPr>
          <w:rFonts w:asciiTheme="minorHAnsi" w:hAnsiTheme="minorHAnsi"/>
        </w:rPr>
        <w:t xml:space="preserve"> izjeme in znižanje</w:t>
      </w:r>
      <w:r w:rsidR="000871EA" w:rsidRPr="00D050E9">
        <w:rPr>
          <w:rFonts w:asciiTheme="minorHAnsi" w:hAnsiTheme="minorHAnsi"/>
        </w:rPr>
        <w:t xml:space="preserve"> prispevkov za socialno varnost).</w:t>
      </w:r>
      <w:r w:rsidR="00CD3312" w:rsidRPr="00D050E9">
        <w:rPr>
          <w:rFonts w:asciiTheme="minorHAnsi" w:hAnsiTheme="minorHAnsi"/>
        </w:rPr>
        <w:t xml:space="preserve"> </w:t>
      </w:r>
      <w:r w:rsidR="008B35CB" w:rsidRPr="00D050E9">
        <w:rPr>
          <w:rFonts w:asciiTheme="minorHAnsi" w:hAnsiTheme="minorHAnsi"/>
        </w:rPr>
        <w:t xml:space="preserve">V letu 2017 so te pomoči predstavljale </w:t>
      </w:r>
      <w:r w:rsidR="008B35CB" w:rsidRPr="00D050E9">
        <w:rPr>
          <w:rFonts w:asciiTheme="minorHAnsi" w:hAnsiTheme="minorHAnsi"/>
          <w:b/>
        </w:rPr>
        <w:t>28,7 %</w:t>
      </w:r>
      <w:r w:rsidR="008B35CB" w:rsidRPr="00D050E9">
        <w:rPr>
          <w:rFonts w:asciiTheme="minorHAnsi" w:hAnsiTheme="minorHAnsi"/>
        </w:rPr>
        <w:t xml:space="preserve"> vseh pomoči (32,9 % v letu 2016, 20,8 % v letu 2015) ali </w:t>
      </w:r>
      <w:r w:rsidR="008B35CB" w:rsidRPr="00D050E9">
        <w:rPr>
          <w:rFonts w:asciiTheme="minorHAnsi" w:hAnsiTheme="minorHAnsi"/>
          <w:b/>
        </w:rPr>
        <w:t>122,8 mio EUR</w:t>
      </w:r>
      <w:r w:rsidR="008B35CB" w:rsidRPr="00D050E9">
        <w:rPr>
          <w:rFonts w:asciiTheme="minorHAnsi" w:hAnsiTheme="minorHAnsi"/>
        </w:rPr>
        <w:t>, kar je malenkost</w:t>
      </w:r>
      <w:r w:rsidR="00994D22" w:rsidRPr="00D050E9">
        <w:rPr>
          <w:rFonts w:asciiTheme="minorHAnsi" w:hAnsiTheme="minorHAnsi"/>
        </w:rPr>
        <w:t xml:space="preserve"> (-</w:t>
      </w:r>
      <w:r w:rsidR="008B35CB" w:rsidRPr="00D050E9">
        <w:rPr>
          <w:rFonts w:asciiTheme="minorHAnsi" w:hAnsiTheme="minorHAnsi"/>
        </w:rPr>
        <w:t>0,4 mio EUR</w:t>
      </w:r>
      <w:r w:rsidR="00994D22" w:rsidRPr="00D050E9">
        <w:rPr>
          <w:rFonts w:asciiTheme="minorHAnsi" w:hAnsiTheme="minorHAnsi"/>
        </w:rPr>
        <w:t>)</w:t>
      </w:r>
      <w:r w:rsidR="008B35CB" w:rsidRPr="00D050E9">
        <w:rPr>
          <w:rFonts w:asciiTheme="minorHAnsi" w:hAnsiTheme="minorHAnsi"/>
        </w:rPr>
        <w:t xml:space="preserve"> manj kot v letu 2016. </w:t>
      </w:r>
    </w:p>
    <w:p w:rsidR="008B35CB" w:rsidRPr="00D050E9" w:rsidRDefault="008B35CB" w:rsidP="00840307">
      <w:pPr>
        <w:spacing w:line="276" w:lineRule="auto"/>
        <w:rPr>
          <w:rFonts w:asciiTheme="minorHAnsi" w:hAnsiTheme="minorHAnsi"/>
        </w:rPr>
      </w:pPr>
      <w:r w:rsidRPr="00D050E9">
        <w:rPr>
          <w:rFonts w:asciiTheme="minorHAnsi" w:hAnsiTheme="minorHAnsi"/>
        </w:rPr>
        <w:t xml:space="preserve">Pri tem so se pomoči iz naslova </w:t>
      </w:r>
      <w:r w:rsidR="000C621D" w:rsidRPr="00C85348">
        <w:rPr>
          <w:rFonts w:asciiTheme="minorHAnsi" w:hAnsiTheme="minorHAnsi"/>
          <w:b/>
        </w:rPr>
        <w:t>z</w:t>
      </w:r>
      <w:r w:rsidR="00116789" w:rsidRPr="00C85348">
        <w:rPr>
          <w:rFonts w:asciiTheme="minorHAnsi" w:hAnsiTheme="minorHAnsi"/>
          <w:b/>
        </w:rPr>
        <w:t>nižanja</w:t>
      </w:r>
      <w:r w:rsidR="000C621D" w:rsidRPr="00C85348">
        <w:rPr>
          <w:rFonts w:asciiTheme="minorHAnsi" w:hAnsiTheme="minorHAnsi"/>
          <w:b/>
        </w:rPr>
        <w:t xml:space="preserve"> prispevkov</w:t>
      </w:r>
      <w:r w:rsidR="000C621D" w:rsidRPr="00D050E9">
        <w:rPr>
          <w:rFonts w:asciiTheme="minorHAnsi" w:hAnsiTheme="minorHAnsi"/>
          <w:b/>
        </w:rPr>
        <w:t xml:space="preserve"> za socialno varnost</w:t>
      </w:r>
      <w:r w:rsidR="000C621D" w:rsidRPr="00D050E9">
        <w:rPr>
          <w:rFonts w:asciiTheme="minorHAnsi" w:hAnsiTheme="minorHAnsi"/>
        </w:rPr>
        <w:t xml:space="preserve"> </w:t>
      </w:r>
      <w:r w:rsidRPr="00D050E9">
        <w:rPr>
          <w:rFonts w:asciiTheme="minorHAnsi" w:hAnsiTheme="minorHAnsi"/>
        </w:rPr>
        <w:t xml:space="preserve">povečale za desetino ali +7,36 mio EUR, na skupaj </w:t>
      </w:r>
      <w:r w:rsidRPr="00D050E9">
        <w:rPr>
          <w:rFonts w:asciiTheme="minorHAnsi" w:hAnsiTheme="minorHAnsi"/>
          <w:b/>
        </w:rPr>
        <w:t>80,61 mio EUR</w:t>
      </w:r>
      <w:r w:rsidR="00994D22" w:rsidRPr="00D050E9">
        <w:rPr>
          <w:rFonts w:asciiTheme="minorHAnsi" w:hAnsiTheme="minorHAnsi"/>
          <w:b/>
        </w:rPr>
        <w:t xml:space="preserve"> </w:t>
      </w:r>
      <w:r w:rsidR="00994D22" w:rsidRPr="00D050E9">
        <w:rPr>
          <w:rFonts w:asciiTheme="minorHAnsi" w:hAnsiTheme="minorHAnsi"/>
        </w:rPr>
        <w:t xml:space="preserve">ali </w:t>
      </w:r>
      <w:r w:rsidR="00994D22" w:rsidRPr="00D050E9">
        <w:rPr>
          <w:rFonts w:asciiTheme="minorHAnsi" w:hAnsiTheme="minorHAnsi"/>
          <w:b/>
        </w:rPr>
        <w:t>18,9 %</w:t>
      </w:r>
      <w:r w:rsidR="008B1EBE" w:rsidRPr="00D050E9">
        <w:rPr>
          <w:rFonts w:asciiTheme="minorHAnsi" w:hAnsiTheme="minorHAnsi"/>
          <w:b/>
        </w:rPr>
        <w:t xml:space="preserve"> </w:t>
      </w:r>
      <w:r w:rsidR="008B1EBE" w:rsidRPr="00D050E9">
        <w:rPr>
          <w:rFonts w:asciiTheme="minorHAnsi" w:hAnsiTheme="minorHAnsi"/>
        </w:rPr>
        <w:t>(19,5 % v letu 2016)</w:t>
      </w:r>
      <w:r w:rsidR="00994D22" w:rsidRPr="00D050E9">
        <w:rPr>
          <w:rFonts w:asciiTheme="minorHAnsi" w:hAnsiTheme="minorHAnsi"/>
        </w:rPr>
        <w:t xml:space="preserve"> vseh pomoči</w:t>
      </w:r>
      <w:r w:rsidR="000C621D" w:rsidRPr="00D050E9">
        <w:rPr>
          <w:rFonts w:asciiTheme="minorHAnsi" w:hAnsiTheme="minorHAnsi"/>
        </w:rPr>
        <w:t>. P</w:t>
      </w:r>
      <w:r w:rsidRPr="00D050E9">
        <w:rPr>
          <w:rFonts w:asciiTheme="minorHAnsi" w:hAnsiTheme="minorHAnsi"/>
        </w:rPr>
        <w:t xml:space="preserve">omoči iz naslova </w:t>
      </w:r>
      <w:r w:rsidRPr="00D050E9">
        <w:rPr>
          <w:rFonts w:asciiTheme="minorHAnsi" w:hAnsiTheme="minorHAnsi"/>
          <w:b/>
        </w:rPr>
        <w:t>davčnih oprostitev in olajšav</w:t>
      </w:r>
      <w:r w:rsidRPr="00D050E9">
        <w:rPr>
          <w:rFonts w:asciiTheme="minorHAnsi" w:hAnsiTheme="minorHAnsi"/>
        </w:rPr>
        <w:t xml:space="preserve"> pa je bilo za 16 % ali -7,79 mio EUR </w:t>
      </w:r>
      <w:r w:rsidRPr="00D050E9">
        <w:rPr>
          <w:rFonts w:asciiTheme="minorHAnsi" w:hAnsiTheme="minorHAnsi"/>
          <w:i/>
        </w:rPr>
        <w:t>manj</w:t>
      </w:r>
      <w:r w:rsidR="00994D22" w:rsidRPr="00D050E9">
        <w:rPr>
          <w:rFonts w:asciiTheme="minorHAnsi" w:hAnsiTheme="minorHAnsi"/>
        </w:rPr>
        <w:t xml:space="preserve">, </w:t>
      </w:r>
      <w:r w:rsidRPr="00D050E9">
        <w:rPr>
          <w:rFonts w:asciiTheme="minorHAnsi" w:hAnsiTheme="minorHAnsi"/>
        </w:rPr>
        <w:t>skupaj</w:t>
      </w:r>
      <w:r w:rsidR="00994D22" w:rsidRPr="00D050E9">
        <w:rPr>
          <w:rFonts w:asciiTheme="minorHAnsi" w:hAnsiTheme="minorHAnsi"/>
        </w:rPr>
        <w:t xml:space="preserve"> so predstavljale</w:t>
      </w:r>
      <w:r w:rsidRPr="00D050E9">
        <w:rPr>
          <w:rFonts w:asciiTheme="minorHAnsi" w:hAnsiTheme="minorHAnsi"/>
        </w:rPr>
        <w:t xml:space="preserve"> </w:t>
      </w:r>
      <w:r w:rsidRPr="00D050E9">
        <w:rPr>
          <w:rFonts w:asciiTheme="minorHAnsi" w:hAnsiTheme="minorHAnsi"/>
          <w:b/>
        </w:rPr>
        <w:t>42,17 mio EUR</w:t>
      </w:r>
      <w:r w:rsidR="00994D22" w:rsidRPr="00D050E9">
        <w:rPr>
          <w:rFonts w:asciiTheme="minorHAnsi" w:hAnsiTheme="minorHAnsi"/>
        </w:rPr>
        <w:t xml:space="preserve"> ali </w:t>
      </w:r>
      <w:r w:rsidR="00994D22" w:rsidRPr="00D050E9">
        <w:rPr>
          <w:rFonts w:asciiTheme="minorHAnsi" w:hAnsiTheme="minorHAnsi"/>
          <w:b/>
        </w:rPr>
        <w:t>9,9 %</w:t>
      </w:r>
      <w:r w:rsidR="00994D22" w:rsidRPr="00D050E9">
        <w:rPr>
          <w:rFonts w:asciiTheme="minorHAnsi" w:hAnsiTheme="minorHAnsi"/>
        </w:rPr>
        <w:t xml:space="preserve"> vseh pomoči</w:t>
      </w:r>
      <w:r w:rsidR="008B1EBE" w:rsidRPr="00D050E9">
        <w:rPr>
          <w:rFonts w:asciiTheme="minorHAnsi" w:hAnsiTheme="minorHAnsi"/>
        </w:rPr>
        <w:t xml:space="preserve"> (13,3 % v letu 2016)</w:t>
      </w:r>
      <w:r w:rsidR="00F072F6" w:rsidRPr="00D050E9">
        <w:rPr>
          <w:rFonts w:asciiTheme="minorHAnsi" w:hAnsiTheme="minorHAnsi"/>
        </w:rPr>
        <w:t xml:space="preserve">. Pomoči v obliki znižanja prispevkov za socialno varnost se dodeljujejo izključno na področju spodbujanja zaposlovanja, glavnina davčnih olajšav (91,3 % v letu 2017 in 88 % vseh davčnih olajšav </w:t>
      </w:r>
      <w:r w:rsidR="000C621D" w:rsidRPr="00D050E9">
        <w:rPr>
          <w:rFonts w:asciiTheme="minorHAnsi" w:hAnsiTheme="minorHAnsi"/>
        </w:rPr>
        <w:t xml:space="preserve">2015–2017) pa </w:t>
      </w:r>
      <w:r w:rsidR="0033103A" w:rsidRPr="00D050E9">
        <w:rPr>
          <w:rFonts w:asciiTheme="minorHAnsi" w:hAnsiTheme="minorHAnsi"/>
        </w:rPr>
        <w:t xml:space="preserve">za </w:t>
      </w:r>
      <w:r w:rsidR="00F072F6" w:rsidRPr="00D050E9">
        <w:rPr>
          <w:rFonts w:asciiTheme="minorHAnsi" w:hAnsiTheme="minorHAnsi"/>
        </w:rPr>
        <w:t xml:space="preserve">varstvo okolja in varčevanja z energijo, </w:t>
      </w:r>
      <w:r w:rsidR="0033103A" w:rsidRPr="00D050E9">
        <w:rPr>
          <w:rFonts w:asciiTheme="minorHAnsi" w:hAnsiTheme="minorHAnsi"/>
        </w:rPr>
        <w:t xml:space="preserve">razliko predstavljajo </w:t>
      </w:r>
      <w:r w:rsidR="00F072F6" w:rsidRPr="00D050E9">
        <w:rPr>
          <w:rFonts w:asciiTheme="minorHAnsi" w:hAnsiTheme="minorHAnsi"/>
        </w:rPr>
        <w:t xml:space="preserve">regionalne pomoči (okoli 8 % </w:t>
      </w:r>
      <w:r w:rsidR="0033103A" w:rsidRPr="00D050E9">
        <w:rPr>
          <w:rFonts w:asciiTheme="minorHAnsi" w:hAnsiTheme="minorHAnsi"/>
        </w:rPr>
        <w:t xml:space="preserve">davčnih olajšav </w:t>
      </w:r>
      <w:r w:rsidR="00F072F6" w:rsidRPr="00D050E9">
        <w:rPr>
          <w:rFonts w:asciiTheme="minorHAnsi" w:hAnsiTheme="minorHAnsi"/>
        </w:rPr>
        <w:t>2015</w:t>
      </w:r>
      <w:r w:rsidR="00F474CF">
        <w:rPr>
          <w:rFonts w:asciiTheme="minorHAnsi" w:hAnsiTheme="minorHAnsi"/>
        </w:rPr>
        <w:t>–</w:t>
      </w:r>
      <w:r w:rsidR="00F072F6" w:rsidRPr="00D050E9">
        <w:rPr>
          <w:rFonts w:asciiTheme="minorHAnsi" w:hAnsiTheme="minorHAnsi"/>
        </w:rPr>
        <w:t>2017) in zaposlovanje (4 % davčnih olajšav 2015</w:t>
      </w:r>
      <w:r w:rsidR="00F474CF">
        <w:rPr>
          <w:rFonts w:asciiTheme="minorHAnsi" w:hAnsiTheme="minorHAnsi"/>
        </w:rPr>
        <w:t>–</w:t>
      </w:r>
      <w:r w:rsidR="00F072F6" w:rsidRPr="00D050E9">
        <w:rPr>
          <w:rFonts w:asciiTheme="minorHAnsi" w:hAnsiTheme="minorHAnsi"/>
        </w:rPr>
        <w:t xml:space="preserve">2017). </w:t>
      </w:r>
    </w:p>
    <w:p w:rsidR="00C92F01" w:rsidRPr="00D050E9" w:rsidRDefault="00C92F01" w:rsidP="00840307">
      <w:pPr>
        <w:spacing w:line="276" w:lineRule="auto"/>
        <w:rPr>
          <w:rFonts w:asciiTheme="minorHAnsi" w:hAnsiTheme="minorHAnsi"/>
        </w:rPr>
      </w:pPr>
      <w:r w:rsidRPr="00D050E9">
        <w:rPr>
          <w:rFonts w:asciiTheme="minorHAnsi" w:hAnsiTheme="minorHAnsi"/>
        </w:rPr>
        <w:t>Delež pomoči, ki pomenijo znižanje javnofinančnih odhodkov se povečuje vse od leta 2010</w:t>
      </w:r>
      <w:r w:rsidR="007A296D" w:rsidRPr="00D050E9">
        <w:rPr>
          <w:rFonts w:asciiTheme="minorHAnsi" w:hAnsiTheme="minorHAnsi"/>
        </w:rPr>
        <w:t xml:space="preserve"> (z izjemo </w:t>
      </w:r>
      <w:r w:rsidR="007A296D" w:rsidRPr="00C85348">
        <w:rPr>
          <w:rFonts w:asciiTheme="minorHAnsi" w:hAnsiTheme="minorHAnsi"/>
        </w:rPr>
        <w:t>leta 2017)</w:t>
      </w:r>
      <w:r w:rsidRPr="00C85348">
        <w:rPr>
          <w:rFonts w:asciiTheme="minorHAnsi" w:hAnsiTheme="minorHAnsi"/>
        </w:rPr>
        <w:t xml:space="preserve"> in so</w:t>
      </w:r>
      <w:r w:rsidR="00067E3D" w:rsidRPr="00C85348">
        <w:rPr>
          <w:rFonts w:asciiTheme="minorHAnsi" w:hAnsiTheme="minorHAnsi"/>
        </w:rPr>
        <w:t>vpada s</w:t>
      </w:r>
      <w:r w:rsidR="0033103A" w:rsidRPr="00C85348">
        <w:rPr>
          <w:rFonts w:asciiTheme="minorHAnsi" w:hAnsiTheme="minorHAnsi"/>
        </w:rPr>
        <w:t xml:space="preserve"> povečevanjem deleža pomo</w:t>
      </w:r>
      <w:r w:rsidRPr="00C85348">
        <w:rPr>
          <w:rFonts w:asciiTheme="minorHAnsi" w:hAnsiTheme="minorHAnsi"/>
        </w:rPr>
        <w:t>či za varstvo okolja in zaposlovanje</w:t>
      </w:r>
      <w:r w:rsidR="007D4027" w:rsidRPr="00C85348">
        <w:rPr>
          <w:rFonts w:asciiTheme="minorHAnsi" w:hAnsiTheme="minorHAnsi"/>
        </w:rPr>
        <w:t>.</w:t>
      </w:r>
    </w:p>
    <w:p w:rsidR="00840785" w:rsidRPr="00D050E9" w:rsidRDefault="00840785" w:rsidP="00904669">
      <w:pPr>
        <w:rPr>
          <w:rFonts w:asciiTheme="minorHAnsi" w:hAnsiTheme="minorHAnsi"/>
        </w:rPr>
      </w:pPr>
    </w:p>
    <w:p w:rsidR="00275A84" w:rsidRPr="00D050E9" w:rsidRDefault="00840785" w:rsidP="00840785">
      <w:pPr>
        <w:pStyle w:val="Caption"/>
        <w:rPr>
          <w:color w:val="auto"/>
        </w:rPr>
      </w:pPr>
      <w:bookmarkStart w:id="29" w:name="_Toc530654626"/>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11</w:t>
      </w:r>
      <w:r w:rsidRPr="00D050E9">
        <w:rPr>
          <w:color w:val="auto"/>
        </w:rPr>
        <w:fldChar w:fldCharType="end"/>
      </w:r>
      <w:r w:rsidRPr="00D050E9">
        <w:rPr>
          <w:color w:val="auto"/>
        </w:rPr>
        <w:t xml:space="preserve">: </w:t>
      </w:r>
      <w:r w:rsidR="00275A84" w:rsidRPr="00D050E9">
        <w:rPr>
          <w:color w:val="auto"/>
        </w:rPr>
        <w:t>Državne pomoči po skupinah instrumentov, 2008–2017, v % vseh pomoči</w:t>
      </w:r>
      <w:bookmarkEnd w:id="29"/>
    </w:p>
    <w:p w:rsidR="00275A84" w:rsidRPr="00D050E9" w:rsidRDefault="00275A84" w:rsidP="00067852">
      <w:pPr>
        <w:pStyle w:val="Heading4"/>
      </w:pPr>
      <w:r w:rsidRPr="00D050E9">
        <w:rPr>
          <w:noProof/>
          <w:lang w:eastAsia="sl-SI"/>
        </w:rPr>
        <w:drawing>
          <wp:inline distT="0" distB="0" distL="0" distR="0" wp14:anchorId="537520E5" wp14:editId="4F7BD153">
            <wp:extent cx="5425440" cy="275082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7E3A" w:rsidRPr="00D050E9" w:rsidRDefault="001B7E3A" w:rsidP="00B9182A">
      <w:pPr>
        <w:pStyle w:val="Heading3"/>
      </w:pPr>
    </w:p>
    <w:p w:rsidR="00D354EF" w:rsidRPr="00D050E9" w:rsidRDefault="00D354EF" w:rsidP="00B9182A">
      <w:pPr>
        <w:pStyle w:val="Heading3"/>
      </w:pPr>
      <w:bookmarkStart w:id="30" w:name="_Toc530654539"/>
      <w:r w:rsidRPr="00D050E9">
        <w:t>1.3.</w:t>
      </w:r>
      <w:r w:rsidR="009E4829" w:rsidRPr="00D050E9">
        <w:t>4</w:t>
      </w:r>
      <w:r w:rsidRPr="00D050E9">
        <w:t xml:space="preserve"> Državne pomoči po obliki pomoči  </w:t>
      </w:r>
      <w:r w:rsidR="009E4829" w:rsidRPr="00D050E9">
        <w:t>(shema, individualna)</w:t>
      </w:r>
      <w:bookmarkEnd w:id="30"/>
    </w:p>
    <w:p w:rsidR="00325924" w:rsidRPr="00D050E9" w:rsidRDefault="00325924" w:rsidP="00325924">
      <w:pPr>
        <w:spacing w:after="0"/>
      </w:pPr>
    </w:p>
    <w:p w:rsidR="009F57BA" w:rsidRPr="00D050E9" w:rsidRDefault="009F57BA" w:rsidP="009F57BA">
      <w:pPr>
        <w:spacing w:line="276" w:lineRule="auto"/>
        <w:rPr>
          <w:rFonts w:asciiTheme="minorHAnsi" w:hAnsiTheme="minorHAnsi"/>
        </w:rPr>
      </w:pPr>
      <w:r w:rsidRPr="00D050E9">
        <w:rPr>
          <w:rFonts w:asciiTheme="minorHAnsi" w:hAnsiTheme="minorHAnsi"/>
        </w:rPr>
        <w:t>Državne pomoči se lahko dodelijo kot sheme državnih pomoči, kjer prejemniki vnaprej niso znani in so opredeljeni le splošno, ali kot individualne pomoči, ki so namenjene točno določenemu in vnaprej znanemu prejemniku. V Sloveniji se večina pomoči dodeli po shemah, torej za vnaprej neznane prejemnike. Del</w:t>
      </w:r>
      <w:r w:rsidR="00817F8E" w:rsidRPr="00D050E9">
        <w:rPr>
          <w:rFonts w:asciiTheme="minorHAnsi" w:hAnsiTheme="minorHAnsi"/>
        </w:rPr>
        <w:t xml:space="preserve">ež teh pomoči se je v zadnjih desetih letih </w:t>
      </w:r>
      <w:r w:rsidRPr="00D050E9">
        <w:rPr>
          <w:rFonts w:asciiTheme="minorHAnsi" w:hAnsiTheme="minorHAnsi"/>
        </w:rPr>
        <w:t>gib</w:t>
      </w:r>
      <w:bookmarkStart w:id="31" w:name="_Toc466467504"/>
      <w:r w:rsidR="00817F8E" w:rsidRPr="00D050E9">
        <w:rPr>
          <w:rFonts w:asciiTheme="minorHAnsi" w:hAnsiTheme="minorHAnsi"/>
        </w:rPr>
        <w:t>al med 71</w:t>
      </w:r>
      <w:r w:rsidR="00F474CF">
        <w:rPr>
          <w:rFonts w:asciiTheme="minorHAnsi" w:hAnsiTheme="minorHAnsi"/>
        </w:rPr>
        <w:t xml:space="preserve"> </w:t>
      </w:r>
      <w:r w:rsidRPr="00D050E9">
        <w:rPr>
          <w:rFonts w:asciiTheme="minorHAnsi" w:hAnsiTheme="minorHAnsi"/>
        </w:rPr>
        <w:t xml:space="preserve">% in </w:t>
      </w:r>
      <w:r w:rsidR="00817F8E" w:rsidRPr="00D050E9">
        <w:rPr>
          <w:rFonts w:asciiTheme="minorHAnsi" w:hAnsiTheme="minorHAnsi"/>
        </w:rPr>
        <w:t>8</w:t>
      </w:r>
      <w:r w:rsidRPr="00D050E9">
        <w:rPr>
          <w:rFonts w:asciiTheme="minorHAnsi" w:hAnsiTheme="minorHAnsi"/>
        </w:rPr>
        <w:t xml:space="preserve">9 % vseh </w:t>
      </w:r>
      <w:r w:rsidR="00904669" w:rsidRPr="00D050E9">
        <w:rPr>
          <w:rFonts w:asciiTheme="minorHAnsi" w:hAnsiTheme="minorHAnsi"/>
        </w:rPr>
        <w:t xml:space="preserve">izplačanih </w:t>
      </w:r>
      <w:r w:rsidRPr="00D050E9">
        <w:rPr>
          <w:rFonts w:asciiTheme="minorHAnsi" w:hAnsiTheme="minorHAnsi"/>
        </w:rPr>
        <w:t>pomoči.</w:t>
      </w:r>
    </w:p>
    <w:p w:rsidR="00817F8E" w:rsidRPr="00D050E9" w:rsidRDefault="00840785" w:rsidP="00840785">
      <w:pPr>
        <w:pStyle w:val="Caption"/>
        <w:rPr>
          <w:color w:val="auto"/>
        </w:rPr>
      </w:pPr>
      <w:bookmarkStart w:id="32" w:name="_Toc530654588"/>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4</w:t>
      </w:r>
      <w:r w:rsidRPr="00D050E9">
        <w:rPr>
          <w:color w:val="auto"/>
        </w:rPr>
        <w:fldChar w:fldCharType="end"/>
      </w:r>
      <w:r w:rsidRPr="00D050E9">
        <w:rPr>
          <w:color w:val="auto"/>
        </w:rPr>
        <w:t xml:space="preserve">: </w:t>
      </w:r>
      <w:r w:rsidR="00817F8E" w:rsidRPr="00D050E9">
        <w:rPr>
          <w:color w:val="auto"/>
        </w:rPr>
        <w:t>Državne pomoči v Sloveniji po obliki pomoči, 2015–2017, v % vseh pomoči</w:t>
      </w:r>
      <w:bookmarkEnd w:id="32"/>
      <w:r w:rsidR="007D4027" w:rsidRPr="00D050E9">
        <w:rPr>
          <w:color w:val="auto"/>
        </w:rPr>
        <w:t xml:space="preserve"> </w:t>
      </w:r>
    </w:p>
    <w:p w:rsidR="00840785" w:rsidRPr="00D050E9" w:rsidRDefault="00840785" w:rsidP="00840785">
      <w:pPr>
        <w:spacing w:after="0"/>
        <w:ind w:left="57"/>
        <w:rPr>
          <w:lang w:bidi="hi-IN"/>
        </w:rPr>
      </w:pPr>
    </w:p>
    <w:tbl>
      <w:tblPr>
        <w:tblStyle w:val="LightGrid-Accent5"/>
        <w:tblW w:w="5000" w:type="pct"/>
        <w:tblLook w:val="04A0" w:firstRow="1" w:lastRow="0" w:firstColumn="1" w:lastColumn="0" w:noHBand="0" w:noVBand="1"/>
      </w:tblPr>
      <w:tblGrid>
        <w:gridCol w:w="2740"/>
        <w:gridCol w:w="1527"/>
        <w:gridCol w:w="1527"/>
        <w:gridCol w:w="1527"/>
        <w:gridCol w:w="2079"/>
      </w:tblGrid>
      <w:tr w:rsidR="00817F8E" w:rsidRPr="00D050E9" w:rsidTr="00817F8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58" w:type="pct"/>
            <w:hideMark/>
          </w:tcPr>
          <w:p w:rsidR="00817F8E" w:rsidRPr="00D050E9" w:rsidRDefault="00817F8E" w:rsidP="00817F8E">
            <w:pPr>
              <w:jc w:val="center"/>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Oblika pomoči</w:t>
            </w:r>
          </w:p>
        </w:tc>
        <w:tc>
          <w:tcPr>
            <w:tcW w:w="812" w:type="pct"/>
            <w:hideMark/>
          </w:tcPr>
          <w:p w:rsidR="00817F8E" w:rsidRPr="00D050E9" w:rsidRDefault="00817F8E" w:rsidP="00817F8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2015</w:t>
            </w:r>
          </w:p>
        </w:tc>
        <w:tc>
          <w:tcPr>
            <w:tcW w:w="812" w:type="pct"/>
            <w:hideMark/>
          </w:tcPr>
          <w:p w:rsidR="00817F8E" w:rsidRPr="00D050E9" w:rsidRDefault="00817F8E" w:rsidP="00817F8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2016</w:t>
            </w:r>
          </w:p>
        </w:tc>
        <w:tc>
          <w:tcPr>
            <w:tcW w:w="812" w:type="pct"/>
            <w:hideMark/>
          </w:tcPr>
          <w:p w:rsidR="00817F8E" w:rsidRPr="00D050E9" w:rsidRDefault="00817F8E" w:rsidP="00817F8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2017</w:t>
            </w:r>
          </w:p>
        </w:tc>
        <w:tc>
          <w:tcPr>
            <w:tcW w:w="1106" w:type="pct"/>
            <w:hideMark/>
          </w:tcPr>
          <w:p w:rsidR="00817F8E" w:rsidRPr="00D050E9" w:rsidRDefault="00817F8E" w:rsidP="00817F8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povprečje</w:t>
            </w:r>
            <w:r w:rsidRPr="00D050E9">
              <w:rPr>
                <w:rFonts w:asciiTheme="minorHAnsi" w:eastAsia="Times New Roman" w:hAnsiTheme="minorHAnsi" w:cs="Arial"/>
                <w:color w:val="000000"/>
                <w:sz w:val="19"/>
                <w:szCs w:val="19"/>
                <w:lang w:eastAsia="sl-SI"/>
              </w:rPr>
              <w:br/>
              <w:t>2015-2017</w:t>
            </w:r>
          </w:p>
        </w:tc>
      </w:tr>
      <w:tr w:rsidR="00817F8E" w:rsidRPr="00D050E9" w:rsidTr="00817F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58" w:type="pct"/>
            <w:hideMark/>
          </w:tcPr>
          <w:p w:rsidR="00817F8E" w:rsidRPr="00D050E9" w:rsidRDefault="00817F8E" w:rsidP="00817F8E">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Shema</w:t>
            </w:r>
          </w:p>
        </w:tc>
        <w:tc>
          <w:tcPr>
            <w:tcW w:w="812"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71,0%</w:t>
            </w:r>
          </w:p>
        </w:tc>
        <w:tc>
          <w:tcPr>
            <w:tcW w:w="812"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84,8%</w:t>
            </w:r>
          </w:p>
        </w:tc>
        <w:tc>
          <w:tcPr>
            <w:tcW w:w="812"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85,6%</w:t>
            </w:r>
          </w:p>
        </w:tc>
        <w:tc>
          <w:tcPr>
            <w:tcW w:w="1106"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79,4%</w:t>
            </w:r>
          </w:p>
        </w:tc>
      </w:tr>
      <w:tr w:rsidR="00817F8E" w:rsidRPr="00D050E9" w:rsidTr="00817F8E">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58" w:type="pct"/>
            <w:hideMark/>
          </w:tcPr>
          <w:p w:rsidR="00817F8E" w:rsidRPr="00D050E9" w:rsidRDefault="00817F8E" w:rsidP="00817F8E">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Individualna</w:t>
            </w:r>
          </w:p>
        </w:tc>
        <w:tc>
          <w:tcPr>
            <w:tcW w:w="812" w:type="pct"/>
            <w:hideMark/>
          </w:tcPr>
          <w:p w:rsidR="00817F8E" w:rsidRPr="00D050E9" w:rsidRDefault="00817F8E" w:rsidP="00817F8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29,0%</w:t>
            </w:r>
          </w:p>
        </w:tc>
        <w:tc>
          <w:tcPr>
            <w:tcW w:w="812" w:type="pct"/>
            <w:hideMark/>
          </w:tcPr>
          <w:p w:rsidR="00817F8E" w:rsidRPr="00D050E9" w:rsidRDefault="00817F8E" w:rsidP="00817F8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15,2%</w:t>
            </w:r>
          </w:p>
        </w:tc>
        <w:tc>
          <w:tcPr>
            <w:tcW w:w="812" w:type="pct"/>
            <w:hideMark/>
          </w:tcPr>
          <w:p w:rsidR="00817F8E" w:rsidRPr="00D050E9" w:rsidRDefault="00817F8E" w:rsidP="00817F8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14,4%</w:t>
            </w:r>
          </w:p>
        </w:tc>
        <w:tc>
          <w:tcPr>
            <w:tcW w:w="1106" w:type="pct"/>
            <w:hideMark/>
          </w:tcPr>
          <w:p w:rsidR="00817F8E" w:rsidRPr="00D050E9" w:rsidRDefault="00817F8E" w:rsidP="00817F8E">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20,6%</w:t>
            </w:r>
          </w:p>
        </w:tc>
      </w:tr>
      <w:tr w:rsidR="00817F8E" w:rsidRPr="00D050E9" w:rsidTr="00817F8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58" w:type="pct"/>
            <w:hideMark/>
          </w:tcPr>
          <w:p w:rsidR="00817F8E" w:rsidRPr="00D050E9" w:rsidRDefault="00817F8E" w:rsidP="00817F8E">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Skupaj</w:t>
            </w:r>
          </w:p>
        </w:tc>
        <w:tc>
          <w:tcPr>
            <w:tcW w:w="812"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100,0%</w:t>
            </w:r>
          </w:p>
        </w:tc>
        <w:tc>
          <w:tcPr>
            <w:tcW w:w="812"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100,0%</w:t>
            </w:r>
          </w:p>
        </w:tc>
        <w:tc>
          <w:tcPr>
            <w:tcW w:w="812"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xml:space="preserve">100,0% </w:t>
            </w:r>
          </w:p>
        </w:tc>
        <w:tc>
          <w:tcPr>
            <w:tcW w:w="1106" w:type="pct"/>
            <w:hideMark/>
          </w:tcPr>
          <w:p w:rsidR="00817F8E" w:rsidRPr="00D050E9" w:rsidRDefault="00817F8E" w:rsidP="00817F8E">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xml:space="preserve">100,0% </w:t>
            </w:r>
          </w:p>
        </w:tc>
      </w:tr>
    </w:tbl>
    <w:p w:rsidR="009F57BA" w:rsidRPr="00D050E9" w:rsidRDefault="009F57BA" w:rsidP="00904669">
      <w:pPr>
        <w:spacing w:after="0" w:line="276" w:lineRule="auto"/>
        <w:rPr>
          <w:rFonts w:asciiTheme="minorHAnsi" w:hAnsiTheme="minorHAnsi"/>
        </w:rPr>
      </w:pPr>
    </w:p>
    <w:bookmarkEnd w:id="31"/>
    <w:p w:rsidR="009F57BA" w:rsidRPr="00D050E9" w:rsidRDefault="00817F8E" w:rsidP="009F57BA">
      <w:pPr>
        <w:spacing w:line="276" w:lineRule="auto"/>
        <w:rPr>
          <w:rFonts w:asciiTheme="minorHAnsi" w:hAnsiTheme="minorHAnsi"/>
        </w:rPr>
      </w:pPr>
      <w:r w:rsidRPr="00D050E9">
        <w:rPr>
          <w:rFonts w:asciiTheme="minorHAnsi" w:hAnsiTheme="minorHAnsi"/>
        </w:rPr>
        <w:t>V letu 2017</w:t>
      </w:r>
      <w:r w:rsidR="009F57BA" w:rsidRPr="00D050E9">
        <w:rPr>
          <w:rFonts w:asciiTheme="minorHAnsi" w:hAnsiTheme="minorHAnsi"/>
        </w:rPr>
        <w:t xml:space="preserve"> je bilo na osnovi </w:t>
      </w:r>
      <w:r w:rsidR="009F57BA" w:rsidRPr="00D050E9">
        <w:rPr>
          <w:rFonts w:asciiTheme="minorHAnsi" w:hAnsiTheme="minorHAnsi"/>
          <w:b/>
        </w:rPr>
        <w:t>shem pomoči</w:t>
      </w:r>
      <w:r w:rsidRPr="00D050E9">
        <w:rPr>
          <w:rFonts w:asciiTheme="minorHAnsi" w:hAnsiTheme="minorHAnsi"/>
        </w:rPr>
        <w:t xml:space="preserve"> </w:t>
      </w:r>
      <w:r w:rsidR="007D4027" w:rsidRPr="00D050E9">
        <w:rPr>
          <w:rFonts w:asciiTheme="minorHAnsi" w:hAnsiTheme="minorHAnsi"/>
        </w:rPr>
        <w:t xml:space="preserve">izplačanih </w:t>
      </w:r>
      <w:r w:rsidRPr="00D050E9">
        <w:rPr>
          <w:rFonts w:asciiTheme="minorHAnsi" w:hAnsiTheme="minorHAnsi"/>
        </w:rPr>
        <w:t>skoraj 86</w:t>
      </w:r>
      <w:r w:rsidR="009F57BA" w:rsidRPr="00D050E9">
        <w:rPr>
          <w:rFonts w:asciiTheme="minorHAnsi" w:hAnsiTheme="minorHAnsi"/>
        </w:rPr>
        <w:t xml:space="preserve"> % vseh pomoči</w:t>
      </w:r>
      <w:r w:rsidR="0033103A" w:rsidRPr="00D050E9">
        <w:rPr>
          <w:rFonts w:asciiTheme="minorHAnsi" w:hAnsiTheme="minorHAnsi"/>
        </w:rPr>
        <w:t>,</w:t>
      </w:r>
      <w:r w:rsidR="009F57BA" w:rsidRPr="00D050E9">
        <w:rPr>
          <w:rFonts w:asciiTheme="minorHAnsi" w:hAnsiTheme="minorHAnsi"/>
        </w:rPr>
        <w:t xml:space="preserve"> in sicer vse horizontalne pomoči (pomoč za varstvo okolja, regionalne pomoči, raziskave, razvoj in inovacije, zaposlovanje idr.), ki se dodeljujejo po Uredbi EU o splošnih skupinskih izjemah</w:t>
      </w:r>
      <w:r w:rsidRPr="00D050E9">
        <w:rPr>
          <w:rFonts w:asciiTheme="minorHAnsi" w:hAnsiTheme="minorHAnsi"/>
        </w:rPr>
        <w:t xml:space="preserve"> </w:t>
      </w:r>
      <w:r w:rsidR="009F57BA" w:rsidRPr="00D050E9">
        <w:rPr>
          <w:rFonts w:asciiTheme="minorHAnsi" w:hAnsiTheme="minorHAnsi"/>
        </w:rPr>
        <w:t xml:space="preserve">ter pomoči za kmetijstvo in ribištvo in manjši del pomoči za reševanje in prestrukturiranje. </w:t>
      </w:r>
    </w:p>
    <w:p w:rsidR="009F57BA" w:rsidRPr="00D050E9" w:rsidRDefault="009F57BA" w:rsidP="009F57BA">
      <w:pPr>
        <w:spacing w:line="276" w:lineRule="auto"/>
        <w:rPr>
          <w:rFonts w:asciiTheme="minorHAnsi" w:hAnsiTheme="minorHAnsi"/>
        </w:rPr>
      </w:pPr>
      <w:r w:rsidRPr="00D050E9">
        <w:rPr>
          <w:rFonts w:asciiTheme="minorHAnsi" w:hAnsiTheme="minorHAnsi"/>
          <w:b/>
        </w:rPr>
        <w:t xml:space="preserve">Individualne pomoči </w:t>
      </w:r>
      <w:r w:rsidRPr="00D050E9">
        <w:rPr>
          <w:rFonts w:asciiTheme="minorHAnsi" w:hAnsiTheme="minorHAnsi"/>
        </w:rPr>
        <w:t xml:space="preserve">za znanega </w:t>
      </w:r>
      <w:r w:rsidR="00817F8E" w:rsidRPr="00D050E9">
        <w:rPr>
          <w:rFonts w:asciiTheme="minorHAnsi" w:hAnsiTheme="minorHAnsi"/>
        </w:rPr>
        <w:t>prejemnika</w:t>
      </w:r>
      <w:r w:rsidR="00C85348">
        <w:rPr>
          <w:rFonts w:asciiTheme="minorHAnsi" w:hAnsiTheme="minorHAnsi"/>
        </w:rPr>
        <w:t xml:space="preserve"> </w:t>
      </w:r>
      <w:r w:rsidR="00817F8E" w:rsidRPr="00D050E9">
        <w:rPr>
          <w:rFonts w:asciiTheme="minorHAnsi" w:hAnsiTheme="minorHAnsi"/>
        </w:rPr>
        <w:t>so v letu 2017</w:t>
      </w:r>
      <w:r w:rsidRPr="00D050E9">
        <w:rPr>
          <w:rFonts w:asciiTheme="minorHAnsi" w:hAnsiTheme="minorHAnsi"/>
        </w:rPr>
        <w:t xml:space="preserve"> predstavljale </w:t>
      </w:r>
      <w:r w:rsidR="00817F8E" w:rsidRPr="00D050E9">
        <w:rPr>
          <w:rFonts w:asciiTheme="minorHAnsi" w:hAnsiTheme="minorHAnsi"/>
        </w:rPr>
        <w:t>dobrih 14 %</w:t>
      </w:r>
      <w:r w:rsidRPr="00D050E9">
        <w:rPr>
          <w:rFonts w:asciiTheme="minorHAnsi" w:hAnsiTheme="minorHAnsi"/>
        </w:rPr>
        <w:t xml:space="preserve"> vseh pomoči</w:t>
      </w:r>
      <w:r w:rsidR="00817F8E" w:rsidRPr="00D050E9">
        <w:rPr>
          <w:rFonts w:asciiTheme="minorHAnsi" w:hAnsiTheme="minorHAnsi"/>
        </w:rPr>
        <w:t xml:space="preserve">. Največji delež so te pomoči predstavljale v letu 2015, </w:t>
      </w:r>
      <w:r w:rsidR="00041589" w:rsidRPr="00D050E9">
        <w:rPr>
          <w:rFonts w:asciiTheme="minorHAnsi" w:hAnsiTheme="minorHAnsi"/>
        </w:rPr>
        <w:t xml:space="preserve">29 % vseh pomoči, predvsem zaradi </w:t>
      </w:r>
      <w:r w:rsidR="00817F8E" w:rsidRPr="00D050E9">
        <w:rPr>
          <w:rFonts w:asciiTheme="minorHAnsi" w:hAnsiTheme="minorHAnsi"/>
        </w:rPr>
        <w:t>velik</w:t>
      </w:r>
      <w:r w:rsidR="00041589" w:rsidRPr="00D050E9">
        <w:rPr>
          <w:rFonts w:asciiTheme="minorHAnsi" w:hAnsiTheme="minorHAnsi"/>
        </w:rPr>
        <w:t>ega</w:t>
      </w:r>
      <w:r w:rsidR="00817F8E" w:rsidRPr="00D050E9">
        <w:rPr>
          <w:rFonts w:asciiTheme="minorHAnsi" w:hAnsiTheme="minorHAnsi"/>
        </w:rPr>
        <w:t xml:space="preserve"> obseg</w:t>
      </w:r>
      <w:r w:rsidR="00041589" w:rsidRPr="00D050E9">
        <w:rPr>
          <w:rFonts w:asciiTheme="minorHAnsi" w:hAnsiTheme="minorHAnsi"/>
        </w:rPr>
        <w:t>a</w:t>
      </w:r>
      <w:r w:rsidR="00817F8E" w:rsidRPr="00D050E9">
        <w:rPr>
          <w:rFonts w:asciiTheme="minorHAnsi" w:hAnsiTheme="minorHAnsi"/>
        </w:rPr>
        <w:t xml:space="preserve"> pomoči za reševanje in prestrukturiranje</w:t>
      </w:r>
      <w:r w:rsidR="00041589" w:rsidRPr="00D050E9">
        <w:rPr>
          <w:rFonts w:asciiTheme="minorHAnsi" w:hAnsiTheme="minorHAnsi"/>
        </w:rPr>
        <w:t xml:space="preserve"> za (konkretna) podjetja v težavah</w:t>
      </w:r>
      <w:r w:rsidR="00817F8E" w:rsidRPr="00D050E9">
        <w:rPr>
          <w:rFonts w:asciiTheme="minorHAnsi" w:hAnsiTheme="minorHAnsi"/>
        </w:rPr>
        <w:t xml:space="preserve">. Te pomoči </w:t>
      </w:r>
      <w:r w:rsidR="0033103A" w:rsidRPr="00D050E9">
        <w:rPr>
          <w:rFonts w:asciiTheme="minorHAnsi" w:hAnsiTheme="minorHAnsi"/>
        </w:rPr>
        <w:t xml:space="preserve">predstavljajo </w:t>
      </w:r>
      <w:r w:rsidR="00817F8E" w:rsidRPr="00D050E9">
        <w:rPr>
          <w:rFonts w:asciiTheme="minorHAnsi" w:hAnsiTheme="minorHAnsi"/>
        </w:rPr>
        <w:t xml:space="preserve">poleg </w:t>
      </w:r>
      <w:r w:rsidRPr="00D050E9">
        <w:rPr>
          <w:rFonts w:asciiTheme="minorHAnsi" w:hAnsiTheme="minorHAnsi"/>
        </w:rPr>
        <w:t>p</w:t>
      </w:r>
      <w:r w:rsidR="00610FCC" w:rsidRPr="00D050E9">
        <w:rPr>
          <w:rFonts w:asciiTheme="minorHAnsi" w:hAnsiTheme="minorHAnsi"/>
        </w:rPr>
        <w:t>omoči za transport (nadomestilo</w:t>
      </w:r>
      <w:r w:rsidR="00817F8E" w:rsidRPr="00D050E9">
        <w:rPr>
          <w:rFonts w:asciiTheme="minorHAnsi" w:hAnsiTheme="minorHAnsi"/>
        </w:rPr>
        <w:t xml:space="preserve"> </w:t>
      </w:r>
      <w:r w:rsidR="00F474CF">
        <w:rPr>
          <w:rFonts w:asciiTheme="minorHAnsi" w:hAnsiTheme="minorHAnsi"/>
        </w:rPr>
        <w:t>družbi SŽ -</w:t>
      </w:r>
      <w:r w:rsidRPr="00D050E9">
        <w:rPr>
          <w:rFonts w:asciiTheme="minorHAnsi" w:hAnsiTheme="minorHAnsi"/>
        </w:rPr>
        <w:t xml:space="preserve"> Potniški promet, d.o.o.) in pomoči za zapir</w:t>
      </w:r>
      <w:r w:rsidR="00F474CF">
        <w:rPr>
          <w:rFonts w:asciiTheme="minorHAnsi" w:hAnsiTheme="minorHAnsi"/>
        </w:rPr>
        <w:t>anje rudnikov (Rudnik Trbovlje -</w:t>
      </w:r>
      <w:r w:rsidRPr="00D050E9">
        <w:rPr>
          <w:rFonts w:asciiTheme="minorHAnsi" w:hAnsiTheme="minorHAnsi"/>
        </w:rPr>
        <w:t xml:space="preserve"> Hrastnik, d.o.o.) glavne kategorije pomoči, v okviru katerih je Slovenija v zadnjih letih dodeljevala pomoči za vnaprej znane prejemnike. </w:t>
      </w:r>
    </w:p>
    <w:p w:rsidR="003B744C" w:rsidRPr="00D050E9" w:rsidRDefault="003B744C" w:rsidP="009F57BA">
      <w:pPr>
        <w:spacing w:line="276" w:lineRule="auto"/>
        <w:rPr>
          <w:rFonts w:asciiTheme="minorHAnsi" w:hAnsiTheme="minorHAnsi"/>
        </w:rPr>
      </w:pPr>
    </w:p>
    <w:p w:rsidR="009F57BA" w:rsidRPr="00D050E9" w:rsidRDefault="00840785" w:rsidP="00840785">
      <w:pPr>
        <w:pStyle w:val="Caption"/>
        <w:rPr>
          <w:color w:val="auto"/>
        </w:rPr>
      </w:pPr>
      <w:bookmarkStart w:id="33" w:name="_Toc530654627"/>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12</w:t>
      </w:r>
      <w:r w:rsidRPr="00D050E9">
        <w:rPr>
          <w:color w:val="auto"/>
        </w:rPr>
        <w:fldChar w:fldCharType="end"/>
      </w:r>
      <w:r w:rsidRPr="00D050E9">
        <w:rPr>
          <w:color w:val="auto"/>
        </w:rPr>
        <w:t xml:space="preserve">: </w:t>
      </w:r>
      <w:r w:rsidR="009F57BA" w:rsidRPr="00D050E9">
        <w:rPr>
          <w:color w:val="auto"/>
        </w:rPr>
        <w:t>Državne pomoči v Sloveniji po obliki pomoči, 2008–2017, v % vseh pomoči</w:t>
      </w:r>
      <w:bookmarkEnd w:id="33"/>
    </w:p>
    <w:p w:rsidR="007B5E09" w:rsidRPr="00D050E9" w:rsidRDefault="007B5E09" w:rsidP="007B5E09">
      <w:pPr>
        <w:spacing w:after="0"/>
        <w:rPr>
          <w:lang w:bidi="hi-IN"/>
        </w:rPr>
      </w:pPr>
    </w:p>
    <w:p w:rsidR="00840785" w:rsidRPr="00D050E9" w:rsidRDefault="007B5E09" w:rsidP="00840785">
      <w:pPr>
        <w:spacing w:after="0"/>
        <w:rPr>
          <w:lang w:bidi="hi-IN"/>
        </w:rPr>
      </w:pPr>
      <w:r w:rsidRPr="00D050E9">
        <w:rPr>
          <w:noProof/>
          <w:color w:val="1F497D" w:themeColor="text2"/>
          <w:lang w:eastAsia="sl-SI"/>
        </w:rPr>
        <w:drawing>
          <wp:inline distT="0" distB="0" distL="0" distR="0" wp14:anchorId="5C1A442D" wp14:editId="76B6692E">
            <wp:extent cx="4959927" cy="2417618"/>
            <wp:effectExtent l="0" t="0" r="0" b="19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7E3A" w:rsidRPr="00D050E9" w:rsidRDefault="001B7E3A" w:rsidP="00B9182A">
      <w:pPr>
        <w:pStyle w:val="Heading3"/>
      </w:pPr>
    </w:p>
    <w:p w:rsidR="00D354EF" w:rsidRPr="00D050E9" w:rsidRDefault="009E4829" w:rsidP="00B9182A">
      <w:pPr>
        <w:pStyle w:val="Heading3"/>
      </w:pPr>
      <w:bookmarkStart w:id="34" w:name="_Toc530654540"/>
      <w:r w:rsidRPr="00D050E9">
        <w:t>1.3.5</w:t>
      </w:r>
      <w:r w:rsidR="00D354EF" w:rsidRPr="00D050E9">
        <w:t xml:space="preserve"> Državne pomoči glede na postopek odobritve</w:t>
      </w:r>
      <w:bookmarkEnd w:id="34"/>
      <w:r w:rsidR="00D354EF" w:rsidRPr="00D050E9">
        <w:t xml:space="preserve">   </w:t>
      </w:r>
    </w:p>
    <w:p w:rsidR="00325924" w:rsidRPr="00D050E9" w:rsidRDefault="00325924" w:rsidP="00325924">
      <w:pPr>
        <w:spacing w:after="0"/>
      </w:pPr>
    </w:p>
    <w:p w:rsidR="00CD74F3" w:rsidRPr="0052290A" w:rsidRDefault="00041589" w:rsidP="00041589">
      <w:pPr>
        <w:spacing w:line="276" w:lineRule="auto"/>
        <w:rPr>
          <w:rFonts w:asciiTheme="minorHAnsi" w:hAnsiTheme="minorHAnsi"/>
        </w:rPr>
      </w:pPr>
      <w:r w:rsidRPr="00D050E9">
        <w:rPr>
          <w:rFonts w:asciiTheme="minorHAnsi" w:hAnsiTheme="minorHAnsi"/>
        </w:rPr>
        <w:t>Državne pomoči se lahko dodelijo šele, ko je ugotovljena skladnost s pravili državnih pomoči. Glede na postopek preverjanja skladnosti govorimo o (i) državnih pomočeh, ki jih mora potrditi Evropska komisija in (ii) pomočeh, ki se dodeljujejo po Uredbi EU o skupinskih izjemah, katerih skladnost p</w:t>
      </w:r>
      <w:r w:rsidR="000957F4">
        <w:rPr>
          <w:rFonts w:asciiTheme="minorHAnsi" w:hAnsiTheme="minorHAnsi"/>
        </w:rPr>
        <w:t xml:space="preserve">reverja Ministrstvo za finance </w:t>
      </w:r>
      <w:r w:rsidR="000957F4" w:rsidRPr="0052290A">
        <w:rPr>
          <w:rFonts w:asciiTheme="minorHAnsi" w:hAnsiTheme="minorHAnsi"/>
        </w:rPr>
        <w:t>ter po Uredbi EU o skupinskih izjemah v kmetijstvu in Uredbi EU o skupinskih izjemah v sektorju ribištva in akvakulture, katerih skladnost preverja Ministrstvo za kmetijstvo, gozdarstvo in prehrano.</w:t>
      </w:r>
    </w:p>
    <w:p w:rsidR="00176A84" w:rsidRPr="0052290A" w:rsidRDefault="00176A84" w:rsidP="00176A84">
      <w:pPr>
        <w:spacing w:line="276" w:lineRule="auto"/>
        <w:rPr>
          <w:rFonts w:asciiTheme="minorHAnsi" w:hAnsiTheme="minorHAnsi"/>
        </w:rPr>
      </w:pPr>
      <w:r w:rsidRPr="0052290A">
        <w:rPr>
          <w:rFonts w:asciiTheme="minorHAnsi" w:hAnsiTheme="minorHAnsi"/>
        </w:rPr>
        <w:t xml:space="preserve">Po letu 2014, ko so bile sprejete nove uredbe o splošnih skupinskih izjemah, ki omogočajo večje število izjem, se vedno več pomoči dodeli na osnovi te uredbe tj. brez predhodne priglasitve Komisiji. V letu 2017 je bilo na osnovi teh uredb 38 % vseh pomoči (v znesku pomoči), kar je 4 odstotne točke več kot v letu 2016. Na drugi strani se zmanjšuje obseg pomoči, za katere je potrebna odločba Komisije. V letu 2017 so te pomoči predstavljale 46 % vseh pomoči (48 % v letu 2016). </w:t>
      </w:r>
    </w:p>
    <w:p w:rsidR="00041589" w:rsidRDefault="00840785" w:rsidP="00840785">
      <w:pPr>
        <w:pStyle w:val="Caption"/>
        <w:rPr>
          <w:color w:val="auto"/>
        </w:rPr>
      </w:pPr>
      <w:bookmarkStart w:id="35" w:name="_Toc530654589"/>
      <w:r w:rsidRPr="0052290A">
        <w:rPr>
          <w:color w:val="auto"/>
        </w:rPr>
        <w:t xml:space="preserve">Tabela </w:t>
      </w:r>
      <w:r w:rsidRPr="0052290A">
        <w:rPr>
          <w:color w:val="auto"/>
        </w:rPr>
        <w:fldChar w:fldCharType="begin"/>
      </w:r>
      <w:r w:rsidRPr="0052290A">
        <w:rPr>
          <w:color w:val="auto"/>
        </w:rPr>
        <w:instrText xml:space="preserve"> SEQ Tabela \* ARABIC </w:instrText>
      </w:r>
      <w:r w:rsidRPr="0052290A">
        <w:rPr>
          <w:color w:val="auto"/>
        </w:rPr>
        <w:fldChar w:fldCharType="separate"/>
      </w:r>
      <w:r w:rsidR="00745204">
        <w:rPr>
          <w:noProof/>
          <w:color w:val="auto"/>
        </w:rPr>
        <w:t>5</w:t>
      </w:r>
      <w:r w:rsidRPr="0052290A">
        <w:rPr>
          <w:color w:val="auto"/>
        </w:rPr>
        <w:fldChar w:fldCharType="end"/>
      </w:r>
      <w:r w:rsidRPr="0052290A">
        <w:rPr>
          <w:color w:val="auto"/>
        </w:rPr>
        <w:t xml:space="preserve">: </w:t>
      </w:r>
      <w:r w:rsidR="00041589" w:rsidRPr="0052290A">
        <w:rPr>
          <w:color w:val="auto"/>
        </w:rPr>
        <w:t>Državne pomoči v Sloveniji glede na postopek odobritve, 2015–2017</w:t>
      </w:r>
      <w:bookmarkEnd w:id="35"/>
    </w:p>
    <w:p w:rsidR="00176A84" w:rsidRPr="00176A84" w:rsidRDefault="00176A84" w:rsidP="00176A84">
      <w:pPr>
        <w:spacing w:after="0"/>
        <w:rPr>
          <w:lang w:bidi="hi-IN"/>
        </w:rPr>
      </w:pPr>
    </w:p>
    <w:tbl>
      <w:tblPr>
        <w:tblStyle w:val="LightGrid-Accent5"/>
        <w:tblW w:w="5000" w:type="pct"/>
        <w:tblLook w:val="04A0" w:firstRow="1" w:lastRow="0" w:firstColumn="1" w:lastColumn="0" w:noHBand="0" w:noVBand="1"/>
      </w:tblPr>
      <w:tblGrid>
        <w:gridCol w:w="2659"/>
        <w:gridCol w:w="850"/>
        <w:gridCol w:w="1134"/>
        <w:gridCol w:w="852"/>
        <w:gridCol w:w="993"/>
        <w:gridCol w:w="949"/>
        <w:gridCol w:w="972"/>
        <w:gridCol w:w="991"/>
      </w:tblGrid>
      <w:tr w:rsidR="000957F4" w:rsidRPr="000957F4" w:rsidTr="000957F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14" w:type="pct"/>
            <w:vMerge w:val="restart"/>
            <w:vAlign w:val="center"/>
            <w:hideMark/>
          </w:tcPr>
          <w:p w:rsidR="000957F4" w:rsidRPr="000957F4" w:rsidRDefault="000957F4" w:rsidP="000957F4">
            <w:pPr>
              <w:jc w:val="center"/>
              <w:rPr>
                <w:rFonts w:ascii="Calibri" w:eastAsia="Times New Roman" w:hAnsi="Calibri" w:cs="Arial"/>
                <w:sz w:val="18"/>
                <w:szCs w:val="18"/>
                <w:lang w:eastAsia="sl-SI"/>
              </w:rPr>
            </w:pPr>
            <w:r w:rsidRPr="000957F4">
              <w:rPr>
                <w:rFonts w:ascii="Calibri" w:eastAsia="Times New Roman" w:hAnsi="Calibri" w:cs="Arial"/>
                <w:sz w:val="18"/>
                <w:szCs w:val="18"/>
                <w:lang w:eastAsia="sl-SI"/>
              </w:rPr>
              <w:t>Postopek odobritve</w:t>
            </w:r>
          </w:p>
        </w:tc>
        <w:tc>
          <w:tcPr>
            <w:tcW w:w="1055" w:type="pct"/>
            <w:gridSpan w:val="2"/>
            <w:noWrap/>
            <w:vAlign w:val="center"/>
            <w:hideMark/>
          </w:tcPr>
          <w:p w:rsidR="000957F4" w:rsidRPr="000957F4" w:rsidRDefault="000957F4" w:rsidP="000957F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2015</w:t>
            </w:r>
          </w:p>
        </w:tc>
        <w:tc>
          <w:tcPr>
            <w:tcW w:w="981" w:type="pct"/>
            <w:gridSpan w:val="2"/>
            <w:noWrap/>
            <w:vAlign w:val="center"/>
            <w:hideMark/>
          </w:tcPr>
          <w:p w:rsidR="000957F4" w:rsidRPr="000957F4" w:rsidRDefault="000957F4" w:rsidP="000957F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2016</w:t>
            </w:r>
          </w:p>
        </w:tc>
        <w:tc>
          <w:tcPr>
            <w:tcW w:w="1022" w:type="pct"/>
            <w:gridSpan w:val="2"/>
            <w:noWrap/>
            <w:vAlign w:val="center"/>
            <w:hideMark/>
          </w:tcPr>
          <w:p w:rsidR="000957F4" w:rsidRPr="000957F4" w:rsidRDefault="000957F4" w:rsidP="000957F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2017</w:t>
            </w:r>
          </w:p>
        </w:tc>
        <w:tc>
          <w:tcPr>
            <w:tcW w:w="527" w:type="pct"/>
            <w:vAlign w:val="center"/>
            <w:hideMark/>
          </w:tcPr>
          <w:p w:rsidR="000957F4" w:rsidRPr="000957F4" w:rsidRDefault="000957F4" w:rsidP="000957F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2015-2017</w:t>
            </w:r>
          </w:p>
        </w:tc>
      </w:tr>
      <w:tr w:rsidR="000957F4" w:rsidRPr="000957F4" w:rsidTr="000957F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4" w:type="pct"/>
            <w:vMerge/>
            <w:hideMark/>
          </w:tcPr>
          <w:p w:rsidR="000957F4" w:rsidRPr="000957F4" w:rsidRDefault="000957F4" w:rsidP="000957F4">
            <w:pPr>
              <w:jc w:val="left"/>
              <w:rPr>
                <w:rFonts w:ascii="Calibri" w:eastAsia="Times New Roman" w:hAnsi="Calibri" w:cs="Arial"/>
                <w:sz w:val="18"/>
                <w:szCs w:val="18"/>
                <w:lang w:eastAsia="sl-SI"/>
              </w:rPr>
            </w:pPr>
          </w:p>
        </w:tc>
        <w:tc>
          <w:tcPr>
            <w:tcW w:w="452"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mio EUR</w:t>
            </w:r>
          </w:p>
        </w:tc>
        <w:tc>
          <w:tcPr>
            <w:tcW w:w="603"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 vseh pomoči</w:t>
            </w:r>
          </w:p>
        </w:tc>
        <w:tc>
          <w:tcPr>
            <w:tcW w:w="453"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mio EUR</w:t>
            </w:r>
          </w:p>
        </w:tc>
        <w:tc>
          <w:tcPr>
            <w:tcW w:w="528"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 vseh pomoči</w:t>
            </w:r>
          </w:p>
        </w:tc>
        <w:tc>
          <w:tcPr>
            <w:tcW w:w="505"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mio EUR</w:t>
            </w:r>
          </w:p>
        </w:tc>
        <w:tc>
          <w:tcPr>
            <w:tcW w:w="517"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 vseh pomoči</w:t>
            </w:r>
          </w:p>
        </w:tc>
        <w:tc>
          <w:tcPr>
            <w:tcW w:w="527" w:type="pct"/>
            <w:hideMark/>
          </w:tcPr>
          <w:p w:rsidR="000957F4" w:rsidRPr="000957F4" w:rsidRDefault="000957F4" w:rsidP="000957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0957F4">
              <w:rPr>
                <w:rFonts w:ascii="Calibri" w:eastAsia="Times New Roman" w:hAnsi="Calibri" w:cs="Arial"/>
                <w:b/>
                <w:bCs/>
                <w:sz w:val="18"/>
                <w:szCs w:val="18"/>
                <w:lang w:eastAsia="sl-SI"/>
              </w:rPr>
              <w:t>v % vseh pomoči</w:t>
            </w:r>
          </w:p>
        </w:tc>
      </w:tr>
      <w:tr w:rsidR="000957F4" w:rsidRPr="000957F4" w:rsidTr="000957F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4" w:type="pct"/>
            <w:hideMark/>
          </w:tcPr>
          <w:p w:rsidR="000957F4" w:rsidRPr="000957F4" w:rsidRDefault="000957F4" w:rsidP="000957F4">
            <w:pPr>
              <w:jc w:val="left"/>
              <w:rPr>
                <w:rFonts w:ascii="Calibri" w:eastAsia="Times New Roman" w:hAnsi="Calibri" w:cs="Arial"/>
                <w:sz w:val="18"/>
                <w:szCs w:val="18"/>
                <w:lang w:eastAsia="sl-SI"/>
              </w:rPr>
            </w:pPr>
            <w:r w:rsidRPr="000957F4">
              <w:rPr>
                <w:rFonts w:ascii="Calibri" w:eastAsia="Times New Roman" w:hAnsi="Calibri" w:cs="Arial"/>
                <w:sz w:val="18"/>
                <w:szCs w:val="18"/>
                <w:lang w:eastAsia="sl-SI"/>
              </w:rPr>
              <w:t>Državna pomoč - odobritev EK</w:t>
            </w:r>
          </w:p>
        </w:tc>
        <w:tc>
          <w:tcPr>
            <w:tcW w:w="452"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362,68</w:t>
            </w:r>
          </w:p>
        </w:tc>
        <w:tc>
          <w:tcPr>
            <w:tcW w:w="603"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61,8%</w:t>
            </w:r>
          </w:p>
        </w:tc>
        <w:tc>
          <w:tcPr>
            <w:tcW w:w="453"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220,36</w:t>
            </w:r>
          </w:p>
        </w:tc>
        <w:tc>
          <w:tcPr>
            <w:tcW w:w="528"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47,9%</w:t>
            </w:r>
          </w:p>
        </w:tc>
        <w:tc>
          <w:tcPr>
            <w:tcW w:w="505"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233,01</w:t>
            </w:r>
          </w:p>
        </w:tc>
        <w:tc>
          <w:tcPr>
            <w:tcW w:w="517"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45,7%</w:t>
            </w:r>
          </w:p>
        </w:tc>
        <w:tc>
          <w:tcPr>
            <w:tcW w:w="527"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52,4%</w:t>
            </w:r>
          </w:p>
        </w:tc>
      </w:tr>
      <w:tr w:rsidR="000957F4" w:rsidRPr="000957F4" w:rsidTr="000957F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4" w:type="pct"/>
            <w:hideMark/>
          </w:tcPr>
          <w:p w:rsidR="000957F4" w:rsidRPr="000957F4" w:rsidRDefault="000957F4" w:rsidP="000957F4">
            <w:pPr>
              <w:jc w:val="left"/>
              <w:rPr>
                <w:rFonts w:ascii="Calibri" w:eastAsia="Times New Roman" w:hAnsi="Calibri" w:cs="Arial"/>
                <w:sz w:val="18"/>
                <w:szCs w:val="18"/>
                <w:lang w:eastAsia="sl-SI"/>
              </w:rPr>
            </w:pPr>
            <w:r w:rsidRPr="000957F4">
              <w:rPr>
                <w:rFonts w:ascii="Calibri" w:eastAsia="Times New Roman" w:hAnsi="Calibri" w:cs="Arial"/>
                <w:sz w:val="18"/>
                <w:szCs w:val="18"/>
                <w:lang w:eastAsia="sl-SI"/>
              </w:rPr>
              <w:t xml:space="preserve">Skupinska izjema </w:t>
            </w:r>
          </w:p>
        </w:tc>
        <w:tc>
          <w:tcPr>
            <w:tcW w:w="452"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190,63</w:t>
            </w:r>
          </w:p>
        </w:tc>
        <w:tc>
          <w:tcPr>
            <w:tcW w:w="603"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32,5%</w:t>
            </w:r>
          </w:p>
        </w:tc>
        <w:tc>
          <w:tcPr>
            <w:tcW w:w="453"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154,67</w:t>
            </w:r>
          </w:p>
        </w:tc>
        <w:tc>
          <w:tcPr>
            <w:tcW w:w="528"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33,6%</w:t>
            </w:r>
          </w:p>
        </w:tc>
        <w:tc>
          <w:tcPr>
            <w:tcW w:w="505"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194,17</w:t>
            </w:r>
          </w:p>
        </w:tc>
        <w:tc>
          <w:tcPr>
            <w:tcW w:w="517"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38,1%</w:t>
            </w:r>
          </w:p>
        </w:tc>
        <w:tc>
          <w:tcPr>
            <w:tcW w:w="527"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34,7%</w:t>
            </w:r>
          </w:p>
        </w:tc>
      </w:tr>
      <w:tr w:rsidR="000957F4" w:rsidRPr="000957F4" w:rsidTr="000957F4">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4" w:type="pct"/>
            <w:hideMark/>
          </w:tcPr>
          <w:p w:rsidR="000957F4" w:rsidRPr="000957F4" w:rsidRDefault="000957F4" w:rsidP="000957F4">
            <w:pPr>
              <w:jc w:val="left"/>
              <w:rPr>
                <w:rFonts w:ascii="Calibri" w:eastAsia="Times New Roman" w:hAnsi="Calibri" w:cs="Arial"/>
                <w:sz w:val="18"/>
                <w:szCs w:val="18"/>
                <w:lang w:eastAsia="sl-SI"/>
              </w:rPr>
            </w:pPr>
            <w:r w:rsidRPr="000957F4">
              <w:rPr>
                <w:rFonts w:ascii="Calibri" w:eastAsia="Times New Roman" w:hAnsi="Calibri" w:cs="Arial"/>
                <w:sz w:val="18"/>
                <w:szCs w:val="18"/>
                <w:lang w:eastAsia="sl-SI"/>
              </w:rPr>
              <w:t>De minimis - soglasje MF</w:t>
            </w:r>
          </w:p>
        </w:tc>
        <w:tc>
          <w:tcPr>
            <w:tcW w:w="452"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33,69</w:t>
            </w:r>
          </w:p>
        </w:tc>
        <w:tc>
          <w:tcPr>
            <w:tcW w:w="603"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5,7%</w:t>
            </w:r>
          </w:p>
        </w:tc>
        <w:tc>
          <w:tcPr>
            <w:tcW w:w="453"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84,73</w:t>
            </w:r>
          </w:p>
        </w:tc>
        <w:tc>
          <w:tcPr>
            <w:tcW w:w="528"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18,4%</w:t>
            </w:r>
          </w:p>
        </w:tc>
        <w:tc>
          <w:tcPr>
            <w:tcW w:w="505"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82,63</w:t>
            </w:r>
          </w:p>
        </w:tc>
        <w:tc>
          <w:tcPr>
            <w:tcW w:w="517"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16,2%</w:t>
            </w:r>
          </w:p>
        </w:tc>
        <w:tc>
          <w:tcPr>
            <w:tcW w:w="527" w:type="pct"/>
            <w:hideMark/>
          </w:tcPr>
          <w:p w:rsidR="000957F4" w:rsidRPr="000957F4" w:rsidRDefault="000957F4" w:rsidP="000957F4">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12,9%</w:t>
            </w:r>
          </w:p>
        </w:tc>
      </w:tr>
      <w:tr w:rsidR="000957F4" w:rsidRPr="000957F4" w:rsidTr="000957F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14" w:type="pct"/>
            <w:hideMark/>
          </w:tcPr>
          <w:p w:rsidR="000957F4" w:rsidRPr="000957F4" w:rsidRDefault="000957F4" w:rsidP="000957F4">
            <w:pPr>
              <w:jc w:val="left"/>
              <w:rPr>
                <w:rFonts w:ascii="Calibri" w:eastAsia="Times New Roman" w:hAnsi="Calibri" w:cs="Arial"/>
                <w:sz w:val="18"/>
                <w:szCs w:val="18"/>
                <w:lang w:eastAsia="sl-SI"/>
              </w:rPr>
            </w:pPr>
            <w:r w:rsidRPr="000957F4">
              <w:rPr>
                <w:rFonts w:ascii="Calibri" w:eastAsia="Times New Roman" w:hAnsi="Calibri" w:cs="Arial"/>
                <w:sz w:val="18"/>
                <w:szCs w:val="18"/>
                <w:lang w:eastAsia="sl-SI"/>
              </w:rPr>
              <w:t>Skupaj</w:t>
            </w:r>
          </w:p>
        </w:tc>
        <w:tc>
          <w:tcPr>
            <w:tcW w:w="452"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0957F4">
              <w:rPr>
                <w:rFonts w:ascii="Calibri" w:eastAsia="Times New Roman" w:hAnsi="Calibri" w:cs="Arial"/>
                <w:b/>
                <w:bCs/>
                <w:color w:val="000000"/>
                <w:sz w:val="18"/>
                <w:szCs w:val="18"/>
                <w:lang w:eastAsia="sl-SI"/>
              </w:rPr>
              <w:t>587,00</w:t>
            </w:r>
          </w:p>
        </w:tc>
        <w:tc>
          <w:tcPr>
            <w:tcW w:w="603"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100,0%</w:t>
            </w:r>
          </w:p>
        </w:tc>
        <w:tc>
          <w:tcPr>
            <w:tcW w:w="453"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0957F4">
              <w:rPr>
                <w:rFonts w:ascii="Calibri" w:eastAsia="Times New Roman" w:hAnsi="Calibri" w:cs="Arial"/>
                <w:b/>
                <w:bCs/>
                <w:color w:val="000000"/>
                <w:sz w:val="18"/>
                <w:szCs w:val="18"/>
                <w:lang w:eastAsia="sl-SI"/>
              </w:rPr>
              <w:t>459,76</w:t>
            </w:r>
          </w:p>
        </w:tc>
        <w:tc>
          <w:tcPr>
            <w:tcW w:w="528"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0957F4">
              <w:rPr>
                <w:rFonts w:ascii="Calibri" w:eastAsia="Times New Roman" w:hAnsi="Calibri" w:cs="Arial"/>
                <w:b/>
                <w:bCs/>
                <w:color w:val="000000"/>
                <w:sz w:val="18"/>
                <w:szCs w:val="18"/>
                <w:lang w:eastAsia="sl-SI"/>
              </w:rPr>
              <w:t>100,0%</w:t>
            </w:r>
          </w:p>
        </w:tc>
        <w:tc>
          <w:tcPr>
            <w:tcW w:w="505"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0957F4">
              <w:rPr>
                <w:rFonts w:ascii="Calibri" w:eastAsia="Times New Roman" w:hAnsi="Calibri" w:cs="Arial"/>
                <w:b/>
                <w:bCs/>
                <w:color w:val="000000"/>
                <w:sz w:val="18"/>
                <w:szCs w:val="18"/>
                <w:lang w:eastAsia="sl-SI"/>
              </w:rPr>
              <w:t>509,81</w:t>
            </w:r>
          </w:p>
        </w:tc>
        <w:tc>
          <w:tcPr>
            <w:tcW w:w="517"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0957F4">
              <w:rPr>
                <w:rFonts w:ascii="Calibri" w:eastAsia="Times New Roman" w:hAnsi="Calibri" w:cs="Arial"/>
                <w:sz w:val="18"/>
                <w:szCs w:val="18"/>
                <w:lang w:eastAsia="sl-SI"/>
              </w:rPr>
              <w:t>100,0%</w:t>
            </w:r>
          </w:p>
        </w:tc>
        <w:tc>
          <w:tcPr>
            <w:tcW w:w="527" w:type="pct"/>
            <w:hideMark/>
          </w:tcPr>
          <w:p w:rsidR="000957F4" w:rsidRPr="000957F4" w:rsidRDefault="000957F4" w:rsidP="000957F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0957F4">
              <w:rPr>
                <w:rFonts w:ascii="Calibri" w:eastAsia="Times New Roman" w:hAnsi="Calibri" w:cs="Arial"/>
                <w:b/>
                <w:bCs/>
                <w:color w:val="000000"/>
                <w:sz w:val="18"/>
                <w:szCs w:val="18"/>
                <w:lang w:eastAsia="sl-SI"/>
              </w:rPr>
              <w:t>100,0%</w:t>
            </w:r>
          </w:p>
        </w:tc>
      </w:tr>
    </w:tbl>
    <w:p w:rsidR="000957F4" w:rsidRDefault="000957F4" w:rsidP="00176A84">
      <w:pPr>
        <w:spacing w:after="0"/>
        <w:rPr>
          <w:lang w:bidi="hi-IN"/>
        </w:rPr>
      </w:pPr>
    </w:p>
    <w:p w:rsidR="00176A84" w:rsidRPr="00D050E9" w:rsidRDefault="00176A84" w:rsidP="00176A84">
      <w:pPr>
        <w:spacing w:line="276" w:lineRule="auto"/>
        <w:rPr>
          <w:rFonts w:asciiTheme="minorHAnsi" w:hAnsiTheme="minorHAnsi"/>
        </w:rPr>
      </w:pPr>
      <w:r w:rsidRPr="00D050E9">
        <w:rPr>
          <w:rFonts w:asciiTheme="minorHAnsi" w:hAnsiTheme="minorHAnsi"/>
        </w:rPr>
        <w:t xml:space="preserve">Posebej se obravnavajo pomoči </w:t>
      </w:r>
      <w:r w:rsidRPr="00D050E9">
        <w:rPr>
          <w:rFonts w:asciiTheme="minorHAnsi" w:hAnsiTheme="minorHAnsi"/>
          <w:i/>
        </w:rPr>
        <w:t>de minimis</w:t>
      </w:r>
      <w:r w:rsidRPr="00D050E9">
        <w:rPr>
          <w:rFonts w:asciiTheme="minorHAnsi" w:hAnsiTheme="minorHAnsi"/>
        </w:rPr>
        <w:t xml:space="preserve">, za katere se predpostavlja, da zaradi omejenega zneska (največ 200.000 EUR na prejemnika v obdobju 3 let) nimajo negativnega vpliva na konkurenco in trgovino v EU in ne predstavljajo državnih pomoči v smislu 107. člena Pogodbe o delovanju EU. Tudi pri slednjih je po pravilih RS potrebno pred dodelitvijo pridobiti pozitivno mnenje Ministrstva za finance. </w:t>
      </w:r>
    </w:p>
    <w:p w:rsidR="00176A84" w:rsidRPr="00D050E9" w:rsidRDefault="00176A84" w:rsidP="00176A84">
      <w:pPr>
        <w:spacing w:line="276" w:lineRule="auto"/>
        <w:rPr>
          <w:rFonts w:asciiTheme="minorHAnsi" w:hAnsiTheme="minorHAnsi"/>
        </w:rPr>
      </w:pPr>
      <w:r w:rsidRPr="00D050E9">
        <w:rPr>
          <w:rFonts w:asciiTheme="minorHAnsi" w:hAnsiTheme="minorHAnsi"/>
        </w:rPr>
        <w:lastRenderedPageBreak/>
        <w:t xml:space="preserve">V letu 2017 je bilo izplačanih 82,63 mio EUR </w:t>
      </w:r>
      <w:r w:rsidRPr="009B30E1">
        <w:rPr>
          <w:rFonts w:asciiTheme="minorHAnsi" w:hAnsiTheme="minorHAnsi"/>
          <w:i/>
        </w:rPr>
        <w:t>de minimis</w:t>
      </w:r>
      <w:r w:rsidRPr="00D050E9">
        <w:rPr>
          <w:rFonts w:asciiTheme="minorHAnsi" w:hAnsiTheme="minorHAnsi"/>
        </w:rPr>
        <w:t xml:space="preserve"> pomoči, ki so predstavljale 16,2 % vseh pomoči, kar je dve odstotni točki manj kot v letu 2016 (18,4 %), hkrati pa več kot enkrat višje kot v letu 2015. V </w:t>
      </w:r>
      <w:r>
        <w:rPr>
          <w:rFonts w:asciiTheme="minorHAnsi" w:hAnsiTheme="minorHAnsi"/>
        </w:rPr>
        <w:t>povprečju 2015–</w:t>
      </w:r>
      <w:r w:rsidRPr="00D050E9">
        <w:rPr>
          <w:rFonts w:asciiTheme="minorHAnsi" w:hAnsiTheme="minorHAnsi"/>
        </w:rPr>
        <w:t xml:space="preserve">2017 so </w:t>
      </w:r>
      <w:r w:rsidRPr="009B30E1">
        <w:rPr>
          <w:rFonts w:asciiTheme="minorHAnsi" w:hAnsiTheme="minorHAnsi"/>
          <w:i/>
        </w:rPr>
        <w:t>de minimis</w:t>
      </w:r>
      <w:r w:rsidRPr="00D050E9">
        <w:rPr>
          <w:rFonts w:asciiTheme="minorHAnsi" w:hAnsiTheme="minorHAnsi"/>
        </w:rPr>
        <w:t xml:space="preserve"> pomoči predstavljale skoraj 13 % vseh pomoči. Podrobneje o </w:t>
      </w:r>
      <w:r w:rsidRPr="009B30E1">
        <w:rPr>
          <w:rFonts w:asciiTheme="minorHAnsi" w:hAnsiTheme="minorHAnsi"/>
          <w:i/>
        </w:rPr>
        <w:t>de minimis</w:t>
      </w:r>
      <w:r w:rsidRPr="00D050E9">
        <w:rPr>
          <w:rFonts w:asciiTheme="minorHAnsi" w:hAnsiTheme="minorHAnsi"/>
        </w:rPr>
        <w:t xml:space="preserve"> pomočeh  v poglavju 5. </w:t>
      </w:r>
    </w:p>
    <w:p w:rsidR="005E0EDA" w:rsidRDefault="00840785" w:rsidP="00840785">
      <w:pPr>
        <w:pStyle w:val="Caption"/>
        <w:rPr>
          <w:color w:val="auto"/>
        </w:rPr>
      </w:pPr>
      <w:bookmarkStart w:id="36" w:name="_Toc530654628"/>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13</w:t>
      </w:r>
      <w:r w:rsidRPr="00D050E9">
        <w:rPr>
          <w:color w:val="auto"/>
        </w:rPr>
        <w:fldChar w:fldCharType="end"/>
      </w:r>
      <w:r w:rsidRPr="00D050E9">
        <w:rPr>
          <w:color w:val="auto"/>
        </w:rPr>
        <w:t xml:space="preserve">: </w:t>
      </w:r>
      <w:r w:rsidR="005E0EDA" w:rsidRPr="00D050E9">
        <w:rPr>
          <w:color w:val="auto"/>
        </w:rPr>
        <w:t>Državne pomoči</w:t>
      </w:r>
      <w:r w:rsidR="00176A84">
        <w:rPr>
          <w:color w:val="auto"/>
        </w:rPr>
        <w:t xml:space="preserve"> </w:t>
      </w:r>
      <w:r w:rsidR="005E0EDA" w:rsidRPr="00D050E9">
        <w:rPr>
          <w:color w:val="auto"/>
        </w:rPr>
        <w:t>v Sloveniji glede na postopek odobritve, 2015–2017, v % vseh pomoči</w:t>
      </w:r>
      <w:bookmarkEnd w:id="36"/>
    </w:p>
    <w:p w:rsidR="00176A84" w:rsidRPr="00176A84" w:rsidRDefault="00176A84" w:rsidP="00176A84">
      <w:pPr>
        <w:spacing w:after="0"/>
        <w:rPr>
          <w:lang w:bidi="hi-IN"/>
        </w:rPr>
      </w:pPr>
    </w:p>
    <w:p w:rsidR="00176A84" w:rsidRPr="00176A84" w:rsidRDefault="00176A84" w:rsidP="00176A84">
      <w:pPr>
        <w:rPr>
          <w:lang w:bidi="hi-IN"/>
        </w:rPr>
      </w:pPr>
      <w:r>
        <w:rPr>
          <w:noProof/>
          <w:lang w:eastAsia="sl-SI"/>
        </w:rPr>
        <w:drawing>
          <wp:inline distT="0" distB="0" distL="0" distR="0" wp14:anchorId="241B3145" wp14:editId="59660276">
            <wp:extent cx="5448300" cy="2750820"/>
            <wp:effectExtent l="0" t="0" r="19050"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0785" w:rsidRPr="00D050E9" w:rsidRDefault="00840785" w:rsidP="00840785">
      <w:pPr>
        <w:spacing w:after="0"/>
        <w:rPr>
          <w:lang w:bidi="hi-IN"/>
        </w:rPr>
      </w:pPr>
    </w:p>
    <w:p w:rsidR="00176A84" w:rsidRPr="00D050E9" w:rsidRDefault="00176A84" w:rsidP="00176A84">
      <w:pPr>
        <w:spacing w:line="276" w:lineRule="auto"/>
        <w:rPr>
          <w:rFonts w:asciiTheme="minorHAnsi" w:hAnsiTheme="minorHAnsi"/>
        </w:rPr>
      </w:pPr>
      <w:r w:rsidRPr="00D050E9">
        <w:rPr>
          <w:rFonts w:asciiTheme="minorHAnsi" w:hAnsiTheme="minorHAnsi"/>
        </w:rPr>
        <w:t>Še izraziteje s</w:t>
      </w:r>
      <w:r w:rsidR="00CF5F55">
        <w:rPr>
          <w:rFonts w:asciiTheme="minorHAnsi" w:hAnsiTheme="minorHAnsi"/>
        </w:rPr>
        <w:t xml:space="preserve">e premik v smeri večje uporabe </w:t>
      </w:r>
      <w:r w:rsidRPr="00D050E9">
        <w:rPr>
          <w:rFonts w:asciiTheme="minorHAnsi" w:hAnsiTheme="minorHAnsi"/>
        </w:rPr>
        <w:t xml:space="preserve">splošnih skupinskih izjemah kaže, če upoštevamo število ukrepov (shem), ki se izvajajo na osnovi uredbe. Spodnja primerjava prikazuje delež pomoči (brez </w:t>
      </w:r>
      <w:r w:rsidRPr="009B30E1">
        <w:rPr>
          <w:rFonts w:asciiTheme="minorHAnsi" w:hAnsiTheme="minorHAnsi"/>
          <w:i/>
        </w:rPr>
        <w:t>de minimis</w:t>
      </w:r>
      <w:r w:rsidRPr="00D050E9">
        <w:rPr>
          <w:rFonts w:asciiTheme="minorHAnsi" w:hAnsiTheme="minorHAnsi"/>
        </w:rPr>
        <w:t xml:space="preserve"> pomoči</w:t>
      </w:r>
      <w:r>
        <w:rPr>
          <w:rFonts w:asciiTheme="minorHAnsi" w:hAnsiTheme="minorHAnsi"/>
        </w:rPr>
        <w:t xml:space="preserve"> in brez pomoči za kmetijstvo</w:t>
      </w:r>
      <w:r w:rsidRPr="00D050E9">
        <w:rPr>
          <w:rFonts w:asciiTheme="minorHAnsi" w:hAnsiTheme="minorHAnsi"/>
        </w:rPr>
        <w:t xml:space="preserve">), ki se dodeljujejo po </w:t>
      </w:r>
      <w:r w:rsidR="00CF5F55">
        <w:rPr>
          <w:rFonts w:asciiTheme="minorHAnsi" w:hAnsiTheme="minorHAnsi"/>
        </w:rPr>
        <w:t xml:space="preserve">Uredbi o splošnih </w:t>
      </w:r>
      <w:r w:rsidRPr="00D050E9">
        <w:rPr>
          <w:rFonts w:asciiTheme="minorHAnsi" w:hAnsiTheme="minorHAnsi"/>
        </w:rPr>
        <w:t xml:space="preserve">skupinskih izjemah. Zaradi primerjave z EU v primerjavo niso zajete pomoči za </w:t>
      </w:r>
      <w:r w:rsidRPr="00C85348">
        <w:rPr>
          <w:rFonts w:asciiTheme="minorHAnsi" w:hAnsiTheme="minorHAnsi"/>
        </w:rPr>
        <w:t>kmetijstvo in železniški promet</w:t>
      </w:r>
      <w:r>
        <w:rPr>
          <w:rFonts w:asciiTheme="minorHAnsi" w:hAnsiTheme="minorHAnsi"/>
        </w:rPr>
        <w:t>.</w:t>
      </w:r>
    </w:p>
    <w:p w:rsidR="005E0EDA" w:rsidRPr="00D050E9" w:rsidRDefault="00840785" w:rsidP="00840785">
      <w:pPr>
        <w:pStyle w:val="Caption"/>
        <w:rPr>
          <w:color w:val="auto"/>
        </w:rPr>
      </w:pPr>
      <w:bookmarkStart w:id="37" w:name="_Toc530654629"/>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14</w:t>
      </w:r>
      <w:r w:rsidRPr="00D050E9">
        <w:rPr>
          <w:color w:val="auto"/>
        </w:rPr>
        <w:fldChar w:fldCharType="end"/>
      </w:r>
      <w:r w:rsidRPr="00D050E9">
        <w:rPr>
          <w:color w:val="auto"/>
        </w:rPr>
        <w:t xml:space="preserve">: </w:t>
      </w:r>
      <w:r w:rsidR="005E0EDA" w:rsidRPr="00D050E9">
        <w:rPr>
          <w:color w:val="auto"/>
        </w:rPr>
        <w:t>Obseg pomoči in število shem pomoči po skupinskih izjemah</w:t>
      </w:r>
      <w:r w:rsidR="00626BA6" w:rsidRPr="00D050E9">
        <w:rPr>
          <w:color w:val="auto"/>
        </w:rPr>
        <w:t xml:space="preserve"> kot %</w:t>
      </w:r>
      <w:r w:rsidR="000F29CD" w:rsidRPr="00D050E9">
        <w:rPr>
          <w:color w:val="auto"/>
        </w:rPr>
        <w:t xml:space="preserve"> vseh državnih pomoči</w:t>
      </w:r>
      <w:bookmarkEnd w:id="37"/>
    </w:p>
    <w:p w:rsidR="005E0EDA" w:rsidRPr="00D050E9" w:rsidRDefault="005E0EDA" w:rsidP="005E0EDA">
      <w:pPr>
        <w:spacing w:line="276" w:lineRule="auto"/>
        <w:rPr>
          <w:rFonts w:asciiTheme="minorHAnsi" w:hAnsiTheme="minorHAnsi"/>
        </w:rPr>
      </w:pPr>
      <w:r w:rsidRPr="00D050E9">
        <w:rPr>
          <w:noProof/>
          <w:lang w:eastAsia="sl-SI"/>
        </w:rPr>
        <w:drawing>
          <wp:inline distT="0" distB="0" distL="0" distR="0" wp14:anchorId="1B3256E2" wp14:editId="753BCF93">
            <wp:extent cx="5539740" cy="2910840"/>
            <wp:effectExtent l="0" t="0" r="3810" b="381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0B79" w:rsidRPr="00D050E9" w:rsidRDefault="00CD278D" w:rsidP="001D399B">
      <w:pPr>
        <w:spacing w:line="276" w:lineRule="auto"/>
        <w:rPr>
          <w:rFonts w:asciiTheme="minorHAnsi" w:hAnsiTheme="minorHAnsi"/>
        </w:rPr>
      </w:pPr>
      <w:r w:rsidRPr="00D050E9">
        <w:rPr>
          <w:rFonts w:asciiTheme="minorHAnsi" w:hAnsiTheme="minorHAnsi"/>
        </w:rPr>
        <w:lastRenderedPageBreak/>
        <w:t xml:space="preserve">Primerjava kaže, da se je v letu 2017 </w:t>
      </w:r>
      <w:r w:rsidRPr="00D050E9">
        <w:rPr>
          <w:rFonts w:asciiTheme="minorHAnsi" w:hAnsiTheme="minorHAnsi"/>
          <w:b/>
        </w:rPr>
        <w:t>7</w:t>
      </w:r>
      <w:r w:rsidR="000B0B79" w:rsidRPr="00D050E9">
        <w:rPr>
          <w:rFonts w:asciiTheme="minorHAnsi" w:hAnsiTheme="minorHAnsi"/>
          <w:b/>
        </w:rPr>
        <w:t>1</w:t>
      </w:r>
      <w:r w:rsidR="00D5439A" w:rsidRPr="00D050E9">
        <w:rPr>
          <w:rFonts w:asciiTheme="minorHAnsi" w:hAnsiTheme="minorHAnsi"/>
          <w:b/>
        </w:rPr>
        <w:t xml:space="preserve"> %</w:t>
      </w:r>
      <w:r w:rsidR="00E46C48" w:rsidRPr="00D050E9">
        <w:rPr>
          <w:rFonts w:asciiTheme="minorHAnsi" w:hAnsiTheme="minorHAnsi"/>
          <w:b/>
        </w:rPr>
        <w:t xml:space="preserve"> vseh ukrepov</w:t>
      </w:r>
      <w:r w:rsidR="00D5439A" w:rsidRPr="00D050E9">
        <w:rPr>
          <w:rFonts w:asciiTheme="minorHAnsi" w:hAnsiTheme="minorHAnsi"/>
        </w:rPr>
        <w:t xml:space="preserve"> </w:t>
      </w:r>
      <w:r w:rsidR="00CF5F55">
        <w:rPr>
          <w:rFonts w:asciiTheme="minorHAnsi" w:hAnsiTheme="minorHAnsi"/>
        </w:rPr>
        <w:t>oz. shem horizontalnih pomoči</w:t>
      </w:r>
      <w:r w:rsidR="00D5439A" w:rsidRPr="00D050E9">
        <w:rPr>
          <w:rFonts w:asciiTheme="minorHAnsi" w:hAnsiTheme="minorHAnsi"/>
        </w:rPr>
        <w:t>, za katere so bile</w:t>
      </w:r>
      <w:r w:rsidR="001D0BF2" w:rsidRPr="00D050E9">
        <w:rPr>
          <w:rFonts w:asciiTheme="minorHAnsi" w:hAnsiTheme="minorHAnsi"/>
        </w:rPr>
        <w:t xml:space="preserve"> poročane pomoči</w:t>
      </w:r>
      <w:r w:rsidR="000B0B79" w:rsidRPr="00D050E9">
        <w:rPr>
          <w:rFonts w:asciiTheme="minorHAnsi" w:hAnsiTheme="minorHAnsi"/>
        </w:rPr>
        <w:t xml:space="preserve"> v letu 2017</w:t>
      </w:r>
      <w:r w:rsidR="001D0BF2" w:rsidRPr="00D050E9">
        <w:rPr>
          <w:rFonts w:asciiTheme="minorHAnsi" w:hAnsiTheme="minorHAnsi"/>
        </w:rPr>
        <w:t xml:space="preserve">, </w:t>
      </w:r>
      <w:r w:rsidR="000B0B79" w:rsidRPr="00D050E9">
        <w:rPr>
          <w:rFonts w:asciiTheme="minorHAnsi" w:hAnsiTheme="minorHAnsi"/>
        </w:rPr>
        <w:t>izvajala na osnovi Uredbe</w:t>
      </w:r>
      <w:r w:rsidR="001D0BF2" w:rsidRPr="00D050E9">
        <w:rPr>
          <w:rFonts w:asciiTheme="minorHAnsi" w:hAnsiTheme="minorHAnsi"/>
        </w:rPr>
        <w:t xml:space="preserve"> o splošnih skupinskih izjemah</w:t>
      </w:r>
      <w:r w:rsidR="000B0B79" w:rsidRPr="00D050E9">
        <w:rPr>
          <w:rFonts w:asciiTheme="minorHAnsi" w:hAnsiTheme="minorHAnsi"/>
        </w:rPr>
        <w:t xml:space="preserve"> tj. brez potrebne predhodne potrditve Evropske komisije</w:t>
      </w:r>
      <w:r w:rsidR="00E46C48" w:rsidRPr="00D050E9">
        <w:rPr>
          <w:rFonts w:asciiTheme="minorHAnsi" w:hAnsiTheme="minorHAnsi"/>
        </w:rPr>
        <w:t xml:space="preserve">. V </w:t>
      </w:r>
      <w:r w:rsidR="00D5439A" w:rsidRPr="00D050E9">
        <w:rPr>
          <w:rFonts w:asciiTheme="minorHAnsi" w:hAnsiTheme="minorHAnsi"/>
        </w:rPr>
        <w:t xml:space="preserve">EU </w:t>
      </w:r>
      <w:r w:rsidR="001D0BF2" w:rsidRPr="00D050E9">
        <w:rPr>
          <w:rFonts w:asciiTheme="minorHAnsi" w:hAnsiTheme="minorHAnsi"/>
        </w:rPr>
        <w:t xml:space="preserve">je bil </w:t>
      </w:r>
      <w:r w:rsidR="00BA50BC" w:rsidRPr="00D050E9">
        <w:rPr>
          <w:rFonts w:asciiTheme="minorHAnsi" w:hAnsiTheme="minorHAnsi"/>
        </w:rPr>
        <w:t xml:space="preserve">ta delež </w:t>
      </w:r>
      <w:r w:rsidR="001D0BF2" w:rsidRPr="00D050E9">
        <w:rPr>
          <w:rFonts w:asciiTheme="minorHAnsi" w:hAnsiTheme="minorHAnsi"/>
        </w:rPr>
        <w:t xml:space="preserve">v letu </w:t>
      </w:r>
      <w:r w:rsidR="000B0B79" w:rsidRPr="00D050E9">
        <w:rPr>
          <w:rFonts w:asciiTheme="minorHAnsi" w:hAnsiTheme="minorHAnsi"/>
        </w:rPr>
        <w:t>2016</w:t>
      </w:r>
      <w:r w:rsidR="001D0BF2" w:rsidRPr="00D050E9">
        <w:rPr>
          <w:rFonts w:asciiTheme="minorHAnsi" w:hAnsiTheme="minorHAnsi"/>
        </w:rPr>
        <w:t xml:space="preserve"> 80 %</w:t>
      </w:r>
      <w:r w:rsidR="00E46C48" w:rsidRPr="00D050E9">
        <w:rPr>
          <w:rFonts w:asciiTheme="minorHAnsi" w:hAnsiTheme="minorHAnsi"/>
        </w:rPr>
        <w:t xml:space="preserve">. </w:t>
      </w:r>
      <w:r w:rsidR="001D0BF2" w:rsidRPr="00D050E9">
        <w:rPr>
          <w:rFonts w:asciiTheme="minorHAnsi" w:hAnsiTheme="minorHAnsi"/>
        </w:rPr>
        <w:t xml:space="preserve">Na osnovi teh shem je bilo izplačanih </w:t>
      </w:r>
      <w:r w:rsidR="00F141C1" w:rsidRPr="00D050E9">
        <w:rPr>
          <w:rFonts w:asciiTheme="minorHAnsi" w:hAnsiTheme="minorHAnsi"/>
        </w:rPr>
        <w:t>49</w:t>
      </w:r>
      <w:r w:rsidR="00D5439A" w:rsidRPr="00D050E9">
        <w:rPr>
          <w:rFonts w:asciiTheme="minorHAnsi" w:hAnsiTheme="minorHAnsi"/>
        </w:rPr>
        <w:t xml:space="preserve"> % vseh pomoči v 2017 (</w:t>
      </w:r>
      <w:r w:rsidR="000B0B79" w:rsidRPr="00D050E9">
        <w:rPr>
          <w:rFonts w:asciiTheme="minorHAnsi" w:hAnsiTheme="minorHAnsi"/>
        </w:rPr>
        <w:t xml:space="preserve">enak </w:t>
      </w:r>
      <w:r w:rsidR="000B0B79" w:rsidRPr="00C85348">
        <w:rPr>
          <w:rFonts w:asciiTheme="minorHAnsi" w:hAnsiTheme="minorHAnsi"/>
        </w:rPr>
        <w:t xml:space="preserve">delež </w:t>
      </w:r>
      <w:r w:rsidRPr="00C85348">
        <w:rPr>
          <w:rFonts w:asciiTheme="minorHAnsi" w:hAnsiTheme="minorHAnsi"/>
        </w:rPr>
        <w:t xml:space="preserve">je bil zabeležen tudi </w:t>
      </w:r>
      <w:r w:rsidR="000B0B79" w:rsidRPr="00C85348">
        <w:rPr>
          <w:rFonts w:asciiTheme="minorHAnsi" w:hAnsiTheme="minorHAnsi"/>
        </w:rPr>
        <w:t>v EU v letu 2016)</w:t>
      </w:r>
      <w:r w:rsidR="00FC04F3" w:rsidRPr="00C85348">
        <w:rPr>
          <w:rFonts w:asciiTheme="minorHAnsi" w:hAnsiTheme="minorHAnsi"/>
        </w:rPr>
        <w:t>, kar je 3</w:t>
      </w:r>
      <w:r w:rsidR="000B0B79" w:rsidRPr="00C85348">
        <w:rPr>
          <w:rFonts w:asciiTheme="minorHAnsi" w:hAnsiTheme="minorHAnsi"/>
        </w:rPr>
        <w:t xml:space="preserve"> odstotn</w:t>
      </w:r>
      <w:r w:rsidR="007E24BA" w:rsidRPr="00C85348">
        <w:rPr>
          <w:rFonts w:asciiTheme="minorHAnsi" w:hAnsiTheme="minorHAnsi"/>
        </w:rPr>
        <w:t>e točke</w:t>
      </w:r>
      <w:r w:rsidR="00FC04F3" w:rsidRPr="00C85348">
        <w:rPr>
          <w:rFonts w:asciiTheme="minorHAnsi" w:hAnsiTheme="minorHAnsi"/>
        </w:rPr>
        <w:t xml:space="preserve"> več kot v letu 2016 in 9</w:t>
      </w:r>
      <w:r w:rsidR="000B0B79" w:rsidRPr="00C85348">
        <w:rPr>
          <w:rFonts w:asciiTheme="minorHAnsi" w:hAnsiTheme="minorHAnsi"/>
        </w:rPr>
        <w:t xml:space="preserve"> odstotnih točk več kot v letu 2015.</w:t>
      </w:r>
      <w:r w:rsidR="000B0B79" w:rsidRPr="00D050E9">
        <w:rPr>
          <w:rFonts w:asciiTheme="minorHAnsi" w:hAnsiTheme="minorHAnsi"/>
        </w:rPr>
        <w:t xml:space="preserve"> </w:t>
      </w:r>
    </w:p>
    <w:p w:rsidR="00F141C1" w:rsidRPr="00D050E9" w:rsidRDefault="00CD278D" w:rsidP="007B5E09">
      <w:pPr>
        <w:spacing w:after="0" w:line="276" w:lineRule="auto"/>
        <w:rPr>
          <w:rFonts w:asciiTheme="minorHAnsi" w:hAnsiTheme="minorHAnsi"/>
        </w:rPr>
      </w:pPr>
      <w:r w:rsidRPr="00D050E9">
        <w:rPr>
          <w:rFonts w:asciiTheme="minorHAnsi" w:hAnsiTheme="minorHAnsi"/>
        </w:rPr>
        <w:t>Če upoštevamo samo »nove« sheme</w:t>
      </w:r>
      <w:r w:rsidRPr="00D050E9">
        <w:rPr>
          <w:rStyle w:val="FootnoteReference"/>
          <w:rFonts w:asciiTheme="minorHAnsi" w:hAnsiTheme="minorHAnsi"/>
        </w:rPr>
        <w:footnoteReference w:id="8"/>
      </w:r>
      <w:r w:rsidRPr="00D050E9">
        <w:rPr>
          <w:rFonts w:asciiTheme="minorHAnsi" w:hAnsiTheme="minorHAnsi"/>
        </w:rPr>
        <w:t xml:space="preserve"> iz obdobja</w:t>
      </w:r>
      <w:r w:rsidR="00F141C1" w:rsidRPr="00D050E9">
        <w:rPr>
          <w:rFonts w:asciiTheme="minorHAnsi" w:hAnsiTheme="minorHAnsi"/>
        </w:rPr>
        <w:t xml:space="preserve"> po uveljavitvi</w:t>
      </w:r>
      <w:r w:rsidRPr="00D050E9">
        <w:rPr>
          <w:rFonts w:asciiTheme="minorHAnsi" w:hAnsiTheme="minorHAnsi"/>
        </w:rPr>
        <w:t xml:space="preserve"> prenovljenih pravil, se od skupaj </w:t>
      </w:r>
      <w:r w:rsidR="00F141C1" w:rsidRPr="00D050E9">
        <w:rPr>
          <w:rFonts w:asciiTheme="minorHAnsi" w:hAnsiTheme="minorHAnsi"/>
        </w:rPr>
        <w:t xml:space="preserve">31 shem, ki so bile priglašene po letu 2014 (bodisi Komisiji bodisi Ministrstvu za finance), 26 shem (84 %) izvaja na osnovi Uredbe o splošnih skupinskih izjemah (brez priglasitve Komisiji). Samo 5 shem (16 %) je bilo potrebno priglasiti Komisiji, od tega so tri sheme za reševanje in prestrukturiranje (velikih) podjetij v težavah, ki jih še vedno </w:t>
      </w:r>
      <w:r w:rsidR="0067287D" w:rsidRPr="00D050E9">
        <w:rPr>
          <w:rFonts w:asciiTheme="minorHAnsi" w:hAnsiTheme="minorHAnsi"/>
        </w:rPr>
        <w:t xml:space="preserve">individualno </w:t>
      </w:r>
      <w:r w:rsidR="00F141C1" w:rsidRPr="00D050E9">
        <w:rPr>
          <w:rFonts w:asciiTheme="minorHAnsi" w:hAnsiTheme="minorHAnsi"/>
        </w:rPr>
        <w:t xml:space="preserve">presoja Komisija. </w:t>
      </w:r>
    </w:p>
    <w:p w:rsidR="00325924" w:rsidRDefault="00325924" w:rsidP="007B5E09">
      <w:pPr>
        <w:spacing w:after="0" w:line="276" w:lineRule="auto"/>
        <w:rPr>
          <w:rFonts w:asciiTheme="minorHAnsi" w:hAnsiTheme="minorHAnsi"/>
        </w:rPr>
      </w:pPr>
    </w:p>
    <w:p w:rsidR="00176A84" w:rsidRDefault="009C1C49" w:rsidP="007B5E09">
      <w:pPr>
        <w:spacing w:after="0" w:line="276" w:lineRule="auto"/>
        <w:rPr>
          <w:rFonts w:asciiTheme="minorHAnsi" w:hAnsiTheme="minorHAnsi"/>
        </w:rPr>
      </w:pPr>
      <w:r w:rsidRPr="0052290A">
        <w:rPr>
          <w:rFonts w:asciiTheme="minorHAnsi" w:hAnsiTheme="minorHAnsi"/>
        </w:rPr>
        <w:t xml:space="preserve">Na področju kmetijstva je Ministrstvo za kmetijstvo, gozdarstvo in prehrano iz obdobja po uveljavitvi prenovljenih pravil (2015–2017) evidentiralo 166 shem, od tega je bilo potrebno 5 shem priglasiti Evropski komisiji, </w:t>
      </w:r>
      <w:r w:rsidR="007F1967" w:rsidRPr="0052290A">
        <w:rPr>
          <w:rFonts w:asciiTheme="minorHAnsi" w:hAnsiTheme="minorHAnsi"/>
        </w:rPr>
        <w:t>161</w:t>
      </w:r>
      <w:r w:rsidRPr="0052290A">
        <w:rPr>
          <w:rFonts w:asciiTheme="minorHAnsi" w:hAnsiTheme="minorHAnsi"/>
        </w:rPr>
        <w:t xml:space="preserve"> shem pa se je izvajalo na osnovi Uredbe EU o skupinskih izjemah v kmetijstvu tj. brez predhodne potrditve Evropske komisije (sklad</w:t>
      </w:r>
      <w:r w:rsidR="00CB410F" w:rsidRPr="0052290A">
        <w:rPr>
          <w:rFonts w:asciiTheme="minorHAnsi" w:hAnsiTheme="minorHAnsi"/>
        </w:rPr>
        <w:t>nost presoja Ministrstvo za kme</w:t>
      </w:r>
      <w:r w:rsidRPr="0052290A">
        <w:rPr>
          <w:rFonts w:asciiTheme="minorHAnsi" w:hAnsiTheme="minorHAnsi"/>
        </w:rPr>
        <w:t>tijstvo, gozdarstvo in prehrano).</w:t>
      </w:r>
      <w:r>
        <w:rPr>
          <w:rFonts w:asciiTheme="minorHAnsi" w:hAnsiTheme="minorHAnsi"/>
        </w:rPr>
        <w:t xml:space="preserve"> </w:t>
      </w:r>
    </w:p>
    <w:p w:rsidR="009C1C49" w:rsidRPr="00D050E9" w:rsidRDefault="009C1C49" w:rsidP="007B5E09">
      <w:pPr>
        <w:spacing w:after="0" w:line="276" w:lineRule="auto"/>
        <w:rPr>
          <w:rFonts w:asciiTheme="minorHAnsi" w:hAnsiTheme="minorHAnsi"/>
        </w:rPr>
      </w:pPr>
    </w:p>
    <w:p w:rsidR="0091021D" w:rsidRPr="00D050E9" w:rsidRDefault="00325924" w:rsidP="00B9182A">
      <w:pPr>
        <w:pStyle w:val="Heading3"/>
      </w:pPr>
      <w:bookmarkStart w:id="38" w:name="_Toc530654541"/>
      <w:r w:rsidRPr="00D050E9">
        <w:t>1.3.6</w:t>
      </w:r>
      <w:r w:rsidR="00704A1C" w:rsidRPr="00D050E9">
        <w:t xml:space="preserve"> Največji dajalci pomoči v Sloveniji</w:t>
      </w:r>
      <w:bookmarkEnd w:id="38"/>
    </w:p>
    <w:p w:rsidR="00325924" w:rsidRPr="00D050E9" w:rsidRDefault="00325924" w:rsidP="00325924">
      <w:pPr>
        <w:spacing w:after="0"/>
      </w:pPr>
    </w:p>
    <w:p w:rsidR="00A31C65" w:rsidRPr="00D050E9" w:rsidRDefault="00A31C65" w:rsidP="00704A1C">
      <w:pPr>
        <w:spacing w:line="276" w:lineRule="auto"/>
        <w:rPr>
          <w:rFonts w:asciiTheme="minorHAnsi" w:hAnsiTheme="minorHAnsi"/>
        </w:rPr>
      </w:pPr>
      <w:r w:rsidRPr="00D050E9">
        <w:rPr>
          <w:rFonts w:asciiTheme="minorHAnsi" w:hAnsiTheme="minorHAnsi"/>
        </w:rPr>
        <w:t xml:space="preserve">V Sloveniji največ pomoči dodeli </w:t>
      </w:r>
      <w:r w:rsidRPr="00D050E9">
        <w:rPr>
          <w:rFonts w:asciiTheme="minorHAnsi" w:hAnsiTheme="minorHAnsi"/>
          <w:b/>
        </w:rPr>
        <w:t>Ministrstvo za in</w:t>
      </w:r>
      <w:r w:rsidR="00265F75" w:rsidRPr="00D050E9">
        <w:rPr>
          <w:rFonts w:asciiTheme="minorHAnsi" w:hAnsiTheme="minorHAnsi"/>
          <w:b/>
        </w:rPr>
        <w:t>frastrukturo, več kot polovico (</w:t>
      </w:r>
      <w:r w:rsidRPr="00D050E9">
        <w:rPr>
          <w:rFonts w:asciiTheme="minorHAnsi" w:hAnsiTheme="minorHAnsi"/>
          <w:b/>
        </w:rPr>
        <w:t>53 %</w:t>
      </w:r>
      <w:r w:rsidRPr="00D050E9">
        <w:rPr>
          <w:rFonts w:asciiTheme="minorHAnsi" w:hAnsiTheme="minorHAnsi"/>
        </w:rPr>
        <w:t xml:space="preserve"> vseh pomoči v 2</w:t>
      </w:r>
      <w:r w:rsidR="00677F54" w:rsidRPr="00D050E9">
        <w:rPr>
          <w:rFonts w:asciiTheme="minorHAnsi" w:hAnsiTheme="minorHAnsi"/>
        </w:rPr>
        <w:t>0</w:t>
      </w:r>
      <w:r w:rsidR="001E3122" w:rsidRPr="00D050E9">
        <w:rPr>
          <w:rFonts w:asciiTheme="minorHAnsi" w:hAnsiTheme="minorHAnsi"/>
        </w:rPr>
        <w:t>17</w:t>
      </w:r>
      <w:r w:rsidR="00265F75" w:rsidRPr="00D050E9">
        <w:rPr>
          <w:rFonts w:asciiTheme="minorHAnsi" w:hAnsiTheme="minorHAnsi"/>
        </w:rPr>
        <w:t xml:space="preserve"> ali 228 mio EUR</w:t>
      </w:r>
      <w:r w:rsidR="001E3122" w:rsidRPr="00D050E9">
        <w:rPr>
          <w:rFonts w:asciiTheme="minorHAnsi" w:hAnsiTheme="minorHAnsi"/>
        </w:rPr>
        <w:t xml:space="preserve"> (47</w:t>
      </w:r>
      <w:r w:rsidR="00575B7F" w:rsidRPr="00D050E9">
        <w:rPr>
          <w:rFonts w:asciiTheme="minorHAnsi" w:hAnsiTheme="minorHAnsi"/>
        </w:rPr>
        <w:t> </w:t>
      </w:r>
      <w:r w:rsidR="001E3122" w:rsidRPr="00D050E9">
        <w:rPr>
          <w:rFonts w:asciiTheme="minorHAnsi" w:hAnsiTheme="minorHAnsi"/>
        </w:rPr>
        <w:t>% v obdobju 2015–2017), od tega</w:t>
      </w:r>
      <w:r w:rsidR="00265F75" w:rsidRPr="00D050E9">
        <w:rPr>
          <w:rFonts w:asciiTheme="minorHAnsi" w:hAnsiTheme="minorHAnsi"/>
        </w:rPr>
        <w:t xml:space="preserve"> glavnino,</w:t>
      </w:r>
      <w:r w:rsidR="001E3122" w:rsidRPr="00D050E9">
        <w:rPr>
          <w:rFonts w:asciiTheme="minorHAnsi" w:hAnsiTheme="minorHAnsi"/>
        </w:rPr>
        <w:t xml:space="preserve"> </w:t>
      </w:r>
      <w:r w:rsidR="00CD3312" w:rsidRPr="00D050E9">
        <w:rPr>
          <w:rFonts w:asciiTheme="minorHAnsi" w:hAnsiTheme="minorHAnsi"/>
        </w:rPr>
        <w:t>73</w:t>
      </w:r>
      <w:r w:rsidR="001E3122" w:rsidRPr="00D050E9">
        <w:rPr>
          <w:rFonts w:asciiTheme="minorHAnsi" w:hAnsiTheme="minorHAnsi"/>
        </w:rPr>
        <w:t xml:space="preserve"> %</w:t>
      </w:r>
      <w:r w:rsidR="00265F75" w:rsidRPr="00D050E9">
        <w:rPr>
          <w:rFonts w:asciiTheme="minorHAnsi" w:hAnsiTheme="minorHAnsi"/>
        </w:rPr>
        <w:t>,</w:t>
      </w:r>
      <w:r w:rsidR="001E3122" w:rsidRPr="00D050E9">
        <w:rPr>
          <w:rFonts w:asciiTheme="minorHAnsi" w:hAnsiTheme="minorHAnsi"/>
        </w:rPr>
        <w:t xml:space="preserve"> </w:t>
      </w:r>
      <w:r w:rsidR="00677F54" w:rsidRPr="00D050E9">
        <w:rPr>
          <w:rFonts w:asciiTheme="minorHAnsi" w:hAnsiTheme="minorHAnsi"/>
        </w:rPr>
        <w:t xml:space="preserve">za varstvo okolja in varčevanje z energijo, petino pa za </w:t>
      </w:r>
      <w:r w:rsidR="00CD3312" w:rsidRPr="00D050E9">
        <w:rPr>
          <w:rFonts w:asciiTheme="minorHAnsi" w:hAnsiTheme="minorHAnsi"/>
        </w:rPr>
        <w:t xml:space="preserve"> </w:t>
      </w:r>
      <w:r w:rsidR="00677F54" w:rsidRPr="00D050E9">
        <w:rPr>
          <w:rFonts w:asciiTheme="minorHAnsi" w:hAnsiTheme="minorHAnsi"/>
        </w:rPr>
        <w:t xml:space="preserve">transport. </w:t>
      </w:r>
    </w:p>
    <w:p w:rsidR="00677F54" w:rsidRPr="00D050E9" w:rsidRDefault="001E3122" w:rsidP="00704A1C">
      <w:pPr>
        <w:spacing w:line="276" w:lineRule="auto"/>
        <w:rPr>
          <w:rFonts w:asciiTheme="minorHAnsi" w:hAnsiTheme="minorHAnsi"/>
        </w:rPr>
      </w:pPr>
      <w:r w:rsidRPr="00D050E9">
        <w:rPr>
          <w:rFonts w:asciiTheme="minorHAnsi" w:hAnsiTheme="minorHAnsi"/>
        </w:rPr>
        <w:t>D</w:t>
      </w:r>
      <w:r w:rsidR="00677F54" w:rsidRPr="00D050E9">
        <w:rPr>
          <w:rFonts w:asciiTheme="minorHAnsi" w:hAnsiTheme="minorHAnsi"/>
        </w:rPr>
        <w:t>rugi največji dajale</w:t>
      </w:r>
      <w:r w:rsidR="007D4027" w:rsidRPr="00D050E9">
        <w:rPr>
          <w:rFonts w:asciiTheme="minorHAnsi" w:hAnsiTheme="minorHAnsi"/>
        </w:rPr>
        <w:t>c</w:t>
      </w:r>
      <w:r w:rsidR="00677F54" w:rsidRPr="00D050E9">
        <w:rPr>
          <w:rFonts w:asciiTheme="minorHAnsi" w:hAnsiTheme="minorHAnsi"/>
        </w:rPr>
        <w:t xml:space="preserve"> pomoči je </w:t>
      </w:r>
      <w:r w:rsidR="00677F54" w:rsidRPr="00D050E9">
        <w:rPr>
          <w:rFonts w:asciiTheme="minorHAnsi" w:hAnsiTheme="minorHAnsi"/>
          <w:b/>
        </w:rPr>
        <w:t>Ministrstvo za delo, družino in socialne zadeve</w:t>
      </w:r>
      <w:r w:rsidR="00677F54" w:rsidRPr="00D050E9">
        <w:rPr>
          <w:rFonts w:asciiTheme="minorHAnsi" w:hAnsiTheme="minorHAnsi"/>
        </w:rPr>
        <w:t xml:space="preserve">, ki je izplačalo </w:t>
      </w:r>
      <w:r w:rsidR="00677F54" w:rsidRPr="00D050E9">
        <w:rPr>
          <w:rFonts w:asciiTheme="minorHAnsi" w:hAnsiTheme="minorHAnsi"/>
          <w:b/>
        </w:rPr>
        <w:t>23 %</w:t>
      </w:r>
      <w:r w:rsidR="00677F54" w:rsidRPr="00D050E9">
        <w:rPr>
          <w:rFonts w:asciiTheme="minorHAnsi" w:hAnsiTheme="minorHAnsi"/>
        </w:rPr>
        <w:t xml:space="preserve"> vseh pomoči</w:t>
      </w:r>
      <w:r w:rsidR="00C85348">
        <w:rPr>
          <w:rFonts w:asciiTheme="minorHAnsi" w:hAnsiTheme="minorHAnsi"/>
        </w:rPr>
        <w:t xml:space="preserve"> v letu 2017 </w:t>
      </w:r>
      <w:r w:rsidR="00265F75" w:rsidRPr="00D050E9">
        <w:rPr>
          <w:rFonts w:asciiTheme="minorHAnsi" w:hAnsiTheme="minorHAnsi"/>
        </w:rPr>
        <w:t>ali dobrih 97 mio EUR (</w:t>
      </w:r>
      <w:r w:rsidR="00677F54" w:rsidRPr="00D050E9">
        <w:rPr>
          <w:rFonts w:asciiTheme="minorHAnsi" w:hAnsiTheme="minorHAnsi"/>
        </w:rPr>
        <w:t>dobro petino v 2015–2017</w:t>
      </w:r>
      <w:r w:rsidR="00265F75" w:rsidRPr="00D050E9">
        <w:rPr>
          <w:rFonts w:asciiTheme="minorHAnsi" w:hAnsiTheme="minorHAnsi"/>
        </w:rPr>
        <w:t>)</w:t>
      </w:r>
      <w:r w:rsidR="00677F54" w:rsidRPr="00D050E9">
        <w:rPr>
          <w:rFonts w:asciiTheme="minorHAnsi" w:hAnsiTheme="minorHAnsi"/>
        </w:rPr>
        <w:t xml:space="preserve">. Vse pomoči so bile dodeljene za zaposlovanje, pretežno </w:t>
      </w:r>
      <w:r w:rsidRPr="00D050E9">
        <w:rPr>
          <w:rFonts w:asciiTheme="minorHAnsi" w:hAnsiTheme="minorHAnsi"/>
        </w:rPr>
        <w:t xml:space="preserve">pa </w:t>
      </w:r>
      <w:r w:rsidR="00677F54" w:rsidRPr="00D050E9">
        <w:rPr>
          <w:rFonts w:asciiTheme="minorHAnsi" w:hAnsiTheme="minorHAnsi"/>
        </w:rPr>
        <w:t>so</w:t>
      </w:r>
      <w:r w:rsidRPr="00D050E9">
        <w:rPr>
          <w:rFonts w:asciiTheme="minorHAnsi" w:hAnsiTheme="minorHAnsi"/>
        </w:rPr>
        <w:t xml:space="preserve"> bile</w:t>
      </w:r>
      <w:r w:rsidR="00677F54" w:rsidRPr="00D050E9">
        <w:rPr>
          <w:rFonts w:asciiTheme="minorHAnsi" w:hAnsiTheme="minorHAnsi"/>
        </w:rPr>
        <w:t xml:space="preserve"> nam</w:t>
      </w:r>
      <w:r w:rsidR="00CD3312" w:rsidRPr="00D050E9">
        <w:rPr>
          <w:rFonts w:asciiTheme="minorHAnsi" w:hAnsiTheme="minorHAnsi"/>
        </w:rPr>
        <w:t>enjene za zaposlovanje invalidnih oseb</w:t>
      </w:r>
      <w:r w:rsidR="00677F54" w:rsidRPr="00D050E9">
        <w:rPr>
          <w:rFonts w:asciiTheme="minorHAnsi" w:hAnsiTheme="minorHAnsi"/>
        </w:rPr>
        <w:t xml:space="preserve">. </w:t>
      </w:r>
      <w:r w:rsidR="00575B7F" w:rsidRPr="00D050E9">
        <w:rPr>
          <w:rFonts w:asciiTheme="minorHAnsi" w:hAnsiTheme="minorHAnsi"/>
        </w:rPr>
        <w:t xml:space="preserve">Največja dajalca pomoči sta skupaj </w:t>
      </w:r>
      <w:r w:rsidR="00677F54" w:rsidRPr="00D050E9">
        <w:rPr>
          <w:rFonts w:asciiTheme="minorHAnsi" w:hAnsiTheme="minorHAnsi"/>
        </w:rPr>
        <w:t xml:space="preserve">izplačala </w:t>
      </w:r>
      <w:r w:rsidR="00575B7F" w:rsidRPr="00D050E9">
        <w:rPr>
          <w:rFonts w:asciiTheme="minorHAnsi" w:hAnsiTheme="minorHAnsi"/>
        </w:rPr>
        <w:t xml:space="preserve">več kot </w:t>
      </w:r>
      <w:r w:rsidR="00677F54" w:rsidRPr="00D050E9">
        <w:rPr>
          <w:rFonts w:asciiTheme="minorHAnsi" w:hAnsiTheme="minorHAnsi"/>
          <w:b/>
        </w:rPr>
        <w:t>tri četrtine vseh pomoči v Sloveniji</w:t>
      </w:r>
      <w:r w:rsidR="00677F54" w:rsidRPr="00D050E9">
        <w:rPr>
          <w:rFonts w:asciiTheme="minorHAnsi" w:hAnsiTheme="minorHAnsi"/>
        </w:rPr>
        <w:t xml:space="preserve"> v letu 2017 in dve tretjini </w:t>
      </w:r>
      <w:r w:rsidR="00CD3312" w:rsidRPr="00D050E9">
        <w:rPr>
          <w:rFonts w:asciiTheme="minorHAnsi" w:hAnsiTheme="minorHAnsi"/>
        </w:rPr>
        <w:t xml:space="preserve">pomoči </w:t>
      </w:r>
      <w:r w:rsidR="00677F54" w:rsidRPr="00D050E9">
        <w:rPr>
          <w:rFonts w:asciiTheme="minorHAnsi" w:hAnsiTheme="minorHAnsi"/>
        </w:rPr>
        <w:t xml:space="preserve">v </w:t>
      </w:r>
      <w:r w:rsidRPr="00D050E9">
        <w:rPr>
          <w:rFonts w:asciiTheme="minorHAnsi" w:hAnsiTheme="minorHAnsi"/>
        </w:rPr>
        <w:t xml:space="preserve">obdobju </w:t>
      </w:r>
      <w:r w:rsidR="00677F54" w:rsidRPr="00D050E9">
        <w:rPr>
          <w:rFonts w:asciiTheme="minorHAnsi" w:hAnsiTheme="minorHAnsi"/>
        </w:rPr>
        <w:t xml:space="preserve">2015–2017. </w:t>
      </w:r>
    </w:p>
    <w:p w:rsidR="001E3122" w:rsidRPr="00D050E9" w:rsidRDefault="00677F54" w:rsidP="00416A08">
      <w:pPr>
        <w:spacing w:before="240" w:line="276" w:lineRule="auto"/>
        <w:rPr>
          <w:rFonts w:asciiTheme="minorHAnsi" w:hAnsiTheme="minorHAnsi"/>
        </w:rPr>
      </w:pPr>
      <w:r w:rsidRPr="00D050E9">
        <w:rPr>
          <w:rFonts w:asciiTheme="minorHAnsi" w:hAnsiTheme="minorHAnsi"/>
          <w:b/>
        </w:rPr>
        <w:t>Ministrstvo za gospodarski razvoj in tehnologijo</w:t>
      </w:r>
      <w:r w:rsidRPr="00D050E9">
        <w:rPr>
          <w:rFonts w:asciiTheme="minorHAnsi" w:hAnsiTheme="minorHAnsi"/>
        </w:rPr>
        <w:t xml:space="preserve"> </w:t>
      </w:r>
      <w:r w:rsidR="00CD3312" w:rsidRPr="00D050E9">
        <w:rPr>
          <w:rFonts w:asciiTheme="minorHAnsi" w:hAnsiTheme="minorHAnsi"/>
        </w:rPr>
        <w:t>je izplačalo</w:t>
      </w:r>
      <w:r w:rsidR="00265F75" w:rsidRPr="00D050E9">
        <w:rPr>
          <w:rFonts w:asciiTheme="minorHAnsi" w:hAnsiTheme="minorHAnsi"/>
        </w:rPr>
        <w:t xml:space="preserve"> dobrih 25 mio EUR ali </w:t>
      </w:r>
      <w:r w:rsidR="001E3122" w:rsidRPr="00D050E9">
        <w:rPr>
          <w:rFonts w:asciiTheme="minorHAnsi" w:hAnsiTheme="minorHAnsi"/>
        </w:rPr>
        <w:t xml:space="preserve"> </w:t>
      </w:r>
      <w:r w:rsidRPr="00D050E9">
        <w:rPr>
          <w:rFonts w:asciiTheme="minorHAnsi" w:hAnsiTheme="minorHAnsi"/>
          <w:b/>
        </w:rPr>
        <w:t>6 %</w:t>
      </w:r>
      <w:r w:rsidRPr="00D050E9">
        <w:rPr>
          <w:rFonts w:asciiTheme="minorHAnsi" w:hAnsiTheme="minorHAnsi"/>
        </w:rPr>
        <w:t xml:space="preserve"> vseh pomoči</w:t>
      </w:r>
      <w:r w:rsidR="00EC6C8E" w:rsidRPr="00D050E9">
        <w:rPr>
          <w:rFonts w:asciiTheme="minorHAnsi" w:hAnsiTheme="minorHAnsi"/>
        </w:rPr>
        <w:t xml:space="preserve"> </w:t>
      </w:r>
      <w:r w:rsidR="00575B7F" w:rsidRPr="00D050E9">
        <w:rPr>
          <w:rFonts w:asciiTheme="minorHAnsi" w:hAnsiTheme="minorHAnsi"/>
        </w:rPr>
        <w:t xml:space="preserve">v letu 2017 (enako </w:t>
      </w:r>
      <w:r w:rsidR="00EC6C8E" w:rsidRPr="00D050E9">
        <w:rPr>
          <w:rFonts w:asciiTheme="minorHAnsi" w:hAnsiTheme="minorHAnsi"/>
        </w:rPr>
        <w:t>v obdobju 2015–2017</w:t>
      </w:r>
      <w:r w:rsidR="00575B7F" w:rsidRPr="00D050E9">
        <w:rPr>
          <w:rFonts w:asciiTheme="minorHAnsi" w:hAnsiTheme="minorHAnsi"/>
        </w:rPr>
        <w:t>)</w:t>
      </w:r>
      <w:r w:rsidRPr="00D050E9">
        <w:rPr>
          <w:rFonts w:asciiTheme="minorHAnsi" w:hAnsiTheme="minorHAnsi"/>
        </w:rPr>
        <w:t xml:space="preserve">, od tega </w:t>
      </w:r>
      <w:r w:rsidR="00265F75" w:rsidRPr="00D050E9">
        <w:rPr>
          <w:rFonts w:asciiTheme="minorHAnsi" w:hAnsiTheme="minorHAnsi"/>
        </w:rPr>
        <w:t xml:space="preserve">večino, </w:t>
      </w:r>
      <w:r w:rsidR="00575B7F" w:rsidRPr="00D050E9">
        <w:rPr>
          <w:rFonts w:asciiTheme="minorHAnsi" w:hAnsiTheme="minorHAnsi"/>
        </w:rPr>
        <w:t>63 %</w:t>
      </w:r>
      <w:r w:rsidR="00265F75" w:rsidRPr="00D050E9">
        <w:rPr>
          <w:rFonts w:asciiTheme="minorHAnsi" w:hAnsiTheme="minorHAnsi"/>
        </w:rPr>
        <w:t>,</w:t>
      </w:r>
      <w:r w:rsidR="00575B7F" w:rsidRPr="00D050E9">
        <w:rPr>
          <w:rFonts w:asciiTheme="minorHAnsi" w:hAnsiTheme="minorHAnsi"/>
        </w:rPr>
        <w:t xml:space="preserve"> </w:t>
      </w:r>
      <w:r w:rsidR="001E3122" w:rsidRPr="00D050E9">
        <w:rPr>
          <w:rFonts w:asciiTheme="minorHAnsi" w:hAnsiTheme="minorHAnsi"/>
        </w:rPr>
        <w:t xml:space="preserve">kot regionalne pomoči, </w:t>
      </w:r>
      <w:r w:rsidR="00575B7F" w:rsidRPr="00D050E9">
        <w:rPr>
          <w:rFonts w:asciiTheme="minorHAnsi" w:hAnsiTheme="minorHAnsi"/>
        </w:rPr>
        <w:t xml:space="preserve">37 % </w:t>
      </w:r>
      <w:r w:rsidRPr="00D050E9">
        <w:rPr>
          <w:rFonts w:asciiTheme="minorHAnsi" w:hAnsiTheme="minorHAnsi"/>
        </w:rPr>
        <w:t xml:space="preserve">pa za </w:t>
      </w:r>
      <w:r w:rsidR="00265F75" w:rsidRPr="00D050E9">
        <w:rPr>
          <w:rFonts w:asciiTheme="minorHAnsi" w:hAnsiTheme="minorHAnsi"/>
        </w:rPr>
        <w:t xml:space="preserve">spodbujanje </w:t>
      </w:r>
      <w:r w:rsidRPr="00D050E9">
        <w:rPr>
          <w:rFonts w:asciiTheme="minorHAnsi" w:hAnsiTheme="minorHAnsi"/>
        </w:rPr>
        <w:t>RRI</w:t>
      </w:r>
      <w:r w:rsidR="00575B7F" w:rsidRPr="00D050E9">
        <w:rPr>
          <w:rFonts w:asciiTheme="minorHAnsi" w:hAnsiTheme="minorHAnsi"/>
        </w:rPr>
        <w:t xml:space="preserve"> (26 % 2015–2017). V letih 2015 in 2016 je </w:t>
      </w:r>
      <w:r w:rsidR="00265F75" w:rsidRPr="00D050E9">
        <w:rPr>
          <w:rFonts w:asciiTheme="minorHAnsi" w:hAnsiTheme="minorHAnsi"/>
        </w:rPr>
        <w:t xml:space="preserve">omenjeno ministrstvo </w:t>
      </w:r>
      <w:r w:rsidR="00575B7F" w:rsidRPr="00D050E9">
        <w:rPr>
          <w:rFonts w:asciiTheme="minorHAnsi" w:hAnsiTheme="minorHAnsi"/>
        </w:rPr>
        <w:t xml:space="preserve">izplačevalo tudi pomoči za prestrukturiranje podjetij v težavah (okoli 8 % vseh pomoči, ki jih je dodelilo ministrstvo v obdobju </w:t>
      </w:r>
      <w:r w:rsidR="00EC6C8E" w:rsidRPr="00D050E9">
        <w:rPr>
          <w:rFonts w:asciiTheme="minorHAnsi" w:hAnsiTheme="minorHAnsi"/>
        </w:rPr>
        <w:t>2015–2017</w:t>
      </w:r>
      <w:r w:rsidR="00265F75" w:rsidRPr="00D050E9">
        <w:rPr>
          <w:rFonts w:asciiTheme="minorHAnsi" w:hAnsiTheme="minorHAnsi"/>
        </w:rPr>
        <w:t>)</w:t>
      </w:r>
      <w:r w:rsidR="00EC6C8E" w:rsidRPr="00D050E9">
        <w:rPr>
          <w:rFonts w:asciiTheme="minorHAnsi" w:hAnsiTheme="minorHAnsi"/>
        </w:rPr>
        <w:t xml:space="preserve">. </w:t>
      </w:r>
      <w:r w:rsidRPr="00D050E9">
        <w:rPr>
          <w:rFonts w:asciiTheme="minorHAnsi" w:hAnsiTheme="minorHAnsi"/>
        </w:rPr>
        <w:t xml:space="preserve"> </w:t>
      </w:r>
    </w:p>
    <w:p w:rsidR="00265F75" w:rsidRPr="00D050E9" w:rsidRDefault="00265F75" w:rsidP="00416A08">
      <w:pPr>
        <w:spacing w:before="240" w:line="276" w:lineRule="auto"/>
        <w:rPr>
          <w:rFonts w:asciiTheme="minorHAnsi" w:hAnsiTheme="minorHAnsi"/>
        </w:rPr>
      </w:pPr>
      <w:r w:rsidRPr="00D050E9">
        <w:rPr>
          <w:rFonts w:asciiTheme="minorHAnsi" w:hAnsiTheme="minorHAnsi"/>
        </w:rPr>
        <w:t>V letu 2017 se je povečal obseg pomoči, ki jih je izplačalo</w:t>
      </w:r>
      <w:r w:rsidRPr="00D050E9">
        <w:rPr>
          <w:rFonts w:asciiTheme="minorHAnsi" w:hAnsiTheme="minorHAnsi"/>
          <w:b/>
        </w:rPr>
        <w:t xml:space="preserve"> </w:t>
      </w:r>
      <w:r w:rsidR="001E3122" w:rsidRPr="00D050E9">
        <w:rPr>
          <w:rFonts w:asciiTheme="minorHAnsi" w:hAnsiTheme="minorHAnsi"/>
          <w:b/>
        </w:rPr>
        <w:t>Ministrstvo za izobraževanje, znanost in šport</w:t>
      </w:r>
      <w:r w:rsidRPr="00D050E9">
        <w:rPr>
          <w:rFonts w:asciiTheme="minorHAnsi" w:hAnsiTheme="minorHAnsi"/>
        </w:rPr>
        <w:t>, dobrih 18 mio EUR</w:t>
      </w:r>
      <w:r w:rsidR="007D4027" w:rsidRPr="00D050E9">
        <w:rPr>
          <w:rFonts w:asciiTheme="minorHAnsi" w:hAnsiTheme="minorHAnsi"/>
        </w:rPr>
        <w:t xml:space="preserve">, kar je predstavljajo </w:t>
      </w:r>
      <w:r w:rsidR="00CD3312" w:rsidRPr="00D050E9">
        <w:rPr>
          <w:rFonts w:asciiTheme="minorHAnsi" w:hAnsiTheme="minorHAnsi"/>
          <w:b/>
        </w:rPr>
        <w:t>4</w:t>
      </w:r>
      <w:r w:rsidR="007D4027" w:rsidRPr="00D050E9">
        <w:rPr>
          <w:rFonts w:asciiTheme="minorHAnsi" w:hAnsiTheme="minorHAnsi"/>
          <w:b/>
        </w:rPr>
        <w:t>,2</w:t>
      </w:r>
      <w:r w:rsidR="00CD3312" w:rsidRPr="00D050E9">
        <w:rPr>
          <w:rFonts w:asciiTheme="minorHAnsi" w:hAnsiTheme="minorHAnsi"/>
          <w:b/>
        </w:rPr>
        <w:t xml:space="preserve"> %</w:t>
      </w:r>
      <w:r w:rsidR="00CD3312" w:rsidRPr="00D050E9">
        <w:rPr>
          <w:rFonts w:asciiTheme="minorHAnsi" w:hAnsiTheme="minorHAnsi"/>
        </w:rPr>
        <w:t xml:space="preserve"> </w:t>
      </w:r>
      <w:r w:rsidRPr="00D050E9">
        <w:rPr>
          <w:rFonts w:asciiTheme="minorHAnsi" w:hAnsiTheme="minorHAnsi"/>
        </w:rPr>
        <w:t>vseh</w:t>
      </w:r>
      <w:r w:rsidR="00677F54" w:rsidRPr="00D050E9">
        <w:rPr>
          <w:rFonts w:asciiTheme="minorHAnsi" w:hAnsiTheme="minorHAnsi"/>
        </w:rPr>
        <w:t xml:space="preserve"> državnih pomoči (1,4 % v 2015–2017), vse pomoči so bile </w:t>
      </w:r>
      <w:r w:rsidR="001E3122" w:rsidRPr="00D050E9">
        <w:rPr>
          <w:rFonts w:asciiTheme="minorHAnsi" w:hAnsiTheme="minorHAnsi"/>
        </w:rPr>
        <w:t xml:space="preserve">namenjene </w:t>
      </w:r>
      <w:r w:rsidR="00677F54" w:rsidRPr="00D050E9">
        <w:rPr>
          <w:rFonts w:asciiTheme="minorHAnsi" w:hAnsiTheme="minorHAnsi"/>
        </w:rPr>
        <w:t xml:space="preserve">za </w:t>
      </w:r>
      <w:r w:rsidR="00CD3312" w:rsidRPr="00D050E9">
        <w:rPr>
          <w:rFonts w:asciiTheme="minorHAnsi" w:hAnsiTheme="minorHAnsi"/>
        </w:rPr>
        <w:t xml:space="preserve">spodbujanje </w:t>
      </w:r>
      <w:r w:rsidR="00677F54" w:rsidRPr="00D050E9">
        <w:rPr>
          <w:rFonts w:asciiTheme="minorHAnsi" w:hAnsiTheme="minorHAnsi"/>
        </w:rPr>
        <w:t>RRI.</w:t>
      </w:r>
      <w:r w:rsidR="00416A08" w:rsidRPr="00D050E9">
        <w:rPr>
          <w:rFonts w:asciiTheme="minorHAnsi" w:hAnsiTheme="minorHAnsi"/>
        </w:rPr>
        <w:t xml:space="preserve"> </w:t>
      </w:r>
    </w:p>
    <w:p w:rsidR="00677F54" w:rsidRPr="00D050E9" w:rsidRDefault="00265F75" w:rsidP="00416A08">
      <w:pPr>
        <w:spacing w:before="240" w:line="276" w:lineRule="auto"/>
        <w:rPr>
          <w:rFonts w:asciiTheme="minorHAnsi" w:hAnsiTheme="minorHAnsi"/>
        </w:rPr>
      </w:pPr>
      <w:r w:rsidRPr="00D050E9">
        <w:rPr>
          <w:rFonts w:asciiTheme="minorHAnsi" w:hAnsiTheme="minorHAnsi"/>
        </w:rPr>
        <w:lastRenderedPageBreak/>
        <w:t xml:space="preserve">Manj pomoči kot v preteklih letih je v letu 2017 izplačalo </w:t>
      </w:r>
      <w:r w:rsidR="00416A08" w:rsidRPr="00D050E9">
        <w:rPr>
          <w:rFonts w:asciiTheme="minorHAnsi" w:hAnsiTheme="minorHAnsi"/>
          <w:b/>
        </w:rPr>
        <w:t>M</w:t>
      </w:r>
      <w:r w:rsidR="001E3122" w:rsidRPr="00D050E9">
        <w:rPr>
          <w:rFonts w:asciiTheme="minorHAnsi" w:hAnsiTheme="minorHAnsi"/>
          <w:b/>
        </w:rPr>
        <w:t>inistrstvo za okolje in prostor</w:t>
      </w:r>
      <w:r w:rsidRPr="00D050E9">
        <w:rPr>
          <w:rFonts w:asciiTheme="minorHAnsi" w:hAnsiTheme="minorHAnsi"/>
          <w:b/>
        </w:rPr>
        <w:t xml:space="preserve">, </w:t>
      </w:r>
      <w:r w:rsidRPr="00D050E9">
        <w:rPr>
          <w:rFonts w:asciiTheme="minorHAnsi" w:hAnsiTheme="minorHAnsi"/>
        </w:rPr>
        <w:t>slabih 16 mio EUR ali</w:t>
      </w:r>
      <w:r w:rsidRPr="00D050E9">
        <w:rPr>
          <w:rFonts w:asciiTheme="minorHAnsi" w:hAnsiTheme="minorHAnsi"/>
          <w:b/>
        </w:rPr>
        <w:t xml:space="preserve"> </w:t>
      </w:r>
      <w:r w:rsidR="00416A08" w:rsidRPr="00D050E9">
        <w:rPr>
          <w:rFonts w:asciiTheme="minorHAnsi" w:hAnsiTheme="minorHAnsi"/>
          <w:b/>
        </w:rPr>
        <w:t>3,7 %</w:t>
      </w:r>
      <w:r w:rsidR="00416A08" w:rsidRPr="00D050E9">
        <w:rPr>
          <w:rFonts w:asciiTheme="minorHAnsi" w:hAnsiTheme="minorHAnsi"/>
        </w:rPr>
        <w:t xml:space="preserve"> vseh pomoči (4,8</w:t>
      </w:r>
      <w:r w:rsidR="0064025B" w:rsidRPr="00D050E9">
        <w:rPr>
          <w:rFonts w:asciiTheme="minorHAnsi" w:hAnsiTheme="minorHAnsi"/>
        </w:rPr>
        <w:t xml:space="preserve"> % v </w:t>
      </w:r>
      <w:r w:rsidR="00416A08" w:rsidRPr="00D050E9">
        <w:rPr>
          <w:rFonts w:asciiTheme="minorHAnsi" w:hAnsiTheme="minorHAnsi"/>
        </w:rPr>
        <w:t>20</w:t>
      </w:r>
      <w:r w:rsidRPr="00D050E9">
        <w:rPr>
          <w:rFonts w:asciiTheme="minorHAnsi" w:hAnsiTheme="minorHAnsi"/>
        </w:rPr>
        <w:t>15–2017), vse za varstvo okolja.</w:t>
      </w:r>
      <w:r w:rsidR="00416A08" w:rsidRPr="00D050E9">
        <w:rPr>
          <w:rFonts w:asciiTheme="minorHAnsi" w:hAnsiTheme="minorHAnsi"/>
        </w:rPr>
        <w:t xml:space="preserve"> </w:t>
      </w:r>
      <w:r w:rsidR="00677F54" w:rsidRPr="00D050E9">
        <w:rPr>
          <w:rFonts w:asciiTheme="minorHAnsi" w:hAnsiTheme="minorHAnsi"/>
          <w:b/>
        </w:rPr>
        <w:t>Ministrstvo za kmetijstvo, gozdarstvo in prehrano</w:t>
      </w:r>
      <w:r w:rsidR="00677F54" w:rsidRPr="00D050E9">
        <w:rPr>
          <w:rFonts w:asciiTheme="minorHAnsi" w:hAnsiTheme="minorHAnsi"/>
        </w:rPr>
        <w:t xml:space="preserve"> </w:t>
      </w:r>
      <w:r w:rsidRPr="00D050E9">
        <w:rPr>
          <w:rFonts w:asciiTheme="minorHAnsi" w:hAnsiTheme="minorHAnsi"/>
        </w:rPr>
        <w:t xml:space="preserve">je izplačalo skoraj 10 mio EUR ali </w:t>
      </w:r>
      <w:r w:rsidR="00416A08" w:rsidRPr="00D050E9">
        <w:rPr>
          <w:rFonts w:asciiTheme="minorHAnsi" w:hAnsiTheme="minorHAnsi"/>
          <w:b/>
        </w:rPr>
        <w:t>2,3 %</w:t>
      </w:r>
      <w:r w:rsidR="00416A08" w:rsidRPr="00D050E9">
        <w:rPr>
          <w:rFonts w:asciiTheme="minorHAnsi" w:hAnsiTheme="minorHAnsi"/>
        </w:rPr>
        <w:t xml:space="preserve"> vseh pomoči (5,4 % 2015–2017). </w:t>
      </w:r>
      <w:r w:rsidR="00677F54" w:rsidRPr="00D050E9">
        <w:rPr>
          <w:rFonts w:asciiTheme="minorHAnsi" w:hAnsiTheme="minorHAnsi"/>
        </w:rPr>
        <w:t xml:space="preserve"> </w:t>
      </w:r>
    </w:p>
    <w:p w:rsidR="007D4027" w:rsidRPr="00D050E9" w:rsidRDefault="00840785" w:rsidP="00840785">
      <w:pPr>
        <w:pStyle w:val="Caption"/>
        <w:rPr>
          <w:color w:val="auto"/>
        </w:rPr>
      </w:pPr>
      <w:bookmarkStart w:id="39" w:name="_Toc530654590"/>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6</w:t>
      </w:r>
      <w:r w:rsidRPr="00D050E9">
        <w:rPr>
          <w:color w:val="auto"/>
        </w:rPr>
        <w:fldChar w:fldCharType="end"/>
      </w:r>
      <w:r w:rsidRPr="00D050E9">
        <w:rPr>
          <w:color w:val="auto"/>
        </w:rPr>
        <w:t xml:space="preserve">: </w:t>
      </w:r>
      <w:r w:rsidR="007D4027" w:rsidRPr="00D050E9">
        <w:rPr>
          <w:color w:val="auto"/>
        </w:rPr>
        <w:t>Največji dajalci pomoči v Sloveniji, razvrščeno po obsegu pomoči v letu 2017</w:t>
      </w:r>
      <w:bookmarkEnd w:id="39"/>
    </w:p>
    <w:p w:rsidR="00840785" w:rsidRPr="00D050E9" w:rsidRDefault="00840785" w:rsidP="00840785">
      <w:pPr>
        <w:spacing w:after="0"/>
        <w:rPr>
          <w:lang w:bidi="hi-IN"/>
        </w:rPr>
      </w:pPr>
    </w:p>
    <w:tbl>
      <w:tblPr>
        <w:tblStyle w:val="LightGrid-Accent5"/>
        <w:tblW w:w="4858" w:type="pct"/>
        <w:tblLook w:val="04A0" w:firstRow="1" w:lastRow="0" w:firstColumn="1" w:lastColumn="0" w:noHBand="0" w:noVBand="1"/>
      </w:tblPr>
      <w:tblGrid>
        <w:gridCol w:w="4047"/>
        <w:gridCol w:w="1032"/>
        <w:gridCol w:w="1032"/>
        <w:gridCol w:w="1032"/>
        <w:gridCol w:w="921"/>
        <w:gridCol w:w="1069"/>
      </w:tblGrid>
      <w:tr w:rsidR="0064025B" w:rsidRPr="00D050E9" w:rsidTr="00CF74D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noWrap/>
            <w:hideMark/>
          </w:tcPr>
          <w:p w:rsidR="0064025B" w:rsidRPr="00D050E9" w:rsidRDefault="0064025B" w:rsidP="0064025B">
            <w:pPr>
              <w:jc w:val="center"/>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Dajalec pomoči</w:t>
            </w:r>
          </w:p>
        </w:tc>
        <w:tc>
          <w:tcPr>
            <w:tcW w:w="565" w:type="pct"/>
            <w:noWrap/>
            <w:hideMark/>
          </w:tcPr>
          <w:p w:rsidR="0064025B" w:rsidRPr="00D050E9" w:rsidRDefault="0064025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2015</w:t>
            </w:r>
          </w:p>
          <w:p w:rsidR="00064BDB" w:rsidRPr="00D050E9" w:rsidRDefault="00064BD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 mio EUR</w:t>
            </w:r>
          </w:p>
        </w:tc>
        <w:tc>
          <w:tcPr>
            <w:tcW w:w="565" w:type="pct"/>
            <w:noWrap/>
            <w:hideMark/>
          </w:tcPr>
          <w:p w:rsidR="0064025B" w:rsidRPr="00D050E9" w:rsidRDefault="0064025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2016</w:t>
            </w:r>
          </w:p>
          <w:p w:rsidR="00064BDB" w:rsidRPr="00D050E9" w:rsidRDefault="00064BD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 mio EUR</w:t>
            </w:r>
          </w:p>
        </w:tc>
        <w:tc>
          <w:tcPr>
            <w:tcW w:w="565" w:type="pct"/>
            <w:noWrap/>
            <w:hideMark/>
          </w:tcPr>
          <w:p w:rsidR="0064025B" w:rsidRPr="00D050E9" w:rsidRDefault="0064025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p w:rsidR="00064BDB" w:rsidRPr="00D050E9" w:rsidRDefault="00064BD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 mio EUR</w:t>
            </w:r>
          </w:p>
        </w:tc>
        <w:tc>
          <w:tcPr>
            <w:tcW w:w="504" w:type="pct"/>
            <w:hideMark/>
          </w:tcPr>
          <w:p w:rsidR="0064025B" w:rsidRPr="00D050E9" w:rsidRDefault="0064025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Delež 2017</w:t>
            </w:r>
          </w:p>
        </w:tc>
        <w:tc>
          <w:tcPr>
            <w:tcW w:w="587" w:type="pct"/>
            <w:hideMark/>
          </w:tcPr>
          <w:p w:rsidR="0064025B" w:rsidRPr="00D050E9" w:rsidRDefault="0064025B" w:rsidP="006402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Delež</w:t>
            </w:r>
            <w:r w:rsidRPr="00D050E9">
              <w:rPr>
                <w:rFonts w:ascii="Calibri" w:eastAsia="Times New Roman" w:hAnsi="Calibri" w:cs="Arial"/>
                <w:color w:val="000000"/>
                <w:sz w:val="19"/>
                <w:szCs w:val="19"/>
                <w:lang w:eastAsia="sl-SI"/>
              </w:rPr>
              <w:br/>
              <w:t>2015-2017</w:t>
            </w:r>
          </w:p>
        </w:tc>
      </w:tr>
      <w:tr w:rsidR="0064025B" w:rsidRPr="00D050E9" w:rsidTr="00CF74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infrastrukturo</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200,03</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209,45</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227,77</w:t>
            </w:r>
          </w:p>
        </w:tc>
        <w:tc>
          <w:tcPr>
            <w:tcW w:w="504"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53,3%</w:t>
            </w:r>
          </w:p>
        </w:tc>
        <w:tc>
          <w:tcPr>
            <w:tcW w:w="587"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47,0%</w:t>
            </w:r>
          </w:p>
        </w:tc>
      </w:tr>
      <w:tr w:rsidR="0064025B" w:rsidRPr="00D050E9" w:rsidTr="00CF7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delo, družino, socialne zadeve in enake možnosti</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92,95</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89,10</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97,29</w:t>
            </w:r>
          </w:p>
        </w:tc>
        <w:tc>
          <w:tcPr>
            <w:tcW w:w="504"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22,8%</w:t>
            </w:r>
          </w:p>
        </w:tc>
        <w:tc>
          <w:tcPr>
            <w:tcW w:w="587"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20,6%</w:t>
            </w:r>
          </w:p>
        </w:tc>
      </w:tr>
      <w:tr w:rsidR="0064025B" w:rsidRPr="00D050E9" w:rsidTr="00CF74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gospodarski razvoj in tehnologijo</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40,10</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18,68</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25,91</w:t>
            </w:r>
          </w:p>
        </w:tc>
        <w:tc>
          <w:tcPr>
            <w:tcW w:w="504"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6,1%</w:t>
            </w:r>
          </w:p>
        </w:tc>
        <w:tc>
          <w:tcPr>
            <w:tcW w:w="587"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6,2%</w:t>
            </w:r>
          </w:p>
        </w:tc>
      </w:tr>
      <w:tr w:rsidR="0064025B" w:rsidRPr="00D050E9" w:rsidTr="00CF7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izobraževanje, znanost in šport</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1,21</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18,12</w:t>
            </w:r>
          </w:p>
        </w:tc>
        <w:tc>
          <w:tcPr>
            <w:tcW w:w="504"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4,2%</w:t>
            </w:r>
          </w:p>
        </w:tc>
        <w:tc>
          <w:tcPr>
            <w:tcW w:w="587"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1,4%</w:t>
            </w:r>
          </w:p>
        </w:tc>
      </w:tr>
      <w:tr w:rsidR="0064025B" w:rsidRPr="00D050E9" w:rsidTr="00CF74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okolje in prostor</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27,60</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22,17</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15,63</w:t>
            </w:r>
          </w:p>
        </w:tc>
        <w:tc>
          <w:tcPr>
            <w:tcW w:w="504"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3,7%</w:t>
            </w:r>
          </w:p>
        </w:tc>
        <w:tc>
          <w:tcPr>
            <w:tcW w:w="587"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4,8%</w:t>
            </w:r>
          </w:p>
        </w:tc>
      </w:tr>
      <w:tr w:rsidR="0064025B" w:rsidRPr="00D050E9" w:rsidTr="00CF7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kmetijstvo, gozdarstvo in prehrano</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60,05</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3,46</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9,97</w:t>
            </w:r>
          </w:p>
        </w:tc>
        <w:tc>
          <w:tcPr>
            <w:tcW w:w="504"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2,3%</w:t>
            </w:r>
          </w:p>
        </w:tc>
        <w:tc>
          <w:tcPr>
            <w:tcW w:w="587"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5,4%</w:t>
            </w:r>
          </w:p>
        </w:tc>
      </w:tr>
      <w:tr w:rsidR="0064025B" w:rsidRPr="00D050E9" w:rsidTr="00CF74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Javna agenc</w:t>
            </w:r>
            <w:r w:rsidR="002A5930">
              <w:rPr>
                <w:rFonts w:ascii="Calibri" w:eastAsia="Times New Roman" w:hAnsi="Calibri" w:cs="Arial"/>
                <w:b w:val="0"/>
                <w:color w:val="000000"/>
                <w:sz w:val="19"/>
                <w:szCs w:val="19"/>
                <w:lang w:eastAsia="sl-SI"/>
              </w:rPr>
              <w:t>ija za raziskovalno dejavnost RS</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7,65</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8,20</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6,66</w:t>
            </w:r>
          </w:p>
        </w:tc>
        <w:tc>
          <w:tcPr>
            <w:tcW w:w="504"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1,6%</w:t>
            </w:r>
          </w:p>
        </w:tc>
        <w:tc>
          <w:tcPr>
            <w:tcW w:w="587"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1,7%</w:t>
            </w:r>
          </w:p>
        </w:tc>
      </w:tr>
      <w:tr w:rsidR="0064025B" w:rsidRPr="00D050E9" w:rsidTr="00CF7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4025B"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SID - Slovenska izvozna in razvojna banka, d.d., Ljubljana</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37,17</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1,41</w:t>
            </w:r>
          </w:p>
        </w:tc>
        <w:tc>
          <w:tcPr>
            <w:tcW w:w="565"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0,04</w:t>
            </w:r>
          </w:p>
        </w:tc>
        <w:tc>
          <w:tcPr>
            <w:tcW w:w="504"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w:t>
            </w:r>
          </w:p>
        </w:tc>
        <w:tc>
          <w:tcPr>
            <w:tcW w:w="587" w:type="pct"/>
            <w:noWrap/>
            <w:hideMark/>
          </w:tcPr>
          <w:p w:rsidR="0064025B" w:rsidRPr="00D050E9" w:rsidRDefault="0064025B" w:rsidP="0064025B">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2,8%</w:t>
            </w:r>
          </w:p>
        </w:tc>
      </w:tr>
      <w:tr w:rsidR="0064025B" w:rsidRPr="00D050E9" w:rsidTr="00CF74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hideMark/>
          </w:tcPr>
          <w:p w:rsidR="0064025B" w:rsidRPr="00D050E9" w:rsidRDefault="0067287D"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Ministrstvo za finance</w:t>
            </w:r>
          </w:p>
        </w:tc>
        <w:tc>
          <w:tcPr>
            <w:tcW w:w="565"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61,82</w:t>
            </w:r>
          </w:p>
        </w:tc>
        <w:tc>
          <w:tcPr>
            <w:tcW w:w="565" w:type="pct"/>
            <w:noWrap/>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p>
        </w:tc>
        <w:tc>
          <w:tcPr>
            <w:tcW w:w="565" w:type="pct"/>
            <w:noWrap/>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p>
        </w:tc>
        <w:tc>
          <w:tcPr>
            <w:tcW w:w="504"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w:t>
            </w:r>
          </w:p>
        </w:tc>
        <w:tc>
          <w:tcPr>
            <w:tcW w:w="587" w:type="pct"/>
            <w:noWrap/>
            <w:hideMark/>
          </w:tcPr>
          <w:p w:rsidR="0064025B" w:rsidRPr="00D050E9" w:rsidRDefault="0064025B" w:rsidP="0064025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4,6%</w:t>
            </w:r>
          </w:p>
        </w:tc>
      </w:tr>
      <w:tr w:rsidR="00E57C60" w:rsidRPr="00D050E9" w:rsidTr="00CF7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6" w:type="pct"/>
          </w:tcPr>
          <w:p w:rsidR="00E57C60" w:rsidRPr="00D050E9" w:rsidRDefault="00E57C60" w:rsidP="0064025B">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Drugi dajalci</w:t>
            </w:r>
          </w:p>
        </w:tc>
        <w:tc>
          <w:tcPr>
            <w:tcW w:w="565" w:type="pct"/>
            <w:noWrap/>
          </w:tcPr>
          <w:p w:rsidR="00E57C60" w:rsidRPr="00D050E9" w:rsidRDefault="00E57C60"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9"/>
                <w:szCs w:val="19"/>
                <w:lang w:eastAsia="sl-SI"/>
              </w:rPr>
            </w:pPr>
            <w:r w:rsidRPr="00D050E9">
              <w:rPr>
                <w:rFonts w:ascii="Calibri" w:eastAsia="Times New Roman" w:hAnsi="Calibri" w:cs="Arial"/>
                <w:bCs/>
                <w:color w:val="000000"/>
                <w:sz w:val="19"/>
                <w:szCs w:val="19"/>
                <w:lang w:eastAsia="sl-SI"/>
              </w:rPr>
              <w:t>32,21</w:t>
            </w:r>
          </w:p>
        </w:tc>
        <w:tc>
          <w:tcPr>
            <w:tcW w:w="565" w:type="pct"/>
            <w:noWrap/>
          </w:tcPr>
          <w:p w:rsidR="00E57C60" w:rsidRPr="00D050E9" w:rsidRDefault="00E57C60"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9"/>
                <w:szCs w:val="19"/>
                <w:lang w:eastAsia="sl-SI"/>
              </w:rPr>
            </w:pPr>
            <w:r w:rsidRPr="00D050E9">
              <w:rPr>
                <w:rFonts w:ascii="Calibri" w:eastAsia="Times New Roman" w:hAnsi="Calibri" w:cs="Arial"/>
                <w:bCs/>
                <w:color w:val="000000"/>
                <w:sz w:val="19"/>
                <w:szCs w:val="19"/>
                <w:lang w:eastAsia="sl-SI"/>
              </w:rPr>
              <w:t>29,69</w:t>
            </w:r>
          </w:p>
        </w:tc>
        <w:tc>
          <w:tcPr>
            <w:tcW w:w="565" w:type="pct"/>
            <w:noWrap/>
          </w:tcPr>
          <w:p w:rsidR="00E57C60" w:rsidRPr="00D050E9" w:rsidRDefault="00E57C60"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9"/>
                <w:szCs w:val="19"/>
                <w:lang w:eastAsia="sl-SI"/>
              </w:rPr>
            </w:pPr>
            <w:r w:rsidRPr="00D050E9">
              <w:rPr>
                <w:rFonts w:ascii="Calibri" w:eastAsia="Times New Roman" w:hAnsi="Calibri" w:cs="Arial"/>
                <w:bCs/>
                <w:color w:val="000000"/>
                <w:sz w:val="19"/>
                <w:szCs w:val="19"/>
                <w:lang w:eastAsia="sl-SI"/>
              </w:rPr>
              <w:t>31,83</w:t>
            </w:r>
          </w:p>
        </w:tc>
        <w:tc>
          <w:tcPr>
            <w:tcW w:w="504" w:type="pct"/>
            <w:noWrap/>
          </w:tcPr>
          <w:p w:rsidR="00E57C60" w:rsidRPr="00D050E9" w:rsidRDefault="00E57C60"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9"/>
                <w:szCs w:val="19"/>
                <w:lang w:eastAsia="sl-SI"/>
              </w:rPr>
            </w:pPr>
            <w:r w:rsidRPr="00D050E9">
              <w:rPr>
                <w:rFonts w:ascii="Calibri" w:eastAsia="Times New Roman" w:hAnsi="Calibri" w:cs="Arial"/>
                <w:bCs/>
                <w:color w:val="000000"/>
                <w:sz w:val="19"/>
                <w:szCs w:val="19"/>
                <w:lang w:eastAsia="sl-SI"/>
              </w:rPr>
              <w:t>7,4%</w:t>
            </w:r>
          </w:p>
        </w:tc>
        <w:tc>
          <w:tcPr>
            <w:tcW w:w="587" w:type="pct"/>
            <w:noWrap/>
          </w:tcPr>
          <w:p w:rsidR="00E57C60" w:rsidRPr="00D050E9" w:rsidRDefault="00E57C60"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9"/>
                <w:szCs w:val="19"/>
                <w:lang w:eastAsia="sl-SI"/>
              </w:rPr>
            </w:pPr>
            <w:r w:rsidRPr="00D050E9">
              <w:rPr>
                <w:rFonts w:ascii="Calibri" w:eastAsia="Times New Roman" w:hAnsi="Calibri" w:cs="Arial"/>
                <w:bCs/>
                <w:color w:val="000000"/>
                <w:sz w:val="19"/>
                <w:szCs w:val="19"/>
                <w:lang w:eastAsia="sl-SI"/>
              </w:rPr>
              <w:t>7,0%</w:t>
            </w:r>
          </w:p>
        </w:tc>
      </w:tr>
    </w:tbl>
    <w:p w:rsidR="00D82F9B" w:rsidRDefault="00D82F9B" w:rsidP="007D4027">
      <w:pPr>
        <w:spacing w:line="276" w:lineRule="auto"/>
        <w:rPr>
          <w:rFonts w:asciiTheme="minorHAnsi" w:hAnsiTheme="minorHAnsi"/>
        </w:rPr>
      </w:pPr>
    </w:p>
    <w:p w:rsidR="007D4027" w:rsidRPr="00D050E9" w:rsidRDefault="002A5930" w:rsidP="007D4027">
      <w:pPr>
        <w:spacing w:line="276" w:lineRule="auto"/>
        <w:rPr>
          <w:rFonts w:asciiTheme="minorHAnsi" w:hAnsiTheme="minorHAnsi"/>
        </w:rPr>
      </w:pPr>
      <w:r>
        <w:rPr>
          <w:rFonts w:asciiTheme="minorHAnsi" w:hAnsiTheme="minorHAnsi"/>
        </w:rPr>
        <w:t xml:space="preserve">Devet največjih </w:t>
      </w:r>
      <w:r w:rsidR="007D4027" w:rsidRPr="00D050E9">
        <w:rPr>
          <w:rFonts w:asciiTheme="minorHAnsi" w:hAnsiTheme="minorHAnsi"/>
        </w:rPr>
        <w:t>dajalc</w:t>
      </w:r>
      <w:r>
        <w:rPr>
          <w:rFonts w:asciiTheme="minorHAnsi" w:hAnsiTheme="minorHAnsi"/>
        </w:rPr>
        <w:t>ev</w:t>
      </w:r>
      <w:r w:rsidR="007D4027" w:rsidRPr="00D050E9">
        <w:rPr>
          <w:rFonts w:asciiTheme="minorHAnsi" w:hAnsiTheme="minorHAnsi"/>
        </w:rPr>
        <w:t xml:space="preserve"> pomoči</w:t>
      </w:r>
      <w:r>
        <w:rPr>
          <w:rFonts w:asciiTheme="minorHAnsi" w:hAnsiTheme="minorHAnsi"/>
        </w:rPr>
        <w:t xml:space="preserve"> (tj. dajalci, </w:t>
      </w:r>
      <w:r w:rsidR="007D4027" w:rsidRPr="00D050E9">
        <w:rPr>
          <w:rFonts w:asciiTheme="minorHAnsi" w:hAnsiTheme="minorHAnsi"/>
        </w:rPr>
        <w:t>ki so dodelili vsaj 1 % vseh pomoči v 2015–2017</w:t>
      </w:r>
      <w:r>
        <w:rPr>
          <w:rFonts w:asciiTheme="minorHAnsi" w:hAnsiTheme="minorHAnsi"/>
        </w:rPr>
        <w:t>)</w:t>
      </w:r>
      <w:r w:rsidR="007D4027" w:rsidRPr="00D050E9">
        <w:rPr>
          <w:rFonts w:asciiTheme="minorHAnsi" w:hAnsiTheme="minorHAnsi"/>
        </w:rPr>
        <w:t xml:space="preserve">, </w:t>
      </w:r>
      <w:r>
        <w:rPr>
          <w:rFonts w:asciiTheme="minorHAnsi" w:hAnsiTheme="minorHAnsi"/>
        </w:rPr>
        <w:t>je izplačalo 95</w:t>
      </w:r>
      <w:r w:rsidR="007D4027" w:rsidRPr="00D050E9">
        <w:rPr>
          <w:rFonts w:asciiTheme="minorHAnsi" w:hAnsiTheme="minorHAnsi"/>
        </w:rPr>
        <w:t xml:space="preserve"> % vseh pomoči v Sloveniji v tem obdobju. </w:t>
      </w:r>
    </w:p>
    <w:p w:rsidR="007D4027" w:rsidRPr="00D050E9" w:rsidRDefault="00E57C60" w:rsidP="00704A1C">
      <w:pPr>
        <w:spacing w:line="276" w:lineRule="auto"/>
        <w:rPr>
          <w:rFonts w:asciiTheme="minorHAnsi" w:hAnsiTheme="minorHAnsi"/>
          <w:highlight w:val="yellow"/>
        </w:rPr>
      </w:pPr>
      <w:r w:rsidRPr="00D050E9">
        <w:rPr>
          <w:rFonts w:asciiTheme="minorHAnsi" w:hAnsiTheme="minorHAnsi"/>
        </w:rPr>
        <w:t>P</w:t>
      </w:r>
      <w:r w:rsidR="00E112AC" w:rsidRPr="00D050E9">
        <w:rPr>
          <w:rFonts w:asciiTheme="minorHAnsi" w:hAnsiTheme="minorHAnsi"/>
        </w:rPr>
        <w:t>odrobnejši p</w:t>
      </w:r>
      <w:r w:rsidRPr="00D050E9">
        <w:rPr>
          <w:rFonts w:asciiTheme="minorHAnsi" w:hAnsiTheme="minorHAnsi"/>
        </w:rPr>
        <w:t>regled največjih dajalcev pomoči po kategorijah pomoči, ki so jih dodeljevali, je v prilogi P4.</w:t>
      </w:r>
    </w:p>
    <w:p w:rsidR="007D4027" w:rsidRPr="00D050E9" w:rsidRDefault="007D4027">
      <w:pPr>
        <w:spacing w:line="276" w:lineRule="auto"/>
        <w:jc w:val="left"/>
        <w:rPr>
          <w:rFonts w:asciiTheme="minorHAnsi" w:hAnsiTheme="minorHAnsi"/>
          <w:highlight w:val="yellow"/>
        </w:rPr>
      </w:pPr>
      <w:r w:rsidRPr="00D050E9">
        <w:rPr>
          <w:rFonts w:asciiTheme="minorHAnsi" w:hAnsiTheme="minorHAnsi"/>
          <w:highlight w:val="yellow"/>
        </w:rPr>
        <w:br w:type="page"/>
      </w:r>
    </w:p>
    <w:p w:rsidR="00191728" w:rsidRPr="00D050E9" w:rsidRDefault="00191728" w:rsidP="00C93FA7">
      <w:pPr>
        <w:pStyle w:val="Heading1"/>
        <w:numPr>
          <w:ilvl w:val="0"/>
          <w:numId w:val="16"/>
        </w:numPr>
      </w:pPr>
      <w:bookmarkStart w:id="40" w:name="_Toc530654542"/>
      <w:r w:rsidRPr="00D050E9">
        <w:lastRenderedPageBreak/>
        <w:t>PRIMERJAVA Z DRŽAVAMI ČLANICAMI EU</w:t>
      </w:r>
      <w:bookmarkEnd w:id="40"/>
    </w:p>
    <w:p w:rsidR="000277E4" w:rsidRPr="00D050E9" w:rsidRDefault="000277E4" w:rsidP="000277E4">
      <w:pPr>
        <w:pStyle w:val="Naslov1"/>
        <w:ind w:firstLine="0"/>
      </w:pPr>
    </w:p>
    <w:p w:rsidR="00191728" w:rsidRPr="00D050E9" w:rsidRDefault="000277E4" w:rsidP="00E72379">
      <w:pPr>
        <w:pStyle w:val="Heading2"/>
      </w:pPr>
      <w:bookmarkStart w:id="41" w:name="_Toc528594649"/>
      <w:bookmarkStart w:id="42" w:name="_Toc530654543"/>
      <w:r w:rsidRPr="00D050E9">
        <w:t xml:space="preserve">2.1 </w:t>
      </w:r>
      <w:r w:rsidR="00191728" w:rsidRPr="00D050E9">
        <w:t>OBSEG DRŽAVNIH POMOČI V DRŽAVAH EU V OBDOBJU 2014–2016</w:t>
      </w:r>
      <w:bookmarkEnd w:id="41"/>
      <w:bookmarkEnd w:id="42"/>
    </w:p>
    <w:p w:rsidR="000277E4" w:rsidRPr="00D050E9" w:rsidRDefault="000277E4" w:rsidP="000277E4">
      <w:pPr>
        <w:spacing w:after="0"/>
      </w:pPr>
    </w:p>
    <w:p w:rsidR="006824A5" w:rsidRPr="00D050E9" w:rsidRDefault="00E6026D" w:rsidP="006824A5">
      <w:pPr>
        <w:spacing w:line="276" w:lineRule="auto"/>
        <w:rPr>
          <w:rFonts w:asciiTheme="minorHAnsi" w:hAnsiTheme="minorHAnsi"/>
        </w:rPr>
      </w:pPr>
      <w:r w:rsidRPr="00D050E9">
        <w:rPr>
          <w:rFonts w:asciiTheme="minorHAnsi" w:hAnsiTheme="minorHAnsi"/>
        </w:rPr>
        <w:t>V letu 2016</w:t>
      </w:r>
      <w:r w:rsidR="006824A5" w:rsidRPr="00D050E9">
        <w:rPr>
          <w:rFonts w:asciiTheme="minorHAnsi" w:hAnsiTheme="minorHAnsi"/>
        </w:rPr>
        <w:t xml:space="preserve"> je bilo v EU </w:t>
      </w:r>
      <w:r w:rsidRPr="00D050E9">
        <w:rPr>
          <w:rFonts w:asciiTheme="minorHAnsi" w:hAnsiTheme="minorHAnsi"/>
        </w:rPr>
        <w:t xml:space="preserve">izplačanih </w:t>
      </w:r>
      <w:r w:rsidRPr="00D050E9">
        <w:rPr>
          <w:rFonts w:asciiTheme="minorHAnsi" w:hAnsiTheme="minorHAnsi"/>
          <w:b/>
        </w:rPr>
        <w:t xml:space="preserve">104,87 mrd </w:t>
      </w:r>
      <w:r w:rsidR="006824A5" w:rsidRPr="00D050E9">
        <w:rPr>
          <w:rFonts w:asciiTheme="minorHAnsi" w:hAnsiTheme="minorHAnsi"/>
          <w:b/>
        </w:rPr>
        <w:t>EUR</w:t>
      </w:r>
      <w:r w:rsidR="006824A5" w:rsidRPr="00D050E9">
        <w:rPr>
          <w:rFonts w:asciiTheme="minorHAnsi" w:hAnsiTheme="minorHAnsi"/>
        </w:rPr>
        <w:t xml:space="preserve"> državnih pomoči, kar</w:t>
      </w:r>
      <w:r w:rsidR="003237DB" w:rsidRPr="00D050E9">
        <w:rPr>
          <w:rFonts w:asciiTheme="minorHAnsi" w:hAnsiTheme="minorHAnsi"/>
        </w:rPr>
        <w:t xml:space="preserve"> je 2,6 mrd EUR ali </w:t>
      </w:r>
      <w:r w:rsidR="00055767" w:rsidRPr="00D050E9">
        <w:rPr>
          <w:rFonts w:asciiTheme="minorHAnsi" w:hAnsiTheme="minorHAnsi"/>
        </w:rPr>
        <w:t>2,6</w:t>
      </w:r>
      <w:r w:rsidR="003237DB" w:rsidRPr="00D050E9">
        <w:rPr>
          <w:rFonts w:asciiTheme="minorHAnsi" w:hAnsiTheme="minorHAnsi"/>
        </w:rPr>
        <w:t xml:space="preserve"> </w:t>
      </w:r>
      <w:r w:rsidR="00055767" w:rsidRPr="00D050E9">
        <w:rPr>
          <w:rFonts w:asciiTheme="minorHAnsi" w:hAnsiTheme="minorHAnsi"/>
        </w:rPr>
        <w:t xml:space="preserve">% več kot v letu 2015. Državne pomoči so </w:t>
      </w:r>
      <w:r w:rsidR="006824A5" w:rsidRPr="00D050E9">
        <w:rPr>
          <w:rFonts w:asciiTheme="minorHAnsi" w:hAnsiTheme="minorHAnsi"/>
        </w:rPr>
        <w:t>pr</w:t>
      </w:r>
      <w:r w:rsidR="00055767" w:rsidRPr="00D050E9">
        <w:rPr>
          <w:rFonts w:asciiTheme="minorHAnsi" w:hAnsiTheme="minorHAnsi"/>
        </w:rPr>
        <w:t>edstavljale</w:t>
      </w:r>
      <w:r w:rsidR="006824A5" w:rsidRPr="00D050E9">
        <w:rPr>
          <w:rFonts w:asciiTheme="minorHAnsi" w:hAnsiTheme="minorHAnsi"/>
        </w:rPr>
        <w:t xml:space="preserve"> </w:t>
      </w:r>
      <w:r w:rsidR="00055767" w:rsidRPr="00D050E9">
        <w:rPr>
          <w:rFonts w:asciiTheme="minorHAnsi" w:hAnsiTheme="minorHAnsi"/>
          <w:b/>
        </w:rPr>
        <w:t>0,70</w:t>
      </w:r>
      <w:r w:rsidR="006824A5" w:rsidRPr="00D050E9">
        <w:rPr>
          <w:rFonts w:asciiTheme="minorHAnsi" w:hAnsiTheme="minorHAnsi"/>
          <w:b/>
        </w:rPr>
        <w:t xml:space="preserve"> % BDP EU-28</w:t>
      </w:r>
      <w:r w:rsidR="00D046C4" w:rsidRPr="00D050E9">
        <w:rPr>
          <w:rFonts w:asciiTheme="minorHAnsi" w:hAnsiTheme="minorHAnsi"/>
        </w:rPr>
        <w:t>, kar je na ravni</w:t>
      </w:r>
      <w:r w:rsidR="003237DB" w:rsidRPr="00D050E9">
        <w:rPr>
          <w:rFonts w:asciiTheme="minorHAnsi" w:hAnsiTheme="minorHAnsi"/>
        </w:rPr>
        <w:t xml:space="preserve"> predhodnih dveh let (</w:t>
      </w:r>
      <w:r w:rsidR="00D046C4" w:rsidRPr="00D050E9">
        <w:rPr>
          <w:rFonts w:asciiTheme="minorHAnsi" w:hAnsiTheme="minorHAnsi"/>
        </w:rPr>
        <w:t>0,69 % v letu 2015, 0,71 % v letu 2014)</w:t>
      </w:r>
      <w:r w:rsidR="00D046C4" w:rsidRPr="00D050E9">
        <w:rPr>
          <w:rStyle w:val="FootnoteReference"/>
          <w:rFonts w:asciiTheme="minorHAnsi" w:hAnsiTheme="minorHAnsi"/>
        </w:rPr>
        <w:footnoteReference w:id="9"/>
      </w:r>
      <w:r w:rsidR="00D046C4" w:rsidRPr="00D050E9">
        <w:rPr>
          <w:rFonts w:asciiTheme="minorHAnsi" w:hAnsiTheme="minorHAnsi"/>
        </w:rPr>
        <w:t xml:space="preserve">. </w:t>
      </w:r>
    </w:p>
    <w:p w:rsidR="00207F34" w:rsidRPr="00D050E9" w:rsidRDefault="00F970D8" w:rsidP="00F970D8">
      <w:pPr>
        <w:pStyle w:val="Caption"/>
        <w:rPr>
          <w:color w:val="auto"/>
        </w:rPr>
      </w:pPr>
      <w:bookmarkStart w:id="43" w:name="_Toc530654630"/>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15</w:t>
      </w:r>
      <w:r w:rsidRPr="00D050E9">
        <w:rPr>
          <w:color w:val="auto"/>
        </w:rPr>
        <w:fldChar w:fldCharType="end"/>
      </w:r>
      <w:r w:rsidRPr="00D050E9">
        <w:rPr>
          <w:color w:val="auto"/>
        </w:rPr>
        <w:t xml:space="preserve">: </w:t>
      </w:r>
      <w:r w:rsidR="00EA1A67" w:rsidRPr="00D050E9">
        <w:rPr>
          <w:color w:val="auto"/>
        </w:rPr>
        <w:t>Državne pomoči v državah</w:t>
      </w:r>
      <w:r w:rsidR="0079144D" w:rsidRPr="00D050E9">
        <w:rPr>
          <w:color w:val="auto"/>
        </w:rPr>
        <w:t xml:space="preserve"> EU v mio EUR in kot % BDP, 2007–2016</w:t>
      </w:r>
      <w:bookmarkEnd w:id="43"/>
    </w:p>
    <w:p w:rsidR="00055767" w:rsidRPr="00D050E9" w:rsidRDefault="00055767" w:rsidP="001D399B">
      <w:pPr>
        <w:spacing w:line="276" w:lineRule="auto"/>
        <w:rPr>
          <w:rFonts w:asciiTheme="minorHAnsi" w:hAnsiTheme="minorHAnsi"/>
        </w:rPr>
      </w:pPr>
      <w:r w:rsidRPr="00D050E9">
        <w:rPr>
          <w:noProof/>
          <w:lang w:eastAsia="sl-SI"/>
        </w:rPr>
        <w:drawing>
          <wp:inline distT="0" distB="0" distL="0" distR="0" wp14:anchorId="12973271" wp14:editId="4D76CC14">
            <wp:extent cx="5928360" cy="320802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13328" w:rsidRPr="00D050E9" w:rsidRDefault="001132F2" w:rsidP="001D399B">
      <w:pPr>
        <w:spacing w:line="276" w:lineRule="auto"/>
        <w:rPr>
          <w:rFonts w:asciiTheme="minorHAnsi" w:hAnsiTheme="minorHAnsi"/>
        </w:rPr>
      </w:pPr>
      <w:r w:rsidRPr="00D050E9">
        <w:rPr>
          <w:rFonts w:asciiTheme="minorHAnsi" w:hAnsiTheme="minorHAnsi"/>
        </w:rPr>
        <w:t>Obseg in delež državnih pomoči v BDP po posameznih državah članicah EU je zelo različen</w:t>
      </w:r>
      <w:r w:rsidR="00313328" w:rsidRPr="00D050E9">
        <w:rPr>
          <w:rFonts w:asciiTheme="minorHAnsi" w:hAnsiTheme="minorHAnsi"/>
        </w:rPr>
        <w:t xml:space="preserve">. </w:t>
      </w:r>
      <w:r w:rsidRPr="00D050E9">
        <w:rPr>
          <w:rFonts w:asciiTheme="minorHAnsi" w:hAnsiTheme="minorHAnsi"/>
        </w:rPr>
        <w:t xml:space="preserve">V letu 2016 </w:t>
      </w:r>
      <w:r w:rsidRPr="00C85348">
        <w:rPr>
          <w:rFonts w:asciiTheme="minorHAnsi" w:hAnsiTheme="minorHAnsi"/>
        </w:rPr>
        <w:t>se</w:t>
      </w:r>
      <w:r w:rsidR="00313328" w:rsidRPr="00C85348">
        <w:rPr>
          <w:rFonts w:asciiTheme="minorHAnsi" w:hAnsiTheme="minorHAnsi"/>
        </w:rPr>
        <w:t xml:space="preserve"> </w:t>
      </w:r>
      <w:r w:rsidR="007459F4" w:rsidRPr="00C85348">
        <w:rPr>
          <w:rFonts w:asciiTheme="minorHAnsi" w:hAnsiTheme="minorHAnsi"/>
        </w:rPr>
        <w:t xml:space="preserve">je </w:t>
      </w:r>
      <w:r w:rsidR="00313328" w:rsidRPr="00C85348">
        <w:rPr>
          <w:rFonts w:asciiTheme="minorHAnsi" w:hAnsiTheme="minorHAnsi"/>
        </w:rPr>
        <w:t>delež državnih pomoči v BDP</w:t>
      </w:r>
      <w:r w:rsidRPr="00C85348">
        <w:rPr>
          <w:rFonts w:asciiTheme="minorHAnsi" w:hAnsiTheme="minorHAnsi"/>
        </w:rPr>
        <w:t xml:space="preserve"> </w:t>
      </w:r>
      <w:r w:rsidR="003237DB" w:rsidRPr="00C85348">
        <w:rPr>
          <w:rFonts w:asciiTheme="minorHAnsi" w:hAnsiTheme="minorHAnsi"/>
        </w:rPr>
        <w:t xml:space="preserve">v članicah EU </w:t>
      </w:r>
      <w:r w:rsidRPr="00C85348">
        <w:rPr>
          <w:rFonts w:asciiTheme="minorHAnsi" w:hAnsiTheme="minorHAnsi"/>
        </w:rPr>
        <w:t>gibal od 0,2 % BDP na Irskem do 2,1 % BDP na</w:t>
      </w:r>
      <w:r w:rsidR="002F5B73" w:rsidRPr="00D050E9">
        <w:rPr>
          <w:rFonts w:asciiTheme="minorHAnsi" w:hAnsiTheme="minorHAnsi"/>
        </w:rPr>
        <w:t xml:space="preserve"> Madžarskem. V Sloveniji je </w:t>
      </w:r>
      <w:r w:rsidRPr="00D050E9">
        <w:rPr>
          <w:rFonts w:asciiTheme="minorHAnsi" w:hAnsiTheme="minorHAnsi"/>
        </w:rPr>
        <w:t xml:space="preserve">primerljiv delež državnih pomoči (brez pomoči </w:t>
      </w:r>
      <w:r w:rsidR="00313328" w:rsidRPr="00D050E9">
        <w:rPr>
          <w:rFonts w:asciiTheme="minorHAnsi" w:hAnsiTheme="minorHAnsi"/>
        </w:rPr>
        <w:t>za transport)</w:t>
      </w:r>
      <w:r w:rsidR="007D7B3D" w:rsidRPr="00D050E9">
        <w:rPr>
          <w:rFonts w:asciiTheme="minorHAnsi" w:hAnsiTheme="minorHAnsi"/>
        </w:rPr>
        <w:t xml:space="preserve"> po podatkih Komisije</w:t>
      </w:r>
      <w:r w:rsidR="00313328" w:rsidRPr="00D050E9">
        <w:rPr>
          <w:rFonts w:asciiTheme="minorHAnsi" w:hAnsiTheme="minorHAnsi"/>
        </w:rPr>
        <w:t xml:space="preserve"> znašal 0,76 % BDP, kar </w:t>
      </w:r>
      <w:r w:rsidR="007D7B3D" w:rsidRPr="00D050E9">
        <w:rPr>
          <w:rFonts w:asciiTheme="minorHAnsi" w:hAnsiTheme="minorHAnsi"/>
        </w:rPr>
        <w:t>Slovenijo uvršča blizu povprečja EU (11 držav je imelo večji delež</w:t>
      </w:r>
      <w:r w:rsidR="003237DB" w:rsidRPr="00D050E9">
        <w:rPr>
          <w:rFonts w:asciiTheme="minorHAnsi" w:hAnsiTheme="minorHAnsi"/>
        </w:rPr>
        <w:t xml:space="preserve"> pomoči v BDP, 16 držav pa nižjega)</w:t>
      </w:r>
      <w:r w:rsidR="00AF69B4">
        <w:rPr>
          <w:rFonts w:asciiTheme="minorHAnsi" w:hAnsiTheme="minorHAnsi"/>
        </w:rPr>
        <w:t>.</w:t>
      </w:r>
      <w:r w:rsidR="003237DB" w:rsidRPr="00D050E9">
        <w:rPr>
          <w:rFonts w:asciiTheme="minorHAnsi" w:hAnsiTheme="minorHAnsi"/>
        </w:rPr>
        <w:t xml:space="preserve"> </w:t>
      </w:r>
      <w:r w:rsidR="00313328" w:rsidRPr="00D050E9">
        <w:rPr>
          <w:rFonts w:asciiTheme="minorHAnsi" w:hAnsiTheme="minorHAnsi"/>
        </w:rPr>
        <w:t xml:space="preserve"> </w:t>
      </w:r>
    </w:p>
    <w:p w:rsidR="00313328" w:rsidRPr="00D050E9" w:rsidRDefault="00313328" w:rsidP="001D399B">
      <w:pPr>
        <w:spacing w:line="276" w:lineRule="auto"/>
        <w:rPr>
          <w:rFonts w:asciiTheme="minorHAnsi" w:hAnsiTheme="minorHAnsi"/>
        </w:rPr>
      </w:pPr>
    </w:p>
    <w:p w:rsidR="003237DB" w:rsidRPr="00D050E9" w:rsidRDefault="003237DB" w:rsidP="001D399B">
      <w:pPr>
        <w:spacing w:line="276" w:lineRule="auto"/>
        <w:rPr>
          <w:rFonts w:asciiTheme="minorHAnsi" w:hAnsiTheme="minorHAnsi"/>
        </w:rPr>
      </w:pPr>
    </w:p>
    <w:p w:rsidR="004932F1" w:rsidRPr="00D050E9" w:rsidRDefault="004932F1" w:rsidP="001D399B">
      <w:pPr>
        <w:spacing w:line="276" w:lineRule="auto"/>
        <w:rPr>
          <w:rFonts w:asciiTheme="minorHAnsi" w:hAnsiTheme="minorHAnsi"/>
        </w:rPr>
      </w:pPr>
    </w:p>
    <w:p w:rsidR="00F970D8" w:rsidRPr="00D050E9" w:rsidRDefault="00F970D8" w:rsidP="001D399B">
      <w:pPr>
        <w:spacing w:line="276" w:lineRule="auto"/>
        <w:rPr>
          <w:rFonts w:asciiTheme="minorHAnsi" w:hAnsiTheme="minorHAnsi"/>
        </w:rPr>
      </w:pPr>
    </w:p>
    <w:p w:rsidR="004932F1" w:rsidRPr="00D050E9" w:rsidRDefault="0014793B" w:rsidP="00F970D8">
      <w:pPr>
        <w:pStyle w:val="Caption"/>
        <w:rPr>
          <w:color w:val="auto"/>
        </w:rPr>
      </w:pPr>
      <w:bookmarkStart w:id="44" w:name="_Toc530654631"/>
      <w:r w:rsidRPr="00D050E9">
        <w:rPr>
          <w:color w:val="auto"/>
        </w:rPr>
        <w:lastRenderedPageBreak/>
        <w:t>S</w:t>
      </w:r>
      <w:r w:rsidR="00F970D8" w:rsidRPr="00D050E9">
        <w:rPr>
          <w:color w:val="auto"/>
        </w:rPr>
        <w:t xml:space="preserve">lika </w:t>
      </w:r>
      <w:r w:rsidR="00F970D8" w:rsidRPr="00D050E9">
        <w:rPr>
          <w:color w:val="auto"/>
        </w:rPr>
        <w:fldChar w:fldCharType="begin"/>
      </w:r>
      <w:r w:rsidR="00F970D8" w:rsidRPr="00D050E9">
        <w:rPr>
          <w:color w:val="auto"/>
        </w:rPr>
        <w:instrText xml:space="preserve"> SEQ Slika \* ARABIC </w:instrText>
      </w:r>
      <w:r w:rsidR="00F970D8" w:rsidRPr="00D050E9">
        <w:rPr>
          <w:color w:val="auto"/>
        </w:rPr>
        <w:fldChar w:fldCharType="separate"/>
      </w:r>
      <w:r w:rsidR="00745204">
        <w:rPr>
          <w:noProof/>
          <w:color w:val="auto"/>
        </w:rPr>
        <w:t>16</w:t>
      </w:r>
      <w:r w:rsidR="00F970D8" w:rsidRPr="00D050E9">
        <w:rPr>
          <w:color w:val="auto"/>
        </w:rPr>
        <w:fldChar w:fldCharType="end"/>
      </w:r>
      <w:r w:rsidR="00F970D8" w:rsidRPr="00D050E9">
        <w:rPr>
          <w:color w:val="auto"/>
        </w:rPr>
        <w:t xml:space="preserve">: </w:t>
      </w:r>
      <w:r w:rsidR="004932F1" w:rsidRPr="00D050E9">
        <w:rPr>
          <w:color w:val="auto"/>
        </w:rPr>
        <w:t>Državne pomoči v deležu BDP v državah EU, leto 2016</w:t>
      </w:r>
      <w:bookmarkEnd w:id="44"/>
    </w:p>
    <w:p w:rsidR="00F970D8" w:rsidRPr="00D050E9" w:rsidRDefault="00F970D8" w:rsidP="00F970D8">
      <w:pPr>
        <w:spacing w:after="0"/>
        <w:rPr>
          <w:lang w:bidi="hi-IN"/>
        </w:rPr>
      </w:pPr>
    </w:p>
    <w:p w:rsidR="005C772F" w:rsidRPr="00D050E9" w:rsidRDefault="001132F2" w:rsidP="001D399B">
      <w:pPr>
        <w:spacing w:line="276" w:lineRule="auto"/>
        <w:rPr>
          <w:rFonts w:asciiTheme="minorHAnsi" w:hAnsiTheme="minorHAnsi"/>
        </w:rPr>
      </w:pPr>
      <w:r w:rsidRPr="00D050E9">
        <w:rPr>
          <w:noProof/>
          <w:lang w:eastAsia="sl-SI"/>
        </w:rPr>
        <w:drawing>
          <wp:inline distT="0" distB="0" distL="0" distR="0" wp14:anchorId="617FE97D" wp14:editId="032D5288">
            <wp:extent cx="5760720" cy="271272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793B" w:rsidRPr="00D050E9" w:rsidRDefault="00E8731A" w:rsidP="00E8731A">
      <w:pPr>
        <w:spacing w:line="276" w:lineRule="auto"/>
        <w:rPr>
          <w:rFonts w:asciiTheme="minorHAnsi" w:hAnsiTheme="minorHAnsi"/>
        </w:rPr>
      </w:pPr>
      <w:r w:rsidRPr="00D050E9">
        <w:rPr>
          <w:rFonts w:asciiTheme="minorHAnsi" w:hAnsiTheme="minorHAnsi"/>
        </w:rPr>
        <w:t xml:space="preserve">Obseg in delež pomoči v BDP se lahko precej razlikuje med leti. V letu 2016 se je tako delež pomoči v BDP na Madžarskem občutno povečal, medtem ko je bil v Grčiji precej nižji kot v letu 2015. </w:t>
      </w:r>
      <w:r w:rsidR="002F5B73" w:rsidRPr="00D050E9">
        <w:rPr>
          <w:rFonts w:asciiTheme="minorHAnsi" w:hAnsiTheme="minorHAnsi"/>
        </w:rPr>
        <w:t xml:space="preserve">Slovenija je bila </w:t>
      </w:r>
      <w:r w:rsidRPr="00D050E9">
        <w:rPr>
          <w:rFonts w:asciiTheme="minorHAnsi" w:hAnsiTheme="minorHAnsi"/>
        </w:rPr>
        <w:t xml:space="preserve">v skupini 15 držav, v katerih se je delež pomoči v BDP v letu 2016 </w:t>
      </w:r>
      <w:r w:rsidR="002F5B73" w:rsidRPr="00D050E9">
        <w:rPr>
          <w:rFonts w:asciiTheme="minorHAnsi" w:hAnsiTheme="minorHAnsi"/>
        </w:rPr>
        <w:t xml:space="preserve">glede na leto 2015 </w:t>
      </w:r>
      <w:r w:rsidRPr="00D050E9">
        <w:rPr>
          <w:rFonts w:asciiTheme="minorHAnsi" w:hAnsiTheme="minorHAnsi"/>
        </w:rPr>
        <w:t xml:space="preserve">znižal. </w:t>
      </w:r>
    </w:p>
    <w:p w:rsidR="00E8731A" w:rsidRPr="00D050E9" w:rsidRDefault="00E8731A" w:rsidP="00E8731A">
      <w:pPr>
        <w:spacing w:line="276" w:lineRule="auto"/>
        <w:rPr>
          <w:rFonts w:asciiTheme="minorHAnsi" w:hAnsiTheme="minorHAnsi"/>
        </w:rPr>
      </w:pPr>
      <w:r w:rsidRPr="00D050E9">
        <w:rPr>
          <w:rFonts w:asciiTheme="minorHAnsi" w:hAnsiTheme="minorHAnsi"/>
        </w:rPr>
        <w:t xml:space="preserve"> </w:t>
      </w:r>
    </w:p>
    <w:p w:rsidR="004932F1" w:rsidRPr="00D050E9" w:rsidRDefault="00F970D8" w:rsidP="00F970D8">
      <w:pPr>
        <w:pStyle w:val="Caption"/>
        <w:rPr>
          <w:color w:val="auto"/>
        </w:rPr>
      </w:pPr>
      <w:bookmarkStart w:id="45" w:name="_Toc530654632"/>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17</w:t>
      </w:r>
      <w:r w:rsidRPr="00D050E9">
        <w:rPr>
          <w:color w:val="auto"/>
        </w:rPr>
        <w:fldChar w:fldCharType="end"/>
      </w:r>
      <w:r w:rsidR="004932F1" w:rsidRPr="00D050E9">
        <w:rPr>
          <w:color w:val="auto"/>
        </w:rPr>
        <w:t>: Državne pomoči v deležu BDP v državah EU, primerjava za leto 2016 in 2015</w:t>
      </w:r>
      <w:bookmarkEnd w:id="45"/>
    </w:p>
    <w:p w:rsidR="00997D64" w:rsidRPr="00D050E9" w:rsidRDefault="00997D64" w:rsidP="001D399B">
      <w:pPr>
        <w:spacing w:line="276" w:lineRule="auto"/>
        <w:rPr>
          <w:rFonts w:asciiTheme="minorHAnsi" w:hAnsiTheme="minorHAnsi"/>
        </w:rPr>
      </w:pPr>
      <w:r w:rsidRPr="00D050E9">
        <w:rPr>
          <w:noProof/>
          <w:lang w:eastAsia="sl-SI"/>
        </w:rPr>
        <w:drawing>
          <wp:inline distT="0" distB="0" distL="0" distR="0" wp14:anchorId="7CC3D104" wp14:editId="7F368DB3">
            <wp:extent cx="5760720" cy="324612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6EEA" w:rsidRPr="00D050E9" w:rsidRDefault="00DF6EEA" w:rsidP="001D399B">
      <w:pPr>
        <w:spacing w:line="276" w:lineRule="auto"/>
        <w:rPr>
          <w:rFonts w:asciiTheme="minorHAnsi" w:hAnsiTheme="minorHAnsi"/>
        </w:rPr>
      </w:pPr>
    </w:p>
    <w:p w:rsidR="00313328" w:rsidRPr="00D050E9" w:rsidRDefault="00313328" w:rsidP="00313328">
      <w:pPr>
        <w:spacing w:line="276" w:lineRule="auto"/>
        <w:rPr>
          <w:rFonts w:asciiTheme="minorHAnsi" w:hAnsiTheme="minorHAnsi"/>
        </w:rPr>
      </w:pPr>
    </w:p>
    <w:p w:rsidR="007E50C3" w:rsidRPr="00D050E9" w:rsidRDefault="007E50C3" w:rsidP="00313328">
      <w:pPr>
        <w:spacing w:line="276" w:lineRule="auto"/>
        <w:rPr>
          <w:rFonts w:asciiTheme="minorHAnsi" w:hAnsiTheme="minorHAnsi"/>
        </w:rPr>
      </w:pPr>
    </w:p>
    <w:p w:rsidR="007E50C3" w:rsidRPr="00D050E9" w:rsidRDefault="007E50C3" w:rsidP="00313328">
      <w:pPr>
        <w:spacing w:line="276" w:lineRule="auto"/>
        <w:rPr>
          <w:rFonts w:asciiTheme="minorHAnsi" w:hAnsiTheme="minorHAnsi"/>
        </w:rPr>
      </w:pPr>
      <w:r w:rsidRPr="00D050E9">
        <w:rPr>
          <w:rFonts w:asciiTheme="minorHAnsi" w:hAnsiTheme="minorHAnsi"/>
        </w:rPr>
        <w:lastRenderedPageBreak/>
        <w:t xml:space="preserve">Največ </w:t>
      </w:r>
      <w:r w:rsidR="00656BBC" w:rsidRPr="00D050E9">
        <w:rPr>
          <w:rFonts w:asciiTheme="minorHAnsi" w:hAnsiTheme="minorHAnsi"/>
        </w:rPr>
        <w:t xml:space="preserve">državnih </w:t>
      </w:r>
      <w:r w:rsidRPr="00D050E9">
        <w:rPr>
          <w:rFonts w:asciiTheme="minorHAnsi" w:hAnsiTheme="minorHAnsi"/>
        </w:rPr>
        <w:t xml:space="preserve">pomoči v absolutnem znesku je izplačala Nemčija, </w:t>
      </w:r>
      <w:r w:rsidR="000C67D3" w:rsidRPr="00D050E9">
        <w:rPr>
          <w:rFonts w:asciiTheme="minorHAnsi" w:hAnsiTheme="minorHAnsi"/>
        </w:rPr>
        <w:t xml:space="preserve">in sicer </w:t>
      </w:r>
      <w:r w:rsidR="001542A1" w:rsidRPr="00D050E9">
        <w:rPr>
          <w:rFonts w:asciiTheme="minorHAnsi" w:hAnsiTheme="minorHAnsi"/>
        </w:rPr>
        <w:t>41,7 mrd EUR</w:t>
      </w:r>
      <w:r w:rsidRPr="00D050E9">
        <w:rPr>
          <w:rFonts w:asciiTheme="minorHAnsi" w:hAnsiTheme="minorHAnsi"/>
        </w:rPr>
        <w:t>, kar</w:t>
      </w:r>
      <w:r w:rsidR="001542A1" w:rsidRPr="00D050E9">
        <w:rPr>
          <w:rFonts w:asciiTheme="minorHAnsi" w:hAnsiTheme="minorHAnsi"/>
        </w:rPr>
        <w:t xml:space="preserve"> </w:t>
      </w:r>
      <w:r w:rsidR="000C67D3" w:rsidRPr="00D050E9">
        <w:rPr>
          <w:rFonts w:asciiTheme="minorHAnsi" w:hAnsiTheme="minorHAnsi"/>
        </w:rPr>
        <w:t xml:space="preserve">je </w:t>
      </w:r>
      <w:r w:rsidR="001542A1" w:rsidRPr="00D050E9">
        <w:rPr>
          <w:rFonts w:asciiTheme="minorHAnsi" w:hAnsiTheme="minorHAnsi"/>
        </w:rPr>
        <w:t>skoraj</w:t>
      </w:r>
      <w:r w:rsidRPr="00D050E9">
        <w:rPr>
          <w:rFonts w:asciiTheme="minorHAnsi" w:hAnsiTheme="minorHAnsi"/>
        </w:rPr>
        <w:t xml:space="preserve"> 40 % vseh pomoči, ki so bile izplačane v EU v letu 2016 (38 % v letih 2014–2016)</w:t>
      </w:r>
      <w:r w:rsidR="001542A1" w:rsidRPr="00D050E9">
        <w:rPr>
          <w:rFonts w:asciiTheme="minorHAnsi" w:hAnsiTheme="minorHAnsi"/>
        </w:rPr>
        <w:t>, od tega 34,7 mrd EUR za varstvo okolja in varčevanje z energijo. Po obsegu izplača</w:t>
      </w:r>
      <w:r w:rsidR="002F5B73" w:rsidRPr="00D050E9">
        <w:rPr>
          <w:rFonts w:asciiTheme="minorHAnsi" w:hAnsiTheme="minorHAnsi"/>
        </w:rPr>
        <w:t>nih pomoči sledita Francija z 14,6</w:t>
      </w:r>
      <w:r w:rsidR="001542A1" w:rsidRPr="00D050E9">
        <w:rPr>
          <w:rFonts w:asciiTheme="minorHAnsi" w:hAnsiTheme="minorHAnsi"/>
        </w:rPr>
        <w:t xml:space="preserve"> mrd EUR državnih pomoči ali 14 % vseh pomoči v EU in Velika Britanija z 8,</w:t>
      </w:r>
      <w:r w:rsidR="002F5B73" w:rsidRPr="00D050E9">
        <w:rPr>
          <w:rFonts w:asciiTheme="minorHAnsi" w:hAnsiTheme="minorHAnsi"/>
        </w:rPr>
        <w:t>6</w:t>
      </w:r>
      <w:r w:rsidR="001542A1" w:rsidRPr="00D050E9">
        <w:rPr>
          <w:rFonts w:asciiTheme="minorHAnsi" w:hAnsiTheme="minorHAnsi"/>
        </w:rPr>
        <w:t xml:space="preserve"> mrd EUR ali 8 % vseh pomoči v EU. </w:t>
      </w:r>
    </w:p>
    <w:p w:rsidR="001542A1" w:rsidRPr="00D050E9" w:rsidRDefault="001542A1" w:rsidP="001542A1">
      <w:pPr>
        <w:spacing w:line="276" w:lineRule="auto"/>
        <w:rPr>
          <w:rFonts w:asciiTheme="minorHAnsi" w:hAnsiTheme="minorHAnsi"/>
        </w:rPr>
      </w:pPr>
      <w:r w:rsidRPr="00D050E9">
        <w:rPr>
          <w:rFonts w:asciiTheme="minorHAnsi" w:hAnsiTheme="minorHAnsi"/>
        </w:rPr>
        <w:t>Slovenija je izplačala 0,4</w:t>
      </w:r>
      <w:r w:rsidR="00CA729F" w:rsidRPr="00D050E9">
        <w:rPr>
          <w:rFonts w:asciiTheme="minorHAnsi" w:hAnsiTheme="minorHAnsi"/>
        </w:rPr>
        <w:t xml:space="preserve"> </w:t>
      </w:r>
      <w:r w:rsidRPr="00D050E9">
        <w:rPr>
          <w:rFonts w:asciiTheme="minorHAnsi" w:hAnsiTheme="minorHAnsi"/>
        </w:rPr>
        <w:t>% vseh državnih pomoči v EU 2014</w:t>
      </w:r>
      <w:r w:rsidR="00F474CF">
        <w:rPr>
          <w:rFonts w:asciiTheme="minorHAnsi" w:hAnsiTheme="minorHAnsi"/>
        </w:rPr>
        <w:t>–</w:t>
      </w:r>
      <w:r w:rsidRPr="00D050E9">
        <w:rPr>
          <w:rFonts w:asciiTheme="minorHAnsi" w:hAnsiTheme="minorHAnsi"/>
        </w:rPr>
        <w:t xml:space="preserve">2016, v letu 2016 se je delež zmanjšal na </w:t>
      </w:r>
      <w:r w:rsidRPr="00D050E9">
        <w:rPr>
          <w:rFonts w:asciiTheme="minorHAnsi" w:hAnsiTheme="minorHAnsi"/>
          <w:b/>
        </w:rPr>
        <w:t>0,3</w:t>
      </w:r>
      <w:r w:rsidR="00F225FE" w:rsidRPr="00D050E9">
        <w:rPr>
          <w:rFonts w:asciiTheme="minorHAnsi" w:hAnsiTheme="minorHAnsi"/>
          <w:b/>
        </w:rPr>
        <w:t xml:space="preserve"> </w:t>
      </w:r>
      <w:r w:rsidRPr="00D050E9">
        <w:rPr>
          <w:rFonts w:asciiTheme="minorHAnsi" w:hAnsiTheme="minorHAnsi"/>
          <w:b/>
        </w:rPr>
        <w:t>%</w:t>
      </w:r>
      <w:r w:rsidRPr="00D050E9">
        <w:rPr>
          <w:rFonts w:asciiTheme="minorHAnsi" w:hAnsiTheme="minorHAnsi"/>
        </w:rPr>
        <w:t xml:space="preserve"> vseh pomoči v EU. </w:t>
      </w:r>
    </w:p>
    <w:p w:rsidR="001542A1" w:rsidRPr="00D050E9" w:rsidRDefault="00F970D8" w:rsidP="00F970D8">
      <w:pPr>
        <w:pStyle w:val="Caption"/>
        <w:rPr>
          <w:color w:val="auto"/>
        </w:rPr>
      </w:pPr>
      <w:bookmarkStart w:id="46" w:name="_Toc530654633"/>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18</w:t>
      </w:r>
      <w:r w:rsidRPr="00D050E9">
        <w:rPr>
          <w:color w:val="auto"/>
        </w:rPr>
        <w:fldChar w:fldCharType="end"/>
      </w:r>
      <w:r w:rsidR="001542A1" w:rsidRPr="00D050E9">
        <w:rPr>
          <w:color w:val="auto"/>
        </w:rPr>
        <w:t>: Državne pomoči, izplača</w:t>
      </w:r>
      <w:r w:rsidR="00CA729F" w:rsidRPr="00D050E9">
        <w:rPr>
          <w:color w:val="auto"/>
        </w:rPr>
        <w:t>ne v posamezni državi</w:t>
      </w:r>
      <w:r w:rsidR="001542A1" w:rsidRPr="00D050E9">
        <w:rPr>
          <w:color w:val="auto"/>
        </w:rPr>
        <w:t>, v % vseh pomoči</w:t>
      </w:r>
      <w:r w:rsidR="00CA729F" w:rsidRPr="00D050E9">
        <w:rPr>
          <w:color w:val="auto"/>
        </w:rPr>
        <w:t xml:space="preserve"> v EU</w:t>
      </w:r>
      <w:bookmarkEnd w:id="46"/>
    </w:p>
    <w:p w:rsidR="002F5B73" w:rsidRPr="00D050E9" w:rsidRDefault="00313328" w:rsidP="00313328">
      <w:pPr>
        <w:spacing w:line="276" w:lineRule="auto"/>
        <w:rPr>
          <w:rFonts w:asciiTheme="minorHAnsi" w:hAnsiTheme="minorHAnsi"/>
        </w:rPr>
      </w:pPr>
      <w:r w:rsidRPr="00D050E9">
        <w:rPr>
          <w:noProof/>
          <w:lang w:eastAsia="sl-SI"/>
        </w:rPr>
        <w:drawing>
          <wp:inline distT="0" distB="0" distL="0" distR="0" wp14:anchorId="6AE6F78C" wp14:editId="39B3A8E0">
            <wp:extent cx="5585460" cy="300228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970D8" w:rsidRPr="00D050E9" w:rsidRDefault="00F970D8" w:rsidP="00B9182A">
      <w:pPr>
        <w:pStyle w:val="Heading3"/>
      </w:pPr>
    </w:p>
    <w:p w:rsidR="003176BF" w:rsidRPr="00D050E9" w:rsidRDefault="000277E4" w:rsidP="00E72379">
      <w:pPr>
        <w:pStyle w:val="Heading2"/>
      </w:pPr>
      <w:bookmarkStart w:id="47" w:name="_Toc528594650"/>
      <w:bookmarkStart w:id="48" w:name="_Toc530654544"/>
      <w:r w:rsidRPr="00D050E9">
        <w:t>2.2 S</w:t>
      </w:r>
      <w:r w:rsidR="00D0609B" w:rsidRPr="00D050E9">
        <w:t>TRUKTURA DRŽAVNIH POMOČI</w:t>
      </w:r>
      <w:r w:rsidR="009827D5" w:rsidRPr="00D050E9">
        <w:t xml:space="preserve"> V EU IN PRIMERJAVA S SLOVENIJO</w:t>
      </w:r>
      <w:bookmarkEnd w:id="47"/>
      <w:bookmarkEnd w:id="48"/>
      <w:r w:rsidR="009827D5" w:rsidRPr="00D050E9">
        <w:t xml:space="preserve"> </w:t>
      </w:r>
    </w:p>
    <w:p w:rsidR="000277E4" w:rsidRPr="00D050E9" w:rsidRDefault="000277E4" w:rsidP="000277E4">
      <w:pPr>
        <w:spacing w:after="0" w:line="276" w:lineRule="auto"/>
        <w:rPr>
          <w:rFonts w:asciiTheme="minorHAnsi" w:hAnsiTheme="minorHAnsi"/>
        </w:rPr>
      </w:pPr>
    </w:p>
    <w:p w:rsidR="002F5B73" w:rsidRPr="00D050E9" w:rsidRDefault="003176BF" w:rsidP="001D399B">
      <w:pPr>
        <w:spacing w:line="276" w:lineRule="auto"/>
        <w:rPr>
          <w:rFonts w:asciiTheme="minorHAnsi" w:hAnsiTheme="minorHAnsi"/>
        </w:rPr>
      </w:pPr>
      <w:r w:rsidRPr="00D050E9">
        <w:rPr>
          <w:rFonts w:asciiTheme="minorHAnsi" w:hAnsiTheme="minorHAnsi"/>
        </w:rPr>
        <w:t xml:space="preserve">V EU se največ pomoči dodeljuje za </w:t>
      </w:r>
      <w:r w:rsidRPr="00D050E9">
        <w:rPr>
          <w:rFonts w:asciiTheme="minorHAnsi" w:hAnsiTheme="minorHAnsi"/>
          <w:b/>
        </w:rPr>
        <w:t>varstvo okolja in varčevanje z energijo</w:t>
      </w:r>
      <w:r w:rsidRPr="00D050E9">
        <w:rPr>
          <w:rFonts w:asciiTheme="minorHAnsi" w:hAnsiTheme="minorHAnsi"/>
        </w:rPr>
        <w:t xml:space="preserve">. V letu 2016 je bilo za ta namen izplačanih 55,9 mrd EUR ali </w:t>
      </w:r>
      <w:r w:rsidRPr="00D050E9">
        <w:rPr>
          <w:rFonts w:asciiTheme="minorHAnsi" w:hAnsiTheme="minorHAnsi"/>
          <w:b/>
        </w:rPr>
        <w:t>54 %</w:t>
      </w:r>
      <w:r w:rsidRPr="00D050E9">
        <w:rPr>
          <w:rFonts w:asciiTheme="minorHAnsi" w:hAnsiTheme="minorHAnsi"/>
        </w:rPr>
        <w:t xml:space="preserve"> vsem pomoči v EU, delež teh pomoči pa se še povečuje (48 % v obdobju 2014–2016). Druge po </w:t>
      </w:r>
      <w:r w:rsidR="002B4D1C" w:rsidRPr="00D050E9">
        <w:rPr>
          <w:rFonts w:asciiTheme="minorHAnsi" w:hAnsiTheme="minorHAnsi"/>
        </w:rPr>
        <w:t xml:space="preserve">velikosti </w:t>
      </w:r>
      <w:r w:rsidRPr="00D050E9">
        <w:rPr>
          <w:rFonts w:asciiTheme="minorHAnsi" w:hAnsiTheme="minorHAnsi"/>
        </w:rPr>
        <w:t xml:space="preserve">so bile pomoči za </w:t>
      </w:r>
      <w:r w:rsidRPr="00D050E9">
        <w:rPr>
          <w:rFonts w:asciiTheme="minorHAnsi" w:hAnsiTheme="minorHAnsi"/>
          <w:b/>
        </w:rPr>
        <w:t>RRI z 9 %</w:t>
      </w:r>
      <w:r w:rsidR="002B4D1C" w:rsidRPr="00D050E9">
        <w:rPr>
          <w:rFonts w:asciiTheme="minorHAnsi" w:hAnsiTheme="minorHAnsi"/>
        </w:rPr>
        <w:t xml:space="preserve"> (8,8 % 2014–2016)</w:t>
      </w:r>
      <w:r w:rsidRPr="00D050E9">
        <w:rPr>
          <w:rFonts w:asciiTheme="minorHAnsi" w:hAnsiTheme="minorHAnsi"/>
        </w:rPr>
        <w:t xml:space="preserve"> oz. 9,1 mrd EUR, ki so</w:t>
      </w:r>
      <w:r w:rsidR="002B4D1C" w:rsidRPr="00D050E9">
        <w:rPr>
          <w:rFonts w:asciiTheme="minorHAnsi" w:hAnsiTheme="minorHAnsi"/>
        </w:rPr>
        <w:t xml:space="preserve"> v letu 2016</w:t>
      </w:r>
      <w:r w:rsidRPr="00D050E9">
        <w:rPr>
          <w:rFonts w:asciiTheme="minorHAnsi" w:hAnsiTheme="minorHAnsi"/>
        </w:rPr>
        <w:t xml:space="preserve"> po </w:t>
      </w:r>
      <w:r w:rsidR="002B4D1C" w:rsidRPr="00D050E9">
        <w:rPr>
          <w:rFonts w:asciiTheme="minorHAnsi" w:hAnsiTheme="minorHAnsi"/>
        </w:rPr>
        <w:t>obsegu p</w:t>
      </w:r>
      <w:r w:rsidRPr="00D050E9">
        <w:rPr>
          <w:rFonts w:asciiTheme="minorHAnsi" w:hAnsiTheme="minorHAnsi"/>
        </w:rPr>
        <w:t xml:space="preserve">resegle </w:t>
      </w:r>
      <w:r w:rsidR="002B4D1C" w:rsidRPr="00D050E9">
        <w:rPr>
          <w:rFonts w:asciiTheme="minorHAnsi" w:hAnsiTheme="minorHAnsi"/>
          <w:b/>
        </w:rPr>
        <w:t>regionalne pomoči</w:t>
      </w:r>
      <w:r w:rsidR="002B4D1C" w:rsidRPr="00D050E9">
        <w:rPr>
          <w:rFonts w:asciiTheme="minorHAnsi" w:hAnsiTheme="minorHAnsi"/>
        </w:rPr>
        <w:t xml:space="preserve">. Delež teh se je zmanjšal na </w:t>
      </w:r>
      <w:r w:rsidR="002B4D1C" w:rsidRPr="00D050E9">
        <w:rPr>
          <w:rFonts w:asciiTheme="minorHAnsi" w:hAnsiTheme="minorHAnsi"/>
          <w:b/>
        </w:rPr>
        <w:t>7,1%</w:t>
      </w:r>
      <w:r w:rsidR="002B4D1C" w:rsidRPr="00D050E9">
        <w:rPr>
          <w:rFonts w:asciiTheme="minorHAnsi" w:hAnsiTheme="minorHAnsi"/>
        </w:rPr>
        <w:t xml:space="preserve"> (11% 2014–2016) oz. </w:t>
      </w:r>
      <w:r w:rsidR="00682EA1" w:rsidRPr="00D050E9">
        <w:rPr>
          <w:rFonts w:asciiTheme="minorHAnsi" w:hAnsiTheme="minorHAnsi"/>
        </w:rPr>
        <w:t xml:space="preserve">7,3 mrd EUR. </w:t>
      </w:r>
    </w:p>
    <w:p w:rsidR="003176BF" w:rsidRPr="00D050E9" w:rsidRDefault="00682EA1" w:rsidP="001D399B">
      <w:pPr>
        <w:spacing w:line="276" w:lineRule="auto"/>
        <w:rPr>
          <w:rFonts w:asciiTheme="minorHAnsi" w:hAnsiTheme="minorHAnsi"/>
        </w:rPr>
      </w:pPr>
      <w:r w:rsidRPr="00D050E9">
        <w:rPr>
          <w:rFonts w:asciiTheme="minorHAnsi" w:hAnsiTheme="minorHAnsi"/>
        </w:rPr>
        <w:t xml:space="preserve">Za </w:t>
      </w:r>
      <w:r w:rsidRPr="00D050E9">
        <w:rPr>
          <w:rFonts w:asciiTheme="minorHAnsi" w:hAnsiTheme="minorHAnsi"/>
          <w:b/>
        </w:rPr>
        <w:t>kmetijstvo</w:t>
      </w:r>
      <w:r w:rsidRPr="00D050E9">
        <w:rPr>
          <w:rFonts w:asciiTheme="minorHAnsi" w:hAnsiTheme="minorHAnsi"/>
        </w:rPr>
        <w:t xml:space="preserve"> je bilo namenjenih </w:t>
      </w:r>
      <w:r w:rsidRPr="00D050E9">
        <w:rPr>
          <w:rFonts w:asciiTheme="minorHAnsi" w:hAnsiTheme="minorHAnsi"/>
          <w:b/>
        </w:rPr>
        <w:t>5,4 %</w:t>
      </w:r>
      <w:r w:rsidRPr="00D050E9">
        <w:rPr>
          <w:rFonts w:asciiTheme="minorHAnsi" w:hAnsiTheme="minorHAnsi"/>
        </w:rPr>
        <w:t xml:space="preserve"> vseh pomoči v 2016 (6,5 % v 2014–2016) ali 5,5 mrd EUR. Podoben obseg so </w:t>
      </w:r>
      <w:r w:rsidR="00E00766" w:rsidRPr="00D050E9">
        <w:rPr>
          <w:rFonts w:asciiTheme="minorHAnsi" w:hAnsiTheme="minorHAnsi"/>
        </w:rPr>
        <w:t xml:space="preserve">dosegle </w:t>
      </w:r>
      <w:r w:rsidRPr="00D050E9">
        <w:rPr>
          <w:rFonts w:asciiTheme="minorHAnsi" w:hAnsiTheme="minorHAnsi"/>
        </w:rPr>
        <w:t xml:space="preserve">pomoči za </w:t>
      </w:r>
      <w:r w:rsidRPr="00D050E9">
        <w:rPr>
          <w:rFonts w:asciiTheme="minorHAnsi" w:hAnsiTheme="minorHAnsi"/>
          <w:b/>
        </w:rPr>
        <w:t>MSP in tvegano financiranje</w:t>
      </w:r>
      <w:r w:rsidRPr="00D050E9">
        <w:rPr>
          <w:rFonts w:asciiTheme="minorHAnsi" w:hAnsiTheme="minorHAnsi"/>
        </w:rPr>
        <w:t xml:space="preserve"> (5,3 mrd EUR ali </w:t>
      </w:r>
      <w:r w:rsidRPr="00D050E9">
        <w:rPr>
          <w:rFonts w:asciiTheme="minorHAnsi" w:hAnsiTheme="minorHAnsi"/>
          <w:b/>
        </w:rPr>
        <w:t>5,1 %</w:t>
      </w:r>
      <w:r w:rsidRPr="00D050E9">
        <w:rPr>
          <w:rFonts w:asciiTheme="minorHAnsi" w:hAnsiTheme="minorHAnsi"/>
        </w:rPr>
        <w:t xml:space="preserve"> vseh pomoči v 2016 (4,5 % 2014–2016). Sledijo pomoči za kulturo in kulturno dediščino (4,6 mrd EUR ali 4,5 % vseh pomoči v 2016 (</w:t>
      </w:r>
      <w:r w:rsidR="00E00766" w:rsidRPr="00D050E9">
        <w:rPr>
          <w:rFonts w:asciiTheme="minorHAnsi" w:hAnsiTheme="minorHAnsi"/>
        </w:rPr>
        <w:t xml:space="preserve">4,6 % 2014–2016) in sektorske pomoči  z 4,2 mrd EUR ali 4,1 % vseh pomoči v 2016 (4,6 % v 2014–2016). </w:t>
      </w:r>
    </w:p>
    <w:p w:rsidR="002F5B73" w:rsidRPr="00D050E9" w:rsidRDefault="002F5B73" w:rsidP="001D399B">
      <w:pPr>
        <w:spacing w:line="276" w:lineRule="auto"/>
        <w:rPr>
          <w:rFonts w:asciiTheme="minorHAnsi" w:hAnsiTheme="minorHAnsi"/>
        </w:rPr>
      </w:pPr>
    </w:p>
    <w:p w:rsidR="002F5B73" w:rsidRPr="00D050E9" w:rsidRDefault="002F5B73" w:rsidP="001D399B">
      <w:pPr>
        <w:spacing w:line="276" w:lineRule="auto"/>
        <w:rPr>
          <w:rFonts w:asciiTheme="minorHAnsi" w:hAnsiTheme="minorHAnsi"/>
        </w:rPr>
      </w:pPr>
    </w:p>
    <w:p w:rsidR="002F5B73" w:rsidRPr="00D050E9" w:rsidRDefault="002F5B73" w:rsidP="001D399B">
      <w:pPr>
        <w:spacing w:line="276" w:lineRule="auto"/>
        <w:rPr>
          <w:rFonts w:asciiTheme="minorHAnsi" w:hAnsiTheme="minorHAnsi"/>
        </w:rPr>
      </w:pPr>
    </w:p>
    <w:p w:rsidR="00E00766" w:rsidRPr="00D050E9" w:rsidRDefault="00F970D8" w:rsidP="00F970D8">
      <w:pPr>
        <w:pStyle w:val="Caption"/>
        <w:rPr>
          <w:color w:val="auto"/>
        </w:rPr>
      </w:pPr>
      <w:bookmarkStart w:id="49" w:name="_Toc530654634"/>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19</w:t>
      </w:r>
      <w:r w:rsidRPr="00D050E9">
        <w:rPr>
          <w:color w:val="auto"/>
        </w:rPr>
        <w:fldChar w:fldCharType="end"/>
      </w:r>
      <w:r w:rsidRPr="00D050E9">
        <w:rPr>
          <w:color w:val="auto"/>
        </w:rPr>
        <w:t xml:space="preserve">: </w:t>
      </w:r>
      <w:r w:rsidR="00E00766" w:rsidRPr="00D050E9">
        <w:rPr>
          <w:color w:val="auto"/>
        </w:rPr>
        <w:t xml:space="preserve">Struktura državnih pomoči EU po kategorijah (namenih) pomoči, </w:t>
      </w:r>
      <w:r w:rsidR="00764308" w:rsidRPr="00D050E9">
        <w:rPr>
          <w:color w:val="auto"/>
        </w:rPr>
        <w:t>2014–2016</w:t>
      </w:r>
      <w:bookmarkEnd w:id="49"/>
    </w:p>
    <w:p w:rsidR="00811095" w:rsidRPr="00D050E9" w:rsidRDefault="00811095" w:rsidP="001D399B">
      <w:pPr>
        <w:spacing w:line="276" w:lineRule="auto"/>
        <w:rPr>
          <w:rFonts w:asciiTheme="minorHAnsi" w:hAnsiTheme="minorHAnsi"/>
        </w:rPr>
      </w:pPr>
      <w:r w:rsidRPr="00D050E9">
        <w:rPr>
          <w:noProof/>
          <w:lang w:eastAsia="sl-SI"/>
        </w:rPr>
        <w:drawing>
          <wp:inline distT="0" distB="0" distL="0" distR="0" wp14:anchorId="3C626C52" wp14:editId="26E2628D">
            <wp:extent cx="5745480" cy="2613660"/>
            <wp:effectExtent l="0" t="0" r="762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A7452" w:rsidRPr="00D050E9" w:rsidRDefault="00844F39" w:rsidP="00BA7452">
      <w:pPr>
        <w:spacing w:line="276" w:lineRule="auto"/>
        <w:rPr>
          <w:rFonts w:asciiTheme="minorHAnsi" w:hAnsiTheme="minorHAnsi"/>
        </w:rPr>
      </w:pPr>
      <w:r w:rsidRPr="00D050E9">
        <w:rPr>
          <w:rFonts w:asciiTheme="minorHAnsi" w:hAnsiTheme="minorHAnsi"/>
        </w:rPr>
        <w:t xml:space="preserve">Spremembe v obsegu državnih pomoči </w:t>
      </w:r>
      <w:r w:rsidR="002F5B73" w:rsidRPr="00D050E9">
        <w:rPr>
          <w:rFonts w:asciiTheme="minorHAnsi" w:hAnsiTheme="minorHAnsi"/>
        </w:rPr>
        <w:t xml:space="preserve">v EU </w:t>
      </w:r>
      <w:r w:rsidRPr="00D050E9">
        <w:rPr>
          <w:rFonts w:asciiTheme="minorHAnsi" w:hAnsiTheme="minorHAnsi"/>
        </w:rPr>
        <w:t xml:space="preserve">za zadnja tri leta kažejo </w:t>
      </w:r>
      <w:r w:rsidR="00873563" w:rsidRPr="00D050E9">
        <w:rPr>
          <w:rFonts w:asciiTheme="minorHAnsi" w:hAnsiTheme="minorHAnsi"/>
        </w:rPr>
        <w:t xml:space="preserve">nadaljnje </w:t>
      </w:r>
      <w:r w:rsidRPr="00D050E9">
        <w:rPr>
          <w:rFonts w:asciiTheme="minorHAnsi" w:hAnsiTheme="minorHAnsi"/>
        </w:rPr>
        <w:t>poveče</w:t>
      </w:r>
      <w:r w:rsidR="00C02F45" w:rsidRPr="00D050E9">
        <w:rPr>
          <w:rFonts w:asciiTheme="minorHAnsi" w:hAnsiTheme="minorHAnsi"/>
        </w:rPr>
        <w:t>vanje</w:t>
      </w:r>
      <w:r w:rsidRPr="00D050E9">
        <w:rPr>
          <w:rFonts w:asciiTheme="minorHAnsi" w:hAnsiTheme="minorHAnsi"/>
        </w:rPr>
        <w:t xml:space="preserve"> pomoči za varstvo okolja in varčevanje z energijo</w:t>
      </w:r>
      <w:r w:rsidR="00C02F45" w:rsidRPr="00D050E9">
        <w:rPr>
          <w:rFonts w:asciiTheme="minorHAnsi" w:hAnsiTheme="minorHAnsi"/>
        </w:rPr>
        <w:t xml:space="preserve"> (zeleni ukrepi), kar je vezano na prizadevanja držav članic za doseganje ciljev glede energetske varnosti in večje uporabe obnovljivih virov energije ter prehod</w:t>
      </w:r>
      <w:r w:rsidR="00873563" w:rsidRPr="00D050E9">
        <w:rPr>
          <w:rFonts w:asciiTheme="minorHAnsi" w:hAnsiTheme="minorHAnsi"/>
        </w:rPr>
        <w:t>a</w:t>
      </w:r>
      <w:r w:rsidR="00C02F45" w:rsidRPr="00D050E9">
        <w:rPr>
          <w:rFonts w:asciiTheme="minorHAnsi" w:hAnsiTheme="minorHAnsi"/>
        </w:rPr>
        <w:t xml:space="preserve"> v nizkoogljično gospodarstvo. </w:t>
      </w:r>
      <w:r w:rsidR="00D609AF" w:rsidRPr="00D050E9">
        <w:rPr>
          <w:rFonts w:asciiTheme="minorHAnsi" w:hAnsiTheme="minorHAnsi"/>
        </w:rPr>
        <w:t xml:space="preserve">Pravila državnih </w:t>
      </w:r>
      <w:r w:rsidR="00BA7452" w:rsidRPr="00D050E9">
        <w:rPr>
          <w:rFonts w:asciiTheme="minorHAnsi" w:hAnsiTheme="minorHAnsi"/>
        </w:rPr>
        <w:t xml:space="preserve">pomoči </w:t>
      </w:r>
      <w:r w:rsidR="00814B14" w:rsidRPr="00D050E9">
        <w:rPr>
          <w:rFonts w:asciiTheme="minorHAnsi" w:hAnsiTheme="minorHAnsi"/>
        </w:rPr>
        <w:t>naj bi pri tem zagotavljala</w:t>
      </w:r>
      <w:r w:rsidR="00BA7452" w:rsidRPr="00D050E9">
        <w:rPr>
          <w:rFonts w:asciiTheme="minorHAnsi" w:hAnsiTheme="minorHAnsi"/>
        </w:rPr>
        <w:t xml:space="preserve">, da bo prehod socialno pravičen in v korist potrošnikov. </w:t>
      </w:r>
    </w:p>
    <w:p w:rsidR="00873563" w:rsidRPr="00D050E9" w:rsidRDefault="00BA7452" w:rsidP="001D399B">
      <w:pPr>
        <w:spacing w:line="276" w:lineRule="auto"/>
        <w:rPr>
          <w:rFonts w:asciiTheme="minorHAnsi" w:hAnsiTheme="minorHAnsi"/>
        </w:rPr>
      </w:pPr>
      <w:r w:rsidRPr="00D050E9">
        <w:rPr>
          <w:rFonts w:asciiTheme="minorHAnsi" w:hAnsiTheme="minorHAnsi"/>
        </w:rPr>
        <w:t xml:space="preserve">Obseg državnih pomoči brez »zelenih ukrepov« se je v EU v letu 2016 znižal za več kot desetino. Trend zniževanja je izrazit zlasti pri </w:t>
      </w:r>
      <w:r w:rsidR="00660984" w:rsidRPr="00D050E9">
        <w:rPr>
          <w:rFonts w:asciiTheme="minorHAnsi" w:hAnsiTheme="minorHAnsi"/>
        </w:rPr>
        <w:t>regionalnih pomočeh</w:t>
      </w:r>
      <w:r w:rsidR="00873563" w:rsidRPr="00D050E9">
        <w:rPr>
          <w:rFonts w:asciiTheme="minorHAnsi" w:hAnsiTheme="minorHAnsi"/>
        </w:rPr>
        <w:t>, manj izrazito tudi na področju kmetijstva</w:t>
      </w:r>
      <w:r w:rsidRPr="00D050E9">
        <w:rPr>
          <w:rFonts w:asciiTheme="minorHAnsi" w:hAnsiTheme="minorHAnsi"/>
        </w:rPr>
        <w:t xml:space="preserve">. </w:t>
      </w:r>
      <w:r w:rsidR="00873563" w:rsidRPr="00D050E9">
        <w:rPr>
          <w:rFonts w:asciiTheme="minorHAnsi" w:hAnsiTheme="minorHAnsi"/>
        </w:rPr>
        <w:t xml:space="preserve">Na drugi strani se povečujejo pomoči za MSP in tvegano financiranje, v zadnjem letu pa tudi za RRI. </w:t>
      </w:r>
    </w:p>
    <w:p w:rsidR="00764308" w:rsidRPr="00D050E9" w:rsidRDefault="00F970D8" w:rsidP="00F970D8">
      <w:pPr>
        <w:pStyle w:val="Caption"/>
        <w:rPr>
          <w:color w:val="auto"/>
        </w:rPr>
      </w:pPr>
      <w:bookmarkStart w:id="50" w:name="_Toc530654635"/>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20</w:t>
      </w:r>
      <w:r w:rsidRPr="00D050E9">
        <w:rPr>
          <w:color w:val="auto"/>
        </w:rPr>
        <w:fldChar w:fldCharType="end"/>
      </w:r>
      <w:r w:rsidRPr="00D050E9">
        <w:rPr>
          <w:color w:val="auto"/>
        </w:rPr>
        <w:t xml:space="preserve">: </w:t>
      </w:r>
      <w:r w:rsidR="00764308" w:rsidRPr="00D050E9">
        <w:rPr>
          <w:color w:val="auto"/>
        </w:rPr>
        <w:t>Spremembe obsega pomoči po glavnih kategorijah pomoči v EU, 2014–2016</w:t>
      </w:r>
      <w:bookmarkEnd w:id="50"/>
    </w:p>
    <w:p w:rsidR="00143C9E" w:rsidRPr="00D050E9" w:rsidRDefault="009827D5" w:rsidP="001D399B">
      <w:pPr>
        <w:spacing w:line="276" w:lineRule="auto"/>
        <w:rPr>
          <w:rFonts w:asciiTheme="minorHAnsi" w:hAnsiTheme="minorHAnsi"/>
        </w:rPr>
      </w:pPr>
      <w:r w:rsidRPr="00D050E9">
        <w:rPr>
          <w:noProof/>
          <w:lang w:eastAsia="sl-SI"/>
        </w:rPr>
        <w:drawing>
          <wp:inline distT="0" distB="0" distL="0" distR="0" wp14:anchorId="55EB901E" wp14:editId="4904A105">
            <wp:extent cx="5661660" cy="246126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A7452" w:rsidRPr="00D050E9" w:rsidRDefault="00811095" w:rsidP="00811095">
      <w:pPr>
        <w:spacing w:line="276" w:lineRule="auto"/>
        <w:rPr>
          <w:rFonts w:asciiTheme="minorHAnsi" w:hAnsiTheme="minorHAnsi"/>
          <w:highlight w:val="lightGray"/>
        </w:rPr>
      </w:pPr>
      <w:r w:rsidRPr="00D050E9">
        <w:rPr>
          <w:rFonts w:asciiTheme="minorHAnsi" w:hAnsiTheme="minorHAnsi"/>
        </w:rPr>
        <w:t xml:space="preserve">Primerjava </w:t>
      </w:r>
      <w:r w:rsidR="00814B14" w:rsidRPr="00D050E9">
        <w:rPr>
          <w:rFonts w:asciiTheme="minorHAnsi" w:hAnsiTheme="minorHAnsi"/>
        </w:rPr>
        <w:t xml:space="preserve">med EU in </w:t>
      </w:r>
      <w:r w:rsidRPr="00D050E9">
        <w:rPr>
          <w:rFonts w:asciiTheme="minorHAnsi" w:hAnsiTheme="minorHAnsi"/>
        </w:rPr>
        <w:t>Slovenijo kaže podobno strukturo in trende pri dodeljevanju državnih pomoči</w:t>
      </w:r>
      <w:r w:rsidR="00103170" w:rsidRPr="00D050E9">
        <w:rPr>
          <w:rFonts w:asciiTheme="minorHAnsi" w:hAnsiTheme="minorHAnsi"/>
        </w:rPr>
        <w:t xml:space="preserve"> kot velja v povprečju za države EU</w:t>
      </w:r>
      <w:r w:rsidRPr="00D050E9">
        <w:rPr>
          <w:rFonts w:asciiTheme="minorHAnsi" w:hAnsiTheme="minorHAnsi"/>
        </w:rPr>
        <w:t xml:space="preserve">. </w:t>
      </w:r>
      <w:r w:rsidR="00103170" w:rsidRPr="00D050E9">
        <w:rPr>
          <w:rFonts w:asciiTheme="minorHAnsi" w:hAnsiTheme="minorHAnsi"/>
        </w:rPr>
        <w:t>Pri tem je potrebno poudariti, da se struktura pomoči v</w:t>
      </w:r>
      <w:r w:rsidR="00BA7452" w:rsidRPr="00D050E9">
        <w:rPr>
          <w:rFonts w:asciiTheme="minorHAnsi" w:hAnsiTheme="minorHAnsi"/>
        </w:rPr>
        <w:t xml:space="preserve"> posamezni državah precej razlikuje,</w:t>
      </w:r>
      <w:r w:rsidR="00103170" w:rsidRPr="00D050E9">
        <w:rPr>
          <w:rFonts w:asciiTheme="minorHAnsi" w:hAnsiTheme="minorHAnsi"/>
        </w:rPr>
        <w:t xml:space="preserve"> </w:t>
      </w:r>
      <w:r w:rsidR="00BA7452" w:rsidRPr="00D050E9">
        <w:rPr>
          <w:rFonts w:asciiTheme="minorHAnsi" w:hAnsiTheme="minorHAnsi"/>
        </w:rPr>
        <w:t xml:space="preserve">odvisna je </w:t>
      </w:r>
      <w:r w:rsidR="00814B14" w:rsidRPr="00D050E9">
        <w:rPr>
          <w:rFonts w:asciiTheme="minorHAnsi" w:hAnsiTheme="minorHAnsi"/>
        </w:rPr>
        <w:t>od</w:t>
      </w:r>
      <w:r w:rsidR="00103170" w:rsidRPr="00D050E9">
        <w:rPr>
          <w:rFonts w:asciiTheme="minorHAnsi" w:hAnsiTheme="minorHAnsi"/>
        </w:rPr>
        <w:t xml:space="preserve"> potreb </w:t>
      </w:r>
      <w:r w:rsidR="00BA7452" w:rsidRPr="00D050E9">
        <w:rPr>
          <w:rFonts w:asciiTheme="minorHAnsi" w:hAnsiTheme="minorHAnsi"/>
        </w:rPr>
        <w:t xml:space="preserve">ter ciljev, ki jih posamezna država v razvoju  gospodarstva in družbe zasleduje. </w:t>
      </w:r>
    </w:p>
    <w:p w:rsidR="00591E12" w:rsidRPr="00D050E9" w:rsidRDefault="00814B14" w:rsidP="00811095">
      <w:pPr>
        <w:spacing w:line="276" w:lineRule="auto"/>
        <w:rPr>
          <w:rFonts w:asciiTheme="minorHAnsi" w:hAnsiTheme="minorHAnsi"/>
        </w:rPr>
      </w:pPr>
      <w:r w:rsidRPr="00D050E9">
        <w:rPr>
          <w:rFonts w:asciiTheme="minorHAnsi" w:hAnsiTheme="minorHAnsi"/>
        </w:rPr>
        <w:lastRenderedPageBreak/>
        <w:t>Primerjava za obdobje 2014–2016 kaže, da se tudi v EU največ pomoči do</w:t>
      </w:r>
      <w:r w:rsidR="00811095" w:rsidRPr="00D050E9">
        <w:rPr>
          <w:rFonts w:asciiTheme="minorHAnsi" w:hAnsiTheme="minorHAnsi"/>
        </w:rPr>
        <w:t xml:space="preserve">deljuje za </w:t>
      </w:r>
      <w:r w:rsidR="00811095" w:rsidRPr="00D050E9">
        <w:rPr>
          <w:rFonts w:asciiTheme="minorHAnsi" w:hAnsiTheme="minorHAnsi"/>
          <w:b/>
        </w:rPr>
        <w:t>varstvo okolja in varčevanje z energijo</w:t>
      </w:r>
      <w:r w:rsidR="00811095" w:rsidRPr="00D050E9">
        <w:rPr>
          <w:rFonts w:asciiTheme="minorHAnsi" w:hAnsiTheme="minorHAnsi"/>
        </w:rPr>
        <w:t xml:space="preserve">. </w:t>
      </w:r>
      <w:r w:rsidRPr="00D050E9">
        <w:rPr>
          <w:rFonts w:asciiTheme="minorHAnsi" w:hAnsiTheme="minorHAnsi"/>
        </w:rPr>
        <w:t xml:space="preserve">Delež </w:t>
      </w:r>
      <w:r w:rsidR="00591E12" w:rsidRPr="00D050E9">
        <w:rPr>
          <w:rFonts w:asciiTheme="minorHAnsi" w:hAnsiTheme="minorHAnsi"/>
        </w:rPr>
        <w:t xml:space="preserve">teh </w:t>
      </w:r>
      <w:r w:rsidR="00591E12" w:rsidRPr="00C85348">
        <w:rPr>
          <w:rFonts w:asciiTheme="minorHAnsi" w:hAnsiTheme="minorHAnsi"/>
        </w:rPr>
        <w:t xml:space="preserve">pomoči </w:t>
      </w:r>
      <w:r w:rsidR="00610FE7" w:rsidRPr="00C85348">
        <w:rPr>
          <w:rFonts w:asciiTheme="minorHAnsi" w:hAnsiTheme="minorHAnsi"/>
        </w:rPr>
        <w:t xml:space="preserve">je </w:t>
      </w:r>
      <w:r w:rsidR="00591E12" w:rsidRPr="00C85348">
        <w:rPr>
          <w:rFonts w:asciiTheme="minorHAnsi" w:hAnsiTheme="minorHAnsi"/>
        </w:rPr>
        <w:t xml:space="preserve">v povprečju znašal </w:t>
      </w:r>
      <w:r w:rsidR="00591E12" w:rsidRPr="00C85348">
        <w:rPr>
          <w:rFonts w:asciiTheme="minorHAnsi" w:hAnsiTheme="minorHAnsi"/>
          <w:b/>
        </w:rPr>
        <w:t>48 %</w:t>
      </w:r>
      <w:r w:rsidR="00591E12" w:rsidRPr="00C85348">
        <w:rPr>
          <w:rFonts w:asciiTheme="minorHAnsi" w:hAnsiTheme="minorHAnsi"/>
        </w:rPr>
        <w:t xml:space="preserve"> vseh pomoči v EU, </w:t>
      </w:r>
      <w:r w:rsidR="00811095" w:rsidRPr="00C85348">
        <w:rPr>
          <w:rFonts w:asciiTheme="minorHAnsi" w:hAnsiTheme="minorHAnsi"/>
        </w:rPr>
        <w:t xml:space="preserve">za Slovenijo je </w:t>
      </w:r>
      <w:r w:rsidR="00591E12" w:rsidRPr="00C85348">
        <w:rPr>
          <w:rFonts w:asciiTheme="minorHAnsi" w:hAnsiTheme="minorHAnsi"/>
        </w:rPr>
        <w:t xml:space="preserve">bil </w:t>
      </w:r>
      <w:r w:rsidR="00811095" w:rsidRPr="00C85348">
        <w:rPr>
          <w:rFonts w:asciiTheme="minorHAnsi" w:hAnsiTheme="minorHAnsi"/>
        </w:rPr>
        <w:t>primerljiv delež (tj. brez pomoči</w:t>
      </w:r>
      <w:r w:rsidR="00151052" w:rsidRPr="00C85348">
        <w:rPr>
          <w:rFonts w:asciiTheme="minorHAnsi" w:hAnsiTheme="minorHAnsi"/>
        </w:rPr>
        <w:t xml:space="preserve"> za transport</w:t>
      </w:r>
      <w:r w:rsidR="003075A9" w:rsidRPr="00C85348">
        <w:rPr>
          <w:rFonts w:asciiTheme="minorHAnsi" w:hAnsiTheme="minorHAnsi"/>
        </w:rPr>
        <w:t>)</w:t>
      </w:r>
      <w:r w:rsidR="00811095" w:rsidRPr="00C85348">
        <w:rPr>
          <w:rFonts w:asciiTheme="minorHAnsi" w:hAnsiTheme="minorHAnsi"/>
        </w:rPr>
        <w:t xml:space="preserve"> </w:t>
      </w:r>
      <w:r w:rsidR="00591E12" w:rsidRPr="00C85348">
        <w:rPr>
          <w:rFonts w:asciiTheme="minorHAnsi" w:hAnsiTheme="minorHAnsi"/>
        </w:rPr>
        <w:t xml:space="preserve">skoraj 40 </w:t>
      </w:r>
      <w:r w:rsidR="00811095" w:rsidRPr="00C85348">
        <w:rPr>
          <w:rFonts w:asciiTheme="minorHAnsi" w:hAnsiTheme="minorHAnsi"/>
        </w:rPr>
        <w:t>%</w:t>
      </w:r>
      <w:r w:rsidR="00591E12" w:rsidRPr="00C85348">
        <w:rPr>
          <w:rFonts w:asciiTheme="minorHAnsi" w:hAnsiTheme="minorHAnsi"/>
        </w:rPr>
        <w:t xml:space="preserve"> vseh pomoči</w:t>
      </w:r>
      <w:r w:rsidR="00591E12" w:rsidRPr="00D050E9">
        <w:rPr>
          <w:rFonts w:asciiTheme="minorHAnsi" w:hAnsiTheme="minorHAnsi"/>
        </w:rPr>
        <w:t xml:space="preserve"> (</w:t>
      </w:r>
      <w:r w:rsidR="009849B9" w:rsidRPr="00D050E9">
        <w:rPr>
          <w:rFonts w:asciiTheme="minorHAnsi" w:hAnsiTheme="minorHAnsi"/>
        </w:rPr>
        <w:t xml:space="preserve">10. mesto med </w:t>
      </w:r>
      <w:r w:rsidR="00591E12" w:rsidRPr="00D050E9">
        <w:rPr>
          <w:rFonts w:asciiTheme="minorHAnsi" w:hAnsiTheme="minorHAnsi"/>
        </w:rPr>
        <w:t>EU-28</w:t>
      </w:r>
      <w:r w:rsidR="009849B9" w:rsidRPr="00D050E9">
        <w:rPr>
          <w:rFonts w:asciiTheme="minorHAnsi" w:hAnsiTheme="minorHAnsi"/>
        </w:rPr>
        <w:t xml:space="preserve"> tj. 9 držav je namenilo več pomoči za ta namen)</w:t>
      </w:r>
      <w:r w:rsidR="00591E12" w:rsidRPr="00D050E9">
        <w:rPr>
          <w:rFonts w:asciiTheme="minorHAnsi" w:hAnsiTheme="minorHAnsi"/>
        </w:rPr>
        <w:t>.</w:t>
      </w:r>
      <w:r w:rsidRPr="00D050E9">
        <w:rPr>
          <w:rFonts w:asciiTheme="minorHAnsi" w:hAnsiTheme="minorHAnsi"/>
        </w:rPr>
        <w:t xml:space="preserve"> Največ teh pomoči dodeljujeta Nemčija in Švedska, več kot štiri petine vseh pomoči v teh dveh državah je šlo za ta namen</w:t>
      </w:r>
      <w:r w:rsidR="00305B02">
        <w:rPr>
          <w:rFonts w:asciiTheme="minorHAnsi" w:hAnsiTheme="minorHAnsi"/>
        </w:rPr>
        <w:t>.</w:t>
      </w:r>
    </w:p>
    <w:p w:rsidR="00814B14" w:rsidRPr="00D050E9" w:rsidRDefault="00591E12" w:rsidP="00811095">
      <w:pPr>
        <w:spacing w:line="276" w:lineRule="auto"/>
        <w:rPr>
          <w:rFonts w:asciiTheme="minorHAnsi" w:hAnsiTheme="minorHAnsi"/>
        </w:rPr>
      </w:pPr>
      <w:r w:rsidRPr="00D050E9">
        <w:rPr>
          <w:rFonts w:asciiTheme="minorHAnsi" w:hAnsiTheme="minorHAnsi"/>
        </w:rPr>
        <w:t xml:space="preserve">Za </w:t>
      </w:r>
      <w:r w:rsidRPr="00D050E9">
        <w:rPr>
          <w:rFonts w:asciiTheme="minorHAnsi" w:hAnsiTheme="minorHAnsi"/>
          <w:b/>
        </w:rPr>
        <w:t>regionalne pomoči</w:t>
      </w:r>
      <w:r w:rsidRPr="00D050E9">
        <w:rPr>
          <w:rFonts w:asciiTheme="minorHAnsi" w:hAnsiTheme="minorHAnsi"/>
        </w:rPr>
        <w:t xml:space="preserve"> </w:t>
      </w:r>
      <w:r w:rsidR="00814B14" w:rsidRPr="00D050E9">
        <w:rPr>
          <w:rFonts w:asciiTheme="minorHAnsi" w:hAnsiTheme="minorHAnsi"/>
        </w:rPr>
        <w:t>so države EU v povprečju namenile 11 % vseh pomoči, Slovenija pa</w:t>
      </w:r>
      <w:r w:rsidR="009849B9" w:rsidRPr="00D050E9">
        <w:rPr>
          <w:rFonts w:asciiTheme="minorHAnsi" w:hAnsiTheme="minorHAnsi"/>
        </w:rPr>
        <w:t xml:space="preserve"> skoraj </w:t>
      </w:r>
      <w:r w:rsidR="00D00ACD" w:rsidRPr="00D050E9">
        <w:rPr>
          <w:rFonts w:asciiTheme="minorHAnsi" w:hAnsiTheme="minorHAnsi"/>
          <w:b/>
        </w:rPr>
        <w:t>10 %</w:t>
      </w:r>
      <w:r w:rsidR="00814B14" w:rsidRPr="00D050E9">
        <w:rPr>
          <w:rFonts w:asciiTheme="minorHAnsi" w:hAnsiTheme="minorHAnsi"/>
        </w:rPr>
        <w:t xml:space="preserve"> vseh pomoči 2014–2016</w:t>
      </w:r>
      <w:r w:rsidR="009849B9" w:rsidRPr="00D050E9">
        <w:rPr>
          <w:rFonts w:asciiTheme="minorHAnsi" w:hAnsiTheme="minorHAnsi"/>
        </w:rPr>
        <w:t xml:space="preserve"> (18. mesto med državami)</w:t>
      </w:r>
      <w:r w:rsidR="00814B14" w:rsidRPr="00D050E9">
        <w:rPr>
          <w:rFonts w:asciiTheme="minorHAnsi" w:hAnsiTheme="minorHAnsi"/>
        </w:rPr>
        <w:t xml:space="preserve">. </w:t>
      </w:r>
      <w:r w:rsidR="004C7FE6" w:rsidRPr="00D050E9">
        <w:rPr>
          <w:rFonts w:asciiTheme="minorHAnsi" w:hAnsiTheme="minorHAnsi"/>
        </w:rPr>
        <w:t>Največji delež so te pomoči predstavljale v Grčiji (tri četrtine vseh pomoči</w:t>
      </w:r>
      <w:r w:rsidR="0089183A" w:rsidRPr="00D050E9">
        <w:rPr>
          <w:rFonts w:asciiTheme="minorHAnsi" w:hAnsiTheme="minorHAnsi"/>
        </w:rPr>
        <w:t xml:space="preserve">) in na Portugalskem (skoraj 70 % vseh pomoči), je pa </w:t>
      </w:r>
      <w:r w:rsidR="00814B14" w:rsidRPr="00D050E9">
        <w:rPr>
          <w:rFonts w:asciiTheme="minorHAnsi" w:hAnsiTheme="minorHAnsi"/>
        </w:rPr>
        <w:t xml:space="preserve">v večini </w:t>
      </w:r>
      <w:r w:rsidR="0089183A" w:rsidRPr="00D050E9">
        <w:rPr>
          <w:rFonts w:asciiTheme="minorHAnsi" w:hAnsiTheme="minorHAnsi"/>
        </w:rPr>
        <w:t>držav</w:t>
      </w:r>
      <w:r w:rsidR="008D3575" w:rsidRPr="00D050E9">
        <w:rPr>
          <w:rFonts w:asciiTheme="minorHAnsi" w:hAnsiTheme="minorHAnsi"/>
        </w:rPr>
        <w:t>, tudi v Sloveniji,</w:t>
      </w:r>
      <w:r w:rsidR="0089183A" w:rsidRPr="00D050E9">
        <w:rPr>
          <w:rFonts w:asciiTheme="minorHAnsi" w:hAnsiTheme="minorHAnsi"/>
        </w:rPr>
        <w:t xml:space="preserve"> opazen trend zniževanja teh pomoči, tako da so v letu 2016 predstavljale le</w:t>
      </w:r>
      <w:r w:rsidR="00814B14" w:rsidRPr="00D050E9">
        <w:rPr>
          <w:rFonts w:asciiTheme="minorHAnsi" w:hAnsiTheme="minorHAnsi"/>
        </w:rPr>
        <w:t xml:space="preserve"> še</w:t>
      </w:r>
      <w:r w:rsidR="0089183A" w:rsidRPr="00D050E9">
        <w:rPr>
          <w:rFonts w:asciiTheme="minorHAnsi" w:hAnsiTheme="minorHAnsi"/>
        </w:rPr>
        <w:t xml:space="preserve"> 7 % vseh pomoči v EU</w:t>
      </w:r>
      <w:r w:rsidR="00814B14" w:rsidRPr="00D050E9">
        <w:rPr>
          <w:rFonts w:asciiTheme="minorHAnsi" w:hAnsiTheme="minorHAnsi"/>
        </w:rPr>
        <w:t xml:space="preserve">. </w:t>
      </w:r>
    </w:p>
    <w:p w:rsidR="00962871" w:rsidRPr="00D050E9" w:rsidRDefault="0089183A" w:rsidP="00811095">
      <w:pPr>
        <w:spacing w:line="276" w:lineRule="auto"/>
        <w:rPr>
          <w:rFonts w:asciiTheme="minorHAnsi" w:hAnsiTheme="minorHAnsi"/>
        </w:rPr>
      </w:pPr>
      <w:r w:rsidRPr="00D050E9">
        <w:rPr>
          <w:rFonts w:asciiTheme="minorHAnsi" w:hAnsiTheme="minorHAnsi"/>
        </w:rPr>
        <w:t xml:space="preserve">Pomoči za </w:t>
      </w:r>
      <w:r w:rsidR="00C648A9" w:rsidRPr="00D050E9">
        <w:rPr>
          <w:rFonts w:asciiTheme="minorHAnsi" w:hAnsiTheme="minorHAnsi"/>
          <w:b/>
        </w:rPr>
        <w:t>raziskave, razvoj in inovacije</w:t>
      </w:r>
      <w:r w:rsidRPr="00D050E9">
        <w:rPr>
          <w:rFonts w:asciiTheme="minorHAnsi" w:hAnsiTheme="minorHAnsi"/>
        </w:rPr>
        <w:t xml:space="preserve"> so predstavljale </w:t>
      </w:r>
      <w:r w:rsidRPr="00D050E9">
        <w:rPr>
          <w:rFonts w:asciiTheme="minorHAnsi" w:hAnsiTheme="minorHAnsi"/>
          <w:b/>
        </w:rPr>
        <w:t>9 %</w:t>
      </w:r>
      <w:r w:rsidRPr="00D050E9">
        <w:rPr>
          <w:rFonts w:asciiTheme="minorHAnsi" w:hAnsiTheme="minorHAnsi"/>
        </w:rPr>
        <w:t xml:space="preserve"> vseh pomoči v EU v </w:t>
      </w:r>
      <w:r w:rsidR="009849B9" w:rsidRPr="00D050E9">
        <w:rPr>
          <w:rFonts w:asciiTheme="minorHAnsi" w:hAnsiTheme="minorHAnsi"/>
        </w:rPr>
        <w:t>tem obdobju</w:t>
      </w:r>
      <w:r w:rsidRPr="00D050E9">
        <w:rPr>
          <w:rFonts w:asciiTheme="minorHAnsi" w:hAnsiTheme="minorHAnsi"/>
        </w:rPr>
        <w:t xml:space="preserve">, v Sloveniji </w:t>
      </w:r>
      <w:r w:rsidR="00234229" w:rsidRPr="00D050E9">
        <w:rPr>
          <w:rFonts w:asciiTheme="minorHAnsi" w:hAnsiTheme="minorHAnsi"/>
        </w:rPr>
        <w:t>pa slabih 7 %</w:t>
      </w:r>
      <w:r w:rsidR="001B7D94" w:rsidRPr="00D050E9">
        <w:rPr>
          <w:rFonts w:asciiTheme="minorHAnsi" w:hAnsiTheme="minorHAnsi"/>
        </w:rPr>
        <w:t xml:space="preserve"> (14. mesto med državami članicami). N</w:t>
      </w:r>
      <w:r w:rsidR="008D3575" w:rsidRPr="00D050E9">
        <w:rPr>
          <w:rFonts w:asciiTheme="minorHAnsi" w:hAnsiTheme="minorHAnsi"/>
        </w:rPr>
        <w:t xml:space="preserve">ajvečji delež so te pomoči predstavljale v Belgiji, več kot tretjino vseh pomoči. </w:t>
      </w:r>
      <w:r w:rsidR="00C648A9" w:rsidRPr="00D050E9">
        <w:rPr>
          <w:rFonts w:asciiTheme="minorHAnsi" w:hAnsiTheme="minorHAnsi"/>
        </w:rPr>
        <w:t>V letu 2016 so se te pomoči v EU povečale</w:t>
      </w:r>
      <w:r w:rsidR="00962871" w:rsidRPr="00D050E9">
        <w:rPr>
          <w:rFonts w:asciiTheme="minorHAnsi" w:hAnsiTheme="minorHAnsi"/>
        </w:rPr>
        <w:t xml:space="preserve"> ter so po obsegu in v deležu presegle regionalne pomoči. P</w:t>
      </w:r>
      <w:r w:rsidR="00C648A9" w:rsidRPr="00D050E9">
        <w:rPr>
          <w:rFonts w:asciiTheme="minorHAnsi" w:hAnsiTheme="minorHAnsi"/>
        </w:rPr>
        <w:t>odob</w:t>
      </w:r>
      <w:r w:rsidR="00962871" w:rsidRPr="00D050E9">
        <w:rPr>
          <w:rFonts w:asciiTheme="minorHAnsi" w:hAnsiTheme="minorHAnsi"/>
        </w:rPr>
        <w:t xml:space="preserve">en trend </w:t>
      </w:r>
      <w:r w:rsidR="00C648A9" w:rsidRPr="00D050E9">
        <w:rPr>
          <w:rFonts w:asciiTheme="minorHAnsi" w:hAnsiTheme="minorHAnsi"/>
        </w:rPr>
        <w:t>je opaz</w:t>
      </w:r>
      <w:r w:rsidR="00962871" w:rsidRPr="00D050E9">
        <w:rPr>
          <w:rFonts w:asciiTheme="minorHAnsi" w:hAnsiTheme="minorHAnsi"/>
        </w:rPr>
        <w:t>e</w:t>
      </w:r>
      <w:r w:rsidR="00C648A9" w:rsidRPr="00D050E9">
        <w:rPr>
          <w:rFonts w:asciiTheme="minorHAnsi" w:hAnsiTheme="minorHAnsi"/>
        </w:rPr>
        <w:t xml:space="preserve">n tudi v Sloveniji, </w:t>
      </w:r>
      <w:r w:rsidR="00873563" w:rsidRPr="00D050E9">
        <w:rPr>
          <w:rFonts w:asciiTheme="minorHAnsi" w:hAnsiTheme="minorHAnsi"/>
        </w:rPr>
        <w:t>vendar</w:t>
      </w:r>
      <w:r w:rsidR="00576FC3" w:rsidRPr="00D050E9">
        <w:rPr>
          <w:rFonts w:asciiTheme="minorHAnsi" w:hAnsiTheme="minorHAnsi"/>
        </w:rPr>
        <w:t xml:space="preserve"> z </w:t>
      </w:r>
      <w:r w:rsidR="00873563" w:rsidRPr="00D050E9">
        <w:rPr>
          <w:rFonts w:asciiTheme="minorHAnsi" w:hAnsiTheme="minorHAnsi"/>
        </w:rPr>
        <w:t xml:space="preserve">enoletnim zamikom tj. </w:t>
      </w:r>
      <w:r w:rsidR="00C648A9" w:rsidRPr="00D050E9">
        <w:rPr>
          <w:rFonts w:asciiTheme="minorHAnsi" w:hAnsiTheme="minorHAnsi"/>
        </w:rPr>
        <w:t>v letu 2017</w:t>
      </w:r>
      <w:r w:rsidR="00962871" w:rsidRPr="00D050E9">
        <w:rPr>
          <w:rFonts w:asciiTheme="minorHAnsi" w:hAnsiTheme="minorHAnsi"/>
        </w:rPr>
        <w:t>.</w:t>
      </w:r>
    </w:p>
    <w:p w:rsidR="006D1151" w:rsidRPr="00D050E9" w:rsidRDefault="006D1151" w:rsidP="00811095">
      <w:pPr>
        <w:spacing w:line="276" w:lineRule="auto"/>
        <w:rPr>
          <w:rFonts w:asciiTheme="minorHAnsi" w:hAnsiTheme="minorHAnsi"/>
        </w:rPr>
      </w:pPr>
      <w:r w:rsidRPr="00D050E9">
        <w:rPr>
          <w:rFonts w:asciiTheme="minorHAnsi" w:hAnsiTheme="minorHAnsi"/>
        </w:rPr>
        <w:t xml:space="preserve">Slovenija najbolj odstopa od povprečja EU po deležu pomoči za </w:t>
      </w:r>
      <w:r w:rsidRPr="00D050E9">
        <w:rPr>
          <w:rFonts w:asciiTheme="minorHAnsi" w:hAnsiTheme="minorHAnsi"/>
          <w:b/>
        </w:rPr>
        <w:t>zaposlovanje</w:t>
      </w:r>
      <w:r w:rsidRPr="00D050E9">
        <w:rPr>
          <w:rFonts w:asciiTheme="minorHAnsi" w:hAnsiTheme="minorHAnsi"/>
        </w:rPr>
        <w:t>. Te pomoči so predstavljale skoraj četrtino (24 %) vseh pomoči v Sloveniji v obdobju 2014–2016, medtem ko</w:t>
      </w:r>
      <w:r w:rsidR="00873563" w:rsidRPr="00D050E9">
        <w:rPr>
          <w:rFonts w:asciiTheme="minorHAnsi" w:hAnsiTheme="minorHAnsi"/>
        </w:rPr>
        <w:t xml:space="preserve"> je znašalo</w:t>
      </w:r>
      <w:r w:rsidRPr="00D050E9">
        <w:rPr>
          <w:rFonts w:asciiTheme="minorHAnsi" w:hAnsiTheme="minorHAnsi"/>
        </w:rPr>
        <w:t xml:space="preserve"> povprečje EU le 2,5 % vseh pomoči. Višji delež pomoči za zaposlovanje</w:t>
      </w:r>
      <w:r w:rsidR="00873563" w:rsidRPr="00D050E9">
        <w:rPr>
          <w:rFonts w:asciiTheme="minorHAnsi" w:hAnsiTheme="minorHAnsi"/>
        </w:rPr>
        <w:t xml:space="preserve"> kot </w:t>
      </w:r>
      <w:r w:rsidR="00873563" w:rsidRPr="00C85348">
        <w:rPr>
          <w:rFonts w:asciiTheme="minorHAnsi" w:hAnsiTheme="minorHAnsi"/>
        </w:rPr>
        <w:t>Slovenija je</w:t>
      </w:r>
      <w:r w:rsidR="00536284" w:rsidRPr="00C85348">
        <w:rPr>
          <w:rFonts w:asciiTheme="minorHAnsi" w:hAnsiTheme="minorHAnsi"/>
        </w:rPr>
        <w:t xml:space="preserve"> imela</w:t>
      </w:r>
      <w:r w:rsidRPr="00C85348">
        <w:rPr>
          <w:rFonts w:asciiTheme="minorHAnsi" w:hAnsiTheme="minorHAnsi"/>
        </w:rPr>
        <w:t xml:space="preserve"> le</w:t>
      </w:r>
      <w:r w:rsidRPr="00D050E9">
        <w:rPr>
          <w:rFonts w:asciiTheme="minorHAnsi" w:hAnsiTheme="minorHAnsi"/>
        </w:rPr>
        <w:t xml:space="preserve"> Danska (30 % vseh pomoči). Visok delež pomoči za zaposlovanje v Sloveniji je posledica sistema spodbujanja zaposlovanja invalidnih oseb, ki spodbude za zaposlitev invalidnih oseb namenja podjetjem, ki zaposlujejo te osebe, za razliko od drugih držav članic, ki položaj invalidnih oseb rešujejo preko sistema socialnih pomoči ali drugih individualnih podpor, ki ne predstavljajo državne pomoči.  </w:t>
      </w:r>
    </w:p>
    <w:p w:rsidR="00C07AE4" w:rsidRPr="00D050E9" w:rsidRDefault="009849B9" w:rsidP="00811095">
      <w:pPr>
        <w:spacing w:line="276" w:lineRule="auto"/>
        <w:rPr>
          <w:rFonts w:asciiTheme="minorHAnsi" w:hAnsiTheme="minorHAnsi"/>
        </w:rPr>
      </w:pPr>
      <w:r w:rsidRPr="00D050E9">
        <w:rPr>
          <w:rFonts w:asciiTheme="minorHAnsi" w:hAnsiTheme="minorHAnsi"/>
        </w:rPr>
        <w:t xml:space="preserve">Slovenija je </w:t>
      </w:r>
      <w:r w:rsidR="00AE0F15" w:rsidRPr="00D050E9">
        <w:rPr>
          <w:rFonts w:asciiTheme="minorHAnsi" w:hAnsiTheme="minorHAnsi"/>
        </w:rPr>
        <w:t xml:space="preserve">večji delež pomoči kot v povprečju EU namenila tudi za pomoči za </w:t>
      </w:r>
      <w:r w:rsidR="00AE0F15" w:rsidRPr="00D050E9">
        <w:rPr>
          <w:rFonts w:asciiTheme="minorHAnsi" w:hAnsiTheme="minorHAnsi"/>
          <w:b/>
        </w:rPr>
        <w:t>prestrukturiranje podjetij</w:t>
      </w:r>
      <w:r w:rsidR="00AE0F15" w:rsidRPr="00D050E9">
        <w:rPr>
          <w:rFonts w:asciiTheme="minorHAnsi" w:hAnsiTheme="minorHAnsi"/>
        </w:rPr>
        <w:t xml:space="preserve"> v težavah, dobrih 8 % vseh pomoči (</w:t>
      </w:r>
      <w:r w:rsidR="00F41C24" w:rsidRPr="00D050E9">
        <w:rPr>
          <w:rFonts w:asciiTheme="minorHAnsi" w:hAnsiTheme="minorHAnsi"/>
        </w:rPr>
        <w:t>povprečje EU 0,5 % vseh pomoči).</w:t>
      </w:r>
      <w:r w:rsidR="0088669A" w:rsidRPr="00D050E9">
        <w:rPr>
          <w:rFonts w:asciiTheme="minorHAnsi" w:hAnsiTheme="minorHAnsi"/>
        </w:rPr>
        <w:t xml:space="preserve"> </w:t>
      </w:r>
      <w:r w:rsidR="00C07AE4" w:rsidRPr="00D050E9">
        <w:rPr>
          <w:rFonts w:asciiTheme="minorHAnsi" w:hAnsiTheme="minorHAnsi"/>
        </w:rPr>
        <w:t xml:space="preserve">Največ te pomoči koristi Malta, zanje je namenila skoraj četrtino vseh pomoči. </w:t>
      </w:r>
    </w:p>
    <w:p w:rsidR="00873563" w:rsidRPr="00D050E9" w:rsidRDefault="009849B9" w:rsidP="00811095">
      <w:pPr>
        <w:spacing w:line="276" w:lineRule="auto"/>
        <w:rPr>
          <w:rFonts w:asciiTheme="minorHAnsi" w:hAnsiTheme="minorHAnsi"/>
        </w:rPr>
      </w:pPr>
      <w:r w:rsidRPr="00D050E9">
        <w:rPr>
          <w:rFonts w:asciiTheme="minorHAnsi" w:hAnsiTheme="minorHAnsi"/>
        </w:rPr>
        <w:t xml:space="preserve">Nekaj manj pomoči kot v povprečju EU namenja </w:t>
      </w:r>
      <w:r w:rsidR="00873563" w:rsidRPr="00D050E9">
        <w:rPr>
          <w:rFonts w:asciiTheme="minorHAnsi" w:hAnsiTheme="minorHAnsi"/>
        </w:rPr>
        <w:t xml:space="preserve">Slovenija </w:t>
      </w:r>
      <w:r w:rsidR="00B4414C" w:rsidRPr="00D050E9">
        <w:rPr>
          <w:rFonts w:asciiTheme="minorHAnsi" w:hAnsiTheme="minorHAnsi"/>
        </w:rPr>
        <w:t xml:space="preserve">za </w:t>
      </w:r>
      <w:r w:rsidR="00B4414C" w:rsidRPr="00D050E9">
        <w:rPr>
          <w:rFonts w:asciiTheme="minorHAnsi" w:hAnsiTheme="minorHAnsi"/>
          <w:b/>
        </w:rPr>
        <w:t>MSP in tvegano</w:t>
      </w:r>
      <w:r w:rsidR="00B4414C" w:rsidRPr="00D050E9">
        <w:rPr>
          <w:rFonts w:asciiTheme="minorHAnsi" w:hAnsiTheme="minorHAnsi"/>
        </w:rPr>
        <w:t xml:space="preserve"> </w:t>
      </w:r>
      <w:r w:rsidR="00B4414C" w:rsidRPr="00D050E9">
        <w:rPr>
          <w:rFonts w:asciiTheme="minorHAnsi" w:hAnsiTheme="minorHAnsi"/>
          <w:b/>
        </w:rPr>
        <w:t>financiranje</w:t>
      </w:r>
      <w:r w:rsidR="00B4414C" w:rsidRPr="00D050E9">
        <w:rPr>
          <w:rFonts w:asciiTheme="minorHAnsi" w:hAnsiTheme="minorHAnsi"/>
        </w:rPr>
        <w:t xml:space="preserve">, za ta namen je bilo izplačanih okoli 1 % vseh pomoči </w:t>
      </w:r>
      <w:r w:rsidRPr="00D050E9">
        <w:rPr>
          <w:rFonts w:asciiTheme="minorHAnsi" w:hAnsiTheme="minorHAnsi"/>
        </w:rPr>
        <w:t xml:space="preserve">v Sloveniji </w:t>
      </w:r>
      <w:r w:rsidR="00B4414C" w:rsidRPr="00D050E9">
        <w:rPr>
          <w:rFonts w:asciiTheme="minorHAnsi" w:hAnsiTheme="minorHAnsi"/>
        </w:rPr>
        <w:t>2014–2016</w:t>
      </w:r>
      <w:r w:rsidRPr="00D050E9">
        <w:rPr>
          <w:rFonts w:asciiTheme="minorHAnsi" w:hAnsiTheme="minorHAnsi"/>
        </w:rPr>
        <w:t xml:space="preserve"> v</w:t>
      </w:r>
      <w:r w:rsidR="00B4414C" w:rsidRPr="00D050E9">
        <w:rPr>
          <w:rFonts w:asciiTheme="minorHAnsi" w:hAnsiTheme="minorHAnsi"/>
        </w:rPr>
        <w:t xml:space="preserve"> (povprečje EU znaša 4,5 % vseh pomoči). </w:t>
      </w:r>
      <w:r w:rsidR="00C07AE4" w:rsidRPr="00D050E9">
        <w:rPr>
          <w:rFonts w:asciiTheme="minorHAnsi" w:hAnsiTheme="minorHAnsi"/>
        </w:rPr>
        <w:t>Največ te pomoči koristi Velika Britanija, kjer so predstavljale 18 % vseh pomoči te države.</w:t>
      </w:r>
    </w:p>
    <w:p w:rsidR="002F5B73" w:rsidRPr="00D050E9" w:rsidRDefault="002F5B73" w:rsidP="00811095">
      <w:pPr>
        <w:spacing w:line="276" w:lineRule="auto"/>
        <w:rPr>
          <w:rFonts w:asciiTheme="minorHAnsi" w:hAnsiTheme="minorHAnsi"/>
        </w:rPr>
      </w:pPr>
    </w:p>
    <w:p w:rsidR="002F5B73" w:rsidRPr="00D050E9" w:rsidRDefault="002F5B73" w:rsidP="00811095">
      <w:pPr>
        <w:spacing w:line="276" w:lineRule="auto"/>
        <w:rPr>
          <w:rFonts w:asciiTheme="minorHAnsi" w:hAnsiTheme="minorHAnsi"/>
        </w:rPr>
      </w:pPr>
    </w:p>
    <w:p w:rsidR="002F5B73" w:rsidRPr="00D050E9" w:rsidRDefault="002F5B73" w:rsidP="00811095">
      <w:pPr>
        <w:spacing w:line="276" w:lineRule="auto"/>
        <w:rPr>
          <w:rFonts w:asciiTheme="minorHAnsi" w:hAnsiTheme="minorHAnsi"/>
        </w:rPr>
      </w:pPr>
    </w:p>
    <w:p w:rsidR="00343952" w:rsidRPr="00D050E9" w:rsidRDefault="00343952" w:rsidP="00811095">
      <w:pPr>
        <w:spacing w:line="276" w:lineRule="auto"/>
        <w:rPr>
          <w:rFonts w:asciiTheme="minorHAnsi" w:hAnsiTheme="minorHAnsi"/>
        </w:rPr>
      </w:pPr>
    </w:p>
    <w:p w:rsidR="0088669A" w:rsidRPr="00D050E9" w:rsidRDefault="0088669A" w:rsidP="00811095">
      <w:pPr>
        <w:spacing w:line="276" w:lineRule="auto"/>
        <w:rPr>
          <w:rFonts w:asciiTheme="minorHAnsi" w:hAnsiTheme="minorHAnsi"/>
        </w:rPr>
      </w:pPr>
    </w:p>
    <w:p w:rsidR="0088669A" w:rsidRPr="00D050E9" w:rsidRDefault="0088669A" w:rsidP="00811095">
      <w:pPr>
        <w:spacing w:line="276" w:lineRule="auto"/>
        <w:rPr>
          <w:rFonts w:asciiTheme="minorHAnsi" w:hAnsiTheme="minorHAnsi"/>
        </w:rPr>
      </w:pPr>
    </w:p>
    <w:p w:rsidR="009849B9" w:rsidRPr="00D050E9" w:rsidRDefault="009849B9" w:rsidP="00811095">
      <w:pPr>
        <w:spacing w:line="276" w:lineRule="auto"/>
        <w:rPr>
          <w:rFonts w:asciiTheme="minorHAnsi" w:hAnsiTheme="minorHAnsi"/>
        </w:rPr>
      </w:pPr>
    </w:p>
    <w:p w:rsidR="009849B9" w:rsidRPr="00D050E9" w:rsidRDefault="009849B9" w:rsidP="00811095">
      <w:pPr>
        <w:spacing w:line="276" w:lineRule="auto"/>
        <w:rPr>
          <w:rFonts w:asciiTheme="minorHAnsi" w:hAnsiTheme="minorHAnsi"/>
        </w:rPr>
      </w:pPr>
    </w:p>
    <w:p w:rsidR="005A5EFA" w:rsidRPr="00D050E9" w:rsidRDefault="00F970D8" w:rsidP="00F970D8">
      <w:pPr>
        <w:pStyle w:val="Caption"/>
        <w:rPr>
          <w:color w:val="auto"/>
        </w:rPr>
      </w:pPr>
      <w:bookmarkStart w:id="51" w:name="_Toc530654636"/>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21</w:t>
      </w:r>
      <w:r w:rsidRPr="00D050E9">
        <w:rPr>
          <w:color w:val="auto"/>
        </w:rPr>
        <w:fldChar w:fldCharType="end"/>
      </w:r>
      <w:r w:rsidRPr="00D050E9">
        <w:rPr>
          <w:color w:val="auto"/>
        </w:rPr>
        <w:t xml:space="preserve">: </w:t>
      </w:r>
      <w:r w:rsidR="005A5EFA" w:rsidRPr="00D050E9">
        <w:rPr>
          <w:color w:val="auto"/>
        </w:rPr>
        <w:t>Državne pomoči v EU po instrumentih</w:t>
      </w:r>
      <w:r w:rsidR="004A38C7" w:rsidRPr="00D050E9">
        <w:rPr>
          <w:color w:val="auto"/>
        </w:rPr>
        <w:t xml:space="preserve">, </w:t>
      </w:r>
      <w:r w:rsidR="005A5EFA" w:rsidRPr="00D050E9">
        <w:rPr>
          <w:color w:val="auto"/>
        </w:rPr>
        <w:t>povprečje 2014–2016, v % vseh pomoči</w:t>
      </w:r>
      <w:bookmarkEnd w:id="51"/>
    </w:p>
    <w:p w:rsidR="005A5EFA" w:rsidRPr="00D050E9" w:rsidRDefault="005A5EFA" w:rsidP="005A5EFA">
      <w:pPr>
        <w:spacing w:line="276" w:lineRule="auto"/>
        <w:rPr>
          <w:rFonts w:asciiTheme="minorHAnsi" w:hAnsiTheme="minorHAnsi"/>
        </w:rPr>
      </w:pPr>
      <w:r w:rsidRPr="00D050E9">
        <w:rPr>
          <w:noProof/>
          <w:lang w:eastAsia="sl-SI"/>
        </w:rPr>
        <w:drawing>
          <wp:inline distT="0" distB="0" distL="0" distR="0" wp14:anchorId="51A219A7" wp14:editId="52BEF787">
            <wp:extent cx="5471160" cy="2659380"/>
            <wp:effectExtent l="0" t="0" r="0" b="762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07AE4" w:rsidRPr="00D050E9" w:rsidRDefault="005A5EFA" w:rsidP="005A5EFA">
      <w:pPr>
        <w:spacing w:line="276" w:lineRule="auto"/>
        <w:rPr>
          <w:rFonts w:asciiTheme="minorHAnsi" w:hAnsiTheme="minorHAnsi"/>
        </w:rPr>
      </w:pPr>
      <w:r w:rsidRPr="00C85348">
        <w:rPr>
          <w:rFonts w:asciiTheme="minorHAnsi" w:hAnsiTheme="minorHAnsi"/>
        </w:rPr>
        <w:t>Tudi v EU se največ pomoči dodeljuje v obliki subvencij</w:t>
      </w:r>
      <w:r w:rsidR="000D3AB1" w:rsidRPr="00C85348">
        <w:rPr>
          <w:rFonts w:asciiTheme="minorHAnsi" w:hAnsiTheme="minorHAnsi"/>
        </w:rPr>
        <w:t xml:space="preserve">, </w:t>
      </w:r>
      <w:r w:rsidR="000D3AB1" w:rsidRPr="00C85348">
        <w:rPr>
          <w:rFonts w:asciiTheme="minorHAnsi" w:hAnsiTheme="minorHAnsi"/>
          <w:b/>
        </w:rPr>
        <w:t>62 %</w:t>
      </w:r>
      <w:r w:rsidR="000D3AB1" w:rsidRPr="00C85348">
        <w:rPr>
          <w:rFonts w:asciiTheme="minorHAnsi" w:hAnsiTheme="minorHAnsi"/>
        </w:rPr>
        <w:t xml:space="preserve"> vseh p</w:t>
      </w:r>
      <w:r w:rsidRPr="00C85348">
        <w:rPr>
          <w:rFonts w:asciiTheme="minorHAnsi" w:hAnsiTheme="minorHAnsi"/>
        </w:rPr>
        <w:t>omoči 2014–2016</w:t>
      </w:r>
      <w:r w:rsidR="00C07AE4" w:rsidRPr="00C85348">
        <w:rPr>
          <w:rFonts w:asciiTheme="minorHAnsi" w:hAnsiTheme="minorHAnsi"/>
        </w:rPr>
        <w:t xml:space="preserve">. </w:t>
      </w:r>
      <w:r w:rsidR="004434A0" w:rsidRPr="00C85348">
        <w:rPr>
          <w:rFonts w:asciiTheme="minorHAnsi" w:hAnsiTheme="minorHAnsi"/>
          <w:b/>
        </w:rPr>
        <w:t>Davčne oprostit</w:t>
      </w:r>
      <w:r w:rsidR="000D3AB1" w:rsidRPr="00C85348">
        <w:rPr>
          <w:rFonts w:asciiTheme="minorHAnsi" w:hAnsiTheme="minorHAnsi"/>
          <w:b/>
        </w:rPr>
        <w:t>v</w:t>
      </w:r>
      <w:r w:rsidR="004434A0" w:rsidRPr="00C85348">
        <w:rPr>
          <w:rFonts w:asciiTheme="minorHAnsi" w:hAnsiTheme="minorHAnsi"/>
          <w:b/>
        </w:rPr>
        <w:t>e</w:t>
      </w:r>
      <w:r w:rsidR="000D3AB1" w:rsidRPr="00C85348">
        <w:rPr>
          <w:rFonts w:asciiTheme="minorHAnsi" w:hAnsiTheme="minorHAnsi"/>
          <w:b/>
        </w:rPr>
        <w:t xml:space="preserve"> in izjeme, </w:t>
      </w:r>
      <w:r w:rsidR="007A18C2" w:rsidRPr="00C85348">
        <w:rPr>
          <w:rFonts w:asciiTheme="minorHAnsi" w:hAnsiTheme="minorHAnsi"/>
        </w:rPr>
        <w:t>kot drugi najpogosteje uporablje</w:t>
      </w:r>
      <w:r w:rsidR="000D3AB1" w:rsidRPr="00C85348">
        <w:rPr>
          <w:rFonts w:asciiTheme="minorHAnsi" w:hAnsiTheme="minorHAnsi"/>
        </w:rPr>
        <w:t xml:space="preserve">n instrument, so predstavljale </w:t>
      </w:r>
      <w:r w:rsidR="000D3AB1" w:rsidRPr="00C85348">
        <w:rPr>
          <w:rFonts w:asciiTheme="minorHAnsi" w:hAnsiTheme="minorHAnsi"/>
          <w:b/>
        </w:rPr>
        <w:t>32 %</w:t>
      </w:r>
      <w:r w:rsidR="000D3AB1" w:rsidRPr="00C85348">
        <w:rPr>
          <w:rFonts w:asciiTheme="minorHAnsi" w:hAnsiTheme="minorHAnsi"/>
        </w:rPr>
        <w:t xml:space="preserve"> vseh</w:t>
      </w:r>
      <w:r w:rsidR="000D3AB1" w:rsidRPr="00D050E9">
        <w:rPr>
          <w:rFonts w:asciiTheme="minorHAnsi" w:hAnsiTheme="minorHAnsi"/>
        </w:rPr>
        <w:t xml:space="preserve"> državnih pomoči v EU. </w:t>
      </w:r>
      <w:r w:rsidRPr="00D050E9">
        <w:rPr>
          <w:rFonts w:asciiTheme="minorHAnsi" w:hAnsiTheme="minorHAnsi"/>
        </w:rPr>
        <w:t xml:space="preserve">Uporaba </w:t>
      </w:r>
      <w:r w:rsidRPr="00D050E9">
        <w:rPr>
          <w:rFonts w:asciiTheme="minorHAnsi" w:hAnsiTheme="minorHAnsi"/>
          <w:b/>
        </w:rPr>
        <w:t>p</w:t>
      </w:r>
      <w:r w:rsidR="00BA7452" w:rsidRPr="00D050E9">
        <w:rPr>
          <w:rFonts w:asciiTheme="minorHAnsi" w:hAnsiTheme="minorHAnsi"/>
          <w:b/>
        </w:rPr>
        <w:t xml:space="preserve">ovratnih oblik </w:t>
      </w:r>
      <w:r w:rsidR="00501D13" w:rsidRPr="00D050E9">
        <w:rPr>
          <w:rFonts w:asciiTheme="minorHAnsi" w:hAnsiTheme="minorHAnsi"/>
          <w:b/>
        </w:rPr>
        <w:t xml:space="preserve">pomoči </w:t>
      </w:r>
      <w:r w:rsidRPr="00D050E9">
        <w:rPr>
          <w:rFonts w:asciiTheme="minorHAnsi" w:hAnsiTheme="minorHAnsi"/>
        </w:rPr>
        <w:t>je tudi v EU</w:t>
      </w:r>
      <w:r w:rsidRPr="00D050E9">
        <w:rPr>
          <w:rFonts w:asciiTheme="minorHAnsi" w:hAnsiTheme="minorHAnsi"/>
          <w:b/>
        </w:rPr>
        <w:t xml:space="preserve"> </w:t>
      </w:r>
      <w:r w:rsidR="00BA7452" w:rsidRPr="00D050E9">
        <w:rPr>
          <w:rFonts w:asciiTheme="minorHAnsi" w:hAnsiTheme="minorHAnsi"/>
        </w:rPr>
        <w:t>skromna</w:t>
      </w:r>
      <w:r w:rsidR="00C07AE4" w:rsidRPr="00D050E9">
        <w:rPr>
          <w:rFonts w:asciiTheme="minorHAnsi" w:hAnsiTheme="minorHAnsi"/>
        </w:rPr>
        <w:t xml:space="preserve"> in se še zmanjšuje. V</w:t>
      </w:r>
      <w:r w:rsidR="00501D13" w:rsidRPr="00D050E9">
        <w:rPr>
          <w:rFonts w:asciiTheme="minorHAnsi" w:hAnsiTheme="minorHAnsi"/>
        </w:rPr>
        <w:t xml:space="preserve"> obliki ugodnih posojil in garancij je bilo izplačanih le okoli </w:t>
      </w:r>
      <w:r w:rsidR="00501D13" w:rsidRPr="00D050E9">
        <w:rPr>
          <w:rFonts w:asciiTheme="minorHAnsi" w:hAnsiTheme="minorHAnsi"/>
          <w:b/>
        </w:rPr>
        <w:t>3 %</w:t>
      </w:r>
      <w:r w:rsidR="00501D13" w:rsidRPr="00D050E9">
        <w:rPr>
          <w:rFonts w:asciiTheme="minorHAnsi" w:hAnsiTheme="minorHAnsi"/>
        </w:rPr>
        <w:t xml:space="preserve"> vseh pomoči, </w:t>
      </w:r>
      <w:r w:rsidR="0093246F" w:rsidRPr="00D050E9">
        <w:rPr>
          <w:rFonts w:asciiTheme="minorHAnsi" w:hAnsiTheme="minorHAnsi"/>
          <w:b/>
        </w:rPr>
        <w:t>0,7 %</w:t>
      </w:r>
      <w:r w:rsidR="00501D13" w:rsidRPr="00D050E9">
        <w:rPr>
          <w:rFonts w:asciiTheme="minorHAnsi" w:hAnsiTheme="minorHAnsi"/>
        </w:rPr>
        <w:t xml:space="preserve"> pomoči so predstavljale </w:t>
      </w:r>
      <w:r w:rsidR="00501D13" w:rsidRPr="00D050E9">
        <w:rPr>
          <w:rFonts w:asciiTheme="minorHAnsi" w:hAnsiTheme="minorHAnsi"/>
          <w:b/>
        </w:rPr>
        <w:t>kapitalske naložbe</w:t>
      </w:r>
      <w:r w:rsidR="00501D13" w:rsidRPr="00D050E9">
        <w:rPr>
          <w:rFonts w:asciiTheme="minorHAnsi" w:hAnsiTheme="minorHAnsi"/>
        </w:rPr>
        <w:t xml:space="preserve">. </w:t>
      </w:r>
    </w:p>
    <w:p w:rsidR="0080586E" w:rsidRPr="00D050E9" w:rsidRDefault="002F5B73" w:rsidP="005A5EFA">
      <w:pPr>
        <w:spacing w:line="276" w:lineRule="auto"/>
        <w:rPr>
          <w:rFonts w:asciiTheme="minorHAnsi" w:hAnsiTheme="minorHAnsi"/>
        </w:rPr>
      </w:pPr>
      <w:r w:rsidRPr="00D050E9">
        <w:rPr>
          <w:rFonts w:asciiTheme="minorHAnsi" w:hAnsiTheme="minorHAnsi"/>
        </w:rPr>
        <w:t xml:space="preserve">V zadnjih treh letih se je zmanjšal predvsem delež </w:t>
      </w:r>
      <w:r w:rsidR="005A5EFA" w:rsidRPr="00D050E9">
        <w:rPr>
          <w:rFonts w:asciiTheme="minorHAnsi" w:hAnsiTheme="minorHAnsi"/>
        </w:rPr>
        <w:t>garancij</w:t>
      </w:r>
      <w:r w:rsidR="00154A78" w:rsidRPr="00D050E9">
        <w:rPr>
          <w:rFonts w:asciiTheme="minorHAnsi" w:hAnsiTheme="minorHAnsi"/>
        </w:rPr>
        <w:t xml:space="preserve"> in ugodnih posojil. V letu 2016 sta ti obliki predstavljali le še 1,1 % vseh pomoči</w:t>
      </w:r>
      <w:r w:rsidRPr="00D050E9">
        <w:rPr>
          <w:rFonts w:asciiTheme="minorHAnsi" w:hAnsiTheme="minorHAnsi"/>
        </w:rPr>
        <w:t xml:space="preserve"> v EU</w:t>
      </w:r>
      <w:r w:rsidR="00154A78" w:rsidRPr="00D050E9">
        <w:rPr>
          <w:rFonts w:asciiTheme="minorHAnsi" w:hAnsiTheme="minorHAnsi"/>
        </w:rPr>
        <w:t xml:space="preserve">. </w:t>
      </w:r>
      <w:r w:rsidR="005A5EFA" w:rsidRPr="00D050E9">
        <w:rPr>
          <w:rFonts w:asciiTheme="minorHAnsi" w:hAnsiTheme="minorHAnsi"/>
        </w:rPr>
        <w:t>Na drugi strani se je</w:t>
      </w:r>
      <w:r w:rsidRPr="00D050E9">
        <w:rPr>
          <w:rFonts w:asciiTheme="minorHAnsi" w:hAnsiTheme="minorHAnsi"/>
        </w:rPr>
        <w:t xml:space="preserve"> povečeval</w:t>
      </w:r>
      <w:r w:rsidR="00154A78" w:rsidRPr="00D050E9">
        <w:rPr>
          <w:rFonts w:asciiTheme="minorHAnsi" w:hAnsiTheme="minorHAnsi"/>
        </w:rPr>
        <w:t xml:space="preserve"> delež subvencij</w:t>
      </w:r>
      <w:r w:rsidRPr="00D050E9">
        <w:rPr>
          <w:rFonts w:asciiTheme="minorHAnsi" w:hAnsiTheme="minorHAnsi"/>
        </w:rPr>
        <w:t>, izrazito v letu 2014, kar sovpada z velikim povečanjem pomoči za varstvo okolja</w:t>
      </w:r>
      <w:r w:rsidR="005A5EFA" w:rsidRPr="00D050E9">
        <w:rPr>
          <w:rFonts w:asciiTheme="minorHAnsi" w:hAnsiTheme="minorHAnsi"/>
        </w:rPr>
        <w:t xml:space="preserve"> in varčevanje z energijo. </w:t>
      </w:r>
      <w:r w:rsidR="00154A78" w:rsidRPr="00D050E9">
        <w:rPr>
          <w:rFonts w:asciiTheme="minorHAnsi" w:hAnsiTheme="minorHAnsi"/>
        </w:rPr>
        <w:t>Obseg subvencij se je</w:t>
      </w:r>
      <w:r w:rsidR="0080586E" w:rsidRPr="00D050E9">
        <w:rPr>
          <w:rFonts w:asciiTheme="minorHAnsi" w:hAnsiTheme="minorHAnsi"/>
        </w:rPr>
        <w:t xml:space="preserve"> ponovno </w:t>
      </w:r>
      <w:r w:rsidR="00154A78" w:rsidRPr="00D050E9">
        <w:rPr>
          <w:rFonts w:asciiTheme="minorHAnsi" w:hAnsiTheme="minorHAnsi"/>
        </w:rPr>
        <w:t>neko</w:t>
      </w:r>
      <w:r w:rsidR="0080586E" w:rsidRPr="00D050E9">
        <w:rPr>
          <w:rFonts w:asciiTheme="minorHAnsi" w:hAnsiTheme="minorHAnsi"/>
        </w:rPr>
        <w:t>liko povečal tudi v letu 2016, medtem, ko je obseg pomoči iz naslova davčnih oprostitev in olajšav ostal na ravni</w:t>
      </w:r>
      <w:r w:rsidR="00C07AE4" w:rsidRPr="00D050E9">
        <w:rPr>
          <w:rFonts w:asciiTheme="minorHAnsi" w:hAnsiTheme="minorHAnsi"/>
        </w:rPr>
        <w:t xml:space="preserve"> iz</w:t>
      </w:r>
      <w:r w:rsidR="0080586E" w:rsidRPr="00D050E9">
        <w:rPr>
          <w:rFonts w:asciiTheme="minorHAnsi" w:hAnsiTheme="minorHAnsi"/>
        </w:rPr>
        <w:t xml:space="preserve"> leta 2015. </w:t>
      </w:r>
    </w:p>
    <w:p w:rsidR="0080586E" w:rsidRPr="00D050E9" w:rsidRDefault="00F970D8" w:rsidP="00F970D8">
      <w:pPr>
        <w:pStyle w:val="Caption"/>
        <w:rPr>
          <w:color w:val="auto"/>
        </w:rPr>
      </w:pPr>
      <w:bookmarkStart w:id="52" w:name="_Toc530654637"/>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22</w:t>
      </w:r>
      <w:r w:rsidRPr="00D050E9">
        <w:rPr>
          <w:color w:val="auto"/>
        </w:rPr>
        <w:fldChar w:fldCharType="end"/>
      </w:r>
      <w:r w:rsidRPr="00D050E9">
        <w:rPr>
          <w:color w:val="auto"/>
        </w:rPr>
        <w:t xml:space="preserve">: </w:t>
      </w:r>
      <w:r w:rsidR="0080586E" w:rsidRPr="00D050E9">
        <w:rPr>
          <w:color w:val="auto"/>
        </w:rPr>
        <w:t>Instrumenti pom</w:t>
      </w:r>
      <w:r w:rsidR="00D82F9B">
        <w:rPr>
          <w:color w:val="auto"/>
        </w:rPr>
        <w:t>oči v EU v letih 2014–2016, v mrd</w:t>
      </w:r>
      <w:r w:rsidR="0080586E" w:rsidRPr="00D050E9">
        <w:rPr>
          <w:color w:val="auto"/>
        </w:rPr>
        <w:t xml:space="preserve"> EUR</w:t>
      </w:r>
      <w:bookmarkEnd w:id="52"/>
    </w:p>
    <w:p w:rsidR="002F5B73" w:rsidRPr="00D050E9" w:rsidRDefault="00154A78" w:rsidP="003075A9">
      <w:pPr>
        <w:spacing w:line="276" w:lineRule="auto"/>
        <w:rPr>
          <w:rFonts w:asciiTheme="minorHAnsi" w:hAnsiTheme="minorHAnsi"/>
        </w:rPr>
      </w:pPr>
      <w:r w:rsidRPr="00D050E9">
        <w:rPr>
          <w:noProof/>
          <w:lang w:eastAsia="sl-SI"/>
        </w:rPr>
        <w:drawing>
          <wp:inline distT="0" distB="0" distL="0" distR="0" wp14:anchorId="032AEA69" wp14:editId="206F74FF">
            <wp:extent cx="5471160" cy="288798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970D8" w:rsidRPr="00D050E9" w:rsidRDefault="00F970D8" w:rsidP="00EE0003">
      <w:pPr>
        <w:spacing w:after="0" w:line="276" w:lineRule="auto"/>
        <w:rPr>
          <w:rFonts w:asciiTheme="minorHAnsi" w:hAnsiTheme="minorHAnsi"/>
        </w:rPr>
      </w:pPr>
    </w:p>
    <w:p w:rsidR="00011DF6" w:rsidRPr="00D050E9" w:rsidRDefault="00F970D8" w:rsidP="00F970D8">
      <w:pPr>
        <w:pStyle w:val="Caption"/>
        <w:rPr>
          <w:color w:val="auto"/>
        </w:rPr>
      </w:pPr>
      <w:bookmarkStart w:id="53" w:name="_Toc530654638"/>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23</w:t>
      </w:r>
      <w:r w:rsidRPr="00D050E9">
        <w:rPr>
          <w:color w:val="auto"/>
        </w:rPr>
        <w:fldChar w:fldCharType="end"/>
      </w:r>
      <w:r w:rsidRPr="00D050E9">
        <w:rPr>
          <w:color w:val="auto"/>
        </w:rPr>
        <w:t xml:space="preserve">: </w:t>
      </w:r>
      <w:r w:rsidR="00501D13" w:rsidRPr="00D050E9">
        <w:rPr>
          <w:color w:val="auto"/>
        </w:rPr>
        <w:t>Struktura državnih pomoči v EU po instrumentih pomoči, 2007–2016</w:t>
      </w:r>
      <w:bookmarkEnd w:id="53"/>
    </w:p>
    <w:p w:rsidR="00011DF6" w:rsidRPr="00D050E9" w:rsidRDefault="00011DF6" w:rsidP="001D399B">
      <w:pPr>
        <w:spacing w:line="276" w:lineRule="auto"/>
        <w:rPr>
          <w:rFonts w:asciiTheme="minorHAnsi" w:hAnsiTheme="minorHAnsi"/>
        </w:rPr>
      </w:pPr>
      <w:r w:rsidRPr="00D050E9">
        <w:rPr>
          <w:noProof/>
          <w:lang w:eastAsia="sl-SI"/>
        </w:rPr>
        <w:drawing>
          <wp:inline distT="0" distB="0" distL="0" distR="0" wp14:anchorId="6EE80C9D" wp14:editId="5738D9CC">
            <wp:extent cx="5326380" cy="2842260"/>
            <wp:effectExtent l="0" t="0" r="762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E0003" w:rsidRPr="00D050E9" w:rsidRDefault="00FA3C1E" w:rsidP="001D399B">
      <w:pPr>
        <w:spacing w:line="276" w:lineRule="auto"/>
        <w:rPr>
          <w:rFonts w:asciiTheme="minorHAnsi" w:hAnsiTheme="minorHAnsi"/>
        </w:rPr>
      </w:pPr>
      <w:r w:rsidRPr="00C85348">
        <w:rPr>
          <w:rFonts w:asciiTheme="minorHAnsi" w:hAnsiTheme="minorHAnsi"/>
        </w:rPr>
        <w:t>U</w:t>
      </w:r>
      <w:r w:rsidR="00EE0003" w:rsidRPr="00C85348">
        <w:rPr>
          <w:rFonts w:asciiTheme="minorHAnsi" w:hAnsiTheme="minorHAnsi"/>
        </w:rPr>
        <w:t xml:space="preserve">poraba </w:t>
      </w:r>
      <w:r w:rsidR="00103170" w:rsidRPr="00C85348">
        <w:rPr>
          <w:rFonts w:asciiTheme="minorHAnsi" w:hAnsiTheme="minorHAnsi"/>
        </w:rPr>
        <w:t>instrumentov pomo</w:t>
      </w:r>
      <w:r w:rsidR="0093246F" w:rsidRPr="00C85348">
        <w:rPr>
          <w:rFonts w:asciiTheme="minorHAnsi" w:hAnsiTheme="minorHAnsi"/>
        </w:rPr>
        <w:t xml:space="preserve">či </w:t>
      </w:r>
      <w:r w:rsidR="00E663C3" w:rsidRPr="00C85348">
        <w:rPr>
          <w:rFonts w:asciiTheme="minorHAnsi" w:hAnsiTheme="minorHAnsi"/>
        </w:rPr>
        <w:t xml:space="preserve">se </w:t>
      </w:r>
      <w:r w:rsidR="0093246F" w:rsidRPr="00C85348">
        <w:rPr>
          <w:rFonts w:asciiTheme="minorHAnsi" w:hAnsiTheme="minorHAnsi"/>
        </w:rPr>
        <w:t>v državah EU precej</w:t>
      </w:r>
      <w:r w:rsidR="00103170" w:rsidRPr="00C85348">
        <w:rPr>
          <w:rFonts w:asciiTheme="minorHAnsi" w:hAnsiTheme="minorHAnsi"/>
        </w:rPr>
        <w:t xml:space="preserve"> raz</w:t>
      </w:r>
      <w:r w:rsidR="00EE0003" w:rsidRPr="00C85348">
        <w:rPr>
          <w:rFonts w:asciiTheme="minorHAnsi" w:hAnsiTheme="minorHAnsi"/>
        </w:rPr>
        <w:t xml:space="preserve">likuje, saj je odvisna </w:t>
      </w:r>
      <w:r w:rsidR="0093246F" w:rsidRPr="00C85348">
        <w:rPr>
          <w:rFonts w:asciiTheme="minorHAnsi" w:hAnsiTheme="minorHAnsi"/>
        </w:rPr>
        <w:t>od namenov</w:t>
      </w:r>
      <w:r w:rsidR="00103170" w:rsidRPr="00C85348">
        <w:rPr>
          <w:rFonts w:asciiTheme="minorHAnsi" w:hAnsiTheme="minorHAnsi"/>
        </w:rPr>
        <w:t xml:space="preserve"> pomoči, </w:t>
      </w:r>
      <w:r w:rsidR="0093246F" w:rsidRPr="00C85348">
        <w:rPr>
          <w:rFonts w:asciiTheme="minorHAnsi" w:hAnsiTheme="minorHAnsi"/>
        </w:rPr>
        <w:t>za</w:t>
      </w:r>
      <w:r w:rsidR="0093246F" w:rsidRPr="00D050E9">
        <w:rPr>
          <w:rFonts w:asciiTheme="minorHAnsi" w:hAnsiTheme="minorHAnsi"/>
        </w:rPr>
        <w:t xml:space="preserve"> katere se </w:t>
      </w:r>
      <w:r w:rsidR="00103170" w:rsidRPr="00D050E9">
        <w:rPr>
          <w:rFonts w:asciiTheme="minorHAnsi" w:hAnsiTheme="minorHAnsi"/>
        </w:rPr>
        <w:t xml:space="preserve">dodeljujejo </w:t>
      </w:r>
      <w:r w:rsidR="00EE0003" w:rsidRPr="00D050E9">
        <w:rPr>
          <w:rFonts w:asciiTheme="minorHAnsi" w:hAnsiTheme="minorHAnsi"/>
        </w:rPr>
        <w:t>pomoči</w:t>
      </w:r>
      <w:r w:rsidR="00103170" w:rsidRPr="00D050E9">
        <w:rPr>
          <w:rFonts w:asciiTheme="minorHAnsi" w:hAnsiTheme="minorHAnsi"/>
        </w:rPr>
        <w:t xml:space="preserve">, </w:t>
      </w:r>
      <w:r w:rsidR="0093246F" w:rsidRPr="00D050E9">
        <w:rPr>
          <w:rFonts w:asciiTheme="minorHAnsi" w:hAnsiTheme="minorHAnsi"/>
        </w:rPr>
        <w:t xml:space="preserve">ter tudi </w:t>
      </w:r>
      <w:r w:rsidR="00103170" w:rsidRPr="00D050E9">
        <w:rPr>
          <w:rFonts w:asciiTheme="minorHAnsi" w:hAnsiTheme="minorHAnsi"/>
        </w:rPr>
        <w:t xml:space="preserve">od sistema proračunskih podpor in davčnega sistema v posamezni državi članici. </w:t>
      </w:r>
      <w:r w:rsidR="00F961B9" w:rsidRPr="00D050E9">
        <w:rPr>
          <w:rFonts w:asciiTheme="minorHAnsi" w:hAnsiTheme="minorHAnsi"/>
        </w:rPr>
        <w:t xml:space="preserve">Razlike nastajajo tudi med posameznim leti. </w:t>
      </w:r>
    </w:p>
    <w:p w:rsidR="002B4D1C" w:rsidRPr="00D050E9" w:rsidRDefault="00103170" w:rsidP="001D399B">
      <w:pPr>
        <w:spacing w:line="276" w:lineRule="auto"/>
        <w:rPr>
          <w:rFonts w:asciiTheme="minorHAnsi" w:hAnsiTheme="minorHAnsi"/>
        </w:rPr>
      </w:pPr>
      <w:r w:rsidRPr="00D050E9">
        <w:rPr>
          <w:rFonts w:asciiTheme="minorHAnsi" w:hAnsiTheme="minorHAnsi"/>
        </w:rPr>
        <w:t xml:space="preserve">Tako npr. Luksemburg državne pomoči dodeljuje izključno v obliki subvencij, Švedska </w:t>
      </w:r>
      <w:r w:rsidR="00F96672" w:rsidRPr="00D050E9">
        <w:rPr>
          <w:rFonts w:asciiTheme="minorHAnsi" w:hAnsiTheme="minorHAnsi"/>
        </w:rPr>
        <w:t xml:space="preserve">je </w:t>
      </w:r>
      <w:r w:rsidRPr="00D050E9">
        <w:rPr>
          <w:rFonts w:asciiTheme="minorHAnsi" w:hAnsiTheme="minorHAnsi"/>
        </w:rPr>
        <w:t>glavnino pomoči</w:t>
      </w:r>
      <w:r w:rsidR="0093246F" w:rsidRPr="00D050E9">
        <w:rPr>
          <w:rFonts w:asciiTheme="minorHAnsi" w:hAnsiTheme="minorHAnsi"/>
        </w:rPr>
        <w:t xml:space="preserve"> v 2014–2016 ali</w:t>
      </w:r>
      <w:r w:rsidR="00F96672" w:rsidRPr="00D050E9">
        <w:rPr>
          <w:rFonts w:asciiTheme="minorHAnsi" w:hAnsiTheme="minorHAnsi"/>
        </w:rPr>
        <w:t xml:space="preserve"> 84 %, dodelila</w:t>
      </w:r>
      <w:r w:rsidR="00A37362" w:rsidRPr="00D050E9">
        <w:rPr>
          <w:rFonts w:asciiTheme="minorHAnsi" w:hAnsiTheme="minorHAnsi"/>
        </w:rPr>
        <w:t xml:space="preserve"> v obliki davčnih olajšav</w:t>
      </w:r>
      <w:r w:rsidRPr="00D050E9">
        <w:rPr>
          <w:rFonts w:asciiTheme="minorHAnsi" w:hAnsiTheme="minorHAnsi"/>
        </w:rPr>
        <w:t xml:space="preserve">, </w:t>
      </w:r>
      <w:r w:rsidR="00F96672" w:rsidRPr="00D050E9">
        <w:rPr>
          <w:rFonts w:asciiTheme="minorHAnsi" w:hAnsiTheme="minorHAnsi"/>
        </w:rPr>
        <w:t>Grčija je skoraj polovico, 46 % pomoči, dodelila v obliki garancij, Portugalska izstopa po visokem deležu ugodnih posojil</w:t>
      </w:r>
      <w:r w:rsidR="0090128F" w:rsidRPr="00D050E9">
        <w:rPr>
          <w:rFonts w:asciiTheme="minorHAnsi" w:hAnsiTheme="minorHAnsi"/>
        </w:rPr>
        <w:t xml:space="preserve">, </w:t>
      </w:r>
      <w:r w:rsidR="00F96672" w:rsidRPr="00D050E9">
        <w:rPr>
          <w:rFonts w:asciiTheme="minorHAnsi" w:hAnsiTheme="minorHAnsi"/>
        </w:rPr>
        <w:t xml:space="preserve">ki so predstavljala dobro tretjino vseh pomoči v tej državi, Malta je imela največji delež pomoči v obliki kapitalskih naložb, petino vseh pomoči je dodelila na ta način. </w:t>
      </w:r>
    </w:p>
    <w:p w:rsidR="00011DF6" w:rsidRPr="00D050E9" w:rsidRDefault="00F970D8" w:rsidP="00F970D8">
      <w:pPr>
        <w:pStyle w:val="Caption"/>
        <w:rPr>
          <w:color w:val="auto"/>
        </w:rPr>
      </w:pPr>
      <w:bookmarkStart w:id="54" w:name="_Toc530654639"/>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24</w:t>
      </w:r>
      <w:r w:rsidRPr="00D050E9">
        <w:rPr>
          <w:color w:val="auto"/>
        </w:rPr>
        <w:fldChar w:fldCharType="end"/>
      </w:r>
      <w:r w:rsidRPr="00D050E9">
        <w:rPr>
          <w:color w:val="auto"/>
        </w:rPr>
        <w:t xml:space="preserve">: </w:t>
      </w:r>
      <w:r w:rsidR="00011DF6" w:rsidRPr="00D050E9">
        <w:rPr>
          <w:color w:val="auto"/>
        </w:rPr>
        <w:t>Državne pomoči (nekmetijske) v državah EU po instrumentih, povprečje 2014–2016, v % vseh pomoči</w:t>
      </w:r>
      <w:bookmarkEnd w:id="54"/>
    </w:p>
    <w:p w:rsidR="00011DF6" w:rsidRPr="00D050E9" w:rsidRDefault="00011DF6" w:rsidP="00011DF6">
      <w:pPr>
        <w:spacing w:line="276" w:lineRule="auto"/>
        <w:rPr>
          <w:rFonts w:asciiTheme="minorHAnsi" w:hAnsiTheme="minorHAnsi"/>
        </w:rPr>
      </w:pPr>
      <w:r w:rsidRPr="00D050E9">
        <w:rPr>
          <w:noProof/>
          <w:lang w:eastAsia="sl-SI"/>
        </w:rPr>
        <w:drawing>
          <wp:inline distT="0" distB="0" distL="0" distR="0" wp14:anchorId="3B083D34" wp14:editId="4620C26A">
            <wp:extent cx="5760720" cy="300228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0128F" w:rsidRPr="00D050E9" w:rsidRDefault="00C07AE4" w:rsidP="00EE0003">
      <w:pPr>
        <w:spacing w:line="276" w:lineRule="auto"/>
        <w:rPr>
          <w:rFonts w:asciiTheme="minorHAnsi" w:hAnsiTheme="minorHAnsi"/>
        </w:rPr>
      </w:pPr>
      <w:r w:rsidRPr="00D050E9">
        <w:rPr>
          <w:rFonts w:asciiTheme="minorHAnsi" w:hAnsiTheme="minorHAnsi"/>
        </w:rPr>
        <w:lastRenderedPageBreak/>
        <w:t xml:space="preserve">Primerjava za obdobje 2014–2016 kaže, da je </w:t>
      </w:r>
      <w:r w:rsidR="0093246F" w:rsidRPr="00D050E9">
        <w:rPr>
          <w:rFonts w:asciiTheme="minorHAnsi" w:hAnsiTheme="minorHAnsi"/>
        </w:rPr>
        <w:t>S</w:t>
      </w:r>
      <w:r w:rsidR="00EE0003" w:rsidRPr="00D050E9">
        <w:rPr>
          <w:rFonts w:asciiTheme="minorHAnsi" w:hAnsiTheme="minorHAnsi"/>
        </w:rPr>
        <w:t xml:space="preserve">lovenija </w:t>
      </w:r>
      <w:r w:rsidR="005027B7" w:rsidRPr="00D050E9">
        <w:rPr>
          <w:rFonts w:asciiTheme="minorHAnsi" w:hAnsiTheme="minorHAnsi"/>
        </w:rPr>
        <w:t>po uporabi instrumentov pomoči primerljiva s povprečjem EU.</w:t>
      </w:r>
      <w:r w:rsidR="00F961B9" w:rsidRPr="00D050E9">
        <w:rPr>
          <w:rFonts w:asciiTheme="minorHAnsi" w:hAnsiTheme="minorHAnsi"/>
        </w:rPr>
        <w:t xml:space="preserve"> </w:t>
      </w:r>
      <w:r w:rsidR="00A37362" w:rsidRPr="00D050E9">
        <w:rPr>
          <w:rFonts w:asciiTheme="minorHAnsi" w:hAnsiTheme="minorHAnsi"/>
        </w:rPr>
        <w:t>Zlasti glede deleža subvencij (63 % vseh pomoči v Sloveniji, 62 % v EU)</w:t>
      </w:r>
      <w:r w:rsidR="0090128F" w:rsidRPr="00D050E9">
        <w:rPr>
          <w:rFonts w:asciiTheme="minorHAnsi" w:hAnsiTheme="minorHAnsi"/>
        </w:rPr>
        <w:t xml:space="preserve"> ter </w:t>
      </w:r>
      <w:r w:rsidR="00A37362" w:rsidRPr="00D050E9">
        <w:rPr>
          <w:rFonts w:asciiTheme="minorHAnsi" w:hAnsiTheme="minorHAnsi"/>
        </w:rPr>
        <w:t>pri uporabi davčnih oprostitev, izjem in olajšav (27 % pomoči v Sloveniji, 32 % v EU)</w:t>
      </w:r>
      <w:r w:rsidR="0090128F" w:rsidRPr="00D050E9">
        <w:rPr>
          <w:rFonts w:asciiTheme="minorHAnsi" w:hAnsiTheme="minorHAnsi"/>
        </w:rPr>
        <w:t>.</w:t>
      </w:r>
    </w:p>
    <w:p w:rsidR="00F961B9" w:rsidRPr="00D050E9" w:rsidRDefault="0090128F" w:rsidP="00EE0003">
      <w:pPr>
        <w:spacing w:line="276" w:lineRule="auto"/>
        <w:rPr>
          <w:rFonts w:asciiTheme="minorHAnsi" w:hAnsiTheme="minorHAnsi"/>
        </w:rPr>
      </w:pPr>
      <w:r w:rsidRPr="00D050E9">
        <w:rPr>
          <w:rFonts w:asciiTheme="minorHAnsi" w:hAnsiTheme="minorHAnsi"/>
        </w:rPr>
        <w:t xml:space="preserve">Podobno skromen obseg so predstavljale povratne oblike pomoči (0,8 % v Sloveniji, 3,2 % v EU). </w:t>
      </w:r>
      <w:r w:rsidR="00E56E77" w:rsidRPr="00D050E9">
        <w:rPr>
          <w:rFonts w:asciiTheme="minorHAnsi" w:hAnsiTheme="minorHAnsi"/>
        </w:rPr>
        <w:t>Slovenija je od povprečja EU v tem obdobju nekoliko bolj odstopala glede deleže kapitalskih naložb</w:t>
      </w:r>
      <w:r w:rsidR="00F961B9" w:rsidRPr="00D050E9">
        <w:rPr>
          <w:rFonts w:asciiTheme="minorHAnsi" w:hAnsiTheme="minorHAnsi"/>
        </w:rPr>
        <w:t xml:space="preserve"> in konverzij terjatev v kapitalske deleže</w:t>
      </w:r>
      <w:r w:rsidRPr="00D050E9">
        <w:rPr>
          <w:rFonts w:asciiTheme="minorHAnsi" w:hAnsiTheme="minorHAnsi"/>
        </w:rPr>
        <w:t xml:space="preserve"> (8 % pomoči v Sloveniji, </w:t>
      </w:r>
      <w:r w:rsidR="007879D2" w:rsidRPr="00D050E9">
        <w:rPr>
          <w:rFonts w:asciiTheme="minorHAnsi" w:hAnsiTheme="minorHAnsi"/>
        </w:rPr>
        <w:t>0</w:t>
      </w:r>
      <w:r w:rsidR="00E56E77" w:rsidRPr="00D050E9">
        <w:rPr>
          <w:rFonts w:asciiTheme="minorHAnsi" w:hAnsiTheme="minorHAnsi"/>
        </w:rPr>
        <w:t>,7 %</w:t>
      </w:r>
      <w:r w:rsidR="007879D2" w:rsidRPr="00D050E9">
        <w:rPr>
          <w:rFonts w:asciiTheme="minorHAnsi" w:hAnsiTheme="minorHAnsi"/>
        </w:rPr>
        <w:t xml:space="preserve"> pomoči v EU</w:t>
      </w:r>
      <w:r w:rsidRPr="00D050E9">
        <w:rPr>
          <w:rFonts w:asciiTheme="minorHAnsi" w:hAnsiTheme="minorHAnsi"/>
        </w:rPr>
        <w:t>)</w:t>
      </w:r>
      <w:r w:rsidR="00E56E77" w:rsidRPr="00D050E9">
        <w:rPr>
          <w:rFonts w:asciiTheme="minorHAnsi" w:hAnsiTheme="minorHAnsi"/>
        </w:rPr>
        <w:t xml:space="preserve">. </w:t>
      </w:r>
      <w:r w:rsidR="007879D2" w:rsidRPr="00D050E9">
        <w:rPr>
          <w:rFonts w:asciiTheme="minorHAnsi" w:hAnsiTheme="minorHAnsi"/>
        </w:rPr>
        <w:t xml:space="preserve">Visok delež teh pomoči v Sloveniji je posledica velikega obsega pomoči za prestrukturiranje </w:t>
      </w:r>
      <w:r w:rsidR="001B7D94" w:rsidRPr="00D050E9">
        <w:rPr>
          <w:rFonts w:asciiTheme="minorHAnsi" w:hAnsiTheme="minorHAnsi"/>
        </w:rPr>
        <w:t>podjetij v težavah v letu 2015</w:t>
      </w:r>
      <w:r w:rsidR="00F961B9" w:rsidRPr="00D050E9">
        <w:rPr>
          <w:rFonts w:asciiTheme="minorHAnsi" w:hAnsiTheme="minorHAnsi"/>
        </w:rPr>
        <w:t xml:space="preserve">. </w:t>
      </w:r>
      <w:r w:rsidR="007879D2" w:rsidRPr="00D050E9">
        <w:rPr>
          <w:rFonts w:asciiTheme="minorHAnsi" w:hAnsiTheme="minorHAnsi"/>
        </w:rPr>
        <w:t xml:space="preserve">Že v letu 2016 so </w:t>
      </w:r>
      <w:r w:rsidR="00F961B9" w:rsidRPr="00D050E9">
        <w:rPr>
          <w:rFonts w:asciiTheme="minorHAnsi" w:hAnsiTheme="minorHAnsi"/>
        </w:rPr>
        <w:t xml:space="preserve">kapitalske naložbe </w:t>
      </w:r>
      <w:r w:rsidR="007879D2" w:rsidRPr="00D050E9">
        <w:rPr>
          <w:rFonts w:asciiTheme="minorHAnsi" w:hAnsiTheme="minorHAnsi"/>
        </w:rPr>
        <w:t>predstavljale</w:t>
      </w:r>
      <w:r w:rsidR="00F961B9" w:rsidRPr="00D050E9">
        <w:rPr>
          <w:rFonts w:asciiTheme="minorHAnsi" w:hAnsiTheme="minorHAnsi"/>
        </w:rPr>
        <w:t xml:space="preserve"> le</w:t>
      </w:r>
      <w:r w:rsidR="007879D2" w:rsidRPr="00D050E9">
        <w:rPr>
          <w:rFonts w:asciiTheme="minorHAnsi" w:hAnsiTheme="minorHAnsi"/>
        </w:rPr>
        <w:t xml:space="preserve"> 0,5 % vseh pomoči v Sloveniji</w:t>
      </w:r>
      <w:r w:rsidR="00F961B9" w:rsidRPr="00D050E9">
        <w:rPr>
          <w:rFonts w:asciiTheme="minorHAnsi" w:hAnsiTheme="minorHAnsi"/>
        </w:rPr>
        <w:t xml:space="preserve">, v letu 2017 pa </w:t>
      </w:r>
      <w:r w:rsidR="001B7D94" w:rsidRPr="00D050E9">
        <w:rPr>
          <w:rFonts w:asciiTheme="minorHAnsi" w:hAnsiTheme="minorHAnsi"/>
        </w:rPr>
        <w:t xml:space="preserve">samo </w:t>
      </w:r>
      <w:r w:rsidR="00F961B9" w:rsidRPr="00D050E9">
        <w:rPr>
          <w:rFonts w:asciiTheme="minorHAnsi" w:hAnsiTheme="minorHAnsi"/>
        </w:rPr>
        <w:t xml:space="preserve">0,2 % vseh pomoči. </w:t>
      </w:r>
    </w:p>
    <w:p w:rsidR="00B672A4" w:rsidRPr="00D050E9" w:rsidRDefault="00B672A4" w:rsidP="001D399B">
      <w:pPr>
        <w:spacing w:line="276" w:lineRule="auto"/>
        <w:rPr>
          <w:rFonts w:asciiTheme="minorHAnsi" w:hAnsiTheme="minorHAnsi"/>
        </w:rPr>
      </w:pPr>
    </w:p>
    <w:p w:rsidR="00DF6EEA" w:rsidRPr="00D050E9" w:rsidRDefault="003527A9" w:rsidP="003527A9">
      <w:pPr>
        <w:tabs>
          <w:tab w:val="left" w:pos="6864"/>
        </w:tabs>
        <w:spacing w:line="276" w:lineRule="auto"/>
        <w:rPr>
          <w:rFonts w:asciiTheme="minorHAnsi" w:hAnsiTheme="minorHAnsi"/>
        </w:rPr>
      </w:pPr>
      <w:r w:rsidRPr="00D050E9">
        <w:rPr>
          <w:rFonts w:asciiTheme="minorHAnsi" w:hAnsiTheme="minorHAnsi"/>
        </w:rPr>
        <w:tab/>
      </w:r>
    </w:p>
    <w:p w:rsidR="00A14420" w:rsidRPr="00D050E9" w:rsidRDefault="00A14420" w:rsidP="001D399B">
      <w:pPr>
        <w:spacing w:line="276" w:lineRule="auto"/>
        <w:rPr>
          <w:rFonts w:asciiTheme="minorHAnsi" w:hAnsiTheme="minorHAnsi"/>
        </w:rPr>
      </w:pPr>
    </w:p>
    <w:p w:rsidR="00A14420" w:rsidRPr="00D050E9" w:rsidRDefault="00A14420" w:rsidP="001D399B">
      <w:pPr>
        <w:spacing w:line="276" w:lineRule="auto"/>
        <w:rPr>
          <w:rFonts w:asciiTheme="minorHAnsi" w:hAnsiTheme="minorHAnsi"/>
        </w:rPr>
      </w:pPr>
    </w:p>
    <w:p w:rsidR="00A14420" w:rsidRPr="00D050E9" w:rsidRDefault="00A14420" w:rsidP="001D399B">
      <w:pPr>
        <w:spacing w:line="276" w:lineRule="auto"/>
        <w:rPr>
          <w:rFonts w:asciiTheme="minorHAnsi" w:hAnsiTheme="minorHAnsi"/>
        </w:rPr>
      </w:pPr>
    </w:p>
    <w:p w:rsidR="00C70C91" w:rsidRPr="00D050E9" w:rsidRDefault="00C70C91" w:rsidP="001D399B">
      <w:pPr>
        <w:spacing w:line="276" w:lineRule="auto"/>
        <w:rPr>
          <w:rFonts w:asciiTheme="minorHAnsi" w:hAnsiTheme="minorHAnsi"/>
        </w:rPr>
      </w:pPr>
    </w:p>
    <w:p w:rsidR="00045CAE" w:rsidRPr="00D050E9" w:rsidRDefault="00045CAE" w:rsidP="00A079B3">
      <w:pPr>
        <w:spacing w:line="276" w:lineRule="auto"/>
        <w:rPr>
          <w:rFonts w:asciiTheme="minorHAnsi" w:hAnsiTheme="minorHAnsi"/>
          <w:bCs/>
        </w:rPr>
      </w:pPr>
    </w:p>
    <w:p w:rsidR="00191F44" w:rsidRPr="00D050E9" w:rsidRDefault="00191F44">
      <w:pPr>
        <w:spacing w:line="276" w:lineRule="auto"/>
        <w:jc w:val="left"/>
        <w:rPr>
          <w:rFonts w:asciiTheme="minorHAnsi" w:hAnsiTheme="minorHAnsi"/>
          <w:bCs/>
        </w:rPr>
      </w:pPr>
    </w:p>
    <w:p w:rsidR="008F64FE" w:rsidRPr="00D050E9" w:rsidRDefault="008F64FE">
      <w:pPr>
        <w:spacing w:line="276" w:lineRule="auto"/>
        <w:jc w:val="left"/>
        <w:rPr>
          <w:rFonts w:asciiTheme="minorHAnsi" w:hAnsiTheme="minorHAnsi"/>
          <w:bCs/>
        </w:rPr>
      </w:pPr>
      <w:r w:rsidRPr="00D050E9">
        <w:rPr>
          <w:rFonts w:asciiTheme="minorHAnsi" w:hAnsiTheme="minorHAnsi"/>
          <w:bCs/>
        </w:rPr>
        <w:br w:type="page"/>
      </w:r>
    </w:p>
    <w:p w:rsidR="008F3A9C" w:rsidRPr="00D050E9" w:rsidRDefault="008F3A9C" w:rsidP="00C93FA7">
      <w:pPr>
        <w:pStyle w:val="Heading1"/>
        <w:numPr>
          <w:ilvl w:val="0"/>
          <w:numId w:val="16"/>
        </w:numPr>
      </w:pPr>
      <w:bookmarkStart w:id="55" w:name="_Toc530654545"/>
      <w:r w:rsidRPr="00D050E9">
        <w:lastRenderedPageBreak/>
        <w:t>PORAZDELITEV DRŽAVNIH POMOČI PO REGIJAH</w:t>
      </w:r>
      <w:bookmarkEnd w:id="55"/>
    </w:p>
    <w:p w:rsidR="00E72379" w:rsidRPr="00D050E9" w:rsidRDefault="00E72379" w:rsidP="008F216A">
      <w:pPr>
        <w:spacing w:after="0"/>
      </w:pPr>
    </w:p>
    <w:p w:rsidR="008F3A9C" w:rsidRPr="00D050E9" w:rsidRDefault="00191F44" w:rsidP="00E72379">
      <w:pPr>
        <w:pStyle w:val="Heading2"/>
      </w:pPr>
      <w:bookmarkStart w:id="56" w:name="_Toc528594651"/>
      <w:bookmarkStart w:id="57" w:name="_Toc530654546"/>
      <w:r w:rsidRPr="00D050E9">
        <w:t xml:space="preserve">3.1 </w:t>
      </w:r>
      <w:r w:rsidR="008F3A9C" w:rsidRPr="00D050E9">
        <w:t>DRŽAVNE POMOČI PO STATISTIČNIH REGIJAH</w:t>
      </w:r>
      <w:bookmarkEnd w:id="56"/>
      <w:bookmarkEnd w:id="57"/>
    </w:p>
    <w:p w:rsidR="003D4830" w:rsidRPr="00D050E9" w:rsidRDefault="003D4830" w:rsidP="00DB38E8">
      <w:pPr>
        <w:pStyle w:val="ListParagraph"/>
        <w:spacing w:line="276" w:lineRule="auto"/>
        <w:ind w:left="0"/>
        <w:rPr>
          <w:rFonts w:asciiTheme="minorHAnsi" w:hAnsiTheme="minorHAnsi"/>
        </w:rPr>
      </w:pPr>
      <w:r w:rsidRPr="00D050E9">
        <w:rPr>
          <w:rFonts w:asciiTheme="minorHAnsi" w:hAnsiTheme="minorHAnsi"/>
        </w:rPr>
        <w:t xml:space="preserve">Poglavje prikazuje podatke o izplačanih državnih pomočeh po statističnih regijah. Podatki so po statističnih regijah razvrščeni na podlagi kriterija sedeža podjetja, ki je prejemnik pomoči, ne glede na to, kje se dejansko izvajajo dejavnosti podjetja. </w:t>
      </w:r>
      <w:r w:rsidR="00DB38E8" w:rsidRPr="00D050E9">
        <w:rPr>
          <w:rFonts w:asciiTheme="minorHAnsi" w:hAnsiTheme="minorHAnsi"/>
        </w:rPr>
        <w:t>Zaradi koncentracije</w:t>
      </w:r>
      <w:r w:rsidRPr="00D050E9">
        <w:rPr>
          <w:rFonts w:asciiTheme="minorHAnsi" w:hAnsiTheme="minorHAnsi"/>
        </w:rPr>
        <w:t xml:space="preserve"> gospodarske dejavnosti v glavnem mestu in okoliških območjih</w:t>
      </w:r>
      <w:r w:rsidR="00DB38E8" w:rsidRPr="00D050E9">
        <w:rPr>
          <w:rFonts w:asciiTheme="minorHAnsi" w:hAnsiTheme="minorHAnsi"/>
        </w:rPr>
        <w:t xml:space="preserve"> zato </w:t>
      </w:r>
      <w:r w:rsidRPr="00D050E9">
        <w:rPr>
          <w:rFonts w:asciiTheme="minorHAnsi" w:hAnsiTheme="minorHAnsi"/>
        </w:rPr>
        <w:t xml:space="preserve">ni presenetljivo, da </w:t>
      </w:r>
      <w:r w:rsidR="00DB38E8" w:rsidRPr="00D050E9">
        <w:rPr>
          <w:rFonts w:asciiTheme="minorHAnsi" w:hAnsiTheme="minorHAnsi"/>
        </w:rPr>
        <w:t xml:space="preserve">je največ pomoči dodeljenih </w:t>
      </w:r>
      <w:r w:rsidRPr="00D050E9">
        <w:rPr>
          <w:rFonts w:asciiTheme="minorHAnsi" w:hAnsiTheme="minorHAnsi"/>
        </w:rPr>
        <w:t xml:space="preserve">Osrednjeslovenski regiji, kjer ima sedež tudi več podjetij, ki sicer delujejo na območju celotne države (npr. Slovenske železnice, večina bank, več fakultet in </w:t>
      </w:r>
      <w:r w:rsidR="00DB38E8" w:rsidRPr="00D050E9">
        <w:rPr>
          <w:rFonts w:asciiTheme="minorHAnsi" w:hAnsiTheme="minorHAnsi"/>
        </w:rPr>
        <w:t xml:space="preserve">večjih </w:t>
      </w:r>
      <w:r w:rsidRPr="00D050E9">
        <w:rPr>
          <w:rFonts w:asciiTheme="minorHAnsi" w:hAnsiTheme="minorHAnsi"/>
        </w:rPr>
        <w:t>raziskovalnih organizacij</w:t>
      </w:r>
      <w:r w:rsidR="00DB38E8" w:rsidRPr="00D050E9">
        <w:rPr>
          <w:rFonts w:asciiTheme="minorHAnsi" w:hAnsiTheme="minorHAnsi"/>
        </w:rPr>
        <w:t xml:space="preserve"> ipd.</w:t>
      </w:r>
      <w:r w:rsidRPr="00D050E9">
        <w:rPr>
          <w:rFonts w:asciiTheme="minorHAnsi" w:hAnsiTheme="minorHAnsi"/>
        </w:rPr>
        <w:t xml:space="preserve">). </w:t>
      </w:r>
    </w:p>
    <w:p w:rsidR="00696DCB" w:rsidRPr="00D050E9" w:rsidRDefault="00696DCB" w:rsidP="00696DCB">
      <w:pPr>
        <w:pStyle w:val="ListParagraph"/>
        <w:spacing w:line="276" w:lineRule="auto"/>
        <w:ind w:left="0"/>
        <w:rPr>
          <w:rFonts w:asciiTheme="minorHAnsi" w:hAnsiTheme="minorHAnsi"/>
        </w:rPr>
      </w:pPr>
    </w:p>
    <w:p w:rsidR="00A700A6" w:rsidRPr="00D050E9" w:rsidRDefault="00DB38E8" w:rsidP="00696DCB">
      <w:pPr>
        <w:pStyle w:val="ListParagraph"/>
        <w:spacing w:line="276" w:lineRule="auto"/>
        <w:ind w:left="0"/>
        <w:rPr>
          <w:rFonts w:asciiTheme="minorHAnsi" w:hAnsiTheme="minorHAnsi"/>
        </w:rPr>
      </w:pPr>
      <w:r w:rsidRPr="00D050E9">
        <w:rPr>
          <w:rFonts w:asciiTheme="minorHAnsi" w:hAnsiTheme="minorHAnsi"/>
        </w:rPr>
        <w:t xml:space="preserve">V letu 2017 je bilo podjetjem s sedežem v </w:t>
      </w:r>
      <w:r w:rsidRPr="00D050E9">
        <w:rPr>
          <w:rFonts w:asciiTheme="minorHAnsi" w:hAnsiTheme="minorHAnsi"/>
          <w:b/>
        </w:rPr>
        <w:t>Osrednjeslovensk</w:t>
      </w:r>
      <w:r w:rsidR="000A6C12" w:rsidRPr="00D050E9">
        <w:rPr>
          <w:rFonts w:asciiTheme="minorHAnsi" w:hAnsiTheme="minorHAnsi"/>
          <w:b/>
        </w:rPr>
        <w:t>i regiji</w:t>
      </w:r>
      <w:r w:rsidR="000A6C12" w:rsidRPr="00D050E9">
        <w:rPr>
          <w:rFonts w:asciiTheme="minorHAnsi" w:hAnsiTheme="minorHAnsi"/>
        </w:rPr>
        <w:t xml:space="preserve"> izplačanih 159</w:t>
      </w:r>
      <w:r w:rsidR="00CA1014" w:rsidRPr="00D050E9">
        <w:rPr>
          <w:rFonts w:asciiTheme="minorHAnsi" w:hAnsiTheme="minorHAnsi"/>
        </w:rPr>
        <w:t>,5</w:t>
      </w:r>
      <w:r w:rsidRPr="00D050E9">
        <w:rPr>
          <w:rFonts w:asciiTheme="minorHAnsi" w:hAnsiTheme="minorHAnsi"/>
        </w:rPr>
        <w:t xml:space="preserve"> mio EUR pomoči</w:t>
      </w:r>
      <w:r w:rsidR="00AE41E2" w:rsidRPr="00D050E9">
        <w:rPr>
          <w:rFonts w:asciiTheme="minorHAnsi" w:hAnsiTheme="minorHAnsi"/>
        </w:rPr>
        <w:t xml:space="preserve"> (</w:t>
      </w:r>
      <w:r w:rsidR="00D20CAE" w:rsidRPr="00D050E9">
        <w:rPr>
          <w:rFonts w:asciiTheme="minorHAnsi" w:hAnsiTheme="minorHAnsi"/>
          <w:b/>
        </w:rPr>
        <w:t>37 %</w:t>
      </w:r>
      <w:r w:rsidR="00D20CAE" w:rsidRPr="00D050E9">
        <w:rPr>
          <w:rFonts w:asciiTheme="minorHAnsi" w:hAnsiTheme="minorHAnsi"/>
        </w:rPr>
        <w:t xml:space="preserve"> vseh državnih pomoči</w:t>
      </w:r>
      <w:r w:rsidR="00AE41E2" w:rsidRPr="00D050E9">
        <w:rPr>
          <w:rFonts w:asciiTheme="minorHAnsi" w:hAnsiTheme="minorHAnsi"/>
        </w:rPr>
        <w:t xml:space="preserve"> v Sloveniji)</w:t>
      </w:r>
      <w:r w:rsidR="00D20CAE" w:rsidRPr="00D050E9">
        <w:rPr>
          <w:rFonts w:asciiTheme="minorHAnsi" w:hAnsiTheme="minorHAnsi"/>
        </w:rPr>
        <w:t xml:space="preserve">. Po obsegu pomoči sledita </w:t>
      </w:r>
      <w:r w:rsidR="00D20CAE" w:rsidRPr="00D050E9">
        <w:rPr>
          <w:rFonts w:asciiTheme="minorHAnsi" w:hAnsiTheme="minorHAnsi"/>
          <w:b/>
        </w:rPr>
        <w:t>Podravska</w:t>
      </w:r>
      <w:r w:rsidR="00823770" w:rsidRPr="00D050E9">
        <w:rPr>
          <w:rFonts w:asciiTheme="minorHAnsi" w:hAnsiTheme="minorHAnsi"/>
          <w:b/>
        </w:rPr>
        <w:t xml:space="preserve"> regija</w:t>
      </w:r>
      <w:r w:rsidR="00D20CAE" w:rsidRPr="00D050E9">
        <w:rPr>
          <w:rFonts w:asciiTheme="minorHAnsi" w:hAnsiTheme="minorHAnsi"/>
        </w:rPr>
        <w:t xml:space="preserve"> </w:t>
      </w:r>
      <w:r w:rsidR="000A6C12" w:rsidRPr="00D050E9">
        <w:rPr>
          <w:rFonts w:asciiTheme="minorHAnsi" w:hAnsiTheme="minorHAnsi"/>
        </w:rPr>
        <w:t>s 65 mio EUR</w:t>
      </w:r>
      <w:r w:rsidR="00AE41E2" w:rsidRPr="00D050E9">
        <w:rPr>
          <w:rFonts w:asciiTheme="minorHAnsi" w:hAnsiTheme="minorHAnsi"/>
        </w:rPr>
        <w:t xml:space="preserve"> (</w:t>
      </w:r>
      <w:r w:rsidR="000A6C12" w:rsidRPr="00D050E9">
        <w:rPr>
          <w:rFonts w:asciiTheme="minorHAnsi" w:hAnsiTheme="minorHAnsi"/>
          <w:b/>
        </w:rPr>
        <w:t>15</w:t>
      </w:r>
      <w:r w:rsidR="00F474CF">
        <w:rPr>
          <w:rFonts w:asciiTheme="minorHAnsi" w:hAnsiTheme="minorHAnsi"/>
          <w:b/>
        </w:rPr>
        <w:t> </w:t>
      </w:r>
      <w:r w:rsidR="000A6C12" w:rsidRPr="00D050E9">
        <w:rPr>
          <w:rFonts w:asciiTheme="minorHAnsi" w:hAnsiTheme="minorHAnsi"/>
          <w:b/>
        </w:rPr>
        <w:t>%</w:t>
      </w:r>
      <w:r w:rsidR="000A6C12" w:rsidRPr="00D050E9">
        <w:rPr>
          <w:rFonts w:asciiTheme="minorHAnsi" w:hAnsiTheme="minorHAnsi"/>
        </w:rPr>
        <w:t xml:space="preserve"> vseh pomoči</w:t>
      </w:r>
      <w:r w:rsidR="00AE41E2" w:rsidRPr="00D050E9">
        <w:rPr>
          <w:rFonts w:asciiTheme="minorHAnsi" w:hAnsiTheme="minorHAnsi"/>
        </w:rPr>
        <w:t>)</w:t>
      </w:r>
      <w:r w:rsidR="000A6C12" w:rsidRPr="00D050E9">
        <w:rPr>
          <w:rFonts w:asciiTheme="minorHAnsi" w:hAnsiTheme="minorHAnsi"/>
        </w:rPr>
        <w:t xml:space="preserve"> in </w:t>
      </w:r>
      <w:r w:rsidR="000A6C12" w:rsidRPr="00D050E9">
        <w:rPr>
          <w:rFonts w:asciiTheme="minorHAnsi" w:hAnsiTheme="minorHAnsi"/>
          <w:b/>
        </w:rPr>
        <w:t>Savinjska regija</w:t>
      </w:r>
      <w:r w:rsidR="000A6C12" w:rsidRPr="00D050E9">
        <w:rPr>
          <w:rFonts w:asciiTheme="minorHAnsi" w:hAnsiTheme="minorHAnsi"/>
        </w:rPr>
        <w:t xml:space="preserve"> s 60 mio EUR </w:t>
      </w:r>
      <w:r w:rsidR="00AE41E2" w:rsidRPr="00D050E9">
        <w:rPr>
          <w:rFonts w:asciiTheme="minorHAnsi" w:hAnsiTheme="minorHAnsi"/>
        </w:rPr>
        <w:t>(</w:t>
      </w:r>
      <w:r w:rsidR="000A6C12" w:rsidRPr="00D050E9">
        <w:rPr>
          <w:rFonts w:asciiTheme="minorHAnsi" w:hAnsiTheme="minorHAnsi"/>
          <w:b/>
        </w:rPr>
        <w:t>14 %</w:t>
      </w:r>
      <w:r w:rsidR="000A6C12" w:rsidRPr="00D050E9">
        <w:rPr>
          <w:rFonts w:asciiTheme="minorHAnsi" w:hAnsiTheme="minorHAnsi"/>
        </w:rPr>
        <w:t xml:space="preserve"> vseh pomoči</w:t>
      </w:r>
      <w:r w:rsidR="00AE41E2" w:rsidRPr="00D050E9">
        <w:rPr>
          <w:rFonts w:asciiTheme="minorHAnsi" w:hAnsiTheme="minorHAnsi"/>
        </w:rPr>
        <w:t>)</w:t>
      </w:r>
      <w:r w:rsidR="000A6C12" w:rsidRPr="00D050E9">
        <w:rPr>
          <w:rFonts w:asciiTheme="minorHAnsi" w:hAnsiTheme="minorHAnsi"/>
        </w:rPr>
        <w:t xml:space="preserve">. Razporeditev pomoči po regijah se v zadnjih treh letih ni bistveno spremenila z izjemo </w:t>
      </w:r>
      <w:r w:rsidR="000A6C12" w:rsidRPr="00D050E9">
        <w:rPr>
          <w:rFonts w:asciiTheme="minorHAnsi" w:hAnsiTheme="minorHAnsi"/>
          <w:b/>
        </w:rPr>
        <w:t>Obalno-kraške regije</w:t>
      </w:r>
      <w:r w:rsidR="000A6C12" w:rsidRPr="00D050E9">
        <w:rPr>
          <w:rFonts w:asciiTheme="minorHAnsi" w:hAnsiTheme="minorHAnsi"/>
        </w:rPr>
        <w:t xml:space="preserve">, ki </w:t>
      </w:r>
      <w:r w:rsidR="00823770" w:rsidRPr="00D050E9">
        <w:rPr>
          <w:rFonts w:asciiTheme="minorHAnsi" w:hAnsiTheme="minorHAnsi"/>
        </w:rPr>
        <w:t xml:space="preserve">je prejela izredno velik obseg </w:t>
      </w:r>
      <w:r w:rsidR="000A6C12" w:rsidRPr="00D050E9">
        <w:rPr>
          <w:rFonts w:asciiTheme="minorHAnsi" w:hAnsiTheme="minorHAnsi"/>
        </w:rPr>
        <w:t xml:space="preserve">pomoči v letu 2015 za prestrukturiranje </w:t>
      </w:r>
      <w:r w:rsidR="00823770" w:rsidRPr="00D050E9">
        <w:rPr>
          <w:rFonts w:asciiTheme="minorHAnsi" w:hAnsiTheme="minorHAnsi"/>
        </w:rPr>
        <w:t>(</w:t>
      </w:r>
      <w:r w:rsidR="000A6C12" w:rsidRPr="00D050E9">
        <w:rPr>
          <w:rFonts w:asciiTheme="minorHAnsi" w:hAnsiTheme="minorHAnsi"/>
        </w:rPr>
        <w:t>enega</w:t>
      </w:r>
      <w:r w:rsidR="00823770" w:rsidRPr="00D050E9">
        <w:rPr>
          <w:rFonts w:asciiTheme="minorHAnsi" w:hAnsiTheme="minorHAnsi"/>
        </w:rPr>
        <w:t>) velikega</w:t>
      </w:r>
      <w:r w:rsidR="000A6C12" w:rsidRPr="00D050E9">
        <w:rPr>
          <w:rFonts w:asciiTheme="minorHAnsi" w:hAnsiTheme="minorHAnsi"/>
        </w:rPr>
        <w:t xml:space="preserve"> podjetja</w:t>
      </w:r>
      <w:r w:rsidR="00823770" w:rsidRPr="00D050E9">
        <w:rPr>
          <w:rFonts w:asciiTheme="minorHAnsi" w:hAnsiTheme="minorHAnsi"/>
        </w:rPr>
        <w:t xml:space="preserve">, kar je v tem letu </w:t>
      </w:r>
      <w:r w:rsidR="000A6C12" w:rsidRPr="00D050E9">
        <w:rPr>
          <w:rFonts w:asciiTheme="minorHAnsi" w:hAnsiTheme="minorHAnsi"/>
        </w:rPr>
        <w:t xml:space="preserve">povečalo delež pomoči tej regiji na 19 %, medtem ko je </w:t>
      </w:r>
      <w:r w:rsidR="00735D56" w:rsidRPr="00D050E9">
        <w:rPr>
          <w:rFonts w:asciiTheme="minorHAnsi" w:hAnsiTheme="minorHAnsi"/>
        </w:rPr>
        <w:t xml:space="preserve">v letih 2016 in 2017 </w:t>
      </w:r>
      <w:r w:rsidR="000A6C12" w:rsidRPr="00D050E9">
        <w:rPr>
          <w:rFonts w:asciiTheme="minorHAnsi" w:hAnsiTheme="minorHAnsi"/>
        </w:rPr>
        <w:t xml:space="preserve">znašal </w:t>
      </w:r>
      <w:r w:rsidR="00823770" w:rsidRPr="00D050E9">
        <w:rPr>
          <w:rFonts w:asciiTheme="minorHAnsi" w:hAnsiTheme="minorHAnsi"/>
        </w:rPr>
        <w:t xml:space="preserve">le </w:t>
      </w:r>
      <w:r w:rsidR="000A6C12" w:rsidRPr="00D050E9">
        <w:rPr>
          <w:rFonts w:asciiTheme="minorHAnsi" w:hAnsiTheme="minorHAnsi"/>
        </w:rPr>
        <w:t>1,5</w:t>
      </w:r>
      <w:r w:rsidR="00735D56" w:rsidRPr="00D050E9">
        <w:rPr>
          <w:rFonts w:asciiTheme="minorHAnsi" w:hAnsiTheme="minorHAnsi"/>
        </w:rPr>
        <w:t xml:space="preserve"> </w:t>
      </w:r>
      <w:r w:rsidR="000A6C12" w:rsidRPr="00D050E9">
        <w:rPr>
          <w:rFonts w:asciiTheme="minorHAnsi" w:hAnsiTheme="minorHAnsi"/>
        </w:rPr>
        <w:t>%–1,8</w:t>
      </w:r>
      <w:r w:rsidR="00735D56" w:rsidRPr="00D050E9">
        <w:rPr>
          <w:rFonts w:asciiTheme="minorHAnsi" w:hAnsiTheme="minorHAnsi"/>
        </w:rPr>
        <w:t xml:space="preserve"> </w:t>
      </w:r>
      <w:r w:rsidR="000A6C12" w:rsidRPr="00D050E9">
        <w:rPr>
          <w:rFonts w:asciiTheme="minorHAnsi" w:hAnsiTheme="minorHAnsi"/>
        </w:rPr>
        <w:t>%</w:t>
      </w:r>
      <w:r w:rsidR="00735D56" w:rsidRPr="00D050E9">
        <w:rPr>
          <w:rFonts w:asciiTheme="minorHAnsi" w:hAnsiTheme="minorHAnsi"/>
        </w:rPr>
        <w:t xml:space="preserve"> vseh pomoči</w:t>
      </w:r>
      <w:r w:rsidR="000A6C12" w:rsidRPr="00D050E9">
        <w:rPr>
          <w:rFonts w:asciiTheme="minorHAnsi" w:hAnsiTheme="minorHAnsi"/>
        </w:rPr>
        <w:t xml:space="preserve">. </w:t>
      </w:r>
      <w:r w:rsidR="00A700A6" w:rsidRPr="00D050E9">
        <w:rPr>
          <w:rFonts w:asciiTheme="minorHAnsi" w:hAnsiTheme="minorHAnsi"/>
        </w:rPr>
        <w:t xml:space="preserve">Večje nihanje obsega pomoči v odvisnosti od </w:t>
      </w:r>
      <w:r w:rsidR="000A6C12" w:rsidRPr="00D050E9">
        <w:rPr>
          <w:rFonts w:asciiTheme="minorHAnsi" w:hAnsiTheme="minorHAnsi"/>
        </w:rPr>
        <w:t>pomoči enemu podjetju</w:t>
      </w:r>
      <w:r w:rsidR="00A700A6" w:rsidRPr="00D050E9">
        <w:rPr>
          <w:rFonts w:asciiTheme="minorHAnsi" w:hAnsiTheme="minorHAnsi"/>
        </w:rPr>
        <w:t xml:space="preserve"> oz. en sam namen (premogovništvo) je zaznati tudi </w:t>
      </w:r>
      <w:r w:rsidR="000A6C12" w:rsidRPr="00D050E9">
        <w:rPr>
          <w:rFonts w:asciiTheme="minorHAnsi" w:hAnsiTheme="minorHAnsi"/>
        </w:rPr>
        <w:t>v Zasavski regiji</w:t>
      </w:r>
      <w:r w:rsidR="00A700A6" w:rsidRPr="00D050E9">
        <w:rPr>
          <w:rFonts w:asciiTheme="minorHAnsi" w:hAnsiTheme="minorHAnsi"/>
        </w:rPr>
        <w:t xml:space="preserve">. Pomoči tej regiji so </w:t>
      </w:r>
      <w:r w:rsidR="00320FBF" w:rsidRPr="00D050E9">
        <w:rPr>
          <w:rFonts w:asciiTheme="minorHAnsi" w:hAnsiTheme="minorHAnsi"/>
        </w:rPr>
        <w:t xml:space="preserve">se povečale s </w:t>
      </w:r>
      <w:r w:rsidR="00A700A6" w:rsidRPr="00D050E9">
        <w:rPr>
          <w:rFonts w:asciiTheme="minorHAnsi" w:hAnsiTheme="minorHAnsi"/>
        </w:rPr>
        <w:t>2,6</w:t>
      </w:r>
      <w:r w:rsidR="00F474CF">
        <w:rPr>
          <w:rFonts w:asciiTheme="minorHAnsi" w:hAnsiTheme="minorHAnsi"/>
        </w:rPr>
        <w:t xml:space="preserve"> </w:t>
      </w:r>
      <w:r w:rsidR="00320FBF" w:rsidRPr="00D050E9">
        <w:rPr>
          <w:rFonts w:asciiTheme="minorHAnsi" w:hAnsiTheme="minorHAnsi"/>
        </w:rPr>
        <w:t xml:space="preserve">% v letu 2015 na </w:t>
      </w:r>
      <w:r w:rsidR="00A700A6" w:rsidRPr="00D050E9">
        <w:rPr>
          <w:rFonts w:asciiTheme="minorHAnsi" w:hAnsiTheme="minorHAnsi"/>
        </w:rPr>
        <w:t>več kot 5% v letih 2016 in 2017</w:t>
      </w:r>
      <w:r w:rsidR="00320FBF" w:rsidRPr="00D050E9">
        <w:rPr>
          <w:rFonts w:asciiTheme="minorHAnsi" w:hAnsiTheme="minorHAnsi"/>
        </w:rPr>
        <w:t xml:space="preserve">, pretežno kot posledica večjega obsega </w:t>
      </w:r>
      <w:r w:rsidR="00A700A6" w:rsidRPr="00D050E9">
        <w:rPr>
          <w:rFonts w:asciiTheme="minorHAnsi" w:hAnsiTheme="minorHAnsi"/>
        </w:rPr>
        <w:t xml:space="preserve"> pomoči</w:t>
      </w:r>
      <w:r w:rsidR="00320FBF" w:rsidRPr="00D050E9">
        <w:rPr>
          <w:rFonts w:asciiTheme="minorHAnsi" w:hAnsiTheme="minorHAnsi"/>
        </w:rPr>
        <w:t xml:space="preserve"> za premogovništvo</w:t>
      </w:r>
      <w:r w:rsidR="00A700A6" w:rsidRPr="00D050E9">
        <w:rPr>
          <w:rFonts w:asciiTheme="minorHAnsi" w:hAnsiTheme="minorHAnsi"/>
        </w:rPr>
        <w:t xml:space="preserve">. </w:t>
      </w:r>
    </w:p>
    <w:p w:rsidR="00D20CAE" w:rsidRPr="00D050E9" w:rsidRDefault="00D20CAE" w:rsidP="00696DCB">
      <w:pPr>
        <w:pStyle w:val="ListParagraph"/>
        <w:spacing w:line="276" w:lineRule="auto"/>
        <w:ind w:left="0"/>
        <w:rPr>
          <w:rFonts w:asciiTheme="minorHAnsi" w:hAnsiTheme="minorHAnsi"/>
        </w:rPr>
      </w:pPr>
    </w:p>
    <w:p w:rsidR="00AE41E2" w:rsidRPr="00D050E9" w:rsidRDefault="008D37CD" w:rsidP="00696DCB">
      <w:pPr>
        <w:pStyle w:val="ListParagraph"/>
        <w:spacing w:line="276" w:lineRule="auto"/>
        <w:ind w:left="0"/>
        <w:rPr>
          <w:rFonts w:asciiTheme="minorHAnsi" w:hAnsiTheme="minorHAnsi"/>
        </w:rPr>
      </w:pPr>
      <w:r w:rsidRPr="00D050E9">
        <w:rPr>
          <w:rFonts w:asciiTheme="minorHAnsi" w:hAnsiTheme="minorHAnsi"/>
        </w:rPr>
        <w:t>Najmanj državnih pomoči je</w:t>
      </w:r>
      <w:r w:rsidR="00AE41E2" w:rsidRPr="00D050E9">
        <w:rPr>
          <w:rFonts w:asciiTheme="minorHAnsi" w:hAnsiTheme="minorHAnsi"/>
        </w:rPr>
        <w:t xml:space="preserve"> </w:t>
      </w:r>
      <w:r w:rsidR="00EF1DEC" w:rsidRPr="00D050E9">
        <w:rPr>
          <w:rFonts w:asciiTheme="minorHAnsi" w:hAnsiTheme="minorHAnsi"/>
        </w:rPr>
        <w:t xml:space="preserve">bilo </w:t>
      </w:r>
      <w:r w:rsidR="00AE41E2" w:rsidRPr="00D050E9">
        <w:rPr>
          <w:rFonts w:asciiTheme="minorHAnsi" w:hAnsiTheme="minorHAnsi"/>
        </w:rPr>
        <w:t>v letu 2017 izplačanih v</w:t>
      </w:r>
      <w:r w:rsidRPr="00D050E9">
        <w:rPr>
          <w:rFonts w:asciiTheme="minorHAnsi" w:hAnsiTheme="minorHAnsi"/>
        </w:rPr>
        <w:t xml:space="preserve"> Notranjsko-kraški regiji, dobrih 5 mio EUR </w:t>
      </w:r>
      <w:r w:rsidR="00AE41E2" w:rsidRPr="00D050E9">
        <w:rPr>
          <w:rFonts w:asciiTheme="minorHAnsi" w:hAnsiTheme="minorHAnsi"/>
        </w:rPr>
        <w:t>(</w:t>
      </w:r>
      <w:r w:rsidRPr="00D050E9">
        <w:rPr>
          <w:rFonts w:asciiTheme="minorHAnsi" w:hAnsiTheme="minorHAnsi"/>
        </w:rPr>
        <w:t>1,2 % vseh pomoči v letu 2017</w:t>
      </w:r>
      <w:r w:rsidR="00AE41E2" w:rsidRPr="00D050E9">
        <w:rPr>
          <w:rFonts w:asciiTheme="minorHAnsi" w:hAnsiTheme="minorHAnsi"/>
        </w:rPr>
        <w:t xml:space="preserve">) in v zgoraj omenjeni Obalno-kraški regiji (1,8 % vseh pomoči v Sloveniji). </w:t>
      </w:r>
    </w:p>
    <w:p w:rsidR="00C729B3" w:rsidRPr="00D050E9" w:rsidRDefault="00191F44" w:rsidP="00191F44">
      <w:pPr>
        <w:pStyle w:val="Caption"/>
        <w:rPr>
          <w:color w:val="auto"/>
        </w:rPr>
      </w:pPr>
      <w:bookmarkStart w:id="58" w:name="_Toc530654591"/>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7</w:t>
      </w:r>
      <w:r w:rsidRPr="00D050E9">
        <w:rPr>
          <w:color w:val="auto"/>
        </w:rPr>
        <w:fldChar w:fldCharType="end"/>
      </w:r>
      <w:r w:rsidRPr="00D050E9">
        <w:rPr>
          <w:color w:val="auto"/>
        </w:rPr>
        <w:t xml:space="preserve">: </w:t>
      </w:r>
      <w:r w:rsidR="00D44760" w:rsidRPr="00D050E9">
        <w:rPr>
          <w:color w:val="auto"/>
        </w:rPr>
        <w:t>Državne pomoči po statističnih regijah, 2015–2017</w:t>
      </w:r>
      <w:bookmarkEnd w:id="58"/>
    </w:p>
    <w:p w:rsidR="00191F44" w:rsidRPr="00D050E9" w:rsidRDefault="00191F44" w:rsidP="00191F44">
      <w:pPr>
        <w:spacing w:after="0"/>
        <w:rPr>
          <w:lang w:bidi="hi-IN"/>
        </w:rPr>
      </w:pPr>
    </w:p>
    <w:tbl>
      <w:tblPr>
        <w:tblStyle w:val="LightGrid-Accent5"/>
        <w:tblW w:w="4857" w:type="pct"/>
        <w:tblLook w:val="04A0" w:firstRow="1" w:lastRow="0" w:firstColumn="1" w:lastColumn="0" w:noHBand="0" w:noVBand="1"/>
      </w:tblPr>
      <w:tblGrid>
        <w:gridCol w:w="1902"/>
        <w:gridCol w:w="1379"/>
        <w:gridCol w:w="1379"/>
        <w:gridCol w:w="1379"/>
        <w:gridCol w:w="769"/>
        <w:gridCol w:w="1286"/>
        <w:gridCol w:w="1037"/>
      </w:tblGrid>
      <w:tr w:rsidR="00EE6135" w:rsidRPr="00D050E9" w:rsidTr="008D37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vMerge w:val="restart"/>
            <w:hideMark/>
          </w:tcPr>
          <w:p w:rsidR="00EE6135" w:rsidRPr="00D050E9" w:rsidRDefault="00EE6135" w:rsidP="00EE6135">
            <w:pPr>
              <w:jc w:val="center"/>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Statistična regija</w:t>
            </w:r>
          </w:p>
        </w:tc>
        <w:tc>
          <w:tcPr>
            <w:tcW w:w="755" w:type="pct"/>
            <w:hideMark/>
          </w:tcPr>
          <w:p w:rsidR="00EE6135" w:rsidRPr="00D050E9" w:rsidRDefault="00EE6135" w:rsidP="00EE61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w:t>
            </w:r>
          </w:p>
        </w:tc>
        <w:tc>
          <w:tcPr>
            <w:tcW w:w="755" w:type="pct"/>
            <w:hideMark/>
          </w:tcPr>
          <w:p w:rsidR="00EE6135" w:rsidRPr="00D050E9" w:rsidRDefault="00EE6135" w:rsidP="00EE61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2016</w:t>
            </w:r>
          </w:p>
        </w:tc>
        <w:tc>
          <w:tcPr>
            <w:tcW w:w="2448" w:type="pct"/>
            <w:gridSpan w:val="4"/>
            <w:hideMark/>
          </w:tcPr>
          <w:p w:rsidR="00EE6135" w:rsidRPr="00D050E9" w:rsidRDefault="00EE6135" w:rsidP="00EE61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vMerge/>
            <w:hideMark/>
          </w:tcPr>
          <w:p w:rsidR="00EE6135" w:rsidRPr="00D050E9" w:rsidRDefault="00EE6135" w:rsidP="00EE6135">
            <w:pPr>
              <w:jc w:val="left"/>
              <w:rPr>
                <w:rFonts w:ascii="Calibri" w:eastAsia="Times New Roman" w:hAnsi="Calibri" w:cs="Arial"/>
                <w:color w:val="000000"/>
                <w:sz w:val="18"/>
                <w:szCs w:val="18"/>
                <w:lang w:eastAsia="sl-SI"/>
              </w:rPr>
            </w:pPr>
          </w:p>
        </w:tc>
        <w:tc>
          <w:tcPr>
            <w:tcW w:w="755" w:type="pct"/>
            <w:hideMark/>
          </w:tcPr>
          <w:p w:rsidR="00EE6135" w:rsidRPr="00D050E9" w:rsidRDefault="00EE6135" w:rsidP="00EE61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EUR</w:t>
            </w:r>
          </w:p>
        </w:tc>
        <w:tc>
          <w:tcPr>
            <w:tcW w:w="755" w:type="pct"/>
            <w:hideMark/>
          </w:tcPr>
          <w:p w:rsidR="00EE6135" w:rsidRPr="00D050E9" w:rsidRDefault="00EE6135" w:rsidP="00EE61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EUR</w:t>
            </w:r>
          </w:p>
        </w:tc>
        <w:tc>
          <w:tcPr>
            <w:tcW w:w="755" w:type="pct"/>
            <w:hideMark/>
          </w:tcPr>
          <w:p w:rsidR="00EE6135" w:rsidRPr="00D050E9" w:rsidRDefault="00EE6135" w:rsidP="00EE61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EUR</w:t>
            </w:r>
          </w:p>
        </w:tc>
        <w:tc>
          <w:tcPr>
            <w:tcW w:w="421" w:type="pct"/>
            <w:hideMark/>
          </w:tcPr>
          <w:p w:rsidR="00EE6135" w:rsidRPr="00D050E9" w:rsidRDefault="00EE6135" w:rsidP="00EE61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xml:space="preserve">v % </w:t>
            </w:r>
          </w:p>
        </w:tc>
        <w:tc>
          <w:tcPr>
            <w:tcW w:w="704" w:type="pct"/>
            <w:hideMark/>
          </w:tcPr>
          <w:p w:rsidR="00EE6135" w:rsidRPr="00D050E9" w:rsidRDefault="00DB159D" w:rsidP="00DB15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2017</w:t>
            </w:r>
            <w:r w:rsidR="00EE6135" w:rsidRPr="00D050E9">
              <w:rPr>
                <w:rFonts w:ascii="Calibri" w:eastAsia="Times New Roman" w:hAnsi="Calibri" w:cs="Arial"/>
                <w:b/>
                <w:bCs/>
                <w:color w:val="000000"/>
                <w:sz w:val="18"/>
                <w:szCs w:val="18"/>
                <w:lang w:eastAsia="sl-SI"/>
              </w:rPr>
              <w:t>-2016</w:t>
            </w:r>
            <w:r w:rsidR="00EE6135" w:rsidRPr="00D050E9">
              <w:rPr>
                <w:rFonts w:ascii="Calibri" w:eastAsia="Times New Roman" w:hAnsi="Calibri" w:cs="Arial"/>
                <w:b/>
                <w:bCs/>
                <w:color w:val="000000"/>
                <w:sz w:val="18"/>
                <w:szCs w:val="18"/>
                <w:lang w:eastAsia="sl-SI"/>
              </w:rPr>
              <w:br/>
              <w:t>v mio</w:t>
            </w:r>
          </w:p>
        </w:tc>
        <w:tc>
          <w:tcPr>
            <w:tcW w:w="567" w:type="pct"/>
            <w:hideMark/>
          </w:tcPr>
          <w:p w:rsidR="00EE6135" w:rsidRPr="00D050E9" w:rsidRDefault="00EE6135" w:rsidP="00EE61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2017/2016</w:t>
            </w:r>
            <w:r w:rsidRPr="00D050E9">
              <w:rPr>
                <w:rFonts w:ascii="Calibri" w:eastAsia="Times New Roman" w:hAnsi="Calibri" w:cs="Arial"/>
                <w:b/>
                <w:bCs/>
                <w:color w:val="000000"/>
                <w:sz w:val="18"/>
                <w:szCs w:val="18"/>
                <w:lang w:eastAsia="sl-SI"/>
              </w:rPr>
              <w:br/>
              <w:t xml:space="preserve"> v %</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GORENJSKA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27.242.616,58</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21.164.048,83</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25.580.733,64</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6,0%</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4.416.684,81</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20,9%</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GORIŠKA</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19.386.584,53</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13.305.761,91</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15.038.676,98</w:t>
            </w:r>
          </w:p>
        </w:tc>
        <w:tc>
          <w:tcPr>
            <w:tcW w:w="421"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3,5%</w:t>
            </w:r>
          </w:p>
        </w:tc>
        <w:tc>
          <w:tcPr>
            <w:tcW w:w="704"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1.732.915,07</w:t>
            </w:r>
          </w:p>
        </w:tc>
        <w:tc>
          <w:tcPr>
            <w:tcW w:w="567"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13,0%</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JUGOVZHODNA SLOVENIJA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25.023.870,51</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22.727.033,18</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21.183.226,20</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5,0%</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-1.543.806,98</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-6,8%</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KOROŠKA</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14.472.947,85</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11.593.465,12</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13.667.938,00</w:t>
            </w:r>
          </w:p>
        </w:tc>
        <w:tc>
          <w:tcPr>
            <w:tcW w:w="421"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3,2%</w:t>
            </w:r>
          </w:p>
        </w:tc>
        <w:tc>
          <w:tcPr>
            <w:tcW w:w="704"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2.074.472,88</w:t>
            </w:r>
          </w:p>
        </w:tc>
        <w:tc>
          <w:tcPr>
            <w:tcW w:w="567"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17,9%</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NOTRANJSKO-KRAŠKA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5.147.421,76</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3.965.819,88</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5.018.527,82</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1,2%</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1.052.707,94</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26,5%</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OBALNO-KRAŠKA</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103.316.077,46</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5.525.406,70</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7.722.036,61</w:t>
            </w:r>
          </w:p>
        </w:tc>
        <w:tc>
          <w:tcPr>
            <w:tcW w:w="421"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1,8%</w:t>
            </w:r>
          </w:p>
        </w:tc>
        <w:tc>
          <w:tcPr>
            <w:tcW w:w="704"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2.196.629,91</w:t>
            </w:r>
          </w:p>
        </w:tc>
        <w:tc>
          <w:tcPr>
            <w:tcW w:w="567"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39,8%</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OSREDNJESLOVENSKA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193.209.614,66</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138.052.488,63</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159.480.002,84</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37,3%</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21.427.514,21</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15,5%</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PODRAVSKA</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63.126.123,26</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55.285.271,79</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64.999.889,51</w:t>
            </w:r>
          </w:p>
        </w:tc>
        <w:tc>
          <w:tcPr>
            <w:tcW w:w="421"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15,2%</w:t>
            </w:r>
          </w:p>
        </w:tc>
        <w:tc>
          <w:tcPr>
            <w:tcW w:w="704"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9.714.617,72</w:t>
            </w:r>
          </w:p>
        </w:tc>
        <w:tc>
          <w:tcPr>
            <w:tcW w:w="567"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17,6%</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POMURSKA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20.316.650,26</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17.548.568,44</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19.251.050,84</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4,5%</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1.702.482,40</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9,7%</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POSAVSKA</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11.244.777,33</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9.619.423,90</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11.560.689,20</w:t>
            </w:r>
          </w:p>
        </w:tc>
        <w:tc>
          <w:tcPr>
            <w:tcW w:w="421"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2,7%</w:t>
            </w:r>
          </w:p>
        </w:tc>
        <w:tc>
          <w:tcPr>
            <w:tcW w:w="704"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1.941.265,30</w:t>
            </w:r>
          </w:p>
        </w:tc>
        <w:tc>
          <w:tcPr>
            <w:tcW w:w="567"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20,2%</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SAVINJSKA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58.074.613,65</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56.120.445,70</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59.929.384,88</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14,0%</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3.808.939,18</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6,8%</w:t>
            </w:r>
          </w:p>
        </w:tc>
      </w:tr>
      <w:tr w:rsidR="009039A3" w:rsidRPr="00D050E9" w:rsidTr="008D37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ZASAVSKA</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12.743.846,72</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20.100.822,99</w:t>
            </w:r>
          </w:p>
        </w:tc>
        <w:tc>
          <w:tcPr>
            <w:tcW w:w="755"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23.730.124,13</w:t>
            </w:r>
          </w:p>
        </w:tc>
        <w:tc>
          <w:tcPr>
            <w:tcW w:w="421"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5,6%</w:t>
            </w:r>
          </w:p>
        </w:tc>
        <w:tc>
          <w:tcPr>
            <w:tcW w:w="704"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3.629.301,14</w:t>
            </w:r>
          </w:p>
        </w:tc>
        <w:tc>
          <w:tcPr>
            <w:tcW w:w="567" w:type="pct"/>
            <w:hideMark/>
          </w:tcPr>
          <w:p w:rsidR="00EE6135" w:rsidRPr="00D050E9" w:rsidRDefault="00EE6135" w:rsidP="00EE613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18,1%</w:t>
            </w:r>
          </w:p>
        </w:tc>
      </w:tr>
      <w:tr w:rsidR="009039A3" w:rsidRPr="00D050E9" w:rsidTr="008D37C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2" w:type="pct"/>
            <w:hideMark/>
          </w:tcPr>
          <w:p w:rsidR="00EE6135" w:rsidRPr="00D050E9" w:rsidRDefault="00EE6135" w:rsidP="00EE6135">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SLOVENIJA</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553.315.662,64</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375.030.230,63</w:t>
            </w:r>
          </w:p>
        </w:tc>
        <w:tc>
          <w:tcPr>
            <w:tcW w:w="755"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427.181.679,40 </w:t>
            </w:r>
          </w:p>
        </w:tc>
        <w:tc>
          <w:tcPr>
            <w:tcW w:w="421"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100,0%</w:t>
            </w:r>
          </w:p>
        </w:tc>
        <w:tc>
          <w:tcPr>
            <w:tcW w:w="704"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xml:space="preserve">52.151.448,77 </w:t>
            </w:r>
          </w:p>
        </w:tc>
        <w:tc>
          <w:tcPr>
            <w:tcW w:w="567" w:type="pct"/>
            <w:hideMark/>
          </w:tcPr>
          <w:p w:rsidR="00EE6135" w:rsidRPr="00D050E9" w:rsidRDefault="00EE6135" w:rsidP="00EE613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13,9%</w:t>
            </w:r>
          </w:p>
        </w:tc>
      </w:tr>
    </w:tbl>
    <w:p w:rsidR="00DF0656" w:rsidRPr="00D050E9" w:rsidRDefault="00DF0656" w:rsidP="00C729B3">
      <w:pPr>
        <w:pStyle w:val="ListParagraph"/>
        <w:spacing w:line="276" w:lineRule="auto"/>
        <w:ind w:left="0"/>
        <w:rPr>
          <w:rFonts w:asciiTheme="minorHAnsi" w:hAnsiTheme="minorHAnsi"/>
        </w:rPr>
      </w:pPr>
    </w:p>
    <w:p w:rsidR="008D37CD" w:rsidRPr="00D050E9" w:rsidRDefault="008D37CD" w:rsidP="00C729B3">
      <w:pPr>
        <w:pStyle w:val="ListParagraph"/>
        <w:spacing w:line="276" w:lineRule="auto"/>
        <w:ind w:left="0"/>
        <w:rPr>
          <w:rFonts w:asciiTheme="minorHAnsi" w:hAnsiTheme="minorHAnsi"/>
        </w:rPr>
      </w:pPr>
    </w:p>
    <w:p w:rsidR="00191F44" w:rsidRPr="00D050E9" w:rsidRDefault="00191F44" w:rsidP="00C729B3">
      <w:pPr>
        <w:pStyle w:val="ListParagraph"/>
        <w:spacing w:line="276" w:lineRule="auto"/>
        <w:ind w:left="0"/>
        <w:rPr>
          <w:rFonts w:asciiTheme="minorHAnsi" w:hAnsiTheme="minorHAnsi"/>
        </w:rPr>
      </w:pPr>
    </w:p>
    <w:p w:rsidR="00343952" w:rsidRPr="00D050E9" w:rsidRDefault="00343952" w:rsidP="00C729B3">
      <w:pPr>
        <w:pStyle w:val="ListParagraph"/>
        <w:spacing w:line="276" w:lineRule="auto"/>
        <w:ind w:left="0"/>
        <w:rPr>
          <w:rFonts w:asciiTheme="minorHAnsi" w:hAnsiTheme="minorHAnsi"/>
        </w:rPr>
      </w:pPr>
    </w:p>
    <w:p w:rsidR="00343952" w:rsidRPr="00D050E9" w:rsidRDefault="00343952" w:rsidP="00C729B3">
      <w:pPr>
        <w:pStyle w:val="ListParagraph"/>
        <w:spacing w:line="276" w:lineRule="auto"/>
        <w:ind w:left="0"/>
        <w:rPr>
          <w:rFonts w:asciiTheme="minorHAnsi" w:hAnsiTheme="minorHAnsi"/>
        </w:rPr>
      </w:pPr>
    </w:p>
    <w:p w:rsidR="00343952" w:rsidRPr="00D050E9" w:rsidRDefault="00191F44" w:rsidP="00191F44">
      <w:pPr>
        <w:pStyle w:val="Caption"/>
        <w:rPr>
          <w:color w:val="auto"/>
        </w:rPr>
      </w:pPr>
      <w:bookmarkStart w:id="59" w:name="_Toc530654640"/>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25</w:t>
      </w:r>
      <w:r w:rsidRPr="00D050E9">
        <w:rPr>
          <w:color w:val="auto"/>
        </w:rPr>
        <w:fldChar w:fldCharType="end"/>
      </w:r>
      <w:r w:rsidRPr="00D050E9">
        <w:rPr>
          <w:color w:val="auto"/>
        </w:rPr>
        <w:t>:</w:t>
      </w:r>
      <w:r w:rsidR="00DF0656" w:rsidRPr="00D050E9">
        <w:rPr>
          <w:color w:val="auto"/>
        </w:rPr>
        <w:t xml:space="preserve"> Porazdelitev državnih pomoči po statističnih regijah, povprečje 2015–2017, v % vseh </w:t>
      </w:r>
      <w:r w:rsidR="00343952" w:rsidRPr="00D050E9">
        <w:rPr>
          <w:color w:val="auto"/>
        </w:rPr>
        <w:t>pomoči</w:t>
      </w:r>
      <w:bookmarkEnd w:id="59"/>
    </w:p>
    <w:p w:rsidR="00EE6135" w:rsidRPr="00D050E9" w:rsidRDefault="00191F44" w:rsidP="00191F44">
      <w:pPr>
        <w:pStyle w:val="Caption"/>
        <w:rPr>
          <w:color w:val="auto"/>
        </w:rPr>
      </w:pPr>
      <w:r w:rsidRPr="00D050E9">
        <w:rPr>
          <w:noProof/>
          <w:lang w:eastAsia="sl-SI" w:bidi="ar-SA"/>
        </w:rPr>
        <w:drawing>
          <wp:inline distT="0" distB="0" distL="0" distR="0" wp14:anchorId="71CF4422" wp14:editId="3775AE35">
            <wp:extent cx="5349240" cy="3169920"/>
            <wp:effectExtent l="0" t="0" r="381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F1C33" w:rsidRPr="00D050E9" w:rsidRDefault="00CA1014" w:rsidP="00C729B3">
      <w:pPr>
        <w:pStyle w:val="ListParagraph"/>
        <w:spacing w:line="276" w:lineRule="auto"/>
        <w:ind w:left="0"/>
        <w:rPr>
          <w:rFonts w:asciiTheme="minorHAnsi" w:hAnsiTheme="minorHAnsi"/>
        </w:rPr>
      </w:pPr>
      <w:r w:rsidRPr="00D050E9">
        <w:rPr>
          <w:rFonts w:asciiTheme="minorHAnsi" w:hAnsiTheme="minorHAnsi"/>
        </w:rPr>
        <w:t xml:space="preserve">V letu 2017 so se državne pomoči v vseh statističnih regijah z izjemo </w:t>
      </w:r>
      <w:r w:rsidR="00ED15C1" w:rsidRPr="00D050E9">
        <w:rPr>
          <w:rFonts w:asciiTheme="minorHAnsi" w:hAnsiTheme="minorHAnsi"/>
        </w:rPr>
        <w:t xml:space="preserve">Jugovzhodne Slovenije </w:t>
      </w:r>
      <w:r w:rsidRPr="00D050E9">
        <w:rPr>
          <w:rFonts w:asciiTheme="minorHAnsi" w:hAnsiTheme="minorHAnsi"/>
        </w:rPr>
        <w:t>povečale. Po obsegu najbolj v Osrednjeslovenski regiji, za 21,4 mio EUR (+16 %</w:t>
      </w:r>
      <w:r w:rsidR="005F1C33" w:rsidRPr="00D050E9">
        <w:rPr>
          <w:rFonts w:asciiTheme="minorHAnsi" w:hAnsiTheme="minorHAnsi"/>
        </w:rPr>
        <w:t xml:space="preserve">), </w:t>
      </w:r>
      <w:r w:rsidRPr="00D050E9">
        <w:rPr>
          <w:rFonts w:asciiTheme="minorHAnsi" w:hAnsiTheme="minorHAnsi"/>
        </w:rPr>
        <w:t>relativno pa najbolj v Obalno-kraški regiji, za 40 % (+2,2 mio EUR), Notranjsko-kraški regiji za dobro četrtino (+1 mio EUR) ter v Gorenjski in Posavski regiji, kjer je bilo državnih pomoči za petino več kot v letu 2016 (+4,4 mio EUR oz. +1,9 mio EUR).</w:t>
      </w:r>
      <w:r w:rsidR="005F1C33" w:rsidRPr="00D050E9">
        <w:rPr>
          <w:rFonts w:asciiTheme="minorHAnsi" w:hAnsiTheme="minorHAnsi"/>
        </w:rPr>
        <w:t xml:space="preserve"> Največ so k povečanju prispevale </w:t>
      </w:r>
      <w:r w:rsidR="0066236B" w:rsidRPr="00D050E9">
        <w:rPr>
          <w:rFonts w:asciiTheme="minorHAnsi" w:hAnsiTheme="minorHAnsi"/>
        </w:rPr>
        <w:t xml:space="preserve">pomoči za RRI, pa tudi varstvo okolja, zaposlovanje in kmetijstvo. </w:t>
      </w:r>
    </w:p>
    <w:p w:rsidR="001A26E7" w:rsidRPr="00D050E9" w:rsidRDefault="001A26E7" w:rsidP="00C729B3">
      <w:pPr>
        <w:pStyle w:val="ListParagraph"/>
        <w:spacing w:line="276" w:lineRule="auto"/>
        <w:ind w:left="0"/>
        <w:rPr>
          <w:rFonts w:asciiTheme="minorHAnsi" w:hAnsiTheme="minorHAnsi"/>
        </w:rPr>
      </w:pPr>
    </w:p>
    <w:p w:rsidR="00772731" w:rsidRPr="00D050E9" w:rsidRDefault="005F1C33" w:rsidP="00C729B3">
      <w:pPr>
        <w:pStyle w:val="ListParagraph"/>
        <w:spacing w:line="276" w:lineRule="auto"/>
        <w:ind w:left="0"/>
        <w:rPr>
          <w:rFonts w:asciiTheme="minorHAnsi" w:hAnsiTheme="minorHAnsi"/>
        </w:rPr>
      </w:pPr>
      <w:r w:rsidRPr="00D050E9">
        <w:rPr>
          <w:rFonts w:asciiTheme="minorHAnsi" w:hAnsiTheme="minorHAnsi"/>
        </w:rPr>
        <w:t xml:space="preserve">V Jugovzhodni Sloveniji so se pomoči zmanjšale za 1,5 mio EUR ali 7 %. </w:t>
      </w:r>
      <w:r w:rsidR="0066236B" w:rsidRPr="00D050E9">
        <w:rPr>
          <w:rFonts w:asciiTheme="minorHAnsi" w:hAnsiTheme="minorHAnsi"/>
        </w:rPr>
        <w:t>Največji upad je bil pri regionalnih pomočeh, teh je bilo za 5,3 mio EUR manj kot</w:t>
      </w:r>
      <w:r w:rsidR="001A26E7" w:rsidRPr="00D050E9">
        <w:rPr>
          <w:rFonts w:asciiTheme="minorHAnsi" w:hAnsiTheme="minorHAnsi"/>
        </w:rPr>
        <w:t xml:space="preserve"> v letu 2016, glavni razlog je manj </w:t>
      </w:r>
      <w:r w:rsidR="00ED15C1" w:rsidRPr="00D050E9">
        <w:rPr>
          <w:rFonts w:asciiTheme="minorHAnsi" w:hAnsiTheme="minorHAnsi"/>
        </w:rPr>
        <w:t>dodeljen</w:t>
      </w:r>
      <w:r w:rsidR="00461DF7" w:rsidRPr="00D050E9">
        <w:rPr>
          <w:rFonts w:asciiTheme="minorHAnsi" w:hAnsiTheme="minorHAnsi"/>
        </w:rPr>
        <w:t xml:space="preserve">ih </w:t>
      </w:r>
      <w:r w:rsidR="001A26E7" w:rsidRPr="00D050E9">
        <w:rPr>
          <w:rFonts w:asciiTheme="minorHAnsi" w:hAnsiTheme="minorHAnsi"/>
        </w:rPr>
        <w:t>pomoči podjetj</w:t>
      </w:r>
      <w:r w:rsidR="00ED15C1" w:rsidRPr="00D050E9">
        <w:rPr>
          <w:rFonts w:asciiTheme="minorHAnsi" w:hAnsiTheme="minorHAnsi"/>
        </w:rPr>
        <w:t>u</w:t>
      </w:r>
      <w:r w:rsidR="001A26E7" w:rsidRPr="00D050E9">
        <w:rPr>
          <w:rFonts w:asciiTheme="minorHAnsi" w:hAnsiTheme="minorHAnsi"/>
        </w:rPr>
        <w:t xml:space="preserve"> Revoz, ki v letu 2017 za razliko od predhodnih</w:t>
      </w:r>
      <w:r w:rsidR="00772731" w:rsidRPr="00D050E9">
        <w:rPr>
          <w:rFonts w:asciiTheme="minorHAnsi" w:hAnsiTheme="minorHAnsi"/>
        </w:rPr>
        <w:t xml:space="preserve"> štirih let, </w:t>
      </w:r>
      <w:r w:rsidR="00ED15C1" w:rsidRPr="00D050E9">
        <w:rPr>
          <w:rFonts w:asciiTheme="minorHAnsi" w:hAnsiTheme="minorHAnsi"/>
        </w:rPr>
        <w:t xml:space="preserve">te </w:t>
      </w:r>
      <w:r w:rsidR="00772731" w:rsidRPr="00D050E9">
        <w:rPr>
          <w:rFonts w:asciiTheme="minorHAnsi" w:hAnsiTheme="minorHAnsi"/>
        </w:rPr>
        <w:t xml:space="preserve">pomoči ni prejelo. </w:t>
      </w:r>
    </w:p>
    <w:p w:rsidR="00C729B3" w:rsidRPr="00D050E9" w:rsidRDefault="00191F44" w:rsidP="00191F44">
      <w:pPr>
        <w:pStyle w:val="Caption"/>
        <w:rPr>
          <w:color w:val="auto"/>
        </w:rPr>
      </w:pPr>
      <w:bookmarkStart w:id="60" w:name="_Toc530654641"/>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26</w:t>
      </w:r>
      <w:r w:rsidRPr="00D050E9">
        <w:rPr>
          <w:color w:val="auto"/>
        </w:rPr>
        <w:fldChar w:fldCharType="end"/>
      </w:r>
      <w:r w:rsidRPr="00D050E9">
        <w:rPr>
          <w:color w:val="auto"/>
        </w:rPr>
        <w:t xml:space="preserve">: </w:t>
      </w:r>
      <w:r w:rsidR="00DF0656" w:rsidRPr="00D050E9">
        <w:rPr>
          <w:color w:val="auto"/>
        </w:rPr>
        <w:t>Sprememba obsega državnih pomoči po statističnih regijah v letih 2015–2017</w:t>
      </w:r>
      <w:bookmarkEnd w:id="60"/>
    </w:p>
    <w:p w:rsidR="00F067C2" w:rsidRPr="00D050E9" w:rsidRDefault="00F067C2" w:rsidP="00DF0656">
      <w:pPr>
        <w:pStyle w:val="ListParagraph"/>
        <w:tabs>
          <w:tab w:val="left" w:pos="1296"/>
        </w:tabs>
        <w:spacing w:line="276" w:lineRule="auto"/>
        <w:ind w:left="0"/>
        <w:rPr>
          <w:rFonts w:asciiTheme="minorHAnsi" w:hAnsiTheme="minorHAnsi"/>
        </w:rPr>
      </w:pPr>
      <w:r w:rsidRPr="00D050E9">
        <w:rPr>
          <w:noProof/>
          <w:lang w:eastAsia="sl-SI"/>
        </w:rPr>
        <w:drawing>
          <wp:inline distT="0" distB="0" distL="0" distR="0" wp14:anchorId="38A909A3" wp14:editId="47E378A6">
            <wp:extent cx="5402580" cy="276606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64048" w:rsidRPr="00D050E9" w:rsidRDefault="0009438D" w:rsidP="00DF0656">
      <w:pPr>
        <w:pStyle w:val="ListParagraph"/>
        <w:tabs>
          <w:tab w:val="left" w:pos="1296"/>
        </w:tabs>
        <w:spacing w:line="276" w:lineRule="auto"/>
        <w:ind w:left="0"/>
        <w:rPr>
          <w:rFonts w:asciiTheme="minorHAnsi" w:hAnsiTheme="minorHAnsi"/>
        </w:rPr>
      </w:pPr>
      <w:r w:rsidRPr="00C85348">
        <w:rPr>
          <w:rFonts w:asciiTheme="minorHAnsi" w:hAnsiTheme="minorHAnsi"/>
        </w:rPr>
        <w:lastRenderedPageBreak/>
        <w:t xml:space="preserve">Primerjava obsega državnih pomoči v </w:t>
      </w:r>
      <w:r w:rsidR="00735D56" w:rsidRPr="00C85348">
        <w:rPr>
          <w:rFonts w:asciiTheme="minorHAnsi" w:hAnsiTheme="minorHAnsi"/>
        </w:rPr>
        <w:t xml:space="preserve">regijskem BDP </w:t>
      </w:r>
      <w:r w:rsidRPr="00C85348">
        <w:rPr>
          <w:rFonts w:asciiTheme="minorHAnsi" w:hAnsiTheme="minorHAnsi"/>
        </w:rPr>
        <w:t>kaže, da je največ pomoči v deležu BDP prejela Zasavska regija. Državne pomoči so predstavljale 3,4 % BDP te regije v letu 2016 (v povprečj</w:t>
      </w:r>
      <w:r w:rsidR="00112A6A" w:rsidRPr="00C85348">
        <w:rPr>
          <w:rFonts w:asciiTheme="minorHAnsi" w:hAnsiTheme="minorHAnsi"/>
        </w:rPr>
        <w:t>u</w:t>
      </w:r>
      <w:r w:rsidRPr="00C85348">
        <w:rPr>
          <w:rFonts w:asciiTheme="minorHAnsi" w:hAnsiTheme="minorHAnsi"/>
        </w:rPr>
        <w:t xml:space="preserve"> 2014–2016 pa 3 % regijskega BDP)</w:t>
      </w:r>
      <w:r w:rsidRPr="00C85348">
        <w:rPr>
          <w:rStyle w:val="FootnoteReference"/>
          <w:rFonts w:asciiTheme="minorHAnsi" w:hAnsiTheme="minorHAnsi"/>
        </w:rPr>
        <w:footnoteReference w:id="10"/>
      </w:r>
      <w:r w:rsidRPr="00C85348">
        <w:rPr>
          <w:rFonts w:asciiTheme="minorHAnsi" w:hAnsiTheme="minorHAnsi"/>
        </w:rPr>
        <w:t xml:space="preserve">, kar je občutno več kot so državne pomoči znašale v povprečju za Slovenijo (0,93 % v letu 2016, v povprečju 2014-2016 1,26 % BDP). </w:t>
      </w:r>
      <w:r w:rsidR="00164048" w:rsidRPr="00C85348">
        <w:rPr>
          <w:rFonts w:asciiTheme="minorHAnsi" w:hAnsiTheme="minorHAnsi"/>
        </w:rPr>
        <w:t xml:space="preserve">Bistveno nadpovprečni </w:t>
      </w:r>
      <w:r w:rsidRPr="00C85348">
        <w:rPr>
          <w:rFonts w:asciiTheme="minorHAnsi" w:hAnsiTheme="minorHAnsi"/>
        </w:rPr>
        <w:t>delež</w:t>
      </w:r>
      <w:r w:rsidRPr="00D050E9">
        <w:rPr>
          <w:rFonts w:asciiTheme="minorHAnsi" w:hAnsiTheme="minorHAnsi"/>
        </w:rPr>
        <w:t xml:space="preserve"> državnih pomoči v BDP</w:t>
      </w:r>
      <w:r w:rsidR="00164048" w:rsidRPr="00D050E9">
        <w:rPr>
          <w:rFonts w:asciiTheme="minorHAnsi" w:hAnsiTheme="minorHAnsi"/>
        </w:rPr>
        <w:t xml:space="preserve"> v obdobju 2014–2016 je imela še Obalno-kraška regija, vendar spet zaradi izjemne enkratne velike pomoči za prestrukturiranje v letu 2015. </w:t>
      </w:r>
    </w:p>
    <w:p w:rsidR="007E6FA8" w:rsidRPr="00D050E9" w:rsidRDefault="007E6FA8" w:rsidP="00DF0656">
      <w:pPr>
        <w:pStyle w:val="ListParagraph"/>
        <w:tabs>
          <w:tab w:val="left" w:pos="1296"/>
        </w:tabs>
        <w:spacing w:line="276" w:lineRule="auto"/>
        <w:ind w:left="0"/>
        <w:rPr>
          <w:rFonts w:asciiTheme="minorHAnsi" w:hAnsiTheme="minorHAnsi"/>
        </w:rPr>
      </w:pPr>
    </w:p>
    <w:p w:rsidR="007E6FA8" w:rsidRPr="00D050E9" w:rsidRDefault="007E6FA8" w:rsidP="00DF0656">
      <w:pPr>
        <w:pStyle w:val="ListParagraph"/>
        <w:tabs>
          <w:tab w:val="left" w:pos="1296"/>
        </w:tabs>
        <w:spacing w:line="276" w:lineRule="auto"/>
        <w:ind w:left="0"/>
        <w:rPr>
          <w:rFonts w:asciiTheme="minorHAnsi" w:hAnsiTheme="minorHAnsi"/>
        </w:rPr>
      </w:pPr>
      <w:r w:rsidRPr="00D050E9">
        <w:rPr>
          <w:rFonts w:asciiTheme="minorHAnsi" w:hAnsiTheme="minorHAnsi"/>
        </w:rPr>
        <w:t>Najnižje deleže so državne pomoči preds</w:t>
      </w:r>
      <w:r w:rsidR="0096197E" w:rsidRPr="00D050E9">
        <w:rPr>
          <w:rFonts w:asciiTheme="minorHAnsi" w:hAnsiTheme="minorHAnsi"/>
        </w:rPr>
        <w:t>tavljale v BDP Gorenjske, Gorišk</w:t>
      </w:r>
      <w:r w:rsidRPr="00D050E9">
        <w:rPr>
          <w:rFonts w:asciiTheme="minorHAnsi" w:hAnsiTheme="minorHAnsi"/>
        </w:rPr>
        <w:t xml:space="preserve">e, Notranjsko-kraške in Posavske regije (0,9 % BDP v obdobju 2014–2016). </w:t>
      </w:r>
    </w:p>
    <w:p w:rsidR="00DF0656" w:rsidRPr="00D050E9" w:rsidRDefault="00191F44" w:rsidP="00191F44">
      <w:pPr>
        <w:pStyle w:val="Caption"/>
        <w:rPr>
          <w:color w:val="auto"/>
        </w:rPr>
      </w:pPr>
      <w:bookmarkStart w:id="61" w:name="_Toc530654642"/>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27</w:t>
      </w:r>
      <w:r w:rsidRPr="00D050E9">
        <w:rPr>
          <w:color w:val="auto"/>
        </w:rPr>
        <w:fldChar w:fldCharType="end"/>
      </w:r>
      <w:r w:rsidRPr="00D050E9">
        <w:rPr>
          <w:color w:val="auto"/>
        </w:rPr>
        <w:t xml:space="preserve">: </w:t>
      </w:r>
      <w:r w:rsidR="00DF0656" w:rsidRPr="00D050E9">
        <w:rPr>
          <w:color w:val="auto"/>
        </w:rPr>
        <w:t>Državne pomoči v primerjavi z regijskim BDP</w:t>
      </w:r>
      <w:bookmarkEnd w:id="61"/>
    </w:p>
    <w:p w:rsidR="00F067C2" w:rsidRPr="00D050E9" w:rsidRDefault="00F067C2" w:rsidP="00C729B3">
      <w:pPr>
        <w:pStyle w:val="ListParagraph"/>
        <w:spacing w:line="276" w:lineRule="auto"/>
        <w:ind w:left="0"/>
        <w:rPr>
          <w:rFonts w:asciiTheme="minorHAnsi" w:hAnsiTheme="minorHAnsi"/>
        </w:rPr>
      </w:pPr>
      <w:r w:rsidRPr="00D050E9">
        <w:rPr>
          <w:noProof/>
          <w:lang w:eastAsia="sl-SI"/>
        </w:rPr>
        <w:drawing>
          <wp:inline distT="0" distB="0" distL="0" distR="0" wp14:anchorId="7C984840" wp14:editId="7918B82E">
            <wp:extent cx="5326380" cy="2979420"/>
            <wp:effectExtent l="0" t="0" r="762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64048" w:rsidRPr="00D050E9" w:rsidRDefault="00191F44" w:rsidP="00191F44">
      <w:pPr>
        <w:pStyle w:val="Caption"/>
        <w:rPr>
          <w:color w:val="auto"/>
        </w:rPr>
      </w:pPr>
      <w:bookmarkStart w:id="62" w:name="_Toc530654643"/>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28</w:t>
      </w:r>
      <w:r w:rsidRPr="00D050E9">
        <w:rPr>
          <w:color w:val="auto"/>
        </w:rPr>
        <w:fldChar w:fldCharType="end"/>
      </w:r>
      <w:r w:rsidRPr="00D050E9">
        <w:rPr>
          <w:color w:val="auto"/>
        </w:rPr>
        <w:t xml:space="preserve">: </w:t>
      </w:r>
      <w:r w:rsidR="00164048" w:rsidRPr="00D050E9">
        <w:rPr>
          <w:color w:val="auto"/>
        </w:rPr>
        <w:t>Državne pomoči v deležu BDP po statističnih regijah, 2014–2016</w:t>
      </w:r>
      <w:bookmarkEnd w:id="62"/>
    </w:p>
    <w:p w:rsidR="00735D56" w:rsidRPr="00D050E9" w:rsidRDefault="0009438D" w:rsidP="00C729B3">
      <w:pPr>
        <w:pStyle w:val="ListParagraph"/>
        <w:spacing w:line="276" w:lineRule="auto"/>
        <w:ind w:left="0"/>
        <w:rPr>
          <w:rFonts w:asciiTheme="minorHAnsi" w:hAnsiTheme="minorHAnsi"/>
        </w:rPr>
      </w:pPr>
      <w:r w:rsidRPr="00D050E9">
        <w:rPr>
          <w:noProof/>
          <w:lang w:eastAsia="sl-SI"/>
        </w:rPr>
        <w:drawing>
          <wp:inline distT="0" distB="0" distL="0" distR="0" wp14:anchorId="445EC35B" wp14:editId="027963A3">
            <wp:extent cx="5135880" cy="306324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34E44" w:rsidRPr="00D050E9" w:rsidRDefault="00D42AE5" w:rsidP="00C729B3">
      <w:pPr>
        <w:pStyle w:val="ListParagraph"/>
        <w:spacing w:line="276" w:lineRule="auto"/>
        <w:ind w:left="0"/>
        <w:rPr>
          <w:rFonts w:asciiTheme="minorHAnsi" w:hAnsiTheme="minorHAnsi"/>
        </w:rPr>
      </w:pPr>
      <w:r w:rsidRPr="00D050E9">
        <w:rPr>
          <w:rFonts w:asciiTheme="minorHAnsi" w:hAnsiTheme="minorHAnsi"/>
        </w:rPr>
        <w:lastRenderedPageBreak/>
        <w:t xml:space="preserve">Zasavska regija dobi največ pomoči </w:t>
      </w:r>
      <w:r w:rsidR="00E72379" w:rsidRPr="00D050E9">
        <w:rPr>
          <w:rFonts w:asciiTheme="minorHAnsi" w:hAnsiTheme="minorHAnsi"/>
        </w:rPr>
        <w:t>tudi</w:t>
      </w:r>
      <w:r w:rsidRPr="00D050E9">
        <w:rPr>
          <w:rFonts w:asciiTheme="minorHAnsi" w:hAnsiTheme="minorHAnsi"/>
        </w:rPr>
        <w:t xml:space="preserve"> na prebivalca regije, v letu 2017 je zanašala 414 EUR na prebivalca, kar je enkrat več kot povprečj</w:t>
      </w:r>
      <w:r w:rsidR="00461DF7" w:rsidRPr="00D050E9">
        <w:rPr>
          <w:rFonts w:asciiTheme="minorHAnsi" w:hAnsiTheme="minorHAnsi"/>
        </w:rPr>
        <w:t xml:space="preserve">e </w:t>
      </w:r>
      <w:r w:rsidRPr="00D050E9">
        <w:rPr>
          <w:rFonts w:asciiTheme="minorHAnsi" w:hAnsiTheme="minorHAnsi"/>
        </w:rPr>
        <w:t>Slovenij</w:t>
      </w:r>
      <w:r w:rsidR="00461DF7" w:rsidRPr="00D050E9">
        <w:rPr>
          <w:rFonts w:asciiTheme="minorHAnsi" w:hAnsiTheme="minorHAnsi"/>
        </w:rPr>
        <w:t>e</w:t>
      </w:r>
      <w:r w:rsidRPr="00D050E9">
        <w:rPr>
          <w:rFonts w:asciiTheme="minorHAnsi" w:hAnsiTheme="minorHAnsi"/>
        </w:rPr>
        <w:t xml:space="preserve"> (207 EUR na prebivalca). Nadpovprečno višino pomoči na prebivalca je prejela še Osrednjeslovenska regija s 296 EUR pomoči na prebivalca in Savinjska regija 235 EUR na prebivalca v letu 2017. </w:t>
      </w:r>
      <w:r w:rsidR="0014793B" w:rsidRPr="00D050E9">
        <w:rPr>
          <w:rFonts w:asciiTheme="minorHAnsi" w:hAnsiTheme="minorHAnsi"/>
        </w:rPr>
        <w:t xml:space="preserve">Najvišjo pomoč na prebivalca je po podatkih za obdobje </w:t>
      </w:r>
      <w:r w:rsidR="00834E44" w:rsidRPr="00D050E9">
        <w:rPr>
          <w:rFonts w:asciiTheme="minorHAnsi" w:hAnsiTheme="minorHAnsi"/>
        </w:rPr>
        <w:t>2015</w:t>
      </w:r>
      <w:r w:rsidR="0014793B" w:rsidRPr="00D050E9">
        <w:rPr>
          <w:rFonts w:asciiTheme="minorHAnsi" w:hAnsiTheme="minorHAnsi"/>
        </w:rPr>
        <w:t>–</w:t>
      </w:r>
      <w:r w:rsidR="00834E44" w:rsidRPr="00D050E9">
        <w:rPr>
          <w:rFonts w:asciiTheme="minorHAnsi" w:hAnsiTheme="minorHAnsi"/>
        </w:rPr>
        <w:t xml:space="preserve">2017 </w:t>
      </w:r>
      <w:r w:rsidR="0014793B" w:rsidRPr="00D050E9">
        <w:rPr>
          <w:rFonts w:asciiTheme="minorHAnsi" w:hAnsiTheme="minorHAnsi"/>
        </w:rPr>
        <w:t xml:space="preserve">prejela </w:t>
      </w:r>
      <w:r w:rsidR="00834E44" w:rsidRPr="00D050E9">
        <w:rPr>
          <w:rFonts w:asciiTheme="minorHAnsi" w:hAnsiTheme="minorHAnsi"/>
        </w:rPr>
        <w:t>Obalno-kraška regija</w:t>
      </w:r>
      <w:r w:rsidR="0052290A">
        <w:rPr>
          <w:rFonts w:asciiTheme="minorHAnsi" w:hAnsiTheme="minorHAnsi"/>
        </w:rPr>
        <w:t>.</w:t>
      </w:r>
    </w:p>
    <w:p w:rsidR="00911578" w:rsidRPr="00D050E9" w:rsidRDefault="00911578" w:rsidP="00963B3E">
      <w:pPr>
        <w:pStyle w:val="ListParagraph"/>
        <w:spacing w:after="0" w:line="276" w:lineRule="auto"/>
        <w:ind w:left="0"/>
        <w:rPr>
          <w:rFonts w:asciiTheme="minorHAnsi" w:hAnsiTheme="minorHAnsi"/>
        </w:rPr>
      </w:pPr>
    </w:p>
    <w:p w:rsidR="007E6FA8" w:rsidRPr="00D050E9" w:rsidRDefault="00191F44" w:rsidP="00191F44">
      <w:pPr>
        <w:pStyle w:val="Caption"/>
        <w:rPr>
          <w:color w:val="auto"/>
        </w:rPr>
      </w:pPr>
      <w:bookmarkStart w:id="63" w:name="_Toc530654644"/>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29</w:t>
      </w:r>
      <w:r w:rsidRPr="00D050E9">
        <w:rPr>
          <w:color w:val="auto"/>
        </w:rPr>
        <w:fldChar w:fldCharType="end"/>
      </w:r>
      <w:r w:rsidR="007E6FA8" w:rsidRPr="00D050E9">
        <w:rPr>
          <w:color w:val="auto"/>
        </w:rPr>
        <w:t>: Državne pomoči na prebivalca statistične regije, povprečje 2015–2017</w:t>
      </w:r>
      <w:bookmarkEnd w:id="63"/>
    </w:p>
    <w:p w:rsidR="00911578" w:rsidRPr="00D050E9" w:rsidRDefault="00E72379" w:rsidP="00C729B3">
      <w:pPr>
        <w:pStyle w:val="ListParagraph"/>
        <w:spacing w:line="276" w:lineRule="auto"/>
        <w:ind w:left="0"/>
        <w:rPr>
          <w:rFonts w:asciiTheme="minorHAnsi" w:hAnsiTheme="minorHAnsi"/>
        </w:rPr>
      </w:pPr>
      <w:r w:rsidRPr="00D050E9">
        <w:rPr>
          <w:noProof/>
          <w:lang w:eastAsia="sl-SI"/>
        </w:rPr>
        <w:drawing>
          <wp:anchor distT="0" distB="0" distL="114300" distR="114300" simplePos="0" relativeHeight="251658240" behindDoc="0" locked="0" layoutInCell="1" allowOverlap="1" wp14:anchorId="05F01512" wp14:editId="66651780">
            <wp:simplePos x="0" y="0"/>
            <wp:positionH relativeFrom="column">
              <wp:posOffset>38100</wp:posOffset>
            </wp:positionH>
            <wp:positionV relativeFrom="paragraph">
              <wp:posOffset>135255</wp:posOffset>
            </wp:positionV>
            <wp:extent cx="4975860" cy="2743200"/>
            <wp:effectExtent l="0" t="0" r="0" b="0"/>
            <wp:wrapSquare wrapText="bothSides"/>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7E6FA8" w:rsidRPr="00D050E9" w:rsidRDefault="007E6FA8" w:rsidP="00C729B3">
      <w:pPr>
        <w:pStyle w:val="ListParagraph"/>
        <w:spacing w:line="276" w:lineRule="auto"/>
        <w:ind w:left="0"/>
        <w:rPr>
          <w:rFonts w:asciiTheme="minorHAnsi" w:hAnsiTheme="minorHAnsi"/>
        </w:rPr>
      </w:pPr>
    </w:p>
    <w:p w:rsidR="00790392" w:rsidRPr="00D050E9" w:rsidRDefault="0094000C" w:rsidP="00E72379">
      <w:pPr>
        <w:pStyle w:val="Heading2"/>
        <w:ind w:left="0" w:firstLine="0"/>
      </w:pPr>
      <w:r w:rsidRPr="00D050E9">
        <w:rPr>
          <w:noProof/>
          <w:lang w:eastAsia="sl-SI"/>
        </w:rPr>
        <w:br w:type="page"/>
      </w:r>
      <w:bookmarkStart w:id="64" w:name="_Toc528594652"/>
      <w:bookmarkStart w:id="65" w:name="_Toc530654547"/>
      <w:r w:rsidR="00E72379" w:rsidRPr="00D050E9">
        <w:rPr>
          <w:noProof/>
          <w:lang w:eastAsia="sl-SI"/>
        </w:rPr>
        <w:lastRenderedPageBreak/>
        <w:t>3</w:t>
      </w:r>
      <w:r w:rsidR="00790392" w:rsidRPr="00D050E9">
        <w:t>.2 DRŽAVNE POMOČI PO KOHEZIJSKIH REGIJAH</w:t>
      </w:r>
      <w:bookmarkEnd w:id="64"/>
      <w:bookmarkEnd w:id="65"/>
    </w:p>
    <w:p w:rsidR="00E72379" w:rsidRPr="00D050E9" w:rsidRDefault="00E72379" w:rsidP="00E72379">
      <w:pPr>
        <w:spacing w:after="0" w:line="276" w:lineRule="auto"/>
        <w:rPr>
          <w:rFonts w:asciiTheme="minorHAnsi" w:hAnsiTheme="minorHAnsi"/>
        </w:rPr>
      </w:pPr>
    </w:p>
    <w:p w:rsidR="003B1593" w:rsidRPr="00D050E9" w:rsidRDefault="00FC6691" w:rsidP="00B4077A">
      <w:pPr>
        <w:spacing w:line="276" w:lineRule="auto"/>
        <w:rPr>
          <w:rFonts w:asciiTheme="minorHAnsi" w:hAnsiTheme="minorHAnsi"/>
        </w:rPr>
      </w:pPr>
      <w:r w:rsidRPr="00D050E9">
        <w:rPr>
          <w:rFonts w:asciiTheme="minorHAnsi" w:hAnsiTheme="minorHAnsi"/>
        </w:rPr>
        <w:t xml:space="preserve">Porazdelitev </w:t>
      </w:r>
      <w:r w:rsidR="000E57C5" w:rsidRPr="00D050E9">
        <w:rPr>
          <w:rFonts w:asciiTheme="minorHAnsi" w:hAnsiTheme="minorHAnsi"/>
        </w:rPr>
        <w:t xml:space="preserve">državnih pomoči po kohezijskih regijah kaže, da je bilo </w:t>
      </w:r>
      <w:r w:rsidR="003B1593" w:rsidRPr="00D050E9">
        <w:rPr>
          <w:rFonts w:asciiTheme="minorHAnsi" w:hAnsiTheme="minorHAnsi"/>
        </w:rPr>
        <w:t xml:space="preserve">v zadnjih dveh letih, 2016 in 2017 nekaj </w:t>
      </w:r>
      <w:r w:rsidR="000E57C5" w:rsidRPr="00D050E9">
        <w:rPr>
          <w:rFonts w:asciiTheme="minorHAnsi" w:hAnsiTheme="minorHAnsi"/>
        </w:rPr>
        <w:t>več</w:t>
      </w:r>
      <w:r w:rsidR="00326C51" w:rsidRPr="00D050E9">
        <w:rPr>
          <w:rFonts w:asciiTheme="minorHAnsi" w:hAnsiTheme="minorHAnsi"/>
        </w:rPr>
        <w:t xml:space="preserve"> državnih pomoči izplačanih subjektom, ki imajo sedež v </w:t>
      </w:r>
      <w:r w:rsidR="00326C51" w:rsidRPr="00D050E9">
        <w:rPr>
          <w:rFonts w:asciiTheme="minorHAnsi" w:hAnsiTheme="minorHAnsi"/>
          <w:i/>
        </w:rPr>
        <w:t>Vzhodni kohezijski regiji</w:t>
      </w:r>
      <w:r w:rsidR="00326C51" w:rsidRPr="00D050E9">
        <w:rPr>
          <w:rStyle w:val="FootnoteReference"/>
          <w:rFonts w:asciiTheme="minorHAnsi" w:hAnsiTheme="minorHAnsi"/>
        </w:rPr>
        <w:footnoteReference w:id="11"/>
      </w:r>
      <w:r w:rsidR="00326C51" w:rsidRPr="00D050E9">
        <w:rPr>
          <w:rFonts w:asciiTheme="minorHAnsi" w:hAnsiTheme="minorHAnsi"/>
        </w:rPr>
        <w:t xml:space="preserve">. </w:t>
      </w:r>
      <w:r w:rsidR="003B1593" w:rsidRPr="00D050E9">
        <w:rPr>
          <w:rFonts w:asciiTheme="minorHAnsi" w:hAnsiTheme="minorHAnsi"/>
        </w:rPr>
        <w:t xml:space="preserve">V </w:t>
      </w:r>
      <w:r w:rsidR="00326C51" w:rsidRPr="00D050E9">
        <w:rPr>
          <w:rFonts w:asciiTheme="minorHAnsi" w:hAnsiTheme="minorHAnsi"/>
        </w:rPr>
        <w:t xml:space="preserve">tej regiji je bilo v letu 2017 izplačanih </w:t>
      </w:r>
      <w:r w:rsidR="0094000C" w:rsidRPr="00D050E9">
        <w:rPr>
          <w:rFonts w:asciiTheme="minorHAnsi" w:hAnsiTheme="minorHAnsi"/>
        </w:rPr>
        <w:t>219 mio EUR državnih pomoči</w:t>
      </w:r>
      <w:r w:rsidR="00B4077A" w:rsidRPr="00D050E9">
        <w:rPr>
          <w:rFonts w:asciiTheme="minorHAnsi" w:hAnsiTheme="minorHAnsi"/>
        </w:rPr>
        <w:t xml:space="preserve"> (+30 mio EUR), kar je </w:t>
      </w:r>
      <w:r w:rsidR="003B1593" w:rsidRPr="00D050E9">
        <w:rPr>
          <w:rFonts w:asciiTheme="minorHAnsi" w:hAnsiTheme="minorHAnsi"/>
        </w:rPr>
        <w:t xml:space="preserve">51 % vseh državnih pomoči (53 % v letu 2016). </w:t>
      </w:r>
    </w:p>
    <w:p w:rsidR="003B1593" w:rsidRPr="00D050E9" w:rsidRDefault="003B1593" w:rsidP="00B4077A">
      <w:pPr>
        <w:spacing w:line="276" w:lineRule="auto"/>
        <w:rPr>
          <w:rFonts w:asciiTheme="minorHAnsi" w:hAnsiTheme="minorHAnsi"/>
        </w:rPr>
      </w:pPr>
      <w:r w:rsidRPr="00D050E9">
        <w:rPr>
          <w:rFonts w:asciiTheme="minorHAnsi" w:hAnsiTheme="minorHAnsi"/>
        </w:rPr>
        <w:t xml:space="preserve">V </w:t>
      </w:r>
      <w:r w:rsidRPr="00D050E9">
        <w:rPr>
          <w:rFonts w:asciiTheme="minorHAnsi" w:hAnsiTheme="minorHAnsi"/>
          <w:i/>
        </w:rPr>
        <w:t>Zahodni kohezijski regiji</w:t>
      </w:r>
      <w:r w:rsidRPr="00D050E9">
        <w:rPr>
          <w:rFonts w:asciiTheme="minorHAnsi" w:hAnsiTheme="minorHAnsi"/>
        </w:rPr>
        <w:t xml:space="preserve"> je bilo v lanskem letu izplačanih 208 mio EUR </w:t>
      </w:r>
      <w:r w:rsidR="00B4077A" w:rsidRPr="00D050E9">
        <w:rPr>
          <w:rFonts w:asciiTheme="minorHAnsi" w:hAnsiTheme="minorHAnsi"/>
        </w:rPr>
        <w:t xml:space="preserve">(+22 mio EUR) </w:t>
      </w:r>
      <w:r w:rsidRPr="00D050E9">
        <w:rPr>
          <w:rFonts w:asciiTheme="minorHAnsi" w:hAnsiTheme="minorHAnsi"/>
        </w:rPr>
        <w:t>ali 49 % vseh pomoči</w:t>
      </w:r>
      <w:r w:rsidR="00B4077A" w:rsidRPr="00D050E9">
        <w:rPr>
          <w:rFonts w:asciiTheme="minorHAnsi" w:hAnsiTheme="minorHAnsi"/>
        </w:rPr>
        <w:t xml:space="preserve"> v letu 2017</w:t>
      </w:r>
      <w:r w:rsidRPr="00D050E9">
        <w:rPr>
          <w:rFonts w:asciiTheme="minorHAnsi" w:hAnsiTheme="minorHAnsi"/>
        </w:rPr>
        <w:t xml:space="preserve"> (47 % v letu 2016). </w:t>
      </w:r>
    </w:p>
    <w:p w:rsidR="00DA2841" w:rsidRPr="00D050E9" w:rsidRDefault="00F815FA" w:rsidP="00D5439A">
      <w:pPr>
        <w:spacing w:line="276" w:lineRule="auto"/>
        <w:jc w:val="left"/>
        <w:rPr>
          <w:rFonts w:asciiTheme="minorHAnsi" w:hAnsiTheme="minorHAnsi"/>
        </w:rPr>
      </w:pPr>
      <w:r w:rsidRPr="00D050E9">
        <w:rPr>
          <w:rFonts w:asciiTheme="minorHAnsi" w:hAnsiTheme="minorHAnsi"/>
        </w:rPr>
        <w:t>Slika: Porazdelitev državnih pomoči po kohezijskih regijah v letu 2017</w:t>
      </w:r>
    </w:p>
    <w:p w:rsidR="00F815FA" w:rsidRPr="00D050E9" w:rsidRDefault="005D7433" w:rsidP="00191F44">
      <w:pPr>
        <w:tabs>
          <w:tab w:val="left" w:pos="8052"/>
        </w:tabs>
        <w:spacing w:line="276" w:lineRule="auto"/>
        <w:jc w:val="left"/>
        <w:rPr>
          <w:rFonts w:asciiTheme="minorHAnsi" w:hAnsiTheme="minorHAnsi"/>
        </w:rPr>
      </w:pPr>
      <w:r w:rsidRPr="00D050E9">
        <w:rPr>
          <w:rFonts w:asciiTheme="minorHAnsi" w:hAnsiTheme="minorHAnsi"/>
          <w:noProof/>
          <w:lang w:eastAsia="sl-SI"/>
        </w:rPr>
        <mc:AlternateContent>
          <mc:Choice Requires="wps">
            <w:drawing>
              <wp:anchor distT="0" distB="0" distL="114300" distR="114300" simplePos="0" relativeHeight="251661312" behindDoc="0" locked="0" layoutInCell="1" allowOverlap="1" wp14:anchorId="4F4370AC" wp14:editId="69464D40">
                <wp:simplePos x="0" y="0"/>
                <wp:positionH relativeFrom="column">
                  <wp:posOffset>3778885</wp:posOffset>
                </wp:positionH>
                <wp:positionV relativeFrom="paragraph">
                  <wp:posOffset>1439545</wp:posOffset>
                </wp:positionV>
                <wp:extent cx="1722120" cy="525780"/>
                <wp:effectExtent l="0" t="0" r="11430" b="26670"/>
                <wp:wrapNone/>
                <wp:docPr id="72" name="Rectangle 72"/>
                <wp:cNvGraphicFramePr/>
                <a:graphic xmlns:a="http://schemas.openxmlformats.org/drawingml/2006/main">
                  <a:graphicData uri="http://schemas.microsoft.com/office/word/2010/wordprocessingShape">
                    <wps:wsp>
                      <wps:cNvSpPr/>
                      <wps:spPr>
                        <a:xfrm>
                          <a:off x="0" y="0"/>
                          <a:ext cx="1722120" cy="52578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204" w:rsidRPr="005D7433" w:rsidRDefault="00745204" w:rsidP="005D7433">
                            <w:pPr>
                              <w:spacing w:after="0"/>
                              <w:jc w:val="center"/>
                              <w:rPr>
                                <w:rFonts w:asciiTheme="minorHAnsi" w:hAnsiTheme="minorHAnsi"/>
                                <w:color w:val="FFFFFF" w:themeColor="background1"/>
                              </w:rPr>
                            </w:pPr>
                            <w:r w:rsidRPr="005D7433">
                              <w:rPr>
                                <w:rFonts w:asciiTheme="minorHAnsi" w:hAnsiTheme="minorHAnsi"/>
                                <w:color w:val="002060"/>
                              </w:rPr>
                              <w:t>Vzhodna Slovenija</w:t>
                            </w:r>
                          </w:p>
                          <w:p w:rsidR="00745204" w:rsidRPr="005D7433" w:rsidRDefault="00745204" w:rsidP="005D7433">
                            <w:pPr>
                              <w:spacing w:after="0"/>
                              <w:jc w:val="center"/>
                              <w:rPr>
                                <w:rFonts w:asciiTheme="minorHAnsi" w:hAnsiTheme="minorHAnsi"/>
                                <w:color w:val="FFFFFF" w:themeColor="background1"/>
                              </w:rPr>
                            </w:pPr>
                            <w:r w:rsidRPr="005D7433">
                              <w:rPr>
                                <w:rFonts w:asciiTheme="minorHAnsi" w:hAnsiTheme="minorHAnsi"/>
                                <w:color w:val="002060"/>
                              </w:rPr>
                              <w:t>219,34 mio EUR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4" style="position:absolute;margin-left:297.55pt;margin-top:113.35pt;width:135.6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" fillcolor="#92d050" strokecolor="#243f60 [1604]" strokeweight="2pt">
                <v:textbox>
                  <w:txbxContent>
                    <w:p w:rsidR="00745204" w:rsidRPr="005D7433" w:rsidRDefault="00745204" w:rsidP="005D7433">
                      <w:pPr>
                        <w:spacing w:after="0"/>
                        <w:jc w:val="center"/>
                        <w:rPr>
                          <w:rFonts w:asciiTheme="minorHAnsi" w:hAnsiTheme="minorHAnsi"/>
                          <w:color w:val="FFFFFF" w:themeColor="background1"/>
                        </w:rPr>
                      </w:pPr>
                      <w:r w:rsidRPr="005D7433">
                        <w:rPr>
                          <w:rFonts w:asciiTheme="minorHAnsi" w:hAnsiTheme="minorHAnsi"/>
                          <w:color w:val="002060"/>
                        </w:rPr>
                        <w:t>Vzhodna Slovenija</w:t>
                      </w:r>
                    </w:p>
                    <w:p w:rsidR="00745204" w:rsidRPr="005D7433" w:rsidRDefault="00745204" w:rsidP="005D7433">
                      <w:pPr>
                        <w:spacing w:after="0"/>
                        <w:jc w:val="center"/>
                        <w:rPr>
                          <w:rFonts w:asciiTheme="minorHAnsi" w:hAnsiTheme="minorHAnsi"/>
                          <w:color w:val="FFFFFF" w:themeColor="background1"/>
                        </w:rPr>
                      </w:pPr>
                      <w:r w:rsidRPr="005D7433">
                        <w:rPr>
                          <w:rFonts w:asciiTheme="minorHAnsi" w:hAnsiTheme="minorHAnsi"/>
                          <w:color w:val="002060"/>
                        </w:rPr>
                        <w:t>219,34 mio EUR (51%)</w:t>
                      </w:r>
                    </w:p>
                  </w:txbxContent>
                </v:textbox>
              </v:rect>
            </w:pict>
          </mc:Fallback>
        </mc:AlternateContent>
      </w:r>
      <w:r w:rsidR="00F815FA" w:rsidRPr="00D050E9">
        <w:rPr>
          <w:rFonts w:asciiTheme="minorHAnsi" w:hAnsiTheme="minorHAnsi"/>
          <w:noProof/>
          <w:lang w:eastAsia="sl-SI"/>
        </w:rPr>
        <mc:AlternateContent>
          <mc:Choice Requires="wps">
            <w:drawing>
              <wp:anchor distT="0" distB="0" distL="114300" distR="114300" simplePos="0" relativeHeight="251659264" behindDoc="0" locked="0" layoutInCell="1" allowOverlap="1" wp14:anchorId="490E7720" wp14:editId="4AFCEF86">
                <wp:simplePos x="0" y="0"/>
                <wp:positionH relativeFrom="column">
                  <wp:posOffset>197485</wp:posOffset>
                </wp:positionH>
                <wp:positionV relativeFrom="paragraph">
                  <wp:posOffset>151765</wp:posOffset>
                </wp:positionV>
                <wp:extent cx="1775460" cy="495300"/>
                <wp:effectExtent l="0" t="0" r="15240" b="19050"/>
                <wp:wrapNone/>
                <wp:docPr id="71" name="Rectangle 71"/>
                <wp:cNvGraphicFramePr/>
                <a:graphic xmlns:a="http://schemas.openxmlformats.org/drawingml/2006/main">
                  <a:graphicData uri="http://schemas.microsoft.com/office/word/2010/wordprocessingShape">
                    <wps:wsp>
                      <wps:cNvSpPr/>
                      <wps:spPr>
                        <a:xfrm>
                          <a:off x="0" y="0"/>
                          <a:ext cx="1775460" cy="495300"/>
                        </a:xfrm>
                        <a:prstGeom prst="rect">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204" w:rsidRDefault="00745204" w:rsidP="00F815FA">
                            <w:pPr>
                              <w:spacing w:after="0"/>
                              <w:jc w:val="center"/>
                              <w:rPr>
                                <w:rFonts w:asciiTheme="minorHAnsi" w:hAnsiTheme="minorHAnsi"/>
                                <w:color w:val="002060"/>
                              </w:rPr>
                            </w:pPr>
                            <w:r w:rsidRPr="00F815FA">
                              <w:rPr>
                                <w:rFonts w:asciiTheme="minorHAnsi" w:hAnsiTheme="minorHAnsi"/>
                                <w:color w:val="002060"/>
                              </w:rPr>
                              <w:t>Zahodna Slovenija</w:t>
                            </w:r>
                          </w:p>
                          <w:p w:rsidR="00745204" w:rsidRPr="00F815FA" w:rsidRDefault="00745204" w:rsidP="00F815FA">
                            <w:pPr>
                              <w:spacing w:after="0"/>
                              <w:jc w:val="center"/>
                              <w:rPr>
                                <w:rFonts w:asciiTheme="minorHAnsi" w:hAnsiTheme="minorHAnsi"/>
                                <w:color w:val="002060"/>
                              </w:rPr>
                            </w:pPr>
                            <w:r w:rsidRPr="00F815FA">
                              <w:rPr>
                                <w:rFonts w:asciiTheme="minorHAnsi" w:hAnsiTheme="minorHAnsi"/>
                                <w:color w:val="002060"/>
                              </w:rPr>
                              <w:t>207,82 mio EUR (49%)</w:t>
                            </w:r>
                          </w:p>
                          <w:p w:rsidR="00745204" w:rsidRPr="00F815FA" w:rsidRDefault="00745204" w:rsidP="00F815FA">
                            <w:pPr>
                              <w:jc w:val="center"/>
                              <w:rPr>
                                <w:rFonts w:asciiTheme="minorHAnsi" w:hAnsiTheme="minorHAnsi"/>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 o:spid="_x0000_s1045" style="position:absolute;margin-left:15.55pt;margin-top:11.95pt;width:139.8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" fillcolor="#c4bc96 [2414]" strokecolor="white [3212]" strokeweight="2pt">
                <v:textbox>
                  <w:txbxContent>
                    <w:p w:rsidR="00745204" w:rsidRDefault="00745204" w:rsidP="00F815FA">
                      <w:pPr>
                        <w:spacing w:after="0"/>
                        <w:jc w:val="center"/>
                        <w:rPr>
                          <w:rFonts w:asciiTheme="minorHAnsi" w:hAnsiTheme="minorHAnsi"/>
                          <w:color w:val="002060"/>
                        </w:rPr>
                      </w:pPr>
                      <w:r w:rsidRPr="00F815FA">
                        <w:rPr>
                          <w:rFonts w:asciiTheme="minorHAnsi" w:hAnsiTheme="minorHAnsi"/>
                          <w:color w:val="002060"/>
                        </w:rPr>
                        <w:t>Zahodna Slovenija</w:t>
                      </w:r>
                    </w:p>
                    <w:p w:rsidR="00745204" w:rsidRPr="00F815FA" w:rsidRDefault="00745204" w:rsidP="00F815FA">
                      <w:pPr>
                        <w:spacing w:after="0"/>
                        <w:jc w:val="center"/>
                        <w:rPr>
                          <w:rFonts w:asciiTheme="minorHAnsi" w:hAnsiTheme="minorHAnsi"/>
                          <w:color w:val="002060"/>
                        </w:rPr>
                      </w:pPr>
                      <w:r w:rsidRPr="00F815FA">
                        <w:rPr>
                          <w:rFonts w:asciiTheme="minorHAnsi" w:hAnsiTheme="minorHAnsi"/>
                          <w:color w:val="002060"/>
                        </w:rPr>
                        <w:t>207,82 mio EUR (49%)</w:t>
                      </w:r>
                    </w:p>
                    <w:p w:rsidR="00745204" w:rsidRPr="00F815FA" w:rsidRDefault="00745204" w:rsidP="00F815FA">
                      <w:pPr>
                        <w:jc w:val="center"/>
                        <w:rPr>
                          <w:rFonts w:asciiTheme="minorHAnsi" w:hAnsiTheme="minorHAnsi"/>
                          <w:color w:val="002060"/>
                        </w:rPr>
                      </w:pPr>
                    </w:p>
                  </w:txbxContent>
                </v:textbox>
              </v:rect>
            </w:pict>
          </mc:Fallback>
        </mc:AlternateContent>
      </w:r>
      <w:r w:rsidR="00F815FA" w:rsidRPr="00D050E9">
        <w:rPr>
          <w:rFonts w:asciiTheme="minorHAnsi" w:hAnsiTheme="minorHAnsi"/>
          <w:noProof/>
          <w:lang w:eastAsia="sl-SI"/>
        </w:rPr>
        <w:drawing>
          <wp:inline distT="0" distB="0" distL="0" distR="0" wp14:anchorId="647DCCE8" wp14:editId="492AC955">
            <wp:extent cx="4342508" cy="2910840"/>
            <wp:effectExtent l="0" t="0" r="1270" b="3810"/>
            <wp:docPr id="58" name="Picture 58" descr="C:\Users\mf51045\Desktop\o_regije-kohezijske-slovenija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51045\Desktop\o_regije-kohezijske-slovenija_102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56140" cy="2919977"/>
                    </a:xfrm>
                    <a:prstGeom prst="rect">
                      <a:avLst/>
                    </a:prstGeom>
                    <a:noFill/>
                    <a:ln>
                      <a:noFill/>
                    </a:ln>
                  </pic:spPr>
                </pic:pic>
              </a:graphicData>
            </a:graphic>
          </wp:inline>
        </w:drawing>
      </w:r>
      <w:r w:rsidR="00191F44" w:rsidRPr="00D050E9">
        <w:rPr>
          <w:rFonts w:asciiTheme="minorHAnsi" w:hAnsiTheme="minorHAnsi"/>
        </w:rPr>
        <w:tab/>
      </w:r>
    </w:p>
    <w:p w:rsidR="00F815FA" w:rsidRPr="00D050E9" w:rsidRDefault="00191F44" w:rsidP="00191F44">
      <w:pPr>
        <w:pStyle w:val="Caption"/>
        <w:rPr>
          <w:color w:val="auto"/>
        </w:rPr>
      </w:pPr>
      <w:bookmarkStart w:id="66" w:name="_Toc530654592"/>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8</w:t>
      </w:r>
      <w:r w:rsidRPr="00D050E9">
        <w:rPr>
          <w:color w:val="auto"/>
        </w:rPr>
        <w:fldChar w:fldCharType="end"/>
      </w:r>
      <w:r w:rsidRPr="00D050E9">
        <w:rPr>
          <w:color w:val="auto"/>
        </w:rPr>
        <w:t xml:space="preserve">: </w:t>
      </w:r>
      <w:r w:rsidR="00F815FA" w:rsidRPr="00D050E9">
        <w:rPr>
          <w:color w:val="auto"/>
        </w:rPr>
        <w:t>Državne pomoči po kohezijskih regijah, 2015–2017</w:t>
      </w:r>
      <w:bookmarkEnd w:id="66"/>
    </w:p>
    <w:p w:rsidR="00191F44" w:rsidRPr="00D050E9" w:rsidRDefault="00191F44" w:rsidP="00191F44">
      <w:pPr>
        <w:spacing w:after="0"/>
        <w:rPr>
          <w:lang w:bidi="hi-IN"/>
        </w:rPr>
      </w:pPr>
    </w:p>
    <w:tbl>
      <w:tblPr>
        <w:tblStyle w:val="LightGrid-Accent5"/>
        <w:tblW w:w="5000" w:type="pct"/>
        <w:tblLook w:val="04A0" w:firstRow="1" w:lastRow="0" w:firstColumn="1" w:lastColumn="0" w:noHBand="0" w:noVBand="1"/>
      </w:tblPr>
      <w:tblGrid>
        <w:gridCol w:w="2285"/>
        <w:gridCol w:w="1033"/>
        <w:gridCol w:w="1032"/>
        <w:gridCol w:w="1058"/>
        <w:gridCol w:w="872"/>
        <w:gridCol w:w="1107"/>
        <w:gridCol w:w="902"/>
        <w:gridCol w:w="1111"/>
      </w:tblGrid>
      <w:tr w:rsidR="00F815FA" w:rsidRPr="00D050E9" w:rsidTr="00F815F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15" w:type="pct"/>
            <w:vMerge w:val="restart"/>
            <w:hideMark/>
          </w:tcPr>
          <w:p w:rsidR="00F815FA" w:rsidRPr="00D050E9" w:rsidRDefault="00F815FA" w:rsidP="00F815FA">
            <w:pPr>
              <w:jc w:val="center"/>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xml:space="preserve">Kohezijska regija </w:t>
            </w:r>
          </w:p>
        </w:tc>
        <w:tc>
          <w:tcPr>
            <w:tcW w:w="549" w:type="pct"/>
            <w:vMerge w:val="restart"/>
            <w:noWrap/>
            <w:hideMark/>
          </w:tcPr>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2015</w:t>
            </w:r>
          </w:p>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 mio EUR</w:t>
            </w:r>
          </w:p>
        </w:tc>
        <w:tc>
          <w:tcPr>
            <w:tcW w:w="549" w:type="pct"/>
            <w:vMerge w:val="restart"/>
            <w:noWrap/>
            <w:hideMark/>
          </w:tcPr>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2016</w:t>
            </w:r>
          </w:p>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 mio EUR</w:t>
            </w:r>
          </w:p>
        </w:tc>
        <w:tc>
          <w:tcPr>
            <w:tcW w:w="1027" w:type="pct"/>
            <w:gridSpan w:val="2"/>
            <w:noWrap/>
            <w:hideMark/>
          </w:tcPr>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tc>
        <w:tc>
          <w:tcPr>
            <w:tcW w:w="1069" w:type="pct"/>
            <w:gridSpan w:val="2"/>
            <w:noWrap/>
            <w:hideMark/>
          </w:tcPr>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xml:space="preserve">razlika </w:t>
            </w:r>
          </w:p>
        </w:tc>
        <w:tc>
          <w:tcPr>
            <w:tcW w:w="591" w:type="pct"/>
            <w:vMerge w:val="restart"/>
            <w:hideMark/>
          </w:tcPr>
          <w:p w:rsidR="00F815FA" w:rsidRPr="00D050E9" w:rsidRDefault="00F815FA" w:rsidP="00F815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Delež</w:t>
            </w:r>
            <w:r w:rsidRPr="00D050E9">
              <w:rPr>
                <w:rFonts w:ascii="Calibri" w:eastAsia="Times New Roman" w:hAnsi="Calibri" w:cs="Arial"/>
                <w:color w:val="000000"/>
                <w:sz w:val="19"/>
                <w:szCs w:val="19"/>
                <w:lang w:eastAsia="sl-SI"/>
              </w:rPr>
              <w:br/>
              <w:t>2015-2017</w:t>
            </w:r>
          </w:p>
        </w:tc>
      </w:tr>
      <w:tr w:rsidR="00F815FA" w:rsidRPr="00D050E9" w:rsidTr="00F815F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215" w:type="pct"/>
            <w:vMerge/>
            <w:hideMark/>
          </w:tcPr>
          <w:p w:rsidR="00F815FA" w:rsidRPr="00D050E9" w:rsidRDefault="00F815FA" w:rsidP="00F815FA">
            <w:pPr>
              <w:jc w:val="left"/>
              <w:rPr>
                <w:rFonts w:ascii="Calibri" w:eastAsia="Times New Roman" w:hAnsi="Calibri" w:cs="Arial"/>
                <w:color w:val="000000"/>
                <w:sz w:val="19"/>
                <w:szCs w:val="19"/>
                <w:lang w:eastAsia="sl-SI"/>
              </w:rPr>
            </w:pPr>
          </w:p>
        </w:tc>
        <w:tc>
          <w:tcPr>
            <w:tcW w:w="549" w:type="pct"/>
            <w:vMerge/>
            <w:hideMark/>
          </w:tcPr>
          <w:p w:rsidR="00F815FA" w:rsidRPr="00D050E9" w:rsidRDefault="00F815FA" w:rsidP="00F815F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p>
        </w:tc>
        <w:tc>
          <w:tcPr>
            <w:tcW w:w="549" w:type="pct"/>
            <w:vMerge/>
            <w:hideMark/>
          </w:tcPr>
          <w:p w:rsidR="00F815FA" w:rsidRPr="00D050E9" w:rsidRDefault="00F815FA" w:rsidP="00F815F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p>
        </w:tc>
        <w:tc>
          <w:tcPr>
            <w:tcW w:w="563" w:type="pct"/>
            <w:noWrap/>
            <w:hideMark/>
          </w:tcPr>
          <w:p w:rsidR="00F815FA" w:rsidRPr="00D050E9" w:rsidRDefault="00F815FA" w:rsidP="00F815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mio EUR</w:t>
            </w:r>
          </w:p>
        </w:tc>
        <w:tc>
          <w:tcPr>
            <w:tcW w:w="464" w:type="pct"/>
            <w:hideMark/>
          </w:tcPr>
          <w:p w:rsidR="00F815FA" w:rsidRPr="00D050E9" w:rsidRDefault="00F815FA" w:rsidP="00F815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w:t>
            </w:r>
          </w:p>
        </w:tc>
        <w:tc>
          <w:tcPr>
            <w:tcW w:w="589" w:type="pct"/>
            <w:hideMark/>
          </w:tcPr>
          <w:p w:rsidR="00F815FA" w:rsidRPr="00D050E9" w:rsidRDefault="00F815FA" w:rsidP="00F815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mio EUR</w:t>
            </w:r>
          </w:p>
        </w:tc>
        <w:tc>
          <w:tcPr>
            <w:tcW w:w="480" w:type="pct"/>
            <w:hideMark/>
          </w:tcPr>
          <w:p w:rsidR="00F815FA" w:rsidRPr="00D050E9" w:rsidRDefault="00F815FA" w:rsidP="00F815F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w:t>
            </w:r>
          </w:p>
        </w:tc>
        <w:tc>
          <w:tcPr>
            <w:tcW w:w="591" w:type="pct"/>
            <w:vMerge/>
            <w:hideMark/>
          </w:tcPr>
          <w:p w:rsidR="00F815FA" w:rsidRPr="00D050E9" w:rsidRDefault="00F815FA" w:rsidP="00F815F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p>
        </w:tc>
      </w:tr>
      <w:tr w:rsidR="00F815FA" w:rsidRPr="00D050E9" w:rsidTr="00F815F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15" w:type="pct"/>
            <w:noWrap/>
            <w:hideMark/>
          </w:tcPr>
          <w:p w:rsidR="00F815FA" w:rsidRPr="00D050E9" w:rsidRDefault="00F815FA" w:rsidP="00F815FA">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Zahodna kohezijska regija</w:t>
            </w:r>
          </w:p>
        </w:tc>
        <w:tc>
          <w:tcPr>
            <w:tcW w:w="549"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343,15</w:t>
            </w:r>
          </w:p>
        </w:tc>
        <w:tc>
          <w:tcPr>
            <w:tcW w:w="549"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178,05</w:t>
            </w:r>
          </w:p>
        </w:tc>
        <w:tc>
          <w:tcPr>
            <w:tcW w:w="563"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207,82</w:t>
            </w:r>
          </w:p>
        </w:tc>
        <w:tc>
          <w:tcPr>
            <w:tcW w:w="464"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49%</w:t>
            </w:r>
          </w:p>
        </w:tc>
        <w:tc>
          <w:tcPr>
            <w:tcW w:w="589"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29,77</w:t>
            </w:r>
          </w:p>
        </w:tc>
        <w:tc>
          <w:tcPr>
            <w:tcW w:w="480"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17%</w:t>
            </w:r>
          </w:p>
        </w:tc>
        <w:tc>
          <w:tcPr>
            <w:tcW w:w="591"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54%</w:t>
            </w:r>
          </w:p>
        </w:tc>
      </w:tr>
      <w:tr w:rsidR="00F815FA" w:rsidRPr="00D050E9" w:rsidTr="00F815F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15" w:type="pct"/>
            <w:noWrap/>
            <w:hideMark/>
          </w:tcPr>
          <w:p w:rsidR="00F815FA" w:rsidRPr="00D050E9" w:rsidRDefault="00F815FA" w:rsidP="00F815FA">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Vzhodna kohezijska regija</w:t>
            </w:r>
          </w:p>
        </w:tc>
        <w:tc>
          <w:tcPr>
            <w:tcW w:w="549"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210,15</w:t>
            </w:r>
          </w:p>
        </w:tc>
        <w:tc>
          <w:tcPr>
            <w:tcW w:w="549"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196,96</w:t>
            </w:r>
          </w:p>
        </w:tc>
        <w:tc>
          <w:tcPr>
            <w:tcW w:w="563"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219,34</w:t>
            </w:r>
          </w:p>
        </w:tc>
        <w:tc>
          <w:tcPr>
            <w:tcW w:w="464"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51%</w:t>
            </w:r>
          </w:p>
        </w:tc>
        <w:tc>
          <w:tcPr>
            <w:tcW w:w="589"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22,38</w:t>
            </w:r>
          </w:p>
        </w:tc>
        <w:tc>
          <w:tcPr>
            <w:tcW w:w="480"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11%</w:t>
            </w:r>
          </w:p>
        </w:tc>
        <w:tc>
          <w:tcPr>
            <w:tcW w:w="591" w:type="pct"/>
            <w:noWrap/>
            <w:hideMark/>
          </w:tcPr>
          <w:p w:rsidR="00F815FA" w:rsidRPr="00D050E9" w:rsidRDefault="00F815FA" w:rsidP="00F815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46%</w:t>
            </w:r>
          </w:p>
        </w:tc>
      </w:tr>
      <w:tr w:rsidR="00F815FA" w:rsidRPr="00D050E9" w:rsidTr="00F815F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15" w:type="pct"/>
            <w:noWrap/>
            <w:hideMark/>
          </w:tcPr>
          <w:p w:rsidR="00F815FA" w:rsidRPr="00D050E9" w:rsidRDefault="00F815FA" w:rsidP="00F815FA">
            <w:pPr>
              <w:jc w:val="left"/>
              <w:rPr>
                <w:rFonts w:ascii="Calibri" w:eastAsia="Times New Roman" w:hAnsi="Calibri" w:cs="Arial"/>
                <w:b w:val="0"/>
                <w:i/>
                <w:color w:val="000000"/>
                <w:sz w:val="19"/>
                <w:szCs w:val="19"/>
                <w:lang w:eastAsia="sl-SI"/>
              </w:rPr>
            </w:pPr>
            <w:r w:rsidRPr="00D050E9">
              <w:rPr>
                <w:rFonts w:ascii="Calibri" w:eastAsia="Times New Roman" w:hAnsi="Calibri" w:cs="Arial"/>
                <w:b w:val="0"/>
                <w:i/>
                <w:color w:val="000000"/>
                <w:sz w:val="19"/>
                <w:szCs w:val="19"/>
                <w:lang w:eastAsia="sl-SI"/>
              </w:rPr>
              <w:t>Slovenija</w:t>
            </w:r>
          </w:p>
        </w:tc>
        <w:tc>
          <w:tcPr>
            <w:tcW w:w="549"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553,31</w:t>
            </w:r>
          </w:p>
        </w:tc>
        <w:tc>
          <w:tcPr>
            <w:tcW w:w="549"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375,01</w:t>
            </w:r>
          </w:p>
        </w:tc>
        <w:tc>
          <w:tcPr>
            <w:tcW w:w="563"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427,16</w:t>
            </w:r>
          </w:p>
        </w:tc>
        <w:tc>
          <w:tcPr>
            <w:tcW w:w="464"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100%</w:t>
            </w:r>
          </w:p>
        </w:tc>
        <w:tc>
          <w:tcPr>
            <w:tcW w:w="589"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52,15</w:t>
            </w:r>
          </w:p>
        </w:tc>
        <w:tc>
          <w:tcPr>
            <w:tcW w:w="480"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14%</w:t>
            </w:r>
          </w:p>
        </w:tc>
        <w:tc>
          <w:tcPr>
            <w:tcW w:w="591" w:type="pct"/>
            <w:noWrap/>
            <w:hideMark/>
          </w:tcPr>
          <w:p w:rsidR="00F815FA" w:rsidRPr="00D050E9" w:rsidRDefault="00F815FA" w:rsidP="00F815F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100%</w:t>
            </w:r>
          </w:p>
        </w:tc>
      </w:tr>
    </w:tbl>
    <w:p w:rsidR="00F815FA" w:rsidRPr="00D050E9" w:rsidRDefault="00F815FA" w:rsidP="00D5439A">
      <w:pPr>
        <w:spacing w:line="276" w:lineRule="auto"/>
        <w:jc w:val="left"/>
        <w:rPr>
          <w:rFonts w:asciiTheme="minorHAnsi" w:hAnsiTheme="minorHAnsi"/>
          <w:b/>
        </w:rPr>
      </w:pPr>
    </w:p>
    <w:p w:rsidR="005D7433" w:rsidRPr="00D050E9" w:rsidRDefault="005D7433" w:rsidP="005D7433">
      <w:pPr>
        <w:spacing w:line="276" w:lineRule="auto"/>
        <w:rPr>
          <w:rFonts w:asciiTheme="minorHAnsi" w:hAnsiTheme="minorHAnsi"/>
        </w:rPr>
      </w:pPr>
      <w:r w:rsidRPr="00D050E9">
        <w:rPr>
          <w:rFonts w:asciiTheme="minorHAnsi" w:hAnsiTheme="minorHAnsi"/>
        </w:rPr>
        <w:t xml:space="preserve">Do leta 2015 je bilo več pomoči izplačanih subjektom s sedežem v Zahodni kohezijski regiji. Največji delež državnih pomoči v korist Zahodne kohezijske regije je bil zabeležen prav v letu 2015, ko je dosegel 62 % vseh pomoči. Glavni razlog za to je visoka pomoč Obalno-kraški regiji za namen prestrukturiranja velikega podjetja. </w:t>
      </w:r>
    </w:p>
    <w:p w:rsidR="005F383F" w:rsidRPr="00D050E9" w:rsidRDefault="00191F44" w:rsidP="00191F44">
      <w:pPr>
        <w:pStyle w:val="Caption"/>
        <w:rPr>
          <w:color w:val="auto"/>
        </w:rPr>
      </w:pPr>
      <w:bookmarkStart w:id="67" w:name="_Toc530654645"/>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30</w:t>
      </w:r>
      <w:r w:rsidRPr="00D050E9">
        <w:rPr>
          <w:color w:val="auto"/>
        </w:rPr>
        <w:fldChar w:fldCharType="end"/>
      </w:r>
      <w:r w:rsidRPr="00D050E9">
        <w:rPr>
          <w:color w:val="auto"/>
        </w:rPr>
        <w:t xml:space="preserve">: </w:t>
      </w:r>
      <w:r w:rsidR="003B1593" w:rsidRPr="00D050E9">
        <w:rPr>
          <w:color w:val="auto"/>
        </w:rPr>
        <w:t>Porazdelitev državnih pomoči po kohezijskih regijah, 2008–2017</w:t>
      </w:r>
      <w:bookmarkEnd w:id="67"/>
    </w:p>
    <w:p w:rsidR="000E2824" w:rsidRPr="00D050E9" w:rsidRDefault="00326C51" w:rsidP="00D5439A">
      <w:pPr>
        <w:spacing w:line="276" w:lineRule="auto"/>
        <w:jc w:val="left"/>
        <w:rPr>
          <w:rFonts w:asciiTheme="minorHAnsi" w:hAnsiTheme="minorHAnsi"/>
          <w:b/>
          <w:highlight w:val="yellow"/>
        </w:rPr>
      </w:pPr>
      <w:r w:rsidRPr="00D050E9">
        <w:rPr>
          <w:noProof/>
          <w:lang w:eastAsia="sl-SI"/>
        </w:rPr>
        <w:drawing>
          <wp:inline distT="0" distB="0" distL="0" distR="0" wp14:anchorId="097A8EAF" wp14:editId="3DC08A05">
            <wp:extent cx="5577840" cy="2903220"/>
            <wp:effectExtent l="0" t="0" r="381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428EE" w:rsidRPr="00D050E9" w:rsidRDefault="00B428EE" w:rsidP="00B428EE">
      <w:pPr>
        <w:spacing w:line="276" w:lineRule="auto"/>
        <w:rPr>
          <w:rFonts w:asciiTheme="minorHAnsi" w:hAnsiTheme="minorHAnsi"/>
        </w:rPr>
      </w:pPr>
      <w:r w:rsidRPr="00D050E9">
        <w:rPr>
          <w:rFonts w:asciiTheme="minorHAnsi" w:hAnsiTheme="minorHAnsi"/>
        </w:rPr>
        <w:t xml:space="preserve">Tudi podatki o deležu državnih pomoči v BDP kažejo višji delež pomoči za </w:t>
      </w:r>
      <w:r w:rsidRPr="00D050E9">
        <w:rPr>
          <w:rFonts w:asciiTheme="minorHAnsi" w:hAnsiTheme="minorHAnsi"/>
          <w:i/>
        </w:rPr>
        <w:t>Vzhodno kohezijsko regijo</w:t>
      </w:r>
      <w:r w:rsidRPr="00D050E9">
        <w:rPr>
          <w:rFonts w:asciiTheme="minorHAnsi" w:hAnsiTheme="minorHAnsi"/>
        </w:rPr>
        <w:t xml:space="preserve">. Od leta 2012, z izjemo leta 2015, je bil delež pomoči v BDP Vzhodne kohezijske regije višji kot v Zahodni kohezijski regiji. V letu 2016, ki je zadnje leto, za katerega so na voljo podatki o regijskem BDP, so državne pomoči predstavljale 1,12 % BPD Vzhodne kohezijske regije. Državne pomoči v Zahodni kohezijski </w:t>
      </w:r>
      <w:r w:rsidR="00461DF7" w:rsidRPr="00D050E9">
        <w:rPr>
          <w:rFonts w:asciiTheme="minorHAnsi" w:hAnsiTheme="minorHAnsi"/>
        </w:rPr>
        <w:t xml:space="preserve">regiji </w:t>
      </w:r>
      <w:r w:rsidRPr="00D050E9">
        <w:rPr>
          <w:rFonts w:asciiTheme="minorHAnsi" w:hAnsiTheme="minorHAnsi"/>
        </w:rPr>
        <w:t xml:space="preserve">pa so predstavljale 0,78 % BDP te regije (Slovenija 0,93 % BDP). </w:t>
      </w:r>
    </w:p>
    <w:p w:rsidR="0021232A" w:rsidRPr="00D050E9" w:rsidRDefault="00B4077A" w:rsidP="00B428EE">
      <w:pPr>
        <w:spacing w:line="276" w:lineRule="auto"/>
        <w:rPr>
          <w:rFonts w:asciiTheme="minorHAnsi" w:hAnsiTheme="minorHAnsi"/>
        </w:rPr>
      </w:pPr>
      <w:r w:rsidRPr="00D050E9">
        <w:rPr>
          <w:rFonts w:asciiTheme="minorHAnsi" w:hAnsiTheme="minorHAnsi"/>
        </w:rPr>
        <w:t>V</w:t>
      </w:r>
      <w:r w:rsidR="0021232A" w:rsidRPr="00D050E9">
        <w:rPr>
          <w:rFonts w:asciiTheme="minorHAnsi" w:hAnsiTheme="minorHAnsi"/>
        </w:rPr>
        <w:t xml:space="preserve"> letu 2015 je delež pomoči v Zahodni kohezijski regiji presegel delež pomoči v BDP Vzhodne kohezijske regije. V tem letu je zaradi izjemno velike pomoči za prestrukturiranje podjetja v Obalno-kraški regiji dosegel 1,58 % BDP Zahodne kohezijske regije (1,23 % BDP, Slovenija 1,42 % BDP). </w:t>
      </w:r>
    </w:p>
    <w:p w:rsidR="0021232A" w:rsidRPr="00D050E9" w:rsidRDefault="00191F44" w:rsidP="00191F44">
      <w:pPr>
        <w:pStyle w:val="Caption"/>
        <w:rPr>
          <w:color w:val="auto"/>
        </w:rPr>
      </w:pPr>
      <w:bookmarkStart w:id="68" w:name="_Toc530654646"/>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31</w:t>
      </w:r>
      <w:r w:rsidRPr="00D050E9">
        <w:rPr>
          <w:color w:val="auto"/>
        </w:rPr>
        <w:fldChar w:fldCharType="end"/>
      </w:r>
      <w:r w:rsidRPr="00D050E9">
        <w:rPr>
          <w:color w:val="auto"/>
        </w:rPr>
        <w:t xml:space="preserve">: </w:t>
      </w:r>
      <w:r w:rsidR="00C73DFC" w:rsidRPr="00D050E9">
        <w:rPr>
          <w:color w:val="auto"/>
        </w:rPr>
        <w:t>Državne pomoči v primerjavi z BDP po kohezijskih regijah, 2008–2017</w:t>
      </w:r>
      <w:bookmarkEnd w:id="68"/>
    </w:p>
    <w:p w:rsidR="008B0DEC" w:rsidRPr="00D050E9" w:rsidRDefault="00B428EE" w:rsidP="00D5439A">
      <w:pPr>
        <w:spacing w:line="276" w:lineRule="auto"/>
        <w:jc w:val="left"/>
        <w:rPr>
          <w:rFonts w:asciiTheme="minorHAnsi" w:hAnsiTheme="minorHAnsi"/>
          <w:b/>
          <w:highlight w:val="yellow"/>
        </w:rPr>
      </w:pPr>
      <w:r w:rsidRPr="00D050E9">
        <w:rPr>
          <w:noProof/>
          <w:lang w:eastAsia="sl-SI"/>
        </w:rPr>
        <w:drawing>
          <wp:inline distT="0" distB="0" distL="0" distR="0" wp14:anchorId="1E7BAF5F" wp14:editId="0A0382EB">
            <wp:extent cx="5638800" cy="293370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5439A" w:rsidRPr="00D050E9" w:rsidRDefault="008F3A9C" w:rsidP="00C93FA7">
      <w:pPr>
        <w:pStyle w:val="Heading1"/>
        <w:numPr>
          <w:ilvl w:val="0"/>
          <w:numId w:val="16"/>
        </w:numPr>
      </w:pPr>
      <w:r w:rsidRPr="00D050E9">
        <w:rPr>
          <w:highlight w:val="yellow"/>
        </w:rPr>
        <w:br w:type="page"/>
      </w:r>
      <w:bookmarkStart w:id="69" w:name="_Toc530654548"/>
      <w:r w:rsidR="00D5439A" w:rsidRPr="00D050E9">
        <w:lastRenderedPageBreak/>
        <w:t>PREGLED PO POSAMEZNIH KAT</w:t>
      </w:r>
      <w:r w:rsidR="007228D8" w:rsidRPr="00D050E9">
        <w:t>EG</w:t>
      </w:r>
      <w:r w:rsidR="00D5439A" w:rsidRPr="00D050E9">
        <w:t>ORIJAH POMOČI</w:t>
      </w:r>
      <w:bookmarkEnd w:id="69"/>
    </w:p>
    <w:p w:rsidR="00E72379" w:rsidRPr="00D050E9" w:rsidRDefault="00E72379" w:rsidP="00E72379">
      <w:pPr>
        <w:spacing w:after="0"/>
      </w:pPr>
    </w:p>
    <w:p w:rsidR="00D5439A" w:rsidRPr="00D050E9" w:rsidRDefault="00D5439A" w:rsidP="00E72379">
      <w:pPr>
        <w:pStyle w:val="Heading2"/>
      </w:pPr>
      <w:bookmarkStart w:id="70" w:name="_Toc528594653"/>
      <w:bookmarkStart w:id="71" w:name="_Toc530654549"/>
      <w:r w:rsidRPr="00D050E9">
        <w:t>4.1 VARSTVO OKOLJA IN VARČEVANJE Z ENERGIJO</w:t>
      </w:r>
      <w:bookmarkEnd w:id="70"/>
      <w:bookmarkEnd w:id="71"/>
    </w:p>
    <w:p w:rsidR="00532816" w:rsidRPr="00D050E9" w:rsidRDefault="00532816" w:rsidP="00532816">
      <w:pPr>
        <w:spacing w:after="0"/>
      </w:pPr>
    </w:p>
    <w:p w:rsidR="00375A8A" w:rsidRPr="00D050E9" w:rsidRDefault="00FF1748" w:rsidP="00375A8A">
      <w:pPr>
        <w:spacing w:line="276" w:lineRule="auto"/>
        <w:rPr>
          <w:rFonts w:asciiTheme="minorHAnsi" w:hAnsiTheme="minorHAnsi"/>
        </w:rPr>
      </w:pPr>
      <w:r w:rsidRPr="00D050E9">
        <w:rPr>
          <w:rFonts w:asciiTheme="minorHAnsi" w:hAnsiTheme="minorHAnsi"/>
        </w:rPr>
        <w:t>V letu 2017 je bilo za varstvo okolja in varčevanje z energijo izplačanih 18</w:t>
      </w:r>
      <w:r w:rsidR="008B56F8" w:rsidRPr="00D050E9">
        <w:rPr>
          <w:rFonts w:asciiTheme="minorHAnsi" w:hAnsiTheme="minorHAnsi"/>
        </w:rPr>
        <w:t xml:space="preserve">2,56 mio EUR pomoči, kar je za 6 mio EUR več kot v letu 2016, predstavljale pa so </w:t>
      </w:r>
      <w:r w:rsidRPr="00D050E9">
        <w:rPr>
          <w:rFonts w:asciiTheme="minorHAnsi" w:hAnsiTheme="minorHAnsi"/>
        </w:rPr>
        <w:t>kar</w:t>
      </w:r>
      <w:r w:rsidR="008B56F8" w:rsidRPr="00D050E9">
        <w:rPr>
          <w:rFonts w:asciiTheme="minorHAnsi" w:hAnsiTheme="minorHAnsi"/>
        </w:rPr>
        <w:t xml:space="preserve"> 42,7 % vseh pomoči v Sloveniji (v povprečju 39 % 2015–2017). </w:t>
      </w:r>
      <w:r w:rsidR="00A26AE7" w:rsidRPr="00D050E9">
        <w:rPr>
          <w:rFonts w:asciiTheme="minorHAnsi" w:hAnsiTheme="minorHAnsi"/>
        </w:rPr>
        <w:t xml:space="preserve">Obseg teh pomoči se </w:t>
      </w:r>
      <w:r w:rsidR="008B56F8" w:rsidRPr="00D050E9">
        <w:rPr>
          <w:rFonts w:asciiTheme="minorHAnsi" w:hAnsiTheme="minorHAnsi"/>
        </w:rPr>
        <w:t xml:space="preserve">v </w:t>
      </w:r>
      <w:r w:rsidR="009F453B" w:rsidRPr="00D050E9">
        <w:rPr>
          <w:rFonts w:asciiTheme="minorHAnsi" w:hAnsiTheme="minorHAnsi"/>
        </w:rPr>
        <w:t>zadnjem desetletnem obdobju</w:t>
      </w:r>
      <w:r w:rsidR="008B56F8" w:rsidRPr="00D050E9">
        <w:rPr>
          <w:rFonts w:asciiTheme="minorHAnsi" w:hAnsiTheme="minorHAnsi"/>
        </w:rPr>
        <w:t xml:space="preserve"> vztrajno povečuje</w:t>
      </w:r>
      <w:r w:rsidR="009F453B" w:rsidRPr="00D050E9">
        <w:rPr>
          <w:rFonts w:asciiTheme="minorHAnsi" w:hAnsiTheme="minorHAnsi"/>
        </w:rPr>
        <w:t xml:space="preserve">. </w:t>
      </w:r>
      <w:r w:rsidR="00375A8A" w:rsidRPr="00D050E9">
        <w:rPr>
          <w:rFonts w:asciiTheme="minorHAnsi" w:hAnsiTheme="minorHAnsi"/>
        </w:rPr>
        <w:t xml:space="preserve">Velik </w:t>
      </w:r>
      <w:r w:rsidR="00A26AE7" w:rsidRPr="00D050E9">
        <w:rPr>
          <w:rFonts w:asciiTheme="minorHAnsi" w:hAnsiTheme="minorHAnsi"/>
        </w:rPr>
        <w:t xml:space="preserve">del pomoči </w:t>
      </w:r>
      <w:r w:rsidR="00375A8A" w:rsidRPr="00D050E9">
        <w:rPr>
          <w:rFonts w:asciiTheme="minorHAnsi" w:hAnsiTheme="minorHAnsi"/>
        </w:rPr>
        <w:t xml:space="preserve">je vezan na izpolnjevanje zavez Slovenije (in držav EU), za povečanje deleža energije iz obnovljivih virov energije ter večjo energetsko samooskrbo in učinkovitost. </w:t>
      </w:r>
    </w:p>
    <w:p w:rsidR="006966B1" w:rsidRPr="00D050E9" w:rsidRDefault="006966B1" w:rsidP="006966B1">
      <w:pPr>
        <w:pStyle w:val="Caption"/>
        <w:rPr>
          <w:color w:val="auto"/>
        </w:rPr>
      </w:pPr>
      <w:bookmarkStart w:id="72" w:name="_Toc530654647"/>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32</w:t>
      </w:r>
      <w:r w:rsidRPr="00D050E9">
        <w:rPr>
          <w:color w:val="auto"/>
        </w:rPr>
        <w:fldChar w:fldCharType="end"/>
      </w:r>
      <w:r w:rsidRPr="00D050E9">
        <w:rPr>
          <w:color w:val="auto"/>
        </w:rPr>
        <w:t>: Državne pomoči za varstvo okolja in varčevanje z energijo</w:t>
      </w:r>
      <w:r w:rsidR="009B301A">
        <w:rPr>
          <w:color w:val="auto"/>
        </w:rPr>
        <w:t xml:space="preserve"> </w:t>
      </w:r>
      <w:r w:rsidR="00C85348">
        <w:rPr>
          <w:color w:val="auto"/>
        </w:rPr>
        <w:t>v</w:t>
      </w:r>
      <w:r w:rsidRPr="00D050E9">
        <w:rPr>
          <w:color w:val="auto"/>
        </w:rPr>
        <w:t xml:space="preserve"> mio eur in kot % vseh pomoči</w:t>
      </w:r>
      <w:r w:rsidR="00F018AA" w:rsidRPr="00D050E9">
        <w:rPr>
          <w:color w:val="auto"/>
        </w:rPr>
        <w:t>, 2008–2017</w:t>
      </w:r>
      <w:bookmarkEnd w:id="72"/>
    </w:p>
    <w:p w:rsidR="006966B1" w:rsidRPr="00D050E9" w:rsidRDefault="006966B1" w:rsidP="006966B1">
      <w:pPr>
        <w:spacing w:after="0"/>
        <w:rPr>
          <w:lang w:bidi="hi-IN"/>
        </w:rPr>
      </w:pPr>
    </w:p>
    <w:p w:rsidR="009F453B" w:rsidRPr="00D050E9" w:rsidRDefault="00375A8A" w:rsidP="00375A8A">
      <w:pPr>
        <w:spacing w:line="276" w:lineRule="auto"/>
        <w:rPr>
          <w:rFonts w:asciiTheme="minorHAnsi" w:hAnsiTheme="minorHAnsi"/>
        </w:rPr>
      </w:pPr>
      <w:r w:rsidRPr="00D050E9">
        <w:rPr>
          <w:noProof/>
          <w:lang w:eastAsia="sl-SI"/>
        </w:rPr>
        <w:drawing>
          <wp:inline distT="0" distB="0" distL="0" distR="0" wp14:anchorId="43C215B6" wp14:editId="07C7C4A2">
            <wp:extent cx="5821680" cy="3223260"/>
            <wp:effectExtent l="0" t="0" r="762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C2D09" w:rsidRPr="00D050E9" w:rsidRDefault="009F453B" w:rsidP="007A267B">
      <w:pPr>
        <w:spacing w:line="276" w:lineRule="auto"/>
        <w:rPr>
          <w:rFonts w:asciiTheme="minorHAnsi" w:hAnsiTheme="minorHAnsi"/>
        </w:rPr>
      </w:pPr>
      <w:r w:rsidRPr="00D050E9">
        <w:rPr>
          <w:rFonts w:asciiTheme="minorHAnsi" w:hAnsiTheme="minorHAnsi"/>
        </w:rPr>
        <w:t xml:space="preserve">Najbolj </w:t>
      </w:r>
      <w:r w:rsidR="008C422D" w:rsidRPr="00D050E9">
        <w:rPr>
          <w:rFonts w:asciiTheme="minorHAnsi" w:hAnsiTheme="minorHAnsi"/>
        </w:rPr>
        <w:t xml:space="preserve">so se povečale podpore električni energiji iz </w:t>
      </w:r>
      <w:r w:rsidR="00031CFA" w:rsidRPr="00D050E9">
        <w:rPr>
          <w:rFonts w:asciiTheme="minorHAnsi" w:hAnsiTheme="minorHAnsi"/>
        </w:rPr>
        <w:t>obnovljivih virov energije</w:t>
      </w:r>
      <w:r w:rsidR="008C422D" w:rsidRPr="00D050E9">
        <w:rPr>
          <w:rFonts w:asciiTheme="minorHAnsi" w:hAnsiTheme="minorHAnsi"/>
        </w:rPr>
        <w:t xml:space="preserve"> in </w:t>
      </w:r>
      <w:r w:rsidR="00031CFA" w:rsidRPr="00D050E9">
        <w:rPr>
          <w:rFonts w:asciiTheme="minorHAnsi" w:hAnsiTheme="minorHAnsi"/>
        </w:rPr>
        <w:t>soproizovodnji z visokim izkoristkom (</w:t>
      </w:r>
      <w:r w:rsidRPr="00D050E9">
        <w:rPr>
          <w:rFonts w:asciiTheme="minorHAnsi" w:hAnsiTheme="minorHAnsi"/>
        </w:rPr>
        <w:t>OVE in SPTE</w:t>
      </w:r>
      <w:r w:rsidR="00031CFA" w:rsidRPr="00D050E9">
        <w:rPr>
          <w:rFonts w:asciiTheme="minorHAnsi" w:hAnsiTheme="minorHAnsi"/>
        </w:rPr>
        <w:t>)</w:t>
      </w:r>
      <w:r w:rsidR="00044714" w:rsidRPr="00D050E9">
        <w:rPr>
          <w:rFonts w:asciiTheme="minorHAnsi" w:hAnsiTheme="minorHAnsi"/>
        </w:rPr>
        <w:t xml:space="preserve">, izrazito so se </w:t>
      </w:r>
      <w:r w:rsidR="008C422D" w:rsidRPr="00D050E9">
        <w:rPr>
          <w:rFonts w:asciiTheme="minorHAnsi" w:hAnsiTheme="minorHAnsi"/>
        </w:rPr>
        <w:t xml:space="preserve">te pomoči </w:t>
      </w:r>
      <w:r w:rsidR="00044714" w:rsidRPr="00D050E9">
        <w:rPr>
          <w:rFonts w:asciiTheme="minorHAnsi" w:hAnsiTheme="minorHAnsi"/>
        </w:rPr>
        <w:t xml:space="preserve">povečevale </w:t>
      </w:r>
      <w:r w:rsidR="00913CEE" w:rsidRPr="00D050E9">
        <w:rPr>
          <w:rFonts w:asciiTheme="minorHAnsi" w:hAnsiTheme="minorHAnsi"/>
        </w:rPr>
        <w:t xml:space="preserve">zlasti </w:t>
      </w:r>
      <w:r w:rsidR="00044714" w:rsidRPr="00D050E9">
        <w:rPr>
          <w:rFonts w:asciiTheme="minorHAnsi" w:hAnsiTheme="minorHAnsi"/>
        </w:rPr>
        <w:t xml:space="preserve">do leta 2015. </w:t>
      </w:r>
      <w:r w:rsidR="00031CFA" w:rsidRPr="00D050E9">
        <w:rPr>
          <w:rFonts w:asciiTheme="minorHAnsi" w:hAnsiTheme="minorHAnsi"/>
        </w:rPr>
        <w:t>Stopnje povečevanja teh pomoči se po spremembi pogojev dodeljevanja (</w:t>
      </w:r>
      <w:r w:rsidR="00913CEE" w:rsidRPr="00D050E9">
        <w:rPr>
          <w:rFonts w:asciiTheme="minorHAnsi" w:hAnsiTheme="minorHAnsi"/>
        </w:rPr>
        <w:t>uvedba konkurenčnega postop</w:t>
      </w:r>
      <w:r w:rsidR="00031CFA" w:rsidRPr="00D050E9">
        <w:rPr>
          <w:rFonts w:asciiTheme="minorHAnsi" w:hAnsiTheme="minorHAnsi"/>
        </w:rPr>
        <w:t>k</w:t>
      </w:r>
      <w:r w:rsidR="00913CEE" w:rsidRPr="00D050E9">
        <w:rPr>
          <w:rFonts w:asciiTheme="minorHAnsi" w:hAnsiTheme="minorHAnsi"/>
        </w:rPr>
        <w:t>a</w:t>
      </w:r>
      <w:r w:rsidR="00031CFA" w:rsidRPr="00D050E9">
        <w:rPr>
          <w:rFonts w:asciiTheme="minorHAnsi" w:hAnsiTheme="minorHAnsi"/>
        </w:rPr>
        <w:t xml:space="preserve"> namesto avtomatične vključitve upravičencev v shemo</w:t>
      </w:r>
      <w:r w:rsidR="00913CEE" w:rsidRPr="00D050E9">
        <w:rPr>
          <w:rFonts w:asciiTheme="minorHAnsi" w:hAnsiTheme="minorHAnsi"/>
        </w:rPr>
        <w:t>, u</w:t>
      </w:r>
      <w:r w:rsidR="00031CFA" w:rsidRPr="00D050E9">
        <w:rPr>
          <w:rFonts w:asciiTheme="minorHAnsi" w:hAnsiTheme="minorHAnsi"/>
        </w:rPr>
        <w:t>vedba mehanizma plačil, ki temelji na tržni premiji namesto zagotovljenega</w:t>
      </w:r>
      <w:r w:rsidR="00044714" w:rsidRPr="00D050E9">
        <w:rPr>
          <w:rFonts w:asciiTheme="minorHAnsi" w:hAnsiTheme="minorHAnsi"/>
        </w:rPr>
        <w:t xml:space="preserve"> </w:t>
      </w:r>
      <w:r w:rsidR="00913CEE" w:rsidRPr="00D050E9">
        <w:rPr>
          <w:rFonts w:asciiTheme="minorHAnsi" w:hAnsiTheme="minorHAnsi"/>
        </w:rPr>
        <w:t>odkupa) nekoliko umirjajo</w:t>
      </w:r>
      <w:r w:rsidR="00044714" w:rsidRPr="00D050E9">
        <w:rPr>
          <w:rFonts w:asciiTheme="minorHAnsi" w:hAnsiTheme="minorHAnsi"/>
        </w:rPr>
        <w:t xml:space="preserve">. </w:t>
      </w:r>
      <w:r w:rsidR="00E06E7E" w:rsidRPr="00D050E9">
        <w:rPr>
          <w:rFonts w:asciiTheme="minorHAnsi" w:hAnsiTheme="minorHAnsi"/>
        </w:rPr>
        <w:t xml:space="preserve">Glavnina </w:t>
      </w:r>
      <w:r w:rsidR="007A267B" w:rsidRPr="00D050E9">
        <w:rPr>
          <w:rFonts w:asciiTheme="minorHAnsi" w:hAnsiTheme="minorHAnsi"/>
        </w:rPr>
        <w:t xml:space="preserve">izplačil je </w:t>
      </w:r>
      <w:r w:rsidR="00913CEE" w:rsidRPr="00D050E9">
        <w:rPr>
          <w:rFonts w:asciiTheme="minorHAnsi" w:hAnsiTheme="minorHAnsi"/>
        </w:rPr>
        <w:t xml:space="preserve">sicer </w:t>
      </w:r>
      <w:r w:rsidR="007A267B" w:rsidRPr="00D050E9">
        <w:rPr>
          <w:rFonts w:asciiTheme="minorHAnsi" w:hAnsiTheme="minorHAnsi"/>
        </w:rPr>
        <w:t xml:space="preserve">še vedno po </w:t>
      </w:r>
      <w:r w:rsidR="00913CEE" w:rsidRPr="00D050E9">
        <w:rPr>
          <w:rFonts w:asciiTheme="minorHAnsi" w:hAnsiTheme="minorHAnsi"/>
        </w:rPr>
        <w:t xml:space="preserve">prvotni </w:t>
      </w:r>
      <w:r w:rsidR="007A267B" w:rsidRPr="00D050E9">
        <w:rPr>
          <w:rFonts w:asciiTheme="minorHAnsi" w:hAnsiTheme="minorHAnsi"/>
        </w:rPr>
        <w:t>shemi</w:t>
      </w:r>
      <w:r w:rsidR="001A6C14" w:rsidRPr="00D050E9">
        <w:rPr>
          <w:rFonts w:asciiTheme="minorHAnsi" w:hAnsiTheme="minorHAnsi"/>
        </w:rPr>
        <w:t xml:space="preserve"> oz. pogojih</w:t>
      </w:r>
      <w:r w:rsidR="007A267B" w:rsidRPr="00D050E9">
        <w:rPr>
          <w:rFonts w:asciiTheme="minorHAnsi" w:hAnsiTheme="minorHAnsi"/>
        </w:rPr>
        <w:t xml:space="preserve">, v letu 2017 </w:t>
      </w:r>
      <w:r w:rsidR="001A6C14" w:rsidRPr="00D050E9">
        <w:rPr>
          <w:rFonts w:asciiTheme="minorHAnsi" w:hAnsiTheme="minorHAnsi"/>
        </w:rPr>
        <w:t xml:space="preserve">jih je bilo </w:t>
      </w:r>
      <w:r w:rsidR="00913CEE" w:rsidRPr="00D050E9">
        <w:rPr>
          <w:rFonts w:asciiTheme="minorHAnsi" w:hAnsiTheme="minorHAnsi"/>
        </w:rPr>
        <w:t>za dobrih 140 mio EUR</w:t>
      </w:r>
      <w:r w:rsidR="007A267B" w:rsidRPr="00D050E9">
        <w:rPr>
          <w:rFonts w:asciiTheme="minorHAnsi" w:hAnsiTheme="minorHAnsi"/>
        </w:rPr>
        <w:t>,</w:t>
      </w:r>
      <w:r w:rsidR="002C2D09" w:rsidRPr="00D050E9">
        <w:rPr>
          <w:rFonts w:asciiTheme="minorHAnsi" w:hAnsiTheme="minorHAnsi"/>
        </w:rPr>
        <w:t xml:space="preserve"> </w:t>
      </w:r>
      <w:r w:rsidR="007A267B" w:rsidRPr="00D050E9">
        <w:rPr>
          <w:rFonts w:asciiTheme="minorHAnsi" w:hAnsiTheme="minorHAnsi"/>
        </w:rPr>
        <w:t xml:space="preserve">medtem ko </w:t>
      </w:r>
      <w:r w:rsidR="001A6C14" w:rsidRPr="00D050E9">
        <w:rPr>
          <w:rFonts w:asciiTheme="minorHAnsi" w:hAnsiTheme="minorHAnsi"/>
        </w:rPr>
        <w:t xml:space="preserve">je bilo po </w:t>
      </w:r>
      <w:r w:rsidR="007A267B" w:rsidRPr="00D050E9">
        <w:rPr>
          <w:rFonts w:asciiTheme="minorHAnsi" w:hAnsiTheme="minorHAnsi"/>
        </w:rPr>
        <w:t xml:space="preserve">novi shemi </w:t>
      </w:r>
      <w:r w:rsidR="001A6C14" w:rsidRPr="00D050E9">
        <w:rPr>
          <w:rFonts w:asciiTheme="minorHAnsi" w:hAnsiTheme="minorHAnsi"/>
        </w:rPr>
        <w:t xml:space="preserve">izplačanih le </w:t>
      </w:r>
      <w:r w:rsidR="002C2D09" w:rsidRPr="00D050E9">
        <w:rPr>
          <w:rFonts w:asciiTheme="minorHAnsi" w:hAnsiTheme="minorHAnsi"/>
        </w:rPr>
        <w:t>slabih 0,3 mio EUR (</w:t>
      </w:r>
      <w:r w:rsidR="00913CEE" w:rsidRPr="00D050E9">
        <w:rPr>
          <w:rFonts w:asciiTheme="minorHAnsi" w:hAnsiTheme="minorHAnsi"/>
        </w:rPr>
        <w:t>prva izplačila po novi shemi).</w:t>
      </w:r>
      <w:r w:rsidR="002C2D09" w:rsidRPr="00D050E9">
        <w:rPr>
          <w:rFonts w:asciiTheme="minorHAnsi" w:hAnsiTheme="minorHAnsi"/>
        </w:rPr>
        <w:t xml:space="preserve"> </w:t>
      </w:r>
    </w:p>
    <w:p w:rsidR="00B421B9" w:rsidRPr="00D050E9" w:rsidRDefault="009661E9" w:rsidP="00913CEE">
      <w:pPr>
        <w:spacing w:line="276" w:lineRule="auto"/>
        <w:rPr>
          <w:rFonts w:asciiTheme="minorHAnsi" w:hAnsiTheme="minorHAnsi"/>
        </w:rPr>
      </w:pPr>
      <w:r w:rsidRPr="00D050E9">
        <w:rPr>
          <w:rFonts w:asciiTheme="minorHAnsi" w:hAnsiTheme="minorHAnsi"/>
        </w:rPr>
        <w:t xml:space="preserve">V </w:t>
      </w:r>
      <w:r w:rsidR="00913CEE" w:rsidRPr="00D050E9">
        <w:rPr>
          <w:rFonts w:asciiTheme="minorHAnsi" w:hAnsiTheme="minorHAnsi"/>
        </w:rPr>
        <w:t xml:space="preserve">shemi </w:t>
      </w:r>
      <w:r w:rsidRPr="00D050E9">
        <w:rPr>
          <w:rFonts w:asciiTheme="minorHAnsi" w:hAnsiTheme="minorHAnsi"/>
        </w:rPr>
        <w:t>za podporo električni energiji</w:t>
      </w:r>
      <w:r w:rsidR="00913CEE" w:rsidRPr="00D050E9">
        <w:rPr>
          <w:rFonts w:asciiTheme="minorHAnsi" w:hAnsiTheme="minorHAnsi"/>
        </w:rPr>
        <w:t xml:space="preserve"> je bil v letu 2015</w:t>
      </w:r>
      <w:r w:rsidRPr="00D050E9">
        <w:rPr>
          <w:rFonts w:asciiTheme="minorHAnsi" w:hAnsiTheme="minorHAnsi"/>
        </w:rPr>
        <w:t xml:space="preserve"> uved</w:t>
      </w:r>
      <w:r w:rsidR="008C422D" w:rsidRPr="00D050E9">
        <w:rPr>
          <w:rFonts w:asciiTheme="minorHAnsi" w:hAnsiTheme="minorHAnsi"/>
        </w:rPr>
        <w:t>en</w:t>
      </w:r>
      <w:r w:rsidR="00561FD4">
        <w:rPr>
          <w:rFonts w:asciiTheme="minorHAnsi" w:hAnsiTheme="minorHAnsi"/>
        </w:rPr>
        <w:t xml:space="preserve"> tudi nov ukrep –</w:t>
      </w:r>
      <w:r w:rsidR="00913CEE" w:rsidRPr="00D050E9">
        <w:rPr>
          <w:rFonts w:asciiTheme="minorHAnsi" w:hAnsiTheme="minorHAnsi"/>
        </w:rPr>
        <w:t xml:space="preserve"> znižanje</w:t>
      </w:r>
      <w:r w:rsidRPr="00D050E9">
        <w:rPr>
          <w:rFonts w:asciiTheme="minorHAnsi" w:hAnsiTheme="minorHAnsi"/>
        </w:rPr>
        <w:t xml:space="preserve"> prispevkov</w:t>
      </w:r>
      <w:r w:rsidR="005D3EB2" w:rsidRPr="00D050E9">
        <w:rPr>
          <w:rFonts w:asciiTheme="minorHAnsi" w:hAnsiTheme="minorHAnsi"/>
        </w:rPr>
        <w:t xml:space="preserve"> za zagotavljanje podpor proizvodnji električne energije v soproizvodnji z visokim izkoristkom in iz obnovljivih virov energije za elek</w:t>
      </w:r>
      <w:r w:rsidR="004A4FE8" w:rsidRPr="00D050E9">
        <w:rPr>
          <w:rFonts w:asciiTheme="minorHAnsi" w:hAnsiTheme="minorHAnsi"/>
        </w:rPr>
        <w:t>t</w:t>
      </w:r>
      <w:r w:rsidR="005D3EB2" w:rsidRPr="00D050E9">
        <w:rPr>
          <w:rFonts w:asciiTheme="minorHAnsi" w:hAnsiTheme="minorHAnsi"/>
        </w:rPr>
        <w:t xml:space="preserve">ro </w:t>
      </w:r>
      <w:r w:rsidR="00913CEE" w:rsidRPr="00D050E9">
        <w:rPr>
          <w:rFonts w:asciiTheme="minorHAnsi" w:hAnsiTheme="minorHAnsi"/>
        </w:rPr>
        <w:t xml:space="preserve">intenzivna </w:t>
      </w:r>
      <w:r w:rsidR="00375A8A" w:rsidRPr="00D050E9">
        <w:rPr>
          <w:rFonts w:asciiTheme="minorHAnsi" w:hAnsiTheme="minorHAnsi"/>
        </w:rPr>
        <w:t>podjetja</w:t>
      </w:r>
      <w:r w:rsidRPr="00D050E9">
        <w:rPr>
          <w:rFonts w:asciiTheme="minorHAnsi" w:hAnsiTheme="minorHAnsi"/>
        </w:rPr>
        <w:t>. Pristojno ministrstvo je o teh pomočeh prvič poročalo v letu 2018 in s</w:t>
      </w:r>
      <w:r w:rsidR="00D1443E" w:rsidRPr="00D050E9">
        <w:rPr>
          <w:rFonts w:asciiTheme="minorHAnsi" w:hAnsiTheme="minorHAnsi"/>
        </w:rPr>
        <w:t>icer za leta 2015, 2016 in 2017.</w:t>
      </w:r>
      <w:r w:rsidRPr="00D050E9">
        <w:rPr>
          <w:rFonts w:asciiTheme="minorHAnsi" w:hAnsiTheme="minorHAnsi"/>
        </w:rPr>
        <w:t xml:space="preserve"> </w:t>
      </w:r>
      <w:r w:rsidR="00913CEE" w:rsidRPr="00D050E9">
        <w:rPr>
          <w:rFonts w:asciiTheme="minorHAnsi" w:hAnsiTheme="minorHAnsi"/>
        </w:rPr>
        <w:t>V letu 2017 bilo teh pomoči za skoraj 23 mio EUR, kar je na primerljivi ravni iz leta 2016. Skupaj so v letih 2015–2017 elekt</w:t>
      </w:r>
      <w:r w:rsidR="0080586E" w:rsidRPr="00D050E9">
        <w:rPr>
          <w:rFonts w:asciiTheme="minorHAnsi" w:hAnsiTheme="minorHAnsi"/>
        </w:rPr>
        <w:t>ro</w:t>
      </w:r>
      <w:r w:rsidR="005D3EB2" w:rsidRPr="00D050E9">
        <w:rPr>
          <w:rFonts w:asciiTheme="minorHAnsi" w:hAnsiTheme="minorHAnsi"/>
        </w:rPr>
        <w:t xml:space="preserve"> </w:t>
      </w:r>
      <w:r w:rsidR="00913CEE" w:rsidRPr="00D050E9">
        <w:rPr>
          <w:rFonts w:asciiTheme="minorHAnsi" w:hAnsiTheme="minorHAnsi"/>
        </w:rPr>
        <w:t xml:space="preserve">intenzivna podjetja </w:t>
      </w:r>
      <w:r w:rsidR="00D1443E" w:rsidRPr="00D050E9">
        <w:rPr>
          <w:rFonts w:asciiTheme="minorHAnsi" w:hAnsiTheme="minorHAnsi"/>
        </w:rPr>
        <w:t>v obliki znižanih prispevkov</w:t>
      </w:r>
      <w:r w:rsidR="005D3EB2" w:rsidRPr="00D050E9">
        <w:rPr>
          <w:rFonts w:asciiTheme="minorHAnsi" w:hAnsiTheme="minorHAnsi"/>
        </w:rPr>
        <w:t xml:space="preserve"> za zagotavljanje podpor proizvodnji električne energije</w:t>
      </w:r>
      <w:r w:rsidR="00D1443E" w:rsidRPr="00D050E9">
        <w:rPr>
          <w:rFonts w:asciiTheme="minorHAnsi" w:hAnsiTheme="minorHAnsi"/>
        </w:rPr>
        <w:t xml:space="preserve"> </w:t>
      </w:r>
      <w:r w:rsidR="00913CEE" w:rsidRPr="00D050E9">
        <w:rPr>
          <w:rFonts w:asciiTheme="minorHAnsi" w:hAnsiTheme="minorHAnsi"/>
        </w:rPr>
        <w:t>prejela za dobrih 53 mio EUR</w:t>
      </w:r>
      <w:r w:rsidR="004E3D8D" w:rsidRPr="00D050E9">
        <w:rPr>
          <w:rFonts w:asciiTheme="minorHAnsi" w:hAnsiTheme="minorHAnsi"/>
        </w:rPr>
        <w:t xml:space="preserve"> pomoči. </w:t>
      </w:r>
    </w:p>
    <w:p w:rsidR="008C422D" w:rsidRPr="00D050E9" w:rsidRDefault="008C422D" w:rsidP="008C422D">
      <w:pPr>
        <w:spacing w:line="276" w:lineRule="auto"/>
        <w:rPr>
          <w:rFonts w:asciiTheme="minorHAnsi" w:hAnsiTheme="minorHAnsi"/>
        </w:rPr>
      </w:pPr>
      <w:r w:rsidRPr="00D050E9">
        <w:rPr>
          <w:rFonts w:asciiTheme="minorHAnsi" w:hAnsiTheme="minorHAnsi"/>
        </w:rPr>
        <w:lastRenderedPageBreak/>
        <w:t>Za podporo električni energiji je bilo</w:t>
      </w:r>
      <w:r w:rsidR="00913CEE" w:rsidRPr="00D050E9">
        <w:rPr>
          <w:rFonts w:asciiTheme="minorHAnsi" w:hAnsiTheme="minorHAnsi"/>
        </w:rPr>
        <w:t xml:space="preserve"> tako</w:t>
      </w:r>
      <w:r w:rsidRPr="00D050E9">
        <w:rPr>
          <w:rFonts w:asciiTheme="minorHAnsi" w:hAnsiTheme="minorHAnsi"/>
        </w:rPr>
        <w:t xml:space="preserve"> dodeljenih skoraj 90 % vseh pomoči, delež </w:t>
      </w:r>
      <w:r w:rsidR="00913CEE" w:rsidRPr="00D050E9">
        <w:rPr>
          <w:rFonts w:asciiTheme="minorHAnsi" w:hAnsiTheme="minorHAnsi"/>
        </w:rPr>
        <w:t xml:space="preserve">pomoči po </w:t>
      </w:r>
      <w:r w:rsidR="004A4FE8" w:rsidRPr="00D050E9">
        <w:rPr>
          <w:rFonts w:asciiTheme="minorHAnsi" w:hAnsiTheme="minorHAnsi"/>
        </w:rPr>
        <w:t xml:space="preserve">tej </w:t>
      </w:r>
      <w:r w:rsidR="00913CEE" w:rsidRPr="004E4300">
        <w:rPr>
          <w:rFonts w:asciiTheme="minorHAnsi" w:hAnsiTheme="minorHAnsi"/>
        </w:rPr>
        <w:t xml:space="preserve">shemi pa se je </w:t>
      </w:r>
      <w:r w:rsidR="008C12AA" w:rsidRPr="004E4300">
        <w:rPr>
          <w:rFonts w:asciiTheme="minorHAnsi" w:hAnsiTheme="minorHAnsi"/>
        </w:rPr>
        <w:t xml:space="preserve">v </w:t>
      </w:r>
      <w:r w:rsidR="00913CEE" w:rsidRPr="004E4300">
        <w:rPr>
          <w:rFonts w:asciiTheme="minorHAnsi" w:hAnsiTheme="minorHAnsi"/>
        </w:rPr>
        <w:t>zadn</w:t>
      </w:r>
      <w:r w:rsidR="003E5698" w:rsidRPr="004E4300">
        <w:rPr>
          <w:rFonts w:asciiTheme="minorHAnsi" w:hAnsiTheme="minorHAnsi"/>
        </w:rPr>
        <w:t>jih 3 letih še nekoliko povečal</w:t>
      </w:r>
      <w:r w:rsidRPr="004E4300">
        <w:rPr>
          <w:rFonts w:asciiTheme="minorHAnsi" w:hAnsiTheme="minorHAnsi"/>
        </w:rPr>
        <w:t xml:space="preserve"> (87 % </w:t>
      </w:r>
      <w:r w:rsidR="00FB5C2C" w:rsidRPr="004E4300">
        <w:rPr>
          <w:rFonts w:asciiTheme="minorHAnsi" w:hAnsiTheme="minorHAnsi"/>
        </w:rPr>
        <w:t xml:space="preserve">v obdobju </w:t>
      </w:r>
      <w:r w:rsidRPr="004E4300">
        <w:rPr>
          <w:rFonts w:asciiTheme="minorHAnsi" w:hAnsiTheme="minorHAnsi"/>
        </w:rPr>
        <w:t>2015–2017).</w:t>
      </w:r>
      <w:r w:rsidRPr="00D050E9">
        <w:rPr>
          <w:rFonts w:asciiTheme="minorHAnsi" w:hAnsiTheme="minorHAnsi"/>
        </w:rPr>
        <w:t xml:space="preserve"> </w:t>
      </w:r>
    </w:p>
    <w:p w:rsidR="00110A18" w:rsidRPr="00D050E9" w:rsidRDefault="00110A18" w:rsidP="00110A18">
      <w:pPr>
        <w:spacing w:line="276" w:lineRule="auto"/>
        <w:rPr>
          <w:rFonts w:asciiTheme="minorHAnsi" w:hAnsiTheme="minorHAnsi"/>
        </w:rPr>
      </w:pPr>
      <w:r w:rsidRPr="00D050E9">
        <w:rPr>
          <w:rFonts w:asciiTheme="minorHAnsi" w:hAnsiTheme="minorHAnsi"/>
        </w:rPr>
        <w:t xml:space="preserve">V letu 2017 so bile prvič izplačane pomoči za naložbe v energetsko učinkovito daljinsko ogrevanje in hlajenje v višini 2,26 mio EUR. Predstavljale so 1,2 % vseh pomoči v 2017. Pomoči so se izplačevale po novi </w:t>
      </w:r>
      <w:r w:rsidR="00B421B9" w:rsidRPr="00D050E9">
        <w:rPr>
          <w:rFonts w:asciiTheme="minorHAnsi" w:hAnsiTheme="minorHAnsi"/>
        </w:rPr>
        <w:t xml:space="preserve">shemi </w:t>
      </w:r>
      <w:r w:rsidRPr="00D050E9">
        <w:rPr>
          <w:rFonts w:asciiTheme="minorHAnsi" w:hAnsiTheme="minorHAnsi"/>
        </w:rPr>
        <w:t xml:space="preserve">Ministrstva za infrastrukturo, ki poleg omenjenega vključuje še druge namene pomoči, med drugimi pomoč za preseganje standardov Unije, pomoč za energetsko učinkovitost, pomoč za naložbe v energetsko infrastrukturo idr.). </w:t>
      </w:r>
    </w:p>
    <w:p w:rsidR="009661E9" w:rsidRPr="00D050E9" w:rsidRDefault="006966B1" w:rsidP="006966B1">
      <w:pPr>
        <w:pStyle w:val="Caption"/>
        <w:rPr>
          <w:color w:val="auto"/>
        </w:rPr>
      </w:pPr>
      <w:bookmarkStart w:id="73" w:name="_Toc530654593"/>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9</w:t>
      </w:r>
      <w:r w:rsidRPr="00D050E9">
        <w:rPr>
          <w:color w:val="auto"/>
        </w:rPr>
        <w:fldChar w:fldCharType="end"/>
      </w:r>
      <w:r w:rsidRPr="00D050E9">
        <w:rPr>
          <w:color w:val="auto"/>
        </w:rPr>
        <w:t xml:space="preserve">: </w:t>
      </w:r>
      <w:r w:rsidR="007123A3" w:rsidRPr="00D050E9">
        <w:rPr>
          <w:color w:val="auto"/>
        </w:rPr>
        <w:t>Pomoči za varstvo okolja in varčevanje z energijo po shemah in namenih, 2015–2017</w:t>
      </w:r>
      <w:bookmarkEnd w:id="73"/>
    </w:p>
    <w:p w:rsidR="006966B1" w:rsidRPr="00D050E9" w:rsidRDefault="006966B1" w:rsidP="006966B1">
      <w:pPr>
        <w:spacing w:after="0"/>
        <w:rPr>
          <w:lang w:bidi="hi-IN"/>
        </w:rPr>
      </w:pPr>
    </w:p>
    <w:tbl>
      <w:tblPr>
        <w:tblStyle w:val="LightGrid-Accent5"/>
        <w:tblW w:w="0" w:type="auto"/>
        <w:tblLayout w:type="fixed"/>
        <w:tblLook w:val="04A0" w:firstRow="1" w:lastRow="0" w:firstColumn="1" w:lastColumn="0" w:noHBand="0" w:noVBand="1"/>
      </w:tblPr>
      <w:tblGrid>
        <w:gridCol w:w="1242"/>
        <w:gridCol w:w="1762"/>
        <w:gridCol w:w="1782"/>
        <w:gridCol w:w="851"/>
        <w:gridCol w:w="708"/>
        <w:gridCol w:w="709"/>
        <w:gridCol w:w="709"/>
        <w:gridCol w:w="830"/>
        <w:gridCol w:w="695"/>
      </w:tblGrid>
      <w:tr w:rsidR="009661E9" w:rsidRPr="00D050E9" w:rsidTr="00913CE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noWrap/>
            <w:hideMark/>
          </w:tcPr>
          <w:p w:rsidR="009661E9" w:rsidRPr="00D050E9" w:rsidRDefault="009661E9" w:rsidP="00913CEE">
            <w:pPr>
              <w:jc w:val="center"/>
              <w:rPr>
                <w:rFonts w:ascii="Calibri" w:eastAsia="Times New Roman" w:hAnsi="Calibri" w:cs="Arial"/>
                <w:sz w:val="16"/>
                <w:szCs w:val="20"/>
                <w:lang w:eastAsia="sl-SI"/>
              </w:rPr>
            </w:pPr>
            <w:r w:rsidRPr="00D050E9">
              <w:rPr>
                <w:rFonts w:ascii="Calibri" w:eastAsia="Times New Roman" w:hAnsi="Calibri" w:cs="Arial"/>
                <w:sz w:val="16"/>
                <w:szCs w:val="20"/>
                <w:lang w:eastAsia="sl-SI"/>
              </w:rPr>
              <w:t>Priglasitelj</w:t>
            </w:r>
          </w:p>
        </w:tc>
        <w:tc>
          <w:tcPr>
            <w:tcW w:w="1762" w:type="dxa"/>
            <w:noWrap/>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 xml:space="preserve">Shema </w:t>
            </w:r>
          </w:p>
        </w:tc>
        <w:tc>
          <w:tcPr>
            <w:tcW w:w="1782" w:type="dxa"/>
            <w:noWrap/>
            <w:hideMark/>
          </w:tcPr>
          <w:p w:rsidR="009661E9" w:rsidRPr="00D050E9" w:rsidRDefault="00554377"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Namen</w:t>
            </w:r>
          </w:p>
        </w:tc>
        <w:tc>
          <w:tcPr>
            <w:tcW w:w="851" w:type="dxa"/>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2015</w:t>
            </w:r>
          </w:p>
          <w:p w:rsidR="007123A3" w:rsidRPr="00D050E9" w:rsidRDefault="007123A3"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v mio EUR</w:t>
            </w:r>
          </w:p>
        </w:tc>
        <w:tc>
          <w:tcPr>
            <w:tcW w:w="708" w:type="dxa"/>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2016</w:t>
            </w:r>
          </w:p>
          <w:p w:rsidR="007123A3" w:rsidRPr="00D050E9" w:rsidRDefault="007123A3"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v mio EUR</w:t>
            </w:r>
          </w:p>
        </w:tc>
        <w:tc>
          <w:tcPr>
            <w:tcW w:w="709" w:type="dxa"/>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2017</w:t>
            </w:r>
          </w:p>
          <w:p w:rsidR="007123A3" w:rsidRPr="00D050E9" w:rsidRDefault="007123A3"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v mio EUR</w:t>
            </w:r>
          </w:p>
        </w:tc>
        <w:tc>
          <w:tcPr>
            <w:tcW w:w="709" w:type="dxa"/>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Razlika</w:t>
            </w:r>
          </w:p>
        </w:tc>
        <w:tc>
          <w:tcPr>
            <w:tcW w:w="830" w:type="dxa"/>
            <w:noWrap/>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8"/>
                <w:lang w:eastAsia="sl-SI"/>
              </w:rPr>
            </w:pPr>
            <w:r w:rsidRPr="00D050E9">
              <w:rPr>
                <w:rFonts w:ascii="Calibri" w:eastAsia="Times New Roman" w:hAnsi="Calibri" w:cs="Arial"/>
                <w:sz w:val="16"/>
                <w:szCs w:val="18"/>
                <w:lang w:eastAsia="sl-SI"/>
              </w:rPr>
              <w:t>Delež 2017</w:t>
            </w:r>
          </w:p>
        </w:tc>
        <w:tc>
          <w:tcPr>
            <w:tcW w:w="695" w:type="dxa"/>
            <w:hideMark/>
          </w:tcPr>
          <w:p w:rsidR="009661E9" w:rsidRPr="00D050E9" w:rsidRDefault="009661E9" w:rsidP="00913C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18"/>
                <w:lang w:eastAsia="sl-SI"/>
              </w:rPr>
            </w:pPr>
            <w:r w:rsidRPr="00D050E9">
              <w:rPr>
                <w:rFonts w:ascii="Calibri" w:eastAsia="Times New Roman" w:hAnsi="Calibri" w:cs="Arial"/>
                <w:sz w:val="16"/>
                <w:szCs w:val="18"/>
                <w:lang w:eastAsia="sl-SI"/>
              </w:rPr>
              <w:t>Delež 2015-2017</w:t>
            </w:r>
          </w:p>
        </w:tc>
      </w:tr>
      <w:tr w:rsidR="009661E9" w:rsidRPr="00D050E9" w:rsidTr="00913CE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242" w:type="dxa"/>
            <w:vMerge w:val="restart"/>
            <w:hideMark/>
          </w:tcPr>
          <w:p w:rsidR="009661E9" w:rsidRPr="00D050E9" w:rsidRDefault="009661E9" w:rsidP="00913CEE">
            <w:pPr>
              <w:jc w:val="left"/>
              <w:rPr>
                <w:rFonts w:ascii="Calibri" w:eastAsia="Times New Roman" w:hAnsi="Calibri" w:cs="Arial"/>
                <w:sz w:val="16"/>
                <w:szCs w:val="20"/>
                <w:lang w:eastAsia="sl-SI"/>
              </w:rPr>
            </w:pPr>
            <w:r w:rsidRPr="00D050E9">
              <w:rPr>
                <w:rFonts w:ascii="Calibri" w:eastAsia="Times New Roman" w:hAnsi="Calibri" w:cs="Arial"/>
                <w:sz w:val="16"/>
                <w:szCs w:val="20"/>
                <w:lang w:eastAsia="sl-SI"/>
              </w:rPr>
              <w:t>Ministrstvo za infrastrukturo</w:t>
            </w:r>
          </w:p>
        </w:tc>
        <w:tc>
          <w:tcPr>
            <w:tcW w:w="1762" w:type="dxa"/>
            <w:vMerge w:val="restart"/>
            <w:hideMark/>
          </w:tcPr>
          <w:p w:rsidR="009661E9" w:rsidRPr="00D050E9" w:rsidRDefault="009661E9" w:rsidP="00913CE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 xml:space="preserve">Podpora električni energiji iz OVE in SPTE ter podpora elektro-intenzivnim podjetjem </w:t>
            </w:r>
          </w:p>
        </w:tc>
        <w:tc>
          <w:tcPr>
            <w:tcW w:w="1782" w:type="dxa"/>
            <w:noWrap/>
            <w:hideMark/>
          </w:tcPr>
          <w:p w:rsidR="009661E9" w:rsidRPr="00D050E9" w:rsidRDefault="009661E9" w:rsidP="00913CE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Pomoč za tekoče poslovanje (OVE in STPE)</w:t>
            </w:r>
          </w:p>
        </w:tc>
        <w:tc>
          <w:tcPr>
            <w:tcW w:w="851"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135,11</w:t>
            </w:r>
          </w:p>
        </w:tc>
        <w:tc>
          <w:tcPr>
            <w:tcW w:w="708"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130,24</w:t>
            </w:r>
          </w:p>
        </w:tc>
        <w:tc>
          <w:tcPr>
            <w:tcW w:w="709"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140,63</w:t>
            </w:r>
          </w:p>
        </w:tc>
        <w:tc>
          <w:tcPr>
            <w:tcW w:w="709"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10,39</w:t>
            </w:r>
          </w:p>
        </w:tc>
        <w:tc>
          <w:tcPr>
            <w:tcW w:w="830" w:type="dxa"/>
            <w:noWrap/>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77,0%</w:t>
            </w:r>
          </w:p>
        </w:tc>
        <w:tc>
          <w:tcPr>
            <w:tcW w:w="695" w:type="dxa"/>
            <w:noWrap/>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76,7%</w:t>
            </w:r>
          </w:p>
        </w:tc>
      </w:tr>
      <w:tr w:rsidR="009661E9" w:rsidRPr="00D050E9" w:rsidTr="00913CE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hideMark/>
          </w:tcPr>
          <w:p w:rsidR="009661E9" w:rsidRPr="00D050E9" w:rsidRDefault="009661E9" w:rsidP="00913CEE">
            <w:pPr>
              <w:jc w:val="left"/>
              <w:rPr>
                <w:rFonts w:ascii="Calibri" w:eastAsia="Times New Roman" w:hAnsi="Calibri" w:cs="Arial"/>
                <w:sz w:val="16"/>
                <w:szCs w:val="20"/>
                <w:lang w:eastAsia="sl-SI"/>
              </w:rPr>
            </w:pPr>
          </w:p>
        </w:tc>
        <w:tc>
          <w:tcPr>
            <w:tcW w:w="1762" w:type="dxa"/>
            <w:vMerge/>
            <w:hideMark/>
          </w:tcPr>
          <w:p w:rsidR="009661E9" w:rsidRPr="00D050E9" w:rsidRDefault="009661E9" w:rsidP="00913CE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p>
        </w:tc>
        <w:tc>
          <w:tcPr>
            <w:tcW w:w="1782" w:type="dxa"/>
            <w:hideMark/>
          </w:tcPr>
          <w:p w:rsidR="009661E9" w:rsidRPr="00D050E9" w:rsidRDefault="009661E9" w:rsidP="00913CE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Znižanje okoljskih davkov</w:t>
            </w:r>
          </w:p>
        </w:tc>
        <w:tc>
          <w:tcPr>
            <w:tcW w:w="851"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6,72</w:t>
            </w:r>
          </w:p>
        </w:tc>
        <w:tc>
          <w:tcPr>
            <w:tcW w:w="708"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23,63</w:t>
            </w:r>
          </w:p>
        </w:tc>
        <w:tc>
          <w:tcPr>
            <w:tcW w:w="709"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22,86</w:t>
            </w:r>
          </w:p>
        </w:tc>
        <w:tc>
          <w:tcPr>
            <w:tcW w:w="709"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-0,77</w:t>
            </w:r>
          </w:p>
        </w:tc>
        <w:tc>
          <w:tcPr>
            <w:tcW w:w="830" w:type="dxa"/>
            <w:noWrap/>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12,5%</w:t>
            </w:r>
          </w:p>
        </w:tc>
        <w:tc>
          <w:tcPr>
            <w:tcW w:w="695" w:type="dxa"/>
            <w:noWrap/>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10,1%</w:t>
            </w:r>
          </w:p>
        </w:tc>
      </w:tr>
      <w:tr w:rsidR="009661E9" w:rsidRPr="00D050E9" w:rsidTr="00913C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hideMark/>
          </w:tcPr>
          <w:p w:rsidR="009661E9" w:rsidRPr="00D050E9" w:rsidRDefault="009661E9" w:rsidP="00913CEE">
            <w:pPr>
              <w:jc w:val="left"/>
              <w:rPr>
                <w:rFonts w:ascii="Calibri" w:eastAsia="Times New Roman" w:hAnsi="Calibri" w:cs="Arial"/>
                <w:sz w:val="16"/>
                <w:szCs w:val="20"/>
                <w:lang w:eastAsia="sl-SI"/>
              </w:rPr>
            </w:pPr>
            <w:r w:rsidRPr="00D050E9">
              <w:rPr>
                <w:rFonts w:ascii="Calibri" w:eastAsia="Times New Roman" w:hAnsi="Calibri" w:cs="Arial"/>
                <w:sz w:val="16"/>
                <w:szCs w:val="20"/>
                <w:lang w:eastAsia="sl-SI"/>
              </w:rPr>
              <w:t>Ministrstvo za okolje in prostor</w:t>
            </w:r>
          </w:p>
        </w:tc>
        <w:tc>
          <w:tcPr>
            <w:tcW w:w="1762" w:type="dxa"/>
            <w:hideMark/>
          </w:tcPr>
          <w:p w:rsidR="009661E9" w:rsidRPr="00D050E9" w:rsidRDefault="009661E9" w:rsidP="00913CE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Oprostitev plačila okoljske dajatve za onesnaževanje zraka z emisijo ogljikovega dioksida</w:t>
            </w:r>
          </w:p>
        </w:tc>
        <w:tc>
          <w:tcPr>
            <w:tcW w:w="1782" w:type="dxa"/>
            <w:hideMark/>
          </w:tcPr>
          <w:p w:rsidR="009661E9" w:rsidRPr="00D050E9" w:rsidRDefault="009661E9" w:rsidP="00913CE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Znižanje okoljskih davkov</w:t>
            </w:r>
          </w:p>
        </w:tc>
        <w:tc>
          <w:tcPr>
            <w:tcW w:w="851"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27,48</w:t>
            </w:r>
          </w:p>
        </w:tc>
        <w:tc>
          <w:tcPr>
            <w:tcW w:w="708"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22,17</w:t>
            </w:r>
          </w:p>
        </w:tc>
        <w:tc>
          <w:tcPr>
            <w:tcW w:w="709"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15,63</w:t>
            </w:r>
          </w:p>
        </w:tc>
        <w:tc>
          <w:tcPr>
            <w:tcW w:w="709"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-6,54</w:t>
            </w:r>
          </w:p>
        </w:tc>
        <w:tc>
          <w:tcPr>
            <w:tcW w:w="830" w:type="dxa"/>
            <w:noWrap/>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8,6%</w:t>
            </w:r>
          </w:p>
        </w:tc>
        <w:tc>
          <w:tcPr>
            <w:tcW w:w="695" w:type="dxa"/>
            <w:noWrap/>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12,3%</w:t>
            </w:r>
          </w:p>
        </w:tc>
      </w:tr>
      <w:tr w:rsidR="009661E9" w:rsidRPr="00D050E9" w:rsidTr="00913CE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hideMark/>
          </w:tcPr>
          <w:p w:rsidR="009661E9" w:rsidRPr="00D050E9" w:rsidRDefault="00B421B9" w:rsidP="00913CEE">
            <w:pPr>
              <w:jc w:val="left"/>
              <w:rPr>
                <w:rFonts w:ascii="Calibri" w:eastAsia="Times New Roman" w:hAnsi="Calibri" w:cs="Arial"/>
                <w:sz w:val="16"/>
                <w:szCs w:val="20"/>
                <w:lang w:eastAsia="sl-SI"/>
              </w:rPr>
            </w:pPr>
            <w:r w:rsidRPr="00D050E9">
              <w:rPr>
                <w:rFonts w:ascii="Calibri" w:eastAsia="Times New Roman" w:hAnsi="Calibri" w:cs="Arial"/>
                <w:sz w:val="16"/>
                <w:szCs w:val="20"/>
                <w:lang w:eastAsia="sl-SI"/>
              </w:rPr>
              <w:t>Eko sklad, Slovenski okoljski javni sklad</w:t>
            </w:r>
          </w:p>
        </w:tc>
        <w:tc>
          <w:tcPr>
            <w:tcW w:w="1762" w:type="dxa"/>
            <w:hideMark/>
          </w:tcPr>
          <w:p w:rsidR="009661E9" w:rsidRPr="00D050E9" w:rsidRDefault="009661E9" w:rsidP="00913CE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Nakup okolju prijaznih prevoznih sredstev</w:t>
            </w:r>
          </w:p>
        </w:tc>
        <w:tc>
          <w:tcPr>
            <w:tcW w:w="1782" w:type="dxa"/>
            <w:hideMark/>
          </w:tcPr>
          <w:p w:rsidR="009661E9" w:rsidRPr="00D050E9" w:rsidRDefault="009661E9" w:rsidP="00913CE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Pomoč za nakup transportnih vozil, ki presegajo standarde skupnosti za varstvo okolja</w:t>
            </w:r>
          </w:p>
        </w:tc>
        <w:tc>
          <w:tcPr>
            <w:tcW w:w="851"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0,54</w:t>
            </w:r>
          </w:p>
        </w:tc>
        <w:tc>
          <w:tcPr>
            <w:tcW w:w="708"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0,51</w:t>
            </w:r>
          </w:p>
        </w:tc>
        <w:tc>
          <w:tcPr>
            <w:tcW w:w="709"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1,18</w:t>
            </w:r>
          </w:p>
        </w:tc>
        <w:tc>
          <w:tcPr>
            <w:tcW w:w="709"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0,67</w:t>
            </w:r>
          </w:p>
        </w:tc>
        <w:tc>
          <w:tcPr>
            <w:tcW w:w="830" w:type="dxa"/>
            <w:noWrap/>
            <w:hideMark/>
          </w:tcPr>
          <w:p w:rsidR="009661E9" w:rsidRPr="00D050E9" w:rsidRDefault="0001758D" w:rsidP="0001758D">
            <w:pPr>
              <w:tabs>
                <w:tab w:val="right" w:pos="614"/>
              </w:tabs>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ab/>
            </w:r>
            <w:r w:rsidR="009661E9" w:rsidRPr="00D050E9">
              <w:rPr>
                <w:rFonts w:ascii="Calibri" w:eastAsia="Times New Roman" w:hAnsi="Calibri" w:cs="Arial"/>
                <w:color w:val="000000"/>
                <w:sz w:val="16"/>
                <w:szCs w:val="18"/>
                <w:lang w:eastAsia="sl-SI"/>
              </w:rPr>
              <w:t>0,6%</w:t>
            </w:r>
          </w:p>
        </w:tc>
        <w:tc>
          <w:tcPr>
            <w:tcW w:w="695" w:type="dxa"/>
            <w:noWrap/>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0,4%</w:t>
            </w:r>
          </w:p>
        </w:tc>
      </w:tr>
      <w:tr w:rsidR="009661E9" w:rsidRPr="00D050E9" w:rsidTr="00913C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hideMark/>
          </w:tcPr>
          <w:p w:rsidR="009661E9" w:rsidRPr="00D050E9" w:rsidRDefault="00B421B9" w:rsidP="00913CEE">
            <w:pPr>
              <w:jc w:val="left"/>
              <w:rPr>
                <w:rFonts w:ascii="Calibri" w:eastAsia="Times New Roman" w:hAnsi="Calibri" w:cs="Arial"/>
                <w:sz w:val="16"/>
                <w:szCs w:val="20"/>
                <w:lang w:eastAsia="sl-SI"/>
              </w:rPr>
            </w:pPr>
            <w:r w:rsidRPr="00D050E9">
              <w:rPr>
                <w:rFonts w:ascii="Calibri" w:eastAsia="Times New Roman" w:hAnsi="Calibri" w:cs="Arial"/>
                <w:sz w:val="16"/>
                <w:szCs w:val="20"/>
                <w:lang w:eastAsia="sl-SI"/>
              </w:rPr>
              <w:t>Ministrstvo za infrastrukturo</w:t>
            </w:r>
          </w:p>
        </w:tc>
        <w:tc>
          <w:tcPr>
            <w:tcW w:w="1762" w:type="dxa"/>
            <w:hideMark/>
          </w:tcPr>
          <w:p w:rsidR="009661E9" w:rsidRPr="00D050E9" w:rsidRDefault="009661E9" w:rsidP="00913CE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Spodbujanje učinkovite rabe energije, daljinskega ogrevanja in rabe OVE</w:t>
            </w:r>
          </w:p>
        </w:tc>
        <w:tc>
          <w:tcPr>
            <w:tcW w:w="1782" w:type="dxa"/>
            <w:hideMark/>
          </w:tcPr>
          <w:p w:rsidR="009661E9" w:rsidRPr="00D050E9" w:rsidRDefault="009661E9" w:rsidP="00913CE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Pomoč za naložbe v energetsko učinkovito daljinsko ogrevanje in hlajenje</w:t>
            </w:r>
          </w:p>
        </w:tc>
        <w:tc>
          <w:tcPr>
            <w:tcW w:w="851"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 </w:t>
            </w:r>
          </w:p>
        </w:tc>
        <w:tc>
          <w:tcPr>
            <w:tcW w:w="708"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 </w:t>
            </w:r>
          </w:p>
        </w:tc>
        <w:tc>
          <w:tcPr>
            <w:tcW w:w="709"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2,26</w:t>
            </w:r>
          </w:p>
        </w:tc>
        <w:tc>
          <w:tcPr>
            <w:tcW w:w="709" w:type="dxa"/>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lang w:eastAsia="sl-SI"/>
              </w:rPr>
            </w:pPr>
            <w:r w:rsidRPr="00D050E9">
              <w:rPr>
                <w:rFonts w:ascii="Calibri" w:eastAsia="Times New Roman" w:hAnsi="Calibri" w:cs="Arial"/>
                <w:sz w:val="16"/>
                <w:szCs w:val="20"/>
                <w:lang w:eastAsia="sl-SI"/>
              </w:rPr>
              <w:t>2,26</w:t>
            </w:r>
          </w:p>
        </w:tc>
        <w:tc>
          <w:tcPr>
            <w:tcW w:w="830" w:type="dxa"/>
            <w:noWrap/>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1,2%</w:t>
            </w:r>
          </w:p>
        </w:tc>
        <w:tc>
          <w:tcPr>
            <w:tcW w:w="695" w:type="dxa"/>
            <w:noWrap/>
            <w:hideMark/>
          </w:tcPr>
          <w:p w:rsidR="009661E9" w:rsidRPr="00D050E9" w:rsidRDefault="009661E9" w:rsidP="00913CE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0,4%</w:t>
            </w:r>
          </w:p>
        </w:tc>
      </w:tr>
      <w:tr w:rsidR="009661E9" w:rsidRPr="00D050E9" w:rsidTr="00913CEE">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786" w:type="dxa"/>
            <w:gridSpan w:val="3"/>
            <w:noWrap/>
            <w:hideMark/>
          </w:tcPr>
          <w:p w:rsidR="009661E9" w:rsidRPr="00D050E9" w:rsidRDefault="009661E9" w:rsidP="00913CEE">
            <w:pPr>
              <w:jc w:val="left"/>
              <w:rPr>
                <w:rFonts w:ascii="Calibri" w:eastAsia="Times New Roman" w:hAnsi="Calibri" w:cs="Arial"/>
                <w:sz w:val="16"/>
                <w:szCs w:val="20"/>
                <w:lang w:eastAsia="sl-SI"/>
              </w:rPr>
            </w:pPr>
            <w:r w:rsidRPr="00D050E9">
              <w:rPr>
                <w:rFonts w:ascii="Calibri" w:eastAsia="Times New Roman" w:hAnsi="Calibri" w:cs="Arial"/>
                <w:sz w:val="16"/>
                <w:szCs w:val="20"/>
                <w:lang w:eastAsia="sl-SI"/>
              </w:rPr>
              <w:t>SKUPAJ</w:t>
            </w:r>
          </w:p>
        </w:tc>
        <w:tc>
          <w:tcPr>
            <w:tcW w:w="851"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20"/>
                <w:lang w:eastAsia="sl-SI"/>
              </w:rPr>
            </w:pPr>
            <w:r w:rsidRPr="00D050E9">
              <w:rPr>
                <w:rFonts w:ascii="Calibri" w:eastAsia="Times New Roman" w:hAnsi="Calibri" w:cs="Arial"/>
                <w:b/>
                <w:bCs/>
                <w:sz w:val="16"/>
                <w:szCs w:val="20"/>
                <w:lang w:eastAsia="sl-SI"/>
              </w:rPr>
              <w:t>169,86</w:t>
            </w:r>
          </w:p>
        </w:tc>
        <w:tc>
          <w:tcPr>
            <w:tcW w:w="708"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20"/>
                <w:lang w:eastAsia="sl-SI"/>
              </w:rPr>
            </w:pPr>
            <w:r w:rsidRPr="00D050E9">
              <w:rPr>
                <w:rFonts w:ascii="Calibri" w:eastAsia="Times New Roman" w:hAnsi="Calibri" w:cs="Arial"/>
                <w:b/>
                <w:bCs/>
                <w:sz w:val="16"/>
                <w:szCs w:val="20"/>
                <w:lang w:eastAsia="sl-SI"/>
              </w:rPr>
              <w:t>176,56</w:t>
            </w:r>
          </w:p>
        </w:tc>
        <w:tc>
          <w:tcPr>
            <w:tcW w:w="709"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20"/>
                <w:lang w:eastAsia="sl-SI"/>
              </w:rPr>
            </w:pPr>
            <w:r w:rsidRPr="00D050E9">
              <w:rPr>
                <w:rFonts w:ascii="Calibri" w:eastAsia="Times New Roman" w:hAnsi="Calibri" w:cs="Arial"/>
                <w:b/>
                <w:bCs/>
                <w:sz w:val="16"/>
                <w:szCs w:val="20"/>
                <w:lang w:eastAsia="sl-SI"/>
              </w:rPr>
              <w:t>182,56</w:t>
            </w:r>
          </w:p>
        </w:tc>
        <w:tc>
          <w:tcPr>
            <w:tcW w:w="709" w:type="dxa"/>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6"/>
                <w:szCs w:val="20"/>
                <w:lang w:eastAsia="sl-SI"/>
              </w:rPr>
            </w:pPr>
            <w:r w:rsidRPr="00D050E9">
              <w:rPr>
                <w:rFonts w:ascii="Calibri" w:eastAsia="Times New Roman" w:hAnsi="Calibri" w:cs="Arial"/>
                <w:b/>
                <w:bCs/>
                <w:sz w:val="16"/>
                <w:szCs w:val="20"/>
                <w:lang w:eastAsia="sl-SI"/>
              </w:rPr>
              <w:t>6,00</w:t>
            </w:r>
          </w:p>
        </w:tc>
        <w:tc>
          <w:tcPr>
            <w:tcW w:w="830" w:type="dxa"/>
            <w:noWrap/>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100,0%</w:t>
            </w:r>
          </w:p>
        </w:tc>
        <w:tc>
          <w:tcPr>
            <w:tcW w:w="695" w:type="dxa"/>
            <w:noWrap/>
            <w:hideMark/>
          </w:tcPr>
          <w:p w:rsidR="009661E9" w:rsidRPr="00D050E9" w:rsidRDefault="009661E9" w:rsidP="00913CE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8"/>
                <w:lang w:eastAsia="sl-SI"/>
              </w:rPr>
            </w:pPr>
            <w:r w:rsidRPr="00D050E9">
              <w:rPr>
                <w:rFonts w:ascii="Calibri" w:eastAsia="Times New Roman" w:hAnsi="Calibri" w:cs="Arial"/>
                <w:color w:val="000000"/>
                <w:sz w:val="16"/>
                <w:szCs w:val="18"/>
                <w:lang w:eastAsia="sl-SI"/>
              </w:rPr>
              <w:t>100,0%</w:t>
            </w:r>
          </w:p>
        </w:tc>
      </w:tr>
    </w:tbl>
    <w:p w:rsidR="00D1443E" w:rsidRPr="00D050E9" w:rsidRDefault="00D1443E" w:rsidP="001864EB">
      <w:pPr>
        <w:spacing w:line="276" w:lineRule="auto"/>
        <w:rPr>
          <w:rFonts w:asciiTheme="minorHAnsi" w:hAnsiTheme="minorHAnsi"/>
        </w:rPr>
      </w:pPr>
    </w:p>
    <w:p w:rsidR="00B421B9" w:rsidRPr="00D050E9" w:rsidRDefault="00110A18" w:rsidP="001864EB">
      <w:pPr>
        <w:spacing w:line="276" w:lineRule="auto"/>
        <w:rPr>
          <w:rFonts w:asciiTheme="minorHAnsi" w:hAnsiTheme="minorHAnsi"/>
        </w:rPr>
      </w:pPr>
      <w:r w:rsidRPr="004E4300">
        <w:rPr>
          <w:rFonts w:asciiTheme="minorHAnsi" w:hAnsiTheme="minorHAnsi"/>
        </w:rPr>
        <w:t>Okoli 9 % pomoči za varstvo okolja in varčevanje</w:t>
      </w:r>
      <w:r w:rsidR="00EA2A80" w:rsidRPr="004E4300">
        <w:rPr>
          <w:rFonts w:asciiTheme="minorHAnsi" w:hAnsiTheme="minorHAnsi"/>
        </w:rPr>
        <w:t xml:space="preserve"> z energijo</w:t>
      </w:r>
      <w:r w:rsidRPr="004E4300">
        <w:rPr>
          <w:rFonts w:asciiTheme="minorHAnsi" w:hAnsiTheme="minorHAnsi"/>
        </w:rPr>
        <w:t xml:space="preserve"> v letu 2017 ali 15,63 mio EUR so predstavljale oprostitve plačil</w:t>
      </w:r>
      <w:r w:rsidR="00B421B9" w:rsidRPr="004E4300">
        <w:rPr>
          <w:rFonts w:asciiTheme="minorHAnsi" w:hAnsiTheme="minorHAnsi"/>
        </w:rPr>
        <w:t xml:space="preserve"> okoljske dajatve za onesnaževanje zraka z emisijo ogljikovega dioksida</w:t>
      </w:r>
      <w:r w:rsidR="00F1507A" w:rsidRPr="004E4300">
        <w:rPr>
          <w:rFonts w:asciiTheme="minorHAnsi" w:hAnsiTheme="minorHAnsi"/>
        </w:rPr>
        <w:t>, ka</w:t>
      </w:r>
      <w:r w:rsidR="008C422D" w:rsidRPr="004E4300">
        <w:rPr>
          <w:rFonts w:asciiTheme="minorHAnsi" w:hAnsiTheme="minorHAnsi"/>
        </w:rPr>
        <w:t xml:space="preserve">r je nekaj manj </w:t>
      </w:r>
      <w:r w:rsidRPr="004E4300">
        <w:rPr>
          <w:rFonts w:asciiTheme="minorHAnsi" w:hAnsiTheme="minorHAnsi"/>
        </w:rPr>
        <w:t>kot v povprečju 2015–2017 (12 % oz. povprečno dobrih 21 mio EUR letno).</w:t>
      </w:r>
      <w:r w:rsidRPr="00D050E9">
        <w:rPr>
          <w:rFonts w:asciiTheme="minorHAnsi" w:hAnsiTheme="minorHAnsi"/>
        </w:rPr>
        <w:t xml:space="preserve"> </w:t>
      </w:r>
      <w:r w:rsidR="008C422D" w:rsidRPr="00D050E9">
        <w:rPr>
          <w:rFonts w:asciiTheme="minorHAnsi" w:hAnsiTheme="minorHAnsi"/>
        </w:rPr>
        <w:t xml:space="preserve"> </w:t>
      </w:r>
    </w:p>
    <w:p w:rsidR="00DD3A90" w:rsidRPr="00D050E9" w:rsidRDefault="001864EB" w:rsidP="001864EB">
      <w:pPr>
        <w:spacing w:line="276" w:lineRule="auto"/>
        <w:rPr>
          <w:rFonts w:asciiTheme="minorHAnsi" w:hAnsiTheme="minorHAnsi"/>
        </w:rPr>
      </w:pPr>
      <w:r w:rsidRPr="00D050E9">
        <w:rPr>
          <w:rFonts w:asciiTheme="minorHAnsi" w:hAnsiTheme="minorHAnsi"/>
        </w:rPr>
        <w:t xml:space="preserve">Manjši delež pomoči, </w:t>
      </w:r>
      <w:r w:rsidR="00DD3A90" w:rsidRPr="00D050E9">
        <w:rPr>
          <w:rFonts w:asciiTheme="minorHAnsi" w:hAnsiTheme="minorHAnsi"/>
        </w:rPr>
        <w:t>1,18 mio EUR</w:t>
      </w:r>
      <w:r w:rsidRPr="00D050E9">
        <w:rPr>
          <w:rFonts w:asciiTheme="minorHAnsi" w:hAnsiTheme="minorHAnsi"/>
        </w:rPr>
        <w:t xml:space="preserve"> ali 0,6 % vseh pomoči za varstvo okolja je v letu 2017 </w:t>
      </w:r>
      <w:r w:rsidR="008C422D" w:rsidRPr="00D050E9">
        <w:rPr>
          <w:rFonts w:asciiTheme="minorHAnsi" w:hAnsiTheme="minorHAnsi"/>
        </w:rPr>
        <w:t xml:space="preserve">dodelil </w:t>
      </w:r>
      <w:r w:rsidR="00B421B9" w:rsidRPr="00D050E9">
        <w:rPr>
          <w:rFonts w:asciiTheme="minorHAnsi" w:hAnsiTheme="minorHAnsi"/>
        </w:rPr>
        <w:t>Eko sklad</w:t>
      </w:r>
      <w:r w:rsidRPr="00D050E9">
        <w:rPr>
          <w:rFonts w:asciiTheme="minorHAnsi" w:hAnsiTheme="minorHAnsi"/>
        </w:rPr>
        <w:t>, in sicer</w:t>
      </w:r>
      <w:r w:rsidR="00B421B9" w:rsidRPr="00D050E9">
        <w:rPr>
          <w:rFonts w:asciiTheme="minorHAnsi" w:hAnsiTheme="minorHAnsi"/>
        </w:rPr>
        <w:t xml:space="preserve"> </w:t>
      </w:r>
      <w:r w:rsidR="008C422D" w:rsidRPr="00D050E9">
        <w:rPr>
          <w:rFonts w:asciiTheme="minorHAnsi" w:hAnsiTheme="minorHAnsi"/>
        </w:rPr>
        <w:t>z</w:t>
      </w:r>
      <w:r w:rsidR="00B421B9" w:rsidRPr="00D050E9">
        <w:rPr>
          <w:rFonts w:asciiTheme="minorHAnsi" w:hAnsiTheme="minorHAnsi"/>
        </w:rPr>
        <w:t>a nakup okolju prijaznih prevoznih sredstev</w:t>
      </w:r>
      <w:r w:rsidR="00DD3A90" w:rsidRPr="00D050E9">
        <w:rPr>
          <w:rFonts w:asciiTheme="minorHAnsi" w:hAnsiTheme="minorHAnsi"/>
        </w:rPr>
        <w:t>. Te pomoči so bile v letu 2017 več kot enkrat višje kot v preteklih dveh letih</w:t>
      </w:r>
      <w:r w:rsidR="008C422D" w:rsidRPr="00D050E9">
        <w:rPr>
          <w:rFonts w:asciiTheme="minorHAnsi" w:hAnsiTheme="minorHAnsi"/>
        </w:rPr>
        <w:t xml:space="preserve"> (</w:t>
      </w:r>
      <w:r w:rsidR="00DD3A90" w:rsidRPr="00D050E9">
        <w:rPr>
          <w:rFonts w:asciiTheme="minorHAnsi" w:hAnsiTheme="minorHAnsi"/>
        </w:rPr>
        <w:t xml:space="preserve">dobrih 0,5 mio EUR letno v letih 2015 in 2016). </w:t>
      </w:r>
    </w:p>
    <w:p w:rsidR="00D1443E" w:rsidRPr="00D050E9" w:rsidRDefault="00D1443E" w:rsidP="001864EB">
      <w:pPr>
        <w:spacing w:line="276" w:lineRule="auto"/>
        <w:rPr>
          <w:rFonts w:asciiTheme="minorHAnsi" w:hAnsiTheme="minorHAnsi"/>
        </w:rPr>
      </w:pPr>
    </w:p>
    <w:p w:rsidR="00D1443E" w:rsidRPr="00D050E9" w:rsidRDefault="00D1443E" w:rsidP="001864EB">
      <w:pPr>
        <w:spacing w:line="276" w:lineRule="auto"/>
        <w:rPr>
          <w:rFonts w:asciiTheme="minorHAnsi" w:hAnsiTheme="minorHAnsi"/>
        </w:rPr>
      </w:pPr>
    </w:p>
    <w:p w:rsidR="00D1443E" w:rsidRPr="00D050E9" w:rsidRDefault="00D1443E" w:rsidP="001864EB">
      <w:pPr>
        <w:spacing w:line="276" w:lineRule="auto"/>
        <w:rPr>
          <w:rFonts w:asciiTheme="minorHAnsi" w:hAnsiTheme="minorHAnsi"/>
        </w:rPr>
      </w:pPr>
    </w:p>
    <w:p w:rsidR="00D1443E" w:rsidRPr="00D050E9" w:rsidRDefault="00D1443E" w:rsidP="001864EB">
      <w:pPr>
        <w:spacing w:line="276" w:lineRule="auto"/>
        <w:rPr>
          <w:rFonts w:asciiTheme="minorHAnsi" w:hAnsiTheme="minorHAnsi"/>
        </w:rPr>
      </w:pPr>
    </w:p>
    <w:p w:rsidR="00D1443E" w:rsidRPr="00D050E9" w:rsidRDefault="00D1443E" w:rsidP="001864EB">
      <w:pPr>
        <w:spacing w:line="276" w:lineRule="auto"/>
        <w:rPr>
          <w:rFonts w:asciiTheme="minorHAnsi" w:hAnsiTheme="minorHAnsi"/>
        </w:rPr>
      </w:pPr>
    </w:p>
    <w:p w:rsidR="00D1443E" w:rsidRPr="00D050E9" w:rsidRDefault="00D1443E" w:rsidP="001864EB">
      <w:pPr>
        <w:spacing w:line="276" w:lineRule="auto"/>
        <w:rPr>
          <w:rFonts w:asciiTheme="minorHAnsi" w:hAnsiTheme="minorHAnsi"/>
        </w:rPr>
      </w:pPr>
    </w:p>
    <w:p w:rsidR="00B91FDD" w:rsidRPr="00D050E9" w:rsidRDefault="006966B1" w:rsidP="006966B1">
      <w:pPr>
        <w:pStyle w:val="Caption"/>
        <w:rPr>
          <w:color w:val="auto"/>
        </w:rPr>
      </w:pPr>
      <w:bookmarkStart w:id="74" w:name="_Toc530654648"/>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33</w:t>
      </w:r>
      <w:r w:rsidRPr="00D050E9">
        <w:rPr>
          <w:color w:val="auto"/>
        </w:rPr>
        <w:fldChar w:fldCharType="end"/>
      </w:r>
      <w:r w:rsidRPr="00D050E9">
        <w:rPr>
          <w:color w:val="auto"/>
        </w:rPr>
        <w:t xml:space="preserve">: </w:t>
      </w:r>
      <w:r w:rsidR="00B91FDD" w:rsidRPr="00D050E9">
        <w:rPr>
          <w:color w:val="auto"/>
        </w:rPr>
        <w:t>Struktura pomoči za varstvo okolja in varčevanje z energijo po shemah oz. namenih, povprečje 2015–2017</w:t>
      </w:r>
      <w:bookmarkEnd w:id="74"/>
    </w:p>
    <w:p w:rsidR="0014793B" w:rsidRPr="00D050E9" w:rsidRDefault="006966B1" w:rsidP="00D1443E">
      <w:pPr>
        <w:spacing w:line="276" w:lineRule="auto"/>
        <w:rPr>
          <w:rFonts w:asciiTheme="minorHAnsi" w:hAnsiTheme="minorHAnsi"/>
        </w:rPr>
      </w:pPr>
      <w:r w:rsidRPr="00D050E9">
        <w:rPr>
          <w:noProof/>
          <w:lang w:eastAsia="sl-SI"/>
        </w:rPr>
        <w:drawing>
          <wp:inline distT="0" distB="0" distL="0" distR="0" wp14:anchorId="15CF2257" wp14:editId="466532E1">
            <wp:extent cx="5805055" cy="2944091"/>
            <wp:effectExtent l="0" t="0" r="5715" b="889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368BC" w:rsidRPr="00D050E9" w:rsidRDefault="002873D2" w:rsidP="00D1443E">
      <w:pPr>
        <w:spacing w:line="276" w:lineRule="auto"/>
        <w:rPr>
          <w:rFonts w:asciiTheme="minorHAnsi" w:hAnsiTheme="minorHAnsi"/>
        </w:rPr>
      </w:pPr>
      <w:r w:rsidRPr="00D050E9">
        <w:rPr>
          <w:rFonts w:asciiTheme="minorHAnsi" w:hAnsiTheme="minorHAnsi"/>
        </w:rPr>
        <w:t xml:space="preserve">Pomoči za varstvo okolja in varčevanje z energijo </w:t>
      </w:r>
      <w:r w:rsidR="008544D3" w:rsidRPr="00D050E9">
        <w:rPr>
          <w:rFonts w:asciiTheme="minorHAnsi" w:hAnsiTheme="minorHAnsi"/>
        </w:rPr>
        <w:t xml:space="preserve">se dodeljujejo </w:t>
      </w:r>
      <w:r w:rsidR="00D1443E" w:rsidRPr="00D050E9">
        <w:rPr>
          <w:rFonts w:asciiTheme="minorHAnsi" w:hAnsiTheme="minorHAnsi"/>
        </w:rPr>
        <w:t xml:space="preserve">pretežno </w:t>
      </w:r>
      <w:r w:rsidR="008544D3" w:rsidRPr="00D050E9">
        <w:rPr>
          <w:rFonts w:asciiTheme="minorHAnsi" w:hAnsiTheme="minorHAnsi"/>
        </w:rPr>
        <w:t xml:space="preserve">kot </w:t>
      </w:r>
      <w:r w:rsidR="008544D3" w:rsidRPr="00D050E9">
        <w:rPr>
          <w:rFonts w:asciiTheme="minorHAnsi" w:hAnsiTheme="minorHAnsi"/>
          <w:b/>
        </w:rPr>
        <w:t>subvencije</w:t>
      </w:r>
      <w:r w:rsidR="00D1443E" w:rsidRPr="00D050E9">
        <w:rPr>
          <w:rFonts w:asciiTheme="minorHAnsi" w:hAnsiTheme="minorHAnsi"/>
          <w:b/>
        </w:rPr>
        <w:t xml:space="preserve">, </w:t>
      </w:r>
      <w:r w:rsidR="00D1443E" w:rsidRPr="00D050E9">
        <w:rPr>
          <w:rFonts w:asciiTheme="minorHAnsi" w:hAnsiTheme="minorHAnsi"/>
        </w:rPr>
        <w:t>predstavljale so</w:t>
      </w:r>
      <w:r w:rsidR="00D1443E" w:rsidRPr="00D050E9">
        <w:rPr>
          <w:rFonts w:asciiTheme="minorHAnsi" w:hAnsiTheme="minorHAnsi"/>
          <w:b/>
        </w:rPr>
        <w:t xml:space="preserve"> </w:t>
      </w:r>
      <w:r w:rsidR="006368BC" w:rsidRPr="00D050E9">
        <w:rPr>
          <w:rFonts w:asciiTheme="minorHAnsi" w:hAnsiTheme="minorHAnsi"/>
          <w:b/>
        </w:rPr>
        <w:t>79 %</w:t>
      </w:r>
      <w:r w:rsidR="006368BC" w:rsidRPr="00D050E9">
        <w:rPr>
          <w:rFonts w:asciiTheme="minorHAnsi" w:hAnsiTheme="minorHAnsi"/>
        </w:rPr>
        <w:t xml:space="preserve"> vseh pomoči v letu 2017 (78 % v povprečju zadnjih treh let). </w:t>
      </w:r>
      <w:r w:rsidR="004E3D8D" w:rsidRPr="00D050E9">
        <w:rPr>
          <w:rFonts w:asciiTheme="minorHAnsi" w:hAnsiTheme="minorHAnsi"/>
        </w:rPr>
        <w:t xml:space="preserve">Dobra petina teh pomoči se dodeljuje v obliki </w:t>
      </w:r>
      <w:r w:rsidR="006368BC" w:rsidRPr="00D050E9">
        <w:rPr>
          <w:rFonts w:asciiTheme="minorHAnsi" w:hAnsiTheme="minorHAnsi"/>
          <w:b/>
        </w:rPr>
        <w:t>oprostitve plačila okoljskih davkov in prispevkov</w:t>
      </w:r>
      <w:r w:rsidR="006368BC" w:rsidRPr="00D050E9">
        <w:rPr>
          <w:rFonts w:asciiTheme="minorHAnsi" w:hAnsiTheme="minorHAnsi"/>
        </w:rPr>
        <w:t xml:space="preserve"> </w:t>
      </w:r>
      <w:r w:rsidR="004E3D8D" w:rsidRPr="00D050E9">
        <w:rPr>
          <w:rFonts w:asciiTheme="minorHAnsi" w:hAnsiTheme="minorHAnsi"/>
        </w:rPr>
        <w:t>(</w:t>
      </w:r>
      <w:r w:rsidR="006368BC" w:rsidRPr="00D050E9">
        <w:rPr>
          <w:rFonts w:asciiTheme="minorHAnsi" w:hAnsiTheme="minorHAnsi"/>
          <w:b/>
        </w:rPr>
        <w:t>21 %</w:t>
      </w:r>
      <w:r w:rsidR="006368BC" w:rsidRPr="00D050E9">
        <w:rPr>
          <w:rFonts w:asciiTheme="minorHAnsi" w:hAnsiTheme="minorHAnsi"/>
        </w:rPr>
        <w:t xml:space="preserve"> vseh pomoči</w:t>
      </w:r>
      <w:r w:rsidR="004E3D8D" w:rsidRPr="00D050E9">
        <w:rPr>
          <w:rFonts w:asciiTheme="minorHAnsi" w:hAnsiTheme="minorHAnsi"/>
        </w:rPr>
        <w:t xml:space="preserve"> v letu 2017, </w:t>
      </w:r>
      <w:r w:rsidR="006368BC" w:rsidRPr="00D050E9">
        <w:rPr>
          <w:rFonts w:asciiTheme="minorHAnsi" w:hAnsiTheme="minorHAnsi"/>
        </w:rPr>
        <w:t>22</w:t>
      </w:r>
      <w:r w:rsidR="00561FD4">
        <w:rPr>
          <w:rFonts w:asciiTheme="minorHAnsi" w:hAnsiTheme="minorHAnsi"/>
        </w:rPr>
        <w:t> </w:t>
      </w:r>
      <w:r w:rsidR="006368BC" w:rsidRPr="00D050E9">
        <w:rPr>
          <w:rFonts w:asciiTheme="minorHAnsi" w:hAnsiTheme="minorHAnsi"/>
        </w:rPr>
        <w:t>%</w:t>
      </w:r>
      <w:r w:rsidR="004E3D8D" w:rsidRPr="00D050E9">
        <w:rPr>
          <w:rFonts w:asciiTheme="minorHAnsi" w:hAnsiTheme="minorHAnsi"/>
        </w:rPr>
        <w:t xml:space="preserve"> v obdobju</w:t>
      </w:r>
      <w:r w:rsidR="006368BC" w:rsidRPr="00D050E9">
        <w:rPr>
          <w:rFonts w:asciiTheme="minorHAnsi" w:hAnsiTheme="minorHAnsi"/>
        </w:rPr>
        <w:t xml:space="preserve"> 2015–2017). </w:t>
      </w:r>
    </w:p>
    <w:p w:rsidR="008544D3" w:rsidRPr="00D050E9" w:rsidRDefault="006966B1" w:rsidP="006966B1">
      <w:pPr>
        <w:pStyle w:val="Caption"/>
        <w:rPr>
          <w:color w:val="auto"/>
        </w:rPr>
      </w:pPr>
      <w:bookmarkStart w:id="75" w:name="_Toc530654649"/>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34</w:t>
      </w:r>
      <w:r w:rsidRPr="00D050E9">
        <w:rPr>
          <w:color w:val="auto"/>
        </w:rPr>
        <w:fldChar w:fldCharType="end"/>
      </w:r>
      <w:r w:rsidRPr="00D050E9">
        <w:rPr>
          <w:color w:val="auto"/>
        </w:rPr>
        <w:t xml:space="preserve">: </w:t>
      </w:r>
      <w:r w:rsidR="006368BC" w:rsidRPr="00D050E9">
        <w:rPr>
          <w:color w:val="auto"/>
        </w:rPr>
        <w:t>Struktura pomoči za varstvo okolja po instrumentih, 2008–2017</w:t>
      </w:r>
      <w:bookmarkEnd w:id="75"/>
    </w:p>
    <w:p w:rsidR="00375A8A" w:rsidRPr="00D050E9" w:rsidRDefault="008544D3">
      <w:pPr>
        <w:spacing w:line="276" w:lineRule="auto"/>
        <w:jc w:val="left"/>
        <w:rPr>
          <w:rFonts w:asciiTheme="minorHAnsi" w:hAnsiTheme="minorHAnsi"/>
        </w:rPr>
      </w:pPr>
      <w:r w:rsidRPr="00D050E9">
        <w:rPr>
          <w:noProof/>
          <w:lang w:eastAsia="sl-SI"/>
        </w:rPr>
        <w:drawing>
          <wp:inline distT="0" distB="0" distL="0" distR="0" wp14:anchorId="335DC252" wp14:editId="2EF4A2CD">
            <wp:extent cx="5440680" cy="2644140"/>
            <wp:effectExtent l="0" t="0" r="7620" b="381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D050E9">
        <w:rPr>
          <w:rFonts w:asciiTheme="minorHAnsi" w:hAnsiTheme="minorHAnsi"/>
        </w:rPr>
        <w:t xml:space="preserve"> </w:t>
      </w:r>
    </w:p>
    <w:p w:rsidR="006966B1" w:rsidRPr="00D050E9" w:rsidRDefault="006966B1" w:rsidP="006966B1">
      <w:pPr>
        <w:spacing w:line="276" w:lineRule="auto"/>
        <w:rPr>
          <w:rFonts w:asciiTheme="minorHAnsi" w:hAnsiTheme="minorHAnsi"/>
        </w:rPr>
      </w:pPr>
      <w:r w:rsidRPr="00D050E9">
        <w:rPr>
          <w:rFonts w:asciiTheme="minorHAnsi" w:hAnsiTheme="minorHAnsi"/>
        </w:rPr>
        <w:t>Pomoč za varstvo okolja je v letu 2017 prejelo 2.605 podjetij o</w:t>
      </w:r>
      <w:r w:rsidR="00D44FD5">
        <w:rPr>
          <w:rFonts w:asciiTheme="minorHAnsi" w:hAnsiTheme="minorHAnsi"/>
        </w:rPr>
        <w:t xml:space="preserve">d skupaj 6.821 podjetij, ki so </w:t>
      </w:r>
      <w:r w:rsidRPr="00D050E9">
        <w:rPr>
          <w:rFonts w:asciiTheme="minorHAnsi" w:hAnsiTheme="minorHAnsi"/>
        </w:rPr>
        <w:t xml:space="preserve">prejela državno pomoč v letu 2017 (ta podjetja so lahko prejela tudi pomoči za druge kategorije pomoči). Povprečna pomoč za varstvo okolja in varčevanje z energijo na prejemnika je znašala 70 tisoč EUR, kar je več kot je bila povprečna višina (vseh) državnih pomoči (slabih 61 tisoč EUR na prejemnika). </w:t>
      </w:r>
    </w:p>
    <w:p w:rsidR="0014793B" w:rsidRPr="00D050E9" w:rsidRDefault="0014793B" w:rsidP="006966B1">
      <w:pPr>
        <w:spacing w:line="276" w:lineRule="auto"/>
        <w:rPr>
          <w:rFonts w:asciiTheme="minorHAnsi" w:hAnsiTheme="minorHAnsi"/>
        </w:rPr>
      </w:pPr>
    </w:p>
    <w:p w:rsidR="006966B1" w:rsidRPr="00D050E9" w:rsidRDefault="006966B1" w:rsidP="006966B1">
      <w:pPr>
        <w:spacing w:line="276" w:lineRule="auto"/>
        <w:rPr>
          <w:rFonts w:asciiTheme="minorHAnsi" w:hAnsiTheme="minorHAnsi"/>
        </w:rPr>
      </w:pPr>
      <w:r w:rsidRPr="00D050E9">
        <w:rPr>
          <w:rFonts w:asciiTheme="minorHAnsi" w:hAnsiTheme="minorHAnsi"/>
        </w:rPr>
        <w:lastRenderedPageBreak/>
        <w:t xml:space="preserve">Največji prejemniki ostajajo že nekaj let nespremenjeni (Energetika Ljubljana d.o.o., Merkscha d.o.o., Petrol), nov večji prejemnik je Talum, Tovarna aluminija d.d., kot največji prejemnik pomoči v obliki znižanja prispevkov za elektro intenzivna podjetja </w:t>
      </w:r>
      <w:r w:rsidRPr="004E4300">
        <w:rPr>
          <w:rFonts w:asciiTheme="minorHAnsi" w:hAnsiTheme="minorHAnsi"/>
        </w:rPr>
        <w:t>v</w:t>
      </w:r>
      <w:r w:rsidR="00AB1807" w:rsidRPr="004E4300">
        <w:rPr>
          <w:rFonts w:asciiTheme="minorHAnsi" w:hAnsiTheme="minorHAnsi"/>
        </w:rPr>
        <w:t xml:space="preserve"> okviru podorne sheme</w:t>
      </w:r>
      <w:r w:rsidRPr="00D050E9">
        <w:rPr>
          <w:rFonts w:asciiTheme="minorHAnsi" w:hAnsiTheme="minorHAnsi"/>
        </w:rPr>
        <w:t xml:space="preserve"> za proizvodnjo elektrike iz obnovljivih virov ter v soproizvodnji z visokih izkoristkom</w:t>
      </w:r>
      <w:r w:rsidR="00AB1807">
        <w:rPr>
          <w:rFonts w:asciiTheme="minorHAnsi" w:hAnsiTheme="minorHAnsi"/>
        </w:rPr>
        <w:t>.</w:t>
      </w:r>
      <w:r w:rsidRPr="00D050E9">
        <w:rPr>
          <w:rFonts w:asciiTheme="minorHAnsi" w:hAnsiTheme="minorHAnsi"/>
        </w:rPr>
        <w:t xml:space="preserve"> Prejel </w:t>
      </w:r>
      <w:r w:rsidR="00AB1807">
        <w:rPr>
          <w:rFonts w:asciiTheme="minorHAnsi" w:hAnsiTheme="minorHAnsi"/>
        </w:rPr>
        <w:t xml:space="preserve">je 44 % vseh pomoči </w:t>
      </w:r>
      <w:r w:rsidR="00AB1807" w:rsidRPr="004E4300">
        <w:rPr>
          <w:rFonts w:asciiTheme="minorHAnsi" w:hAnsiTheme="minorHAnsi"/>
        </w:rPr>
        <w:t>po tej</w:t>
      </w:r>
      <w:r w:rsidRPr="004E4300">
        <w:rPr>
          <w:rFonts w:asciiTheme="minorHAnsi" w:hAnsiTheme="minorHAnsi"/>
        </w:rPr>
        <w:t xml:space="preserve"> shemi</w:t>
      </w:r>
      <w:r w:rsidRPr="00D050E9">
        <w:rPr>
          <w:rFonts w:asciiTheme="minorHAnsi" w:hAnsiTheme="minorHAnsi"/>
        </w:rPr>
        <w:t xml:space="preserve"> v obdobju 2015–2017.  </w:t>
      </w:r>
    </w:p>
    <w:p w:rsidR="00D1443E" w:rsidRPr="00D050E9" w:rsidRDefault="006966B1" w:rsidP="006966B1">
      <w:pPr>
        <w:spacing w:after="0" w:line="276" w:lineRule="auto"/>
        <w:jc w:val="left"/>
        <w:rPr>
          <w:rFonts w:asciiTheme="minorHAnsi" w:hAnsiTheme="minorHAnsi"/>
        </w:rPr>
      </w:pPr>
      <w:r w:rsidRPr="00D050E9">
        <w:rPr>
          <w:rFonts w:asciiTheme="minorHAnsi" w:hAnsiTheme="minorHAnsi"/>
        </w:rPr>
        <w:t>Največji prejemniki pomoči za varstvo okolja in varčevanje z energijo v obdobju 2015–2017 so bili:</w:t>
      </w:r>
    </w:p>
    <w:p w:rsidR="006966B1" w:rsidRPr="00D050E9" w:rsidRDefault="006966B1" w:rsidP="006966B1">
      <w:pPr>
        <w:spacing w:after="0" w:line="276" w:lineRule="auto"/>
        <w:jc w:val="left"/>
        <w:rPr>
          <w:rFonts w:asciiTheme="minorHAnsi" w:hAnsiTheme="minorHAnsi"/>
        </w:rPr>
      </w:pPr>
    </w:p>
    <w:tbl>
      <w:tblPr>
        <w:tblStyle w:val="LightShading-Accent4"/>
        <w:tblW w:w="5000" w:type="pct"/>
        <w:tblLook w:val="04A0" w:firstRow="1" w:lastRow="0" w:firstColumn="1" w:lastColumn="0" w:noHBand="0" w:noVBand="1"/>
      </w:tblPr>
      <w:tblGrid>
        <w:gridCol w:w="3981"/>
        <w:gridCol w:w="1355"/>
        <w:gridCol w:w="1355"/>
        <w:gridCol w:w="1355"/>
        <w:gridCol w:w="1354"/>
      </w:tblGrid>
      <w:tr w:rsidR="006966B1" w:rsidRPr="00D050E9" w:rsidTr="006966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Prejemnik pomoči</w:t>
            </w:r>
          </w:p>
        </w:tc>
        <w:tc>
          <w:tcPr>
            <w:tcW w:w="721" w:type="pct"/>
            <w:hideMark/>
          </w:tcPr>
          <w:p w:rsidR="00375A8A" w:rsidRPr="00D050E9" w:rsidRDefault="00375A8A" w:rsidP="00375A8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2015</w:t>
            </w:r>
          </w:p>
        </w:tc>
        <w:tc>
          <w:tcPr>
            <w:tcW w:w="721" w:type="pct"/>
            <w:hideMark/>
          </w:tcPr>
          <w:p w:rsidR="00375A8A" w:rsidRPr="00D050E9" w:rsidRDefault="00375A8A" w:rsidP="00375A8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2016</w:t>
            </w:r>
          </w:p>
        </w:tc>
        <w:tc>
          <w:tcPr>
            <w:tcW w:w="721" w:type="pct"/>
            <w:hideMark/>
          </w:tcPr>
          <w:p w:rsidR="00375A8A" w:rsidRPr="00D050E9" w:rsidRDefault="00375A8A" w:rsidP="00375A8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2017</w:t>
            </w:r>
          </w:p>
        </w:tc>
        <w:tc>
          <w:tcPr>
            <w:tcW w:w="721" w:type="pct"/>
            <w:hideMark/>
          </w:tcPr>
          <w:p w:rsidR="00375A8A" w:rsidRPr="00D050E9" w:rsidRDefault="00375A8A" w:rsidP="00375A8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Skupaj 2015-2017</w:t>
            </w:r>
          </w:p>
        </w:tc>
      </w:tr>
      <w:tr w:rsidR="00375A8A" w:rsidRPr="00D050E9" w:rsidTr="006966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JAVNO PODJETJE ENERGETIKA LJUBLJANA d.o.o.</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12.534.462,63</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12.372.155,61</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10.320.926,08</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35.227.544,32</w:t>
            </w:r>
          </w:p>
        </w:tc>
      </w:tr>
      <w:tr w:rsidR="00375A8A" w:rsidRPr="00D050E9" w:rsidTr="006966B1">
        <w:trPr>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TALUM Tovarna aluminija d.d. Kidričevo</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4.053.075,75</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10.969.045,92</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9.604.575,53</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24.626.697,20</w:t>
            </w:r>
          </w:p>
        </w:tc>
      </w:tr>
      <w:tr w:rsidR="00375A8A" w:rsidRPr="00D050E9" w:rsidTr="006966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MERKSCHA furnirnica d.o.o.</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5.879.045,23</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6.647.469,13</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5.756.410,17</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18.282.924,53</w:t>
            </w:r>
          </w:p>
        </w:tc>
      </w:tr>
      <w:tr w:rsidR="00375A8A" w:rsidRPr="00D050E9" w:rsidTr="006966B1">
        <w:trPr>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PETROL, Slovenska energetska družba, d.d., Ljubljana</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3.726.780,11</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3.791.852,25</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3.338.351,88</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10.856.984,24</w:t>
            </w:r>
          </w:p>
        </w:tc>
      </w:tr>
      <w:tr w:rsidR="00375A8A" w:rsidRPr="00D050E9" w:rsidTr="006966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PANVITA EKOTEH, proizvodnja energije in storitve d.o.o.</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3.443.336,35</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3.671.413,87</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3.605.183,02</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10.719.933,24</w:t>
            </w:r>
          </w:p>
        </w:tc>
      </w:tr>
      <w:tr w:rsidR="00375A8A" w:rsidRPr="00D050E9" w:rsidTr="006966B1">
        <w:trPr>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PETROL ENERGETIKA proizvodnja in distribucija energetskih medijev d.o.o.</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4.400.635,34</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2.123.577,55</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3.788.527,95</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10.312.740,84</w:t>
            </w:r>
          </w:p>
        </w:tc>
      </w:tr>
      <w:tr w:rsidR="00375A8A" w:rsidRPr="00D050E9" w:rsidTr="006966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BIO-ELEKT družba za pridobivanje električne energije d.o.o.</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1.075.502,40</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4.212.271,70</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3.806.742,29</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9.094.516,39</w:t>
            </w:r>
          </w:p>
        </w:tc>
      </w:tr>
      <w:tr w:rsidR="00375A8A" w:rsidRPr="00D050E9" w:rsidTr="006966B1">
        <w:trPr>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VIPAP VIDEM KRŠKO proizvodnja papirja in vlaknin d.d.</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2.282.902,91</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2.262.979,67</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1.855.356,03</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6.401.238,61</w:t>
            </w:r>
          </w:p>
        </w:tc>
      </w:tr>
      <w:tr w:rsidR="00375A8A" w:rsidRPr="00D050E9" w:rsidTr="006966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SIJ ACRONI podjetje za proizvodnjo jekla in jeklenih izdelkov d.o.o.</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1.977.157,35</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1.932.177,22</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1.937.743,78</w:t>
            </w:r>
          </w:p>
        </w:tc>
        <w:tc>
          <w:tcPr>
            <w:tcW w:w="721" w:type="pct"/>
            <w:hideMark/>
          </w:tcPr>
          <w:p w:rsidR="00375A8A" w:rsidRPr="00D050E9" w:rsidRDefault="00375A8A" w:rsidP="00375A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5.847.078,35</w:t>
            </w:r>
          </w:p>
        </w:tc>
      </w:tr>
      <w:tr w:rsidR="00375A8A" w:rsidRPr="00D050E9" w:rsidTr="006966B1">
        <w:trPr>
          <w:trHeight w:val="20"/>
        </w:trPr>
        <w:tc>
          <w:tcPr>
            <w:cnfStyle w:val="001000000000" w:firstRow="0" w:lastRow="0" w:firstColumn="1" w:lastColumn="0" w:oddVBand="0" w:evenVBand="0" w:oddHBand="0" w:evenHBand="0" w:firstRowFirstColumn="0" w:firstRowLastColumn="0" w:lastRowFirstColumn="0" w:lastRowLastColumn="0"/>
            <w:tcW w:w="2117" w:type="pct"/>
            <w:hideMark/>
          </w:tcPr>
          <w:p w:rsidR="00375A8A" w:rsidRPr="00D050E9" w:rsidRDefault="00375A8A" w:rsidP="00375A8A">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ESOL lesna predelava d.o.o.</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1.814.460,64</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2.095.463,42</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1.806.625,35</w:t>
            </w:r>
          </w:p>
        </w:tc>
        <w:tc>
          <w:tcPr>
            <w:tcW w:w="721" w:type="pct"/>
            <w:hideMark/>
          </w:tcPr>
          <w:p w:rsidR="00375A8A" w:rsidRPr="00D050E9" w:rsidRDefault="00375A8A" w:rsidP="00375A8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5.716.549,41</w:t>
            </w:r>
          </w:p>
        </w:tc>
      </w:tr>
    </w:tbl>
    <w:p w:rsidR="00375A8A" w:rsidRPr="00D050E9" w:rsidRDefault="00375A8A">
      <w:pPr>
        <w:spacing w:line="276" w:lineRule="auto"/>
        <w:jc w:val="left"/>
        <w:rPr>
          <w:rFonts w:asciiTheme="minorHAnsi" w:hAnsiTheme="minorHAnsi"/>
        </w:rPr>
      </w:pPr>
    </w:p>
    <w:p w:rsidR="007B2E67" w:rsidRPr="00D050E9" w:rsidRDefault="007B2E67" w:rsidP="00E72379">
      <w:pPr>
        <w:pStyle w:val="Heading2"/>
      </w:pPr>
      <w:bookmarkStart w:id="76" w:name="_Toc528594654"/>
      <w:bookmarkStart w:id="77" w:name="_Toc530654550"/>
      <w:r w:rsidRPr="00D050E9">
        <w:t>4.2 ZAPOSLOVANJE</w:t>
      </w:r>
      <w:bookmarkEnd w:id="76"/>
      <w:bookmarkEnd w:id="77"/>
      <w:r w:rsidRPr="00D050E9">
        <w:t xml:space="preserve"> </w:t>
      </w:r>
    </w:p>
    <w:p w:rsidR="006966B1" w:rsidRPr="00D050E9" w:rsidRDefault="006966B1" w:rsidP="006966B1">
      <w:pPr>
        <w:spacing w:after="0" w:line="276" w:lineRule="auto"/>
        <w:rPr>
          <w:rFonts w:asciiTheme="minorHAnsi" w:hAnsiTheme="minorHAnsi"/>
        </w:rPr>
      </w:pPr>
    </w:p>
    <w:p w:rsidR="00B27F5C" w:rsidRPr="00D050E9" w:rsidRDefault="00083DFA" w:rsidP="00B27F5C">
      <w:pPr>
        <w:spacing w:line="276" w:lineRule="auto"/>
        <w:rPr>
          <w:rFonts w:asciiTheme="minorHAnsi" w:hAnsiTheme="minorHAnsi"/>
        </w:rPr>
      </w:pPr>
      <w:r w:rsidRPr="00D050E9">
        <w:rPr>
          <w:rFonts w:asciiTheme="minorHAnsi" w:hAnsiTheme="minorHAnsi"/>
        </w:rPr>
        <w:t>Pomoči za zaposlovanje predstavljajo drugo največjo kategorijo pomoči v Sloveniji. V letu 2017 je bilo za spodbujanje zaposlovanja izplačanih 98,4</w:t>
      </w:r>
      <w:r w:rsidR="00F42D8E" w:rsidRPr="00D050E9">
        <w:rPr>
          <w:rFonts w:asciiTheme="minorHAnsi" w:hAnsiTheme="minorHAnsi"/>
        </w:rPr>
        <w:t>7 mio EUR ali 23 % vseh pomoči</w:t>
      </w:r>
      <w:r w:rsidR="00B27F5C" w:rsidRPr="00D050E9">
        <w:rPr>
          <w:rFonts w:asciiTheme="minorHAnsi" w:hAnsiTheme="minorHAnsi"/>
        </w:rPr>
        <w:t>.</w:t>
      </w:r>
      <w:r w:rsidR="00F42D8E" w:rsidRPr="00D050E9">
        <w:rPr>
          <w:rFonts w:asciiTheme="minorHAnsi" w:hAnsiTheme="minorHAnsi"/>
        </w:rPr>
        <w:t xml:space="preserve"> </w:t>
      </w:r>
      <w:r w:rsidR="00B27F5C" w:rsidRPr="00D050E9">
        <w:rPr>
          <w:rFonts w:asciiTheme="minorHAnsi" w:hAnsiTheme="minorHAnsi"/>
        </w:rPr>
        <w:t xml:space="preserve">Obseg pomoči za zaposlovanje se je v letu 2017 po dveh letih upadanja ponovno povečal, in sicer za slabih 9 mio EUR. </w:t>
      </w:r>
    </w:p>
    <w:p w:rsidR="00B27F5C" w:rsidRPr="00D050E9" w:rsidRDefault="00B27F5C" w:rsidP="00B27F5C">
      <w:pPr>
        <w:spacing w:line="276" w:lineRule="auto"/>
        <w:rPr>
          <w:rFonts w:asciiTheme="minorHAnsi" w:hAnsiTheme="minorHAnsi"/>
        </w:rPr>
      </w:pPr>
      <w:r w:rsidRPr="00D050E9">
        <w:rPr>
          <w:rFonts w:asciiTheme="minorHAnsi" w:hAnsiTheme="minorHAnsi"/>
        </w:rPr>
        <w:t xml:space="preserve">Glavnina pomoči za zaposlovanje, 97,29 mio EUR ali </w:t>
      </w:r>
      <w:r w:rsidRPr="00D050E9">
        <w:rPr>
          <w:rFonts w:asciiTheme="minorHAnsi" w:hAnsiTheme="minorHAnsi"/>
          <w:b/>
        </w:rPr>
        <w:t>99 %</w:t>
      </w:r>
      <w:r w:rsidRPr="00D050E9">
        <w:rPr>
          <w:rFonts w:asciiTheme="minorHAnsi" w:hAnsiTheme="minorHAnsi"/>
        </w:rPr>
        <w:t xml:space="preserve"> teh pomoči v letu 2017, je bila namenjena za </w:t>
      </w:r>
      <w:r w:rsidR="00F42D8E" w:rsidRPr="00D050E9">
        <w:rPr>
          <w:rFonts w:asciiTheme="minorHAnsi" w:hAnsiTheme="minorHAnsi"/>
          <w:b/>
        </w:rPr>
        <w:t>zaposlovanje invalidnih oseb</w:t>
      </w:r>
      <w:r w:rsidR="00194D94" w:rsidRPr="00D050E9">
        <w:rPr>
          <w:rFonts w:asciiTheme="minorHAnsi" w:hAnsiTheme="minorHAnsi"/>
        </w:rPr>
        <w:t>. Le</w:t>
      </w:r>
      <w:r w:rsidR="00F42D8E" w:rsidRPr="00D050E9">
        <w:rPr>
          <w:rFonts w:asciiTheme="minorHAnsi" w:hAnsiTheme="minorHAnsi"/>
        </w:rPr>
        <w:t xml:space="preserve"> </w:t>
      </w:r>
      <w:r w:rsidR="00194D94" w:rsidRPr="00D050E9">
        <w:rPr>
          <w:rFonts w:asciiTheme="minorHAnsi" w:hAnsiTheme="minorHAnsi"/>
        </w:rPr>
        <w:t xml:space="preserve">približno </w:t>
      </w:r>
      <w:r w:rsidR="00F42D8E" w:rsidRPr="00D050E9">
        <w:rPr>
          <w:rFonts w:asciiTheme="minorHAnsi" w:hAnsiTheme="minorHAnsi"/>
          <w:b/>
        </w:rPr>
        <w:t>1 %</w:t>
      </w:r>
      <w:r w:rsidR="00F42D8E" w:rsidRPr="00D050E9">
        <w:rPr>
          <w:rFonts w:asciiTheme="minorHAnsi" w:hAnsiTheme="minorHAnsi"/>
        </w:rPr>
        <w:t xml:space="preserve"> vseh pomoči za </w:t>
      </w:r>
      <w:r w:rsidRPr="00D050E9">
        <w:rPr>
          <w:rFonts w:asciiTheme="minorHAnsi" w:hAnsiTheme="minorHAnsi"/>
        </w:rPr>
        <w:t>zaposlovanje</w:t>
      </w:r>
      <w:r w:rsidR="00F42D8E" w:rsidRPr="00D050E9">
        <w:rPr>
          <w:rFonts w:asciiTheme="minorHAnsi" w:hAnsiTheme="minorHAnsi"/>
        </w:rPr>
        <w:t xml:space="preserve"> (</w:t>
      </w:r>
      <w:r w:rsidRPr="00D050E9">
        <w:rPr>
          <w:rFonts w:asciiTheme="minorHAnsi" w:hAnsiTheme="minorHAnsi"/>
        </w:rPr>
        <w:t xml:space="preserve">1,19 mio EUR) je bil namenjen </w:t>
      </w:r>
      <w:r w:rsidRPr="00D050E9">
        <w:rPr>
          <w:rFonts w:asciiTheme="minorHAnsi" w:hAnsiTheme="minorHAnsi"/>
          <w:b/>
        </w:rPr>
        <w:t>zaposlovanju prikrajšanih delavcev</w:t>
      </w:r>
      <w:r w:rsidRPr="00D050E9">
        <w:rPr>
          <w:rFonts w:asciiTheme="minorHAnsi" w:hAnsiTheme="minorHAnsi"/>
        </w:rPr>
        <w:t xml:space="preserve">. </w:t>
      </w:r>
      <w:r w:rsidR="00194D94" w:rsidRPr="00D050E9">
        <w:rPr>
          <w:rFonts w:asciiTheme="minorHAnsi" w:hAnsiTheme="minorHAnsi"/>
        </w:rPr>
        <w:t>Razlog za</w:t>
      </w:r>
      <w:r w:rsidR="00712281" w:rsidRPr="00D050E9">
        <w:rPr>
          <w:rFonts w:asciiTheme="minorHAnsi" w:hAnsiTheme="minorHAnsi"/>
        </w:rPr>
        <w:t xml:space="preserve"> to so st</w:t>
      </w:r>
      <w:r w:rsidR="00194D94" w:rsidRPr="00D050E9">
        <w:rPr>
          <w:rFonts w:asciiTheme="minorHAnsi" w:hAnsiTheme="minorHAnsi"/>
        </w:rPr>
        <w:t xml:space="preserve">rogi pogoji dodeljevanja teh pomoči, </w:t>
      </w:r>
      <w:r w:rsidR="0016310B" w:rsidRPr="00D050E9">
        <w:rPr>
          <w:rFonts w:asciiTheme="minorHAnsi" w:hAnsiTheme="minorHAnsi"/>
        </w:rPr>
        <w:t>saj</w:t>
      </w:r>
      <w:r w:rsidR="00194D94" w:rsidRPr="00D050E9">
        <w:rPr>
          <w:rFonts w:asciiTheme="minorHAnsi" w:hAnsiTheme="minorHAnsi"/>
        </w:rPr>
        <w:t xml:space="preserve"> zahtevajo neto povečanje š</w:t>
      </w:r>
      <w:r w:rsidRPr="00D050E9">
        <w:rPr>
          <w:rFonts w:asciiTheme="minorHAnsi" w:hAnsiTheme="minorHAnsi"/>
        </w:rPr>
        <w:t>tevila zaposlenih</w:t>
      </w:r>
      <w:r w:rsidR="0016310B" w:rsidRPr="00D050E9">
        <w:rPr>
          <w:rFonts w:asciiTheme="minorHAnsi" w:hAnsiTheme="minorHAnsi"/>
        </w:rPr>
        <w:t xml:space="preserve"> pri subjektu, ki zaprosi za pomoč</w:t>
      </w:r>
      <w:r w:rsidRPr="00D050E9">
        <w:rPr>
          <w:rFonts w:asciiTheme="minorHAnsi" w:hAnsiTheme="minorHAnsi"/>
        </w:rPr>
        <w:t>.</w:t>
      </w:r>
      <w:r w:rsidR="00712281" w:rsidRPr="00D050E9">
        <w:rPr>
          <w:rFonts w:asciiTheme="minorHAnsi" w:hAnsiTheme="minorHAnsi"/>
        </w:rPr>
        <w:t xml:space="preserve"> Ta pogoj pri zaposlovanj</w:t>
      </w:r>
      <w:r w:rsidR="006966B1" w:rsidRPr="00D050E9">
        <w:rPr>
          <w:rFonts w:asciiTheme="minorHAnsi" w:hAnsiTheme="minorHAnsi"/>
        </w:rPr>
        <w:t>u invalidnih oseb ni potreben.</w:t>
      </w:r>
    </w:p>
    <w:p w:rsidR="002873D2" w:rsidRPr="00D050E9" w:rsidRDefault="002873D2" w:rsidP="00B27F5C">
      <w:pPr>
        <w:spacing w:line="276" w:lineRule="auto"/>
        <w:rPr>
          <w:rFonts w:asciiTheme="minorHAnsi" w:hAnsiTheme="minorHAnsi"/>
        </w:rPr>
      </w:pPr>
    </w:p>
    <w:p w:rsidR="002873D2" w:rsidRPr="00D050E9" w:rsidRDefault="002873D2" w:rsidP="00B27F5C">
      <w:pPr>
        <w:spacing w:line="276" w:lineRule="auto"/>
        <w:rPr>
          <w:rFonts w:asciiTheme="minorHAnsi" w:hAnsiTheme="minorHAnsi"/>
        </w:rPr>
      </w:pPr>
    </w:p>
    <w:p w:rsidR="002873D2" w:rsidRPr="00D050E9" w:rsidRDefault="002873D2" w:rsidP="00B27F5C">
      <w:pPr>
        <w:spacing w:line="276" w:lineRule="auto"/>
        <w:rPr>
          <w:rFonts w:asciiTheme="minorHAnsi" w:hAnsiTheme="minorHAnsi"/>
        </w:rPr>
      </w:pPr>
    </w:p>
    <w:p w:rsidR="002873D2" w:rsidRPr="00D050E9" w:rsidRDefault="002873D2" w:rsidP="00B27F5C">
      <w:pPr>
        <w:spacing w:line="276" w:lineRule="auto"/>
        <w:rPr>
          <w:rFonts w:asciiTheme="minorHAnsi" w:hAnsiTheme="minorHAnsi"/>
        </w:rPr>
      </w:pPr>
    </w:p>
    <w:p w:rsidR="002873D2" w:rsidRPr="00D050E9" w:rsidRDefault="002873D2" w:rsidP="00B27F5C">
      <w:pPr>
        <w:spacing w:line="276" w:lineRule="auto"/>
        <w:rPr>
          <w:rFonts w:asciiTheme="minorHAnsi" w:hAnsiTheme="minorHAnsi"/>
        </w:rPr>
      </w:pPr>
    </w:p>
    <w:p w:rsidR="002873D2" w:rsidRPr="00D050E9" w:rsidRDefault="002873D2" w:rsidP="00B27F5C">
      <w:pPr>
        <w:spacing w:line="276" w:lineRule="auto"/>
        <w:rPr>
          <w:rFonts w:asciiTheme="minorHAnsi" w:hAnsiTheme="minorHAnsi"/>
        </w:rPr>
      </w:pPr>
    </w:p>
    <w:p w:rsidR="00225F79" w:rsidRPr="00D050E9" w:rsidRDefault="006966B1" w:rsidP="006966B1">
      <w:pPr>
        <w:pStyle w:val="Caption"/>
        <w:rPr>
          <w:color w:val="auto"/>
        </w:rPr>
      </w:pPr>
      <w:bookmarkStart w:id="78" w:name="_Toc530654650"/>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35</w:t>
      </w:r>
      <w:r w:rsidRPr="00D050E9">
        <w:rPr>
          <w:color w:val="auto"/>
        </w:rPr>
        <w:fldChar w:fldCharType="end"/>
      </w:r>
      <w:r w:rsidRPr="00D050E9">
        <w:rPr>
          <w:color w:val="auto"/>
        </w:rPr>
        <w:t xml:space="preserve">: </w:t>
      </w:r>
      <w:r w:rsidR="00225F79" w:rsidRPr="00D050E9">
        <w:rPr>
          <w:color w:val="auto"/>
        </w:rPr>
        <w:t>Državne pomoči za zaposlovanje v Mio EU</w:t>
      </w:r>
      <w:r w:rsidRPr="00D050E9">
        <w:rPr>
          <w:color w:val="auto"/>
        </w:rPr>
        <w:t>R in kot %</w:t>
      </w:r>
      <w:r w:rsidR="0055661E" w:rsidRPr="00D050E9">
        <w:rPr>
          <w:color w:val="auto"/>
        </w:rPr>
        <w:t xml:space="preserve"> vseh pomoči, 2008</w:t>
      </w:r>
      <w:r w:rsidR="00225F79" w:rsidRPr="00D050E9">
        <w:rPr>
          <w:color w:val="auto"/>
        </w:rPr>
        <w:t>–2017</w:t>
      </w:r>
      <w:bookmarkEnd w:id="78"/>
    </w:p>
    <w:p w:rsidR="00947006" w:rsidRPr="00D050E9" w:rsidRDefault="00947006">
      <w:pPr>
        <w:spacing w:line="276" w:lineRule="auto"/>
        <w:jc w:val="left"/>
        <w:rPr>
          <w:rFonts w:asciiTheme="minorHAnsi" w:hAnsiTheme="minorHAnsi"/>
          <w:b/>
          <w:color w:val="5F497A" w:themeColor="accent4" w:themeShade="BF"/>
        </w:rPr>
      </w:pPr>
      <w:r w:rsidRPr="00D050E9">
        <w:rPr>
          <w:noProof/>
          <w:lang w:eastAsia="sl-SI"/>
        </w:rPr>
        <w:drawing>
          <wp:inline distT="0" distB="0" distL="0" distR="0" wp14:anchorId="7A16523C" wp14:editId="455DB7BD">
            <wp:extent cx="5760720" cy="2758440"/>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05E2C" w:rsidRPr="00D050E9" w:rsidRDefault="00B27F5C" w:rsidP="00083DFA">
      <w:pPr>
        <w:spacing w:line="276" w:lineRule="auto"/>
        <w:rPr>
          <w:rFonts w:asciiTheme="minorHAnsi" w:hAnsiTheme="minorHAnsi"/>
        </w:rPr>
      </w:pPr>
      <w:r w:rsidRPr="00D050E9">
        <w:rPr>
          <w:rFonts w:asciiTheme="minorHAnsi" w:hAnsiTheme="minorHAnsi"/>
        </w:rPr>
        <w:t>Obseg pomoči za zaposlovanje se je izrazito povečal po letu 2012, ko je bila priglašena shema pomoči za zaposlovanje invalidnih oseb</w:t>
      </w:r>
      <w:r w:rsidRPr="00D050E9">
        <w:rPr>
          <w:rStyle w:val="FootnoteReference"/>
          <w:rFonts w:asciiTheme="minorHAnsi" w:hAnsiTheme="minorHAnsi"/>
        </w:rPr>
        <w:footnoteReference w:id="12"/>
      </w:r>
      <w:r w:rsidRPr="00D050E9">
        <w:rPr>
          <w:rFonts w:asciiTheme="minorHAnsi" w:hAnsiTheme="minorHAnsi"/>
        </w:rPr>
        <w:t xml:space="preserve">. </w:t>
      </w:r>
      <w:r w:rsidR="00705E2C" w:rsidRPr="00D050E9">
        <w:rPr>
          <w:rFonts w:asciiTheme="minorHAnsi" w:hAnsiTheme="minorHAnsi"/>
        </w:rPr>
        <w:t xml:space="preserve">Pomoči </w:t>
      </w:r>
      <w:r w:rsidR="00194D94" w:rsidRPr="00D050E9">
        <w:rPr>
          <w:rFonts w:asciiTheme="minorHAnsi" w:hAnsiTheme="minorHAnsi"/>
        </w:rPr>
        <w:t xml:space="preserve">za zaposlovanje invalidnih oseb se </w:t>
      </w:r>
      <w:r w:rsidRPr="00D050E9">
        <w:rPr>
          <w:rFonts w:asciiTheme="minorHAnsi" w:hAnsiTheme="minorHAnsi"/>
        </w:rPr>
        <w:t>dodeljujejo</w:t>
      </w:r>
      <w:r w:rsidR="004C5A47" w:rsidRPr="00D050E9">
        <w:rPr>
          <w:rFonts w:asciiTheme="minorHAnsi" w:hAnsiTheme="minorHAnsi"/>
        </w:rPr>
        <w:t xml:space="preserve"> </w:t>
      </w:r>
      <w:r w:rsidR="003818DC" w:rsidRPr="00D050E9">
        <w:rPr>
          <w:rFonts w:asciiTheme="minorHAnsi" w:hAnsiTheme="minorHAnsi"/>
        </w:rPr>
        <w:t xml:space="preserve">kot subvencije </w:t>
      </w:r>
      <w:r w:rsidR="00705E2C" w:rsidRPr="00D050E9">
        <w:rPr>
          <w:rFonts w:asciiTheme="minorHAnsi" w:hAnsiTheme="minorHAnsi"/>
        </w:rPr>
        <w:t>plač</w:t>
      </w:r>
      <w:r w:rsidR="0038530A" w:rsidRPr="00D050E9">
        <w:rPr>
          <w:rFonts w:asciiTheme="minorHAnsi" w:hAnsiTheme="minorHAnsi"/>
        </w:rPr>
        <w:t xml:space="preserve"> za zaposlovanje invalidov</w:t>
      </w:r>
      <w:r w:rsidR="008224D0" w:rsidRPr="00D050E9">
        <w:rPr>
          <w:rFonts w:asciiTheme="minorHAnsi" w:hAnsiTheme="minorHAnsi"/>
        </w:rPr>
        <w:t xml:space="preserve"> </w:t>
      </w:r>
      <w:r w:rsidR="00705E2C" w:rsidRPr="00D050E9">
        <w:rPr>
          <w:rFonts w:asciiTheme="minorHAnsi" w:hAnsiTheme="minorHAnsi"/>
        </w:rPr>
        <w:t xml:space="preserve">in/ali kot kritje dodatnih stroškov, ki nastanejo zaradi zaposlovanja invalidnih oseb. </w:t>
      </w:r>
      <w:r w:rsidR="00D343C1" w:rsidRPr="00D050E9">
        <w:rPr>
          <w:rFonts w:asciiTheme="minorHAnsi" w:hAnsiTheme="minorHAnsi"/>
        </w:rPr>
        <w:t>Vse pomoči za zaposlovanje invalidov</w:t>
      </w:r>
      <w:r w:rsidR="004C5A47" w:rsidRPr="00D050E9">
        <w:rPr>
          <w:rFonts w:asciiTheme="minorHAnsi" w:hAnsiTheme="minorHAnsi"/>
        </w:rPr>
        <w:t xml:space="preserve"> je dodelilo </w:t>
      </w:r>
      <w:r w:rsidR="00D343C1" w:rsidRPr="00D050E9">
        <w:rPr>
          <w:rFonts w:asciiTheme="minorHAnsi" w:hAnsiTheme="minorHAnsi"/>
        </w:rPr>
        <w:t>Ministrstvo za d</w:t>
      </w:r>
      <w:r w:rsidR="003818DC" w:rsidRPr="00D050E9">
        <w:rPr>
          <w:rFonts w:asciiTheme="minorHAnsi" w:hAnsiTheme="minorHAnsi"/>
        </w:rPr>
        <w:t>elo, družino in socialne zadeve,</w:t>
      </w:r>
      <w:r w:rsidR="00971A18" w:rsidRPr="00D050E9">
        <w:rPr>
          <w:rFonts w:asciiTheme="minorHAnsi" w:hAnsiTheme="minorHAnsi"/>
        </w:rPr>
        <w:t xml:space="preserve"> večino, </w:t>
      </w:r>
      <w:r w:rsidR="00461C5E">
        <w:rPr>
          <w:rFonts w:asciiTheme="minorHAnsi" w:hAnsiTheme="minorHAnsi"/>
        </w:rPr>
        <w:t>okoli štiri petine, v</w:t>
      </w:r>
      <w:r w:rsidR="003818DC" w:rsidRPr="00D050E9">
        <w:rPr>
          <w:rFonts w:asciiTheme="minorHAnsi" w:hAnsiTheme="minorHAnsi"/>
        </w:rPr>
        <w:t xml:space="preserve"> obliki znižanja prispevkov</w:t>
      </w:r>
      <w:r w:rsidR="004C5A47" w:rsidRPr="00D050E9">
        <w:rPr>
          <w:rFonts w:asciiTheme="minorHAnsi" w:hAnsiTheme="minorHAnsi"/>
        </w:rPr>
        <w:t xml:space="preserve"> za socialno varnost</w:t>
      </w:r>
      <w:r w:rsidR="003818DC" w:rsidRPr="00D050E9">
        <w:rPr>
          <w:rFonts w:asciiTheme="minorHAnsi" w:hAnsiTheme="minorHAnsi"/>
        </w:rPr>
        <w:t xml:space="preserve">, </w:t>
      </w:r>
      <w:r w:rsidR="00971A18" w:rsidRPr="00D050E9">
        <w:rPr>
          <w:rFonts w:asciiTheme="minorHAnsi" w:hAnsiTheme="minorHAnsi"/>
        </w:rPr>
        <w:t>ostalo</w:t>
      </w:r>
      <w:r w:rsidR="00461C5E">
        <w:rPr>
          <w:rFonts w:asciiTheme="minorHAnsi" w:hAnsiTheme="minorHAnsi"/>
        </w:rPr>
        <w:t xml:space="preserve"> (petino) </w:t>
      </w:r>
      <w:r w:rsidR="003818DC" w:rsidRPr="00D050E9">
        <w:rPr>
          <w:rFonts w:asciiTheme="minorHAnsi" w:hAnsiTheme="minorHAnsi"/>
        </w:rPr>
        <w:t xml:space="preserve">pa </w:t>
      </w:r>
      <w:r w:rsidR="00C33C89" w:rsidRPr="00D050E9">
        <w:rPr>
          <w:rFonts w:asciiTheme="minorHAnsi" w:hAnsiTheme="minorHAnsi"/>
        </w:rPr>
        <w:t xml:space="preserve">kot </w:t>
      </w:r>
      <w:r w:rsidR="005934E9" w:rsidRPr="00D050E9">
        <w:rPr>
          <w:rFonts w:asciiTheme="minorHAnsi" w:hAnsiTheme="minorHAnsi"/>
        </w:rPr>
        <w:t xml:space="preserve">nepovratna sredstva. </w:t>
      </w:r>
    </w:p>
    <w:p w:rsidR="00225F79" w:rsidRPr="00D050E9" w:rsidRDefault="006966B1" w:rsidP="006966B1">
      <w:pPr>
        <w:pStyle w:val="Caption"/>
        <w:rPr>
          <w:color w:val="auto"/>
        </w:rPr>
      </w:pPr>
      <w:bookmarkStart w:id="79" w:name="_Toc530654594"/>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10</w:t>
      </w:r>
      <w:r w:rsidRPr="00D050E9">
        <w:rPr>
          <w:color w:val="auto"/>
        </w:rPr>
        <w:fldChar w:fldCharType="end"/>
      </w:r>
      <w:r w:rsidRPr="00D050E9">
        <w:rPr>
          <w:color w:val="auto"/>
        </w:rPr>
        <w:t xml:space="preserve">: </w:t>
      </w:r>
      <w:r w:rsidR="00225F79" w:rsidRPr="00D050E9">
        <w:rPr>
          <w:color w:val="auto"/>
        </w:rPr>
        <w:t>Državne pomoči za zaposlovanje po namenih, 2015–2017</w:t>
      </w:r>
      <w:bookmarkEnd w:id="79"/>
    </w:p>
    <w:p w:rsidR="006966B1" w:rsidRPr="00D050E9" w:rsidRDefault="006966B1" w:rsidP="006966B1">
      <w:pPr>
        <w:spacing w:after="0"/>
        <w:rPr>
          <w:lang w:bidi="hi-IN"/>
        </w:rPr>
      </w:pPr>
    </w:p>
    <w:tbl>
      <w:tblPr>
        <w:tblStyle w:val="LightGrid-Accent5"/>
        <w:tblW w:w="5000" w:type="pct"/>
        <w:tblLook w:val="04A0" w:firstRow="1" w:lastRow="0" w:firstColumn="1" w:lastColumn="0" w:noHBand="0" w:noVBand="1"/>
      </w:tblPr>
      <w:tblGrid>
        <w:gridCol w:w="2348"/>
        <w:gridCol w:w="1055"/>
        <w:gridCol w:w="1346"/>
        <w:gridCol w:w="1346"/>
        <w:gridCol w:w="1346"/>
        <w:gridCol w:w="976"/>
        <w:gridCol w:w="983"/>
      </w:tblGrid>
      <w:tr w:rsidR="00B420FB" w:rsidRPr="00D050E9" w:rsidTr="00B420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vAlign w:val="center"/>
            <w:hideMark/>
          </w:tcPr>
          <w:p w:rsidR="00B420FB" w:rsidRPr="00D050E9" w:rsidRDefault="00B420FB" w:rsidP="003F3581">
            <w:pPr>
              <w:jc w:val="center"/>
              <w:rPr>
                <w:rFonts w:ascii="Calibri" w:eastAsia="Times New Roman" w:hAnsi="Calibri" w:cs="Arial"/>
                <w:sz w:val="18"/>
                <w:szCs w:val="18"/>
                <w:lang w:eastAsia="sl-SI"/>
              </w:rPr>
            </w:pPr>
            <w:r w:rsidRPr="00D050E9">
              <w:rPr>
                <w:rFonts w:ascii="Calibri" w:eastAsia="Times New Roman" w:hAnsi="Calibri" w:cs="Arial"/>
                <w:sz w:val="18"/>
                <w:szCs w:val="18"/>
                <w:lang w:eastAsia="sl-SI"/>
              </w:rPr>
              <w:t>Namen</w:t>
            </w:r>
          </w:p>
        </w:tc>
        <w:tc>
          <w:tcPr>
            <w:tcW w:w="561" w:type="pct"/>
            <w:vAlign w:val="center"/>
            <w:hideMark/>
          </w:tcPr>
          <w:p w:rsidR="00B420FB" w:rsidRPr="00D050E9" w:rsidRDefault="00B420FB" w:rsidP="003F35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Priglasitelj</w:t>
            </w:r>
          </w:p>
        </w:tc>
        <w:tc>
          <w:tcPr>
            <w:tcW w:w="716" w:type="pct"/>
            <w:vAlign w:val="center"/>
            <w:hideMark/>
          </w:tcPr>
          <w:p w:rsidR="00B420FB" w:rsidRPr="00D050E9" w:rsidRDefault="00B420FB" w:rsidP="003F35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2015</w:t>
            </w:r>
          </w:p>
        </w:tc>
        <w:tc>
          <w:tcPr>
            <w:tcW w:w="716" w:type="pct"/>
            <w:vAlign w:val="center"/>
            <w:hideMark/>
          </w:tcPr>
          <w:p w:rsidR="00B420FB" w:rsidRPr="00D050E9" w:rsidRDefault="00B420FB" w:rsidP="003F35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2016</w:t>
            </w:r>
          </w:p>
        </w:tc>
        <w:tc>
          <w:tcPr>
            <w:tcW w:w="716" w:type="pct"/>
            <w:vAlign w:val="center"/>
            <w:hideMark/>
          </w:tcPr>
          <w:p w:rsidR="00B420FB" w:rsidRPr="00D050E9" w:rsidRDefault="00B420FB" w:rsidP="003F35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2017</w:t>
            </w:r>
          </w:p>
        </w:tc>
        <w:tc>
          <w:tcPr>
            <w:tcW w:w="519" w:type="pct"/>
            <w:vAlign w:val="center"/>
            <w:hideMark/>
          </w:tcPr>
          <w:p w:rsidR="00B420FB" w:rsidRPr="00D050E9" w:rsidRDefault="00B420FB" w:rsidP="003F35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 2017</w:t>
            </w:r>
          </w:p>
        </w:tc>
        <w:tc>
          <w:tcPr>
            <w:tcW w:w="523" w:type="pct"/>
            <w:vAlign w:val="center"/>
            <w:hideMark/>
          </w:tcPr>
          <w:p w:rsidR="00B420FB" w:rsidRPr="00D050E9" w:rsidRDefault="00B420FB" w:rsidP="003F358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 2015-2017</w:t>
            </w:r>
          </w:p>
        </w:tc>
      </w:tr>
      <w:tr w:rsidR="00B420FB" w:rsidRPr="00D050E9" w:rsidTr="00B420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hideMark/>
          </w:tcPr>
          <w:p w:rsidR="00B420FB" w:rsidRPr="00D050E9" w:rsidRDefault="00B420FB" w:rsidP="003F3581">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Pomoč za zaposlovanje invalidnih delavcev</w:t>
            </w:r>
          </w:p>
        </w:tc>
        <w:tc>
          <w:tcPr>
            <w:tcW w:w="561" w:type="pct"/>
            <w:noWrap/>
            <w:hideMark/>
          </w:tcPr>
          <w:p w:rsidR="00B420FB" w:rsidRPr="00D050E9" w:rsidRDefault="00B420FB" w:rsidP="003F358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MDDSZ</w:t>
            </w:r>
          </w:p>
        </w:tc>
        <w:tc>
          <w:tcPr>
            <w:tcW w:w="716"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92.952.362,38</w:t>
            </w:r>
          </w:p>
        </w:tc>
        <w:tc>
          <w:tcPr>
            <w:tcW w:w="716"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89.096.291,75</w:t>
            </w:r>
          </w:p>
        </w:tc>
        <w:tc>
          <w:tcPr>
            <w:tcW w:w="716"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97.286.418,39</w:t>
            </w:r>
          </w:p>
        </w:tc>
        <w:tc>
          <w:tcPr>
            <w:tcW w:w="519"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98,8%</w:t>
            </w:r>
          </w:p>
        </w:tc>
        <w:tc>
          <w:tcPr>
            <w:tcW w:w="523"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99,0%</w:t>
            </w:r>
          </w:p>
        </w:tc>
      </w:tr>
      <w:tr w:rsidR="00B420FB" w:rsidRPr="00D050E9" w:rsidTr="00B420F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vMerge w:val="restart"/>
            <w:hideMark/>
          </w:tcPr>
          <w:p w:rsidR="00B420FB" w:rsidRPr="00D050E9" w:rsidRDefault="00B420FB" w:rsidP="003F3581">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xml:space="preserve">Pomoč za zaposlovanje prikrajšanih delavcev </w:t>
            </w:r>
          </w:p>
        </w:tc>
        <w:tc>
          <w:tcPr>
            <w:tcW w:w="561" w:type="pct"/>
            <w:noWrap/>
            <w:hideMark/>
          </w:tcPr>
          <w:p w:rsidR="00B420FB" w:rsidRPr="00D050E9" w:rsidRDefault="00B420FB" w:rsidP="003F358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MGRT</w:t>
            </w:r>
          </w:p>
        </w:tc>
        <w:tc>
          <w:tcPr>
            <w:tcW w:w="716"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456.509,68</w:t>
            </w:r>
          </w:p>
        </w:tc>
        <w:tc>
          <w:tcPr>
            <w:tcW w:w="716"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712.790,43</w:t>
            </w:r>
          </w:p>
        </w:tc>
        <w:tc>
          <w:tcPr>
            <w:tcW w:w="716"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1.187.980,76</w:t>
            </w:r>
          </w:p>
        </w:tc>
        <w:tc>
          <w:tcPr>
            <w:tcW w:w="519"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1,2%</w:t>
            </w:r>
          </w:p>
        </w:tc>
        <w:tc>
          <w:tcPr>
            <w:tcW w:w="523"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0,8%</w:t>
            </w:r>
          </w:p>
        </w:tc>
      </w:tr>
      <w:tr w:rsidR="00B420FB" w:rsidRPr="00D050E9" w:rsidTr="00B420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9" w:type="pct"/>
            <w:vMerge/>
            <w:hideMark/>
          </w:tcPr>
          <w:p w:rsidR="00B420FB" w:rsidRPr="00D050E9" w:rsidRDefault="00B420FB" w:rsidP="003F3581">
            <w:pPr>
              <w:jc w:val="left"/>
              <w:rPr>
                <w:rFonts w:ascii="Calibri" w:eastAsia="Times New Roman" w:hAnsi="Calibri" w:cs="Arial"/>
                <w:color w:val="000000"/>
                <w:sz w:val="18"/>
                <w:szCs w:val="18"/>
                <w:lang w:eastAsia="sl-SI"/>
              </w:rPr>
            </w:pPr>
          </w:p>
        </w:tc>
        <w:tc>
          <w:tcPr>
            <w:tcW w:w="561" w:type="pct"/>
            <w:noWrap/>
            <w:hideMark/>
          </w:tcPr>
          <w:p w:rsidR="00B420FB" w:rsidRPr="00D050E9" w:rsidRDefault="00B420FB" w:rsidP="003F358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MDDSZ</w:t>
            </w:r>
          </w:p>
        </w:tc>
        <w:tc>
          <w:tcPr>
            <w:tcW w:w="716"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361.551,99</w:t>
            </w:r>
          </w:p>
        </w:tc>
        <w:tc>
          <w:tcPr>
            <w:tcW w:w="716"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716"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19"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 </w:t>
            </w:r>
          </w:p>
        </w:tc>
        <w:tc>
          <w:tcPr>
            <w:tcW w:w="523" w:type="pct"/>
            <w:hideMark/>
          </w:tcPr>
          <w:p w:rsidR="00B420FB" w:rsidRPr="00D050E9" w:rsidRDefault="00B420FB" w:rsidP="003F35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0,1%</w:t>
            </w:r>
          </w:p>
        </w:tc>
      </w:tr>
      <w:tr w:rsidR="00B420FB" w:rsidRPr="00D050E9" w:rsidTr="00B420F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0" w:type="pct"/>
            <w:gridSpan w:val="2"/>
            <w:hideMark/>
          </w:tcPr>
          <w:p w:rsidR="00B420FB" w:rsidRPr="00D050E9" w:rsidRDefault="00B420FB" w:rsidP="003F3581">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SKUPAJ</w:t>
            </w:r>
          </w:p>
        </w:tc>
        <w:tc>
          <w:tcPr>
            <w:tcW w:w="716"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93.770.424,05</w:t>
            </w:r>
          </w:p>
        </w:tc>
        <w:tc>
          <w:tcPr>
            <w:tcW w:w="716"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89.809.082,18</w:t>
            </w:r>
          </w:p>
        </w:tc>
        <w:tc>
          <w:tcPr>
            <w:tcW w:w="716"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98.474.399,15 </w:t>
            </w:r>
          </w:p>
        </w:tc>
        <w:tc>
          <w:tcPr>
            <w:tcW w:w="519"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100,0% </w:t>
            </w:r>
          </w:p>
        </w:tc>
        <w:tc>
          <w:tcPr>
            <w:tcW w:w="523" w:type="pct"/>
            <w:hideMark/>
          </w:tcPr>
          <w:p w:rsidR="00B420FB" w:rsidRPr="00D050E9" w:rsidRDefault="00B420FB" w:rsidP="003F358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100,0% </w:t>
            </w:r>
          </w:p>
        </w:tc>
      </w:tr>
    </w:tbl>
    <w:p w:rsidR="001E4FA8" w:rsidRDefault="001E4FA8" w:rsidP="001E4FA8">
      <w:pPr>
        <w:spacing w:after="0" w:line="276" w:lineRule="auto"/>
        <w:rPr>
          <w:rFonts w:asciiTheme="minorHAnsi" w:hAnsiTheme="minorHAnsi"/>
        </w:rPr>
      </w:pPr>
    </w:p>
    <w:p w:rsidR="00461C5E" w:rsidRDefault="00705E2C" w:rsidP="00705E2C">
      <w:pPr>
        <w:spacing w:line="276" w:lineRule="auto"/>
        <w:rPr>
          <w:rFonts w:asciiTheme="minorHAnsi" w:hAnsiTheme="minorHAnsi"/>
        </w:rPr>
      </w:pPr>
      <w:r w:rsidRPr="00D050E9">
        <w:rPr>
          <w:rFonts w:asciiTheme="minorHAnsi" w:hAnsiTheme="minorHAnsi"/>
        </w:rPr>
        <w:t xml:space="preserve">Pomoči za </w:t>
      </w:r>
      <w:r w:rsidRPr="00D050E9">
        <w:rPr>
          <w:rFonts w:asciiTheme="minorHAnsi" w:hAnsiTheme="minorHAnsi"/>
          <w:b/>
        </w:rPr>
        <w:t>zaposlovanje prikrajšanih delavcev</w:t>
      </w:r>
      <w:r w:rsidRPr="00D050E9">
        <w:rPr>
          <w:rFonts w:asciiTheme="minorHAnsi" w:hAnsiTheme="minorHAnsi"/>
        </w:rPr>
        <w:t xml:space="preserve"> (brezposelni, </w:t>
      </w:r>
      <w:r w:rsidR="00561FD4">
        <w:rPr>
          <w:rFonts w:asciiTheme="minorHAnsi" w:hAnsiTheme="minorHAnsi"/>
        </w:rPr>
        <w:t xml:space="preserve">brez srednje stopnje izobrazbe ali </w:t>
      </w:r>
      <w:r w:rsidRPr="00D050E9">
        <w:rPr>
          <w:rFonts w:asciiTheme="minorHAnsi" w:hAnsiTheme="minorHAnsi"/>
        </w:rPr>
        <w:t>poklicne kvalifikacije</w:t>
      </w:r>
      <w:r w:rsidR="00561FD4">
        <w:rPr>
          <w:rFonts w:asciiTheme="minorHAnsi" w:hAnsiTheme="minorHAnsi"/>
        </w:rPr>
        <w:t>, mlajši od 15 do 24 leta, starejši od 50 let idr</w:t>
      </w:r>
      <w:r w:rsidRPr="00D050E9">
        <w:rPr>
          <w:rFonts w:asciiTheme="minorHAnsi" w:hAnsiTheme="minorHAnsi"/>
        </w:rPr>
        <w:t xml:space="preserve">.) so </w:t>
      </w:r>
      <w:r w:rsidR="00C11FAE">
        <w:rPr>
          <w:rFonts w:asciiTheme="minorHAnsi" w:hAnsiTheme="minorHAnsi"/>
        </w:rPr>
        <w:t xml:space="preserve">predstavljale manj kot </w:t>
      </w:r>
      <w:r w:rsidRPr="00D050E9">
        <w:rPr>
          <w:rFonts w:asciiTheme="minorHAnsi" w:hAnsiTheme="minorHAnsi"/>
        </w:rPr>
        <w:t xml:space="preserve">1 % vseh pomoči </w:t>
      </w:r>
      <w:r w:rsidR="0038530A" w:rsidRPr="00D050E9">
        <w:rPr>
          <w:rFonts w:asciiTheme="minorHAnsi" w:hAnsiTheme="minorHAnsi"/>
        </w:rPr>
        <w:t>za zaposlovanje</w:t>
      </w:r>
      <w:r w:rsidR="000E5AA2" w:rsidRPr="00D050E9">
        <w:rPr>
          <w:rFonts w:asciiTheme="minorHAnsi" w:hAnsiTheme="minorHAnsi"/>
        </w:rPr>
        <w:t xml:space="preserve"> v obdobju 2015–2017</w:t>
      </w:r>
      <w:r w:rsidR="0038530A" w:rsidRPr="00D050E9">
        <w:rPr>
          <w:rFonts w:asciiTheme="minorHAnsi" w:hAnsiTheme="minorHAnsi"/>
        </w:rPr>
        <w:t xml:space="preserve"> </w:t>
      </w:r>
      <w:r w:rsidRPr="00D050E9">
        <w:rPr>
          <w:rFonts w:asciiTheme="minorHAnsi" w:hAnsiTheme="minorHAnsi"/>
        </w:rPr>
        <w:t>(8 % v obdobju 2012</w:t>
      </w:r>
      <w:r w:rsidR="00561FD4">
        <w:rPr>
          <w:rFonts w:asciiTheme="minorHAnsi" w:hAnsiTheme="minorHAnsi"/>
        </w:rPr>
        <w:t>–</w:t>
      </w:r>
      <w:r w:rsidRPr="00D050E9">
        <w:rPr>
          <w:rFonts w:asciiTheme="minorHAnsi" w:hAnsiTheme="minorHAnsi"/>
        </w:rPr>
        <w:t>2017). V letu 2017 so se</w:t>
      </w:r>
      <w:r w:rsidR="00D343C1" w:rsidRPr="00D050E9">
        <w:rPr>
          <w:rFonts w:asciiTheme="minorHAnsi" w:hAnsiTheme="minorHAnsi"/>
        </w:rPr>
        <w:t xml:space="preserve"> te pomoči</w:t>
      </w:r>
      <w:r w:rsidRPr="00D050E9">
        <w:rPr>
          <w:rFonts w:asciiTheme="minorHAnsi" w:hAnsiTheme="minorHAnsi"/>
        </w:rPr>
        <w:t xml:space="preserve"> malenkostno povečale (</w:t>
      </w:r>
      <w:r w:rsidR="00C11FAE">
        <w:rPr>
          <w:rFonts w:asciiTheme="minorHAnsi" w:hAnsiTheme="minorHAnsi"/>
        </w:rPr>
        <w:t>+</w:t>
      </w:r>
      <w:r w:rsidRPr="00D050E9">
        <w:rPr>
          <w:rFonts w:asciiTheme="minorHAnsi" w:hAnsiTheme="minorHAnsi"/>
        </w:rPr>
        <w:t xml:space="preserve">0,5 mio EUR na skupaj 1,2 % vseh pomoči za zaposlovanje). </w:t>
      </w:r>
      <w:r w:rsidR="00D343C1" w:rsidRPr="00D050E9">
        <w:rPr>
          <w:rFonts w:asciiTheme="minorHAnsi" w:hAnsiTheme="minorHAnsi"/>
        </w:rPr>
        <w:t xml:space="preserve">Vse državne pomoči za zaposlovanje prikrajšanih delavcev v letih 2016 in 2017 je dodelilo Ministrstvo za gospodarski razvoj in tehnologijo. </w:t>
      </w:r>
      <w:r w:rsidR="00561FD4" w:rsidRPr="0052290A">
        <w:rPr>
          <w:rFonts w:asciiTheme="minorHAnsi" w:hAnsiTheme="minorHAnsi"/>
        </w:rPr>
        <w:t>Pomoči so se dodeljevale</w:t>
      </w:r>
      <w:r w:rsidR="00C11FAE" w:rsidRPr="0052290A">
        <w:rPr>
          <w:rFonts w:asciiTheme="minorHAnsi" w:hAnsiTheme="minorHAnsi"/>
        </w:rPr>
        <w:t xml:space="preserve"> v obliki povračil prispevkov delodajalca za socialno varnost ob zaposlitvi prikrajšanega delavca in kot davčna olajšava za za</w:t>
      </w:r>
      <w:r w:rsidR="00AB33BA" w:rsidRPr="0052290A">
        <w:rPr>
          <w:rFonts w:asciiTheme="minorHAnsi" w:hAnsiTheme="minorHAnsi"/>
        </w:rPr>
        <w:t xml:space="preserve">poslitev prikrajšanega delavca. </w:t>
      </w:r>
      <w:r w:rsidR="001E4FA8" w:rsidRPr="0052290A">
        <w:rPr>
          <w:rFonts w:asciiTheme="minorHAnsi" w:hAnsiTheme="minorHAnsi"/>
        </w:rPr>
        <w:t>Pomoči za zaposlovanje prikajšanjih delavcev, ki jih je dodeljevalo Ministstvo za delo, družino in socialne zadeve do leta 2015 so bile pretežno</w:t>
      </w:r>
      <w:r w:rsidR="001E4FA8">
        <w:rPr>
          <w:rFonts w:asciiTheme="minorHAnsi" w:hAnsiTheme="minorHAnsi"/>
        </w:rPr>
        <w:t xml:space="preserve"> v obliki nepovratnih sredstev (Programi zaposlovanja)</w:t>
      </w:r>
      <w:r w:rsidR="00461C5E">
        <w:rPr>
          <w:rFonts w:asciiTheme="minorHAnsi" w:hAnsiTheme="minorHAnsi"/>
        </w:rPr>
        <w:t xml:space="preserve">. </w:t>
      </w:r>
    </w:p>
    <w:p w:rsidR="0014793B" w:rsidRDefault="0014793B" w:rsidP="00705E2C">
      <w:pPr>
        <w:spacing w:line="276" w:lineRule="auto"/>
        <w:rPr>
          <w:rFonts w:asciiTheme="minorHAnsi" w:hAnsiTheme="minorHAnsi"/>
        </w:rPr>
      </w:pPr>
    </w:p>
    <w:p w:rsidR="00461C5E" w:rsidRPr="0052290A" w:rsidRDefault="00461C5E" w:rsidP="00461C5E">
      <w:pPr>
        <w:pStyle w:val="Caption"/>
        <w:rPr>
          <w:color w:val="auto"/>
        </w:rPr>
      </w:pPr>
      <w:bookmarkStart w:id="80" w:name="_Toc530654595"/>
      <w:r w:rsidRPr="0052290A">
        <w:rPr>
          <w:color w:val="auto"/>
        </w:rPr>
        <w:lastRenderedPageBreak/>
        <w:t xml:space="preserve">Tabela </w:t>
      </w:r>
      <w:r w:rsidR="0025530F" w:rsidRPr="0052290A">
        <w:rPr>
          <w:color w:val="auto"/>
        </w:rPr>
        <w:fldChar w:fldCharType="begin"/>
      </w:r>
      <w:r w:rsidR="0025530F" w:rsidRPr="0052290A">
        <w:rPr>
          <w:color w:val="auto"/>
        </w:rPr>
        <w:instrText xml:space="preserve"> SEQ Tabela \* ARABIC </w:instrText>
      </w:r>
      <w:r w:rsidR="0025530F" w:rsidRPr="0052290A">
        <w:rPr>
          <w:color w:val="auto"/>
        </w:rPr>
        <w:fldChar w:fldCharType="separate"/>
      </w:r>
      <w:r w:rsidR="00745204">
        <w:rPr>
          <w:noProof/>
          <w:color w:val="auto"/>
        </w:rPr>
        <w:t>11</w:t>
      </w:r>
      <w:r w:rsidR="0025530F" w:rsidRPr="0052290A">
        <w:rPr>
          <w:noProof/>
          <w:color w:val="auto"/>
        </w:rPr>
        <w:fldChar w:fldCharType="end"/>
      </w:r>
      <w:r w:rsidRPr="0052290A">
        <w:rPr>
          <w:color w:val="auto"/>
        </w:rPr>
        <w:t>: Državne pomoči za zaposlovanje po shemah in instrumentih</w:t>
      </w:r>
      <w:bookmarkEnd w:id="80"/>
    </w:p>
    <w:p w:rsidR="00D150CC" w:rsidRPr="00D150CC" w:rsidRDefault="00D150CC" w:rsidP="00D150CC">
      <w:pPr>
        <w:spacing w:after="0"/>
        <w:rPr>
          <w:lang w:bidi="hi-IN"/>
        </w:rPr>
      </w:pPr>
    </w:p>
    <w:tbl>
      <w:tblPr>
        <w:tblStyle w:val="LightGrid-Accent5"/>
        <w:tblW w:w="5000" w:type="pct"/>
        <w:tblLook w:val="04A0" w:firstRow="1" w:lastRow="0" w:firstColumn="1" w:lastColumn="0" w:noHBand="0" w:noVBand="1"/>
      </w:tblPr>
      <w:tblGrid>
        <w:gridCol w:w="1665"/>
        <w:gridCol w:w="1665"/>
        <w:gridCol w:w="2257"/>
        <w:gridCol w:w="1271"/>
        <w:gridCol w:w="1271"/>
        <w:gridCol w:w="1271"/>
      </w:tblGrid>
      <w:tr w:rsidR="00C11FAE" w:rsidRPr="00D150CC" w:rsidTr="00D150C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hideMark/>
          </w:tcPr>
          <w:p w:rsidR="00C11FAE" w:rsidRPr="00D150CC" w:rsidRDefault="00C11FAE" w:rsidP="00C11FAE">
            <w:pPr>
              <w:jc w:val="left"/>
              <w:rPr>
                <w:rFonts w:ascii="Calibri" w:eastAsia="Times New Roman" w:hAnsi="Calibri" w:cs="Arial"/>
                <w:sz w:val="18"/>
                <w:szCs w:val="18"/>
                <w:lang w:eastAsia="sl-SI"/>
              </w:rPr>
            </w:pPr>
            <w:r w:rsidRPr="00D150CC">
              <w:rPr>
                <w:rFonts w:ascii="Calibri" w:eastAsia="Times New Roman" w:hAnsi="Calibri" w:cs="Arial"/>
                <w:sz w:val="18"/>
                <w:szCs w:val="18"/>
                <w:lang w:eastAsia="sl-SI"/>
              </w:rPr>
              <w:t>Namen</w:t>
            </w:r>
          </w:p>
        </w:tc>
        <w:tc>
          <w:tcPr>
            <w:tcW w:w="948" w:type="pct"/>
            <w:hideMark/>
          </w:tcPr>
          <w:p w:rsidR="00C11FAE" w:rsidRPr="00D150CC" w:rsidRDefault="00C11FAE" w:rsidP="00C11FA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Priglasitelj</w:t>
            </w:r>
          </w:p>
        </w:tc>
        <w:tc>
          <w:tcPr>
            <w:tcW w:w="1263" w:type="pct"/>
            <w:hideMark/>
          </w:tcPr>
          <w:p w:rsidR="00C11FAE" w:rsidRPr="00D150CC" w:rsidRDefault="00C11FAE" w:rsidP="00C11FAE">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Shema pomoči</w:t>
            </w:r>
          </w:p>
        </w:tc>
        <w:tc>
          <w:tcPr>
            <w:tcW w:w="614" w:type="pct"/>
            <w:hideMark/>
          </w:tcPr>
          <w:p w:rsidR="00C11FAE" w:rsidRPr="00D150CC" w:rsidRDefault="00C11FAE" w:rsidP="00C11FA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2015</w:t>
            </w:r>
          </w:p>
        </w:tc>
        <w:tc>
          <w:tcPr>
            <w:tcW w:w="614" w:type="pct"/>
            <w:hideMark/>
          </w:tcPr>
          <w:p w:rsidR="00C11FAE" w:rsidRPr="00D150CC" w:rsidRDefault="00C11FAE" w:rsidP="00C11FA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2016</w:t>
            </w:r>
          </w:p>
        </w:tc>
        <w:tc>
          <w:tcPr>
            <w:tcW w:w="614" w:type="pct"/>
            <w:hideMark/>
          </w:tcPr>
          <w:p w:rsidR="00C11FAE" w:rsidRPr="00D150CC" w:rsidRDefault="00C11FAE" w:rsidP="00C11FA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2017</w:t>
            </w:r>
          </w:p>
        </w:tc>
      </w:tr>
      <w:tr w:rsidR="00C11FAE" w:rsidRPr="00D150CC" w:rsidTr="00D150C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948" w:type="pct"/>
            <w:vMerge w:val="restart"/>
            <w:hideMark/>
          </w:tcPr>
          <w:p w:rsidR="00C11FAE" w:rsidRPr="00D150CC" w:rsidRDefault="00C11FAE" w:rsidP="00C11FAE">
            <w:pPr>
              <w:jc w:val="left"/>
              <w:rPr>
                <w:rFonts w:ascii="Calibri" w:eastAsia="Times New Roman" w:hAnsi="Calibri" w:cs="Arial"/>
                <w:sz w:val="18"/>
                <w:szCs w:val="18"/>
                <w:lang w:eastAsia="sl-SI"/>
              </w:rPr>
            </w:pPr>
            <w:r w:rsidRPr="00D150CC">
              <w:rPr>
                <w:rFonts w:ascii="Calibri" w:eastAsia="Times New Roman" w:hAnsi="Calibri" w:cs="Arial"/>
                <w:sz w:val="18"/>
                <w:szCs w:val="18"/>
                <w:lang w:eastAsia="sl-SI"/>
              </w:rPr>
              <w:t>Pomoč za zaposlovanje prikrajšanih delavcev</w:t>
            </w:r>
          </w:p>
        </w:tc>
        <w:tc>
          <w:tcPr>
            <w:tcW w:w="948" w:type="pct"/>
            <w:vMerge w:val="restart"/>
            <w:hideMark/>
          </w:tcPr>
          <w:p w:rsidR="00C11FAE" w:rsidRPr="00D150CC" w:rsidRDefault="00C11FAE" w:rsidP="00C11FA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MINISTRSTVO ZA GOSPODARSKI RAZVOJ IN TEHNOLOGIJO</w:t>
            </w:r>
          </w:p>
        </w:tc>
        <w:tc>
          <w:tcPr>
            <w:tcW w:w="1263" w:type="pct"/>
            <w:hideMark/>
          </w:tcPr>
          <w:p w:rsidR="00C11FAE" w:rsidRPr="00D150CC" w:rsidRDefault="00C11FAE" w:rsidP="00C11FA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Povračilo prispevkov delodajalca in davčna olajšava za zaposlovanje</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316.131,92</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713.446,67</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1.187.980,76</w:t>
            </w:r>
          </w:p>
        </w:tc>
      </w:tr>
      <w:tr w:rsidR="00C11FAE" w:rsidRPr="00D150CC" w:rsidTr="00D150CC">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vMerge/>
            <w:hideMark/>
          </w:tcPr>
          <w:p w:rsidR="00C11FAE" w:rsidRPr="00D150CC" w:rsidRDefault="00C11FAE" w:rsidP="00C11FAE">
            <w:pPr>
              <w:jc w:val="left"/>
              <w:rPr>
                <w:rFonts w:ascii="Calibri" w:eastAsia="Times New Roman" w:hAnsi="Calibri" w:cs="Arial"/>
                <w:sz w:val="18"/>
                <w:szCs w:val="18"/>
                <w:lang w:eastAsia="sl-SI"/>
              </w:rPr>
            </w:pPr>
          </w:p>
        </w:tc>
        <w:tc>
          <w:tcPr>
            <w:tcW w:w="948" w:type="pct"/>
            <w:vMerge/>
            <w:hideMark/>
          </w:tcPr>
          <w:p w:rsidR="00C11FAE" w:rsidRPr="00D150CC" w:rsidRDefault="00C11FAE" w:rsidP="00C11FA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p>
        </w:tc>
        <w:tc>
          <w:tcPr>
            <w:tcW w:w="1263" w:type="pct"/>
            <w:hideMark/>
          </w:tcPr>
          <w:p w:rsidR="00C11FAE" w:rsidRPr="00D150CC" w:rsidRDefault="00C11FAE" w:rsidP="00C11FA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Spodbude za zaposlovanje</w:t>
            </w:r>
          </w:p>
        </w:tc>
        <w:tc>
          <w:tcPr>
            <w:tcW w:w="614" w:type="pct"/>
            <w:hideMark/>
          </w:tcPr>
          <w:p w:rsidR="00C11FAE" w:rsidRPr="00D150CC" w:rsidRDefault="00C11FAE" w:rsidP="00C11FA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140.377,76</w:t>
            </w:r>
          </w:p>
        </w:tc>
        <w:tc>
          <w:tcPr>
            <w:tcW w:w="614" w:type="pct"/>
            <w:hideMark/>
          </w:tcPr>
          <w:p w:rsidR="00C11FAE" w:rsidRPr="00D150CC" w:rsidRDefault="00C11FAE" w:rsidP="00C11FA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 </w:t>
            </w:r>
          </w:p>
        </w:tc>
        <w:tc>
          <w:tcPr>
            <w:tcW w:w="614" w:type="pct"/>
            <w:hideMark/>
          </w:tcPr>
          <w:p w:rsidR="00C11FAE" w:rsidRPr="00D150CC" w:rsidRDefault="00C11FAE" w:rsidP="00C11FA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 </w:t>
            </w:r>
          </w:p>
        </w:tc>
      </w:tr>
      <w:tr w:rsidR="00C11FAE" w:rsidRPr="00D150CC" w:rsidTr="00D150CC">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8" w:type="pct"/>
            <w:vMerge/>
            <w:hideMark/>
          </w:tcPr>
          <w:p w:rsidR="00C11FAE" w:rsidRPr="00D150CC" w:rsidRDefault="00C11FAE" w:rsidP="00C11FAE">
            <w:pPr>
              <w:jc w:val="left"/>
              <w:rPr>
                <w:rFonts w:ascii="Calibri" w:eastAsia="Times New Roman" w:hAnsi="Calibri" w:cs="Arial"/>
                <w:sz w:val="18"/>
                <w:szCs w:val="18"/>
                <w:lang w:eastAsia="sl-SI"/>
              </w:rPr>
            </w:pPr>
          </w:p>
        </w:tc>
        <w:tc>
          <w:tcPr>
            <w:tcW w:w="948" w:type="pct"/>
            <w:vMerge w:val="restart"/>
            <w:hideMark/>
          </w:tcPr>
          <w:p w:rsidR="00C11FAE" w:rsidRPr="00D150CC" w:rsidRDefault="00C11FAE" w:rsidP="00C11FA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MINISTRSTVO ZA DELO, DRUŽINO, SOCIALNE ZADEVE IN ENAKE MOŽNOSTI</w:t>
            </w:r>
          </w:p>
        </w:tc>
        <w:tc>
          <w:tcPr>
            <w:tcW w:w="1263" w:type="pct"/>
            <w:hideMark/>
          </w:tcPr>
          <w:p w:rsidR="00C11FAE" w:rsidRPr="00D150CC" w:rsidRDefault="00C11FAE" w:rsidP="00C11FA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Razvojne podpore Pomurski regiji, zaposlovanje</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64.765,37</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 </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 </w:t>
            </w:r>
          </w:p>
        </w:tc>
      </w:tr>
      <w:tr w:rsidR="00C11FAE" w:rsidRPr="00D150CC" w:rsidTr="00D150CC">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vMerge/>
            <w:hideMark/>
          </w:tcPr>
          <w:p w:rsidR="00C11FAE" w:rsidRPr="00D150CC" w:rsidRDefault="00C11FAE" w:rsidP="00C11FAE">
            <w:pPr>
              <w:jc w:val="left"/>
              <w:rPr>
                <w:rFonts w:ascii="Calibri" w:eastAsia="Times New Roman" w:hAnsi="Calibri" w:cs="Arial"/>
                <w:sz w:val="18"/>
                <w:szCs w:val="18"/>
                <w:lang w:eastAsia="sl-SI"/>
              </w:rPr>
            </w:pPr>
          </w:p>
        </w:tc>
        <w:tc>
          <w:tcPr>
            <w:tcW w:w="948" w:type="pct"/>
            <w:vMerge/>
            <w:hideMark/>
          </w:tcPr>
          <w:p w:rsidR="00C11FAE" w:rsidRPr="00D150CC" w:rsidRDefault="00C11FAE" w:rsidP="00C11FA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p>
        </w:tc>
        <w:tc>
          <w:tcPr>
            <w:tcW w:w="1263" w:type="pct"/>
            <w:hideMark/>
          </w:tcPr>
          <w:p w:rsidR="00C11FAE" w:rsidRPr="00D150CC" w:rsidRDefault="00C11FAE" w:rsidP="00C11FAE">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Programi zaposlovanja</w:t>
            </w:r>
          </w:p>
        </w:tc>
        <w:tc>
          <w:tcPr>
            <w:tcW w:w="614" w:type="pct"/>
            <w:hideMark/>
          </w:tcPr>
          <w:p w:rsidR="00C11FAE" w:rsidRPr="00D150CC" w:rsidRDefault="00C11FAE" w:rsidP="00C11FA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296.786,62</w:t>
            </w:r>
          </w:p>
        </w:tc>
        <w:tc>
          <w:tcPr>
            <w:tcW w:w="614" w:type="pct"/>
            <w:hideMark/>
          </w:tcPr>
          <w:p w:rsidR="00C11FAE" w:rsidRPr="00D150CC" w:rsidRDefault="00C11FAE" w:rsidP="00C11FA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 </w:t>
            </w:r>
          </w:p>
        </w:tc>
        <w:tc>
          <w:tcPr>
            <w:tcW w:w="614" w:type="pct"/>
            <w:hideMark/>
          </w:tcPr>
          <w:p w:rsidR="00C11FAE" w:rsidRPr="00D150CC" w:rsidRDefault="00C11FAE" w:rsidP="00C11FAE">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 </w:t>
            </w:r>
          </w:p>
        </w:tc>
      </w:tr>
      <w:tr w:rsidR="00C11FAE" w:rsidRPr="00D150CC" w:rsidTr="00D150CC">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48" w:type="pct"/>
            <w:hideMark/>
          </w:tcPr>
          <w:p w:rsidR="00C11FAE" w:rsidRPr="00D150CC" w:rsidRDefault="00C11FAE" w:rsidP="00C11FAE">
            <w:pPr>
              <w:jc w:val="left"/>
              <w:rPr>
                <w:rFonts w:ascii="Calibri" w:eastAsia="Times New Roman" w:hAnsi="Calibri" w:cs="Arial"/>
                <w:sz w:val="18"/>
                <w:szCs w:val="18"/>
                <w:lang w:eastAsia="sl-SI"/>
              </w:rPr>
            </w:pPr>
            <w:r w:rsidRPr="00D150CC">
              <w:rPr>
                <w:rFonts w:ascii="Calibri" w:eastAsia="Times New Roman" w:hAnsi="Calibri" w:cs="Arial"/>
                <w:sz w:val="18"/>
                <w:szCs w:val="18"/>
                <w:lang w:eastAsia="sl-SI"/>
              </w:rPr>
              <w:t>Pomoč za zaposlovanje invalidnih delavcev</w:t>
            </w:r>
          </w:p>
        </w:tc>
        <w:tc>
          <w:tcPr>
            <w:tcW w:w="948" w:type="pct"/>
            <w:hideMark/>
          </w:tcPr>
          <w:p w:rsidR="00C11FAE" w:rsidRPr="00D150CC" w:rsidRDefault="00C11FAE" w:rsidP="00C11FA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MINISTRSTVO ZA DELO, DRUŽINO, SOCIALNE ZADEVE IN ENAKE MOŽNOSTI</w:t>
            </w:r>
          </w:p>
        </w:tc>
        <w:tc>
          <w:tcPr>
            <w:tcW w:w="1263" w:type="pct"/>
            <w:hideMark/>
          </w:tcPr>
          <w:p w:rsidR="00C11FAE" w:rsidRPr="00D150CC" w:rsidRDefault="00C11FAE" w:rsidP="00C11FAE">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Pomoč delodajalcem zaradi zaposlenih invalidov</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92.952.362,38</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89.096.291,75</w:t>
            </w:r>
          </w:p>
        </w:tc>
        <w:tc>
          <w:tcPr>
            <w:tcW w:w="614" w:type="pct"/>
            <w:hideMark/>
          </w:tcPr>
          <w:p w:rsidR="00C11FAE" w:rsidRPr="00D150CC" w:rsidRDefault="00C11FAE" w:rsidP="00C11F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150CC">
              <w:rPr>
                <w:rFonts w:ascii="Calibri" w:eastAsia="Times New Roman" w:hAnsi="Calibri" w:cs="Arial"/>
                <w:sz w:val="18"/>
                <w:szCs w:val="18"/>
                <w:lang w:eastAsia="sl-SI"/>
              </w:rPr>
              <w:t>97.286.418,39</w:t>
            </w:r>
          </w:p>
        </w:tc>
      </w:tr>
      <w:tr w:rsidR="00C11FAE" w:rsidRPr="00D150CC" w:rsidTr="00D150CC">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159" w:type="pct"/>
            <w:gridSpan w:val="3"/>
            <w:vAlign w:val="center"/>
            <w:hideMark/>
          </w:tcPr>
          <w:p w:rsidR="00C11FAE" w:rsidRPr="00D150CC" w:rsidRDefault="00C11FAE" w:rsidP="00D150CC">
            <w:pPr>
              <w:jc w:val="center"/>
              <w:rPr>
                <w:rFonts w:ascii="Calibri" w:eastAsia="Times New Roman" w:hAnsi="Calibri" w:cs="Arial"/>
                <w:sz w:val="18"/>
                <w:szCs w:val="18"/>
                <w:lang w:eastAsia="sl-SI"/>
              </w:rPr>
            </w:pPr>
            <w:r w:rsidRPr="00D150CC">
              <w:rPr>
                <w:rFonts w:ascii="Calibri" w:eastAsia="Times New Roman" w:hAnsi="Calibri" w:cs="Arial"/>
                <w:sz w:val="18"/>
                <w:szCs w:val="18"/>
                <w:lang w:eastAsia="sl-SI"/>
              </w:rPr>
              <w:t>SKUPAJ</w:t>
            </w:r>
          </w:p>
        </w:tc>
        <w:tc>
          <w:tcPr>
            <w:tcW w:w="614" w:type="pct"/>
            <w:vAlign w:val="center"/>
            <w:hideMark/>
          </w:tcPr>
          <w:p w:rsidR="00C11FAE" w:rsidRPr="00D150CC" w:rsidRDefault="00C11FAE" w:rsidP="00D150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150CC">
              <w:rPr>
                <w:rFonts w:ascii="Calibri" w:eastAsia="Times New Roman" w:hAnsi="Calibri" w:cs="Arial"/>
                <w:b/>
                <w:bCs/>
                <w:sz w:val="18"/>
                <w:szCs w:val="18"/>
                <w:lang w:eastAsia="sl-SI"/>
              </w:rPr>
              <w:t>93.770.424,05</w:t>
            </w:r>
          </w:p>
        </w:tc>
        <w:tc>
          <w:tcPr>
            <w:tcW w:w="614" w:type="pct"/>
            <w:vAlign w:val="center"/>
            <w:hideMark/>
          </w:tcPr>
          <w:p w:rsidR="00C11FAE" w:rsidRPr="00D150CC" w:rsidRDefault="00C11FAE" w:rsidP="00D150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150CC">
              <w:rPr>
                <w:rFonts w:ascii="Calibri" w:eastAsia="Times New Roman" w:hAnsi="Calibri" w:cs="Arial"/>
                <w:b/>
                <w:bCs/>
                <w:sz w:val="18"/>
                <w:szCs w:val="18"/>
                <w:lang w:eastAsia="sl-SI"/>
              </w:rPr>
              <w:t>89.809.082,18</w:t>
            </w:r>
          </w:p>
        </w:tc>
        <w:tc>
          <w:tcPr>
            <w:tcW w:w="614" w:type="pct"/>
            <w:vAlign w:val="center"/>
            <w:hideMark/>
          </w:tcPr>
          <w:p w:rsidR="00C11FAE" w:rsidRPr="00D150CC" w:rsidRDefault="00C11FAE" w:rsidP="00D150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8"/>
                <w:szCs w:val="18"/>
                <w:lang w:eastAsia="sl-SI"/>
              </w:rPr>
            </w:pPr>
            <w:r w:rsidRPr="00D150CC">
              <w:rPr>
                <w:rFonts w:ascii="Calibri" w:eastAsia="Times New Roman" w:hAnsi="Calibri" w:cs="Arial"/>
                <w:b/>
                <w:bCs/>
                <w:sz w:val="18"/>
                <w:szCs w:val="18"/>
                <w:lang w:eastAsia="sl-SI"/>
              </w:rPr>
              <w:t>98.474.399,15</w:t>
            </w:r>
          </w:p>
        </w:tc>
      </w:tr>
    </w:tbl>
    <w:p w:rsidR="00AB33BA" w:rsidRDefault="00AB33BA" w:rsidP="006966B1">
      <w:pPr>
        <w:pStyle w:val="Caption"/>
        <w:rPr>
          <w:color w:val="auto"/>
        </w:rPr>
      </w:pPr>
    </w:p>
    <w:p w:rsidR="005934CC" w:rsidRPr="00D050E9" w:rsidRDefault="006966B1" w:rsidP="006966B1">
      <w:pPr>
        <w:pStyle w:val="Caption"/>
        <w:rPr>
          <w:noProof/>
          <w:color w:val="auto"/>
          <w:lang w:eastAsia="sl-SI"/>
        </w:rPr>
      </w:pPr>
      <w:bookmarkStart w:id="81" w:name="_Toc530654651"/>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36</w:t>
      </w:r>
      <w:r w:rsidRPr="00D050E9">
        <w:rPr>
          <w:color w:val="auto"/>
        </w:rPr>
        <w:fldChar w:fldCharType="end"/>
      </w:r>
      <w:r w:rsidRPr="00D050E9">
        <w:rPr>
          <w:color w:val="auto"/>
        </w:rPr>
        <w:t xml:space="preserve">: </w:t>
      </w:r>
      <w:r w:rsidR="005934CC" w:rsidRPr="00D050E9">
        <w:rPr>
          <w:noProof/>
          <w:color w:val="auto"/>
          <w:lang w:eastAsia="sl-SI"/>
        </w:rPr>
        <w:t>Državne pomoči za zaposlovanje po instrumentih, 2015–2017</w:t>
      </w:r>
      <w:bookmarkEnd w:id="81"/>
    </w:p>
    <w:p w:rsidR="005934CC" w:rsidRPr="00D050E9" w:rsidRDefault="00332065">
      <w:pPr>
        <w:spacing w:line="276" w:lineRule="auto"/>
        <w:jc w:val="left"/>
        <w:rPr>
          <w:rFonts w:asciiTheme="minorHAnsi" w:hAnsiTheme="minorHAnsi"/>
          <w:b/>
          <w:color w:val="5F497A" w:themeColor="accent4" w:themeShade="BF"/>
        </w:rPr>
      </w:pPr>
      <w:r w:rsidRPr="00D050E9">
        <w:rPr>
          <w:noProof/>
          <w:lang w:eastAsia="sl-SI"/>
        </w:rPr>
        <w:drawing>
          <wp:inline distT="0" distB="0" distL="0" distR="0" wp14:anchorId="375EB5BD" wp14:editId="476ED29A">
            <wp:extent cx="5478780" cy="2598420"/>
            <wp:effectExtent l="0" t="0" r="762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95147" w:rsidRPr="00D050E9" w:rsidRDefault="00DB2C91" w:rsidP="005934E9">
      <w:pPr>
        <w:spacing w:line="276" w:lineRule="auto"/>
        <w:rPr>
          <w:rFonts w:asciiTheme="minorHAnsi" w:hAnsiTheme="minorHAnsi"/>
        </w:rPr>
      </w:pPr>
      <w:r w:rsidRPr="00D050E9">
        <w:rPr>
          <w:rFonts w:asciiTheme="minorHAnsi" w:hAnsiTheme="minorHAnsi"/>
        </w:rPr>
        <w:t>V Sloveniji se pr</w:t>
      </w:r>
      <w:r w:rsidR="005934E9" w:rsidRPr="00D050E9">
        <w:rPr>
          <w:rFonts w:asciiTheme="minorHAnsi" w:hAnsiTheme="minorHAnsi"/>
        </w:rPr>
        <w:t xml:space="preserve">etežni del spodbud za zaposlovanje prikrajšanih delavcev dodeljuje po pravilu </w:t>
      </w:r>
      <w:r w:rsidR="009B30E1" w:rsidRPr="009B30E1">
        <w:rPr>
          <w:rFonts w:asciiTheme="minorHAnsi" w:hAnsiTheme="minorHAnsi"/>
          <w:i/>
        </w:rPr>
        <w:t>de minimis</w:t>
      </w:r>
      <w:r w:rsidR="005934E9" w:rsidRPr="00D050E9">
        <w:rPr>
          <w:rFonts w:asciiTheme="minorHAnsi" w:hAnsiTheme="minorHAnsi"/>
        </w:rPr>
        <w:t xml:space="preserve"> tj. </w:t>
      </w:r>
      <w:r w:rsidRPr="00D050E9">
        <w:rPr>
          <w:rFonts w:asciiTheme="minorHAnsi" w:hAnsiTheme="minorHAnsi"/>
        </w:rPr>
        <w:t xml:space="preserve">kot pomoči </w:t>
      </w:r>
      <w:r w:rsidR="0016310B" w:rsidRPr="00D050E9">
        <w:rPr>
          <w:rFonts w:asciiTheme="minorHAnsi" w:hAnsiTheme="minorHAnsi"/>
        </w:rPr>
        <w:t xml:space="preserve">posameznemu podjetju v višini </w:t>
      </w:r>
      <w:r w:rsidR="005934E9" w:rsidRPr="00D050E9">
        <w:rPr>
          <w:rFonts w:asciiTheme="minorHAnsi" w:hAnsiTheme="minorHAnsi"/>
        </w:rPr>
        <w:t>do 200.000 EUR v obdobju treh let</w:t>
      </w:r>
      <w:r w:rsidR="00712281" w:rsidRPr="00D050E9">
        <w:rPr>
          <w:rFonts w:asciiTheme="minorHAnsi" w:hAnsiTheme="minorHAnsi"/>
        </w:rPr>
        <w:t xml:space="preserve">, ki se ne štejejo kot državne pomoči. </w:t>
      </w:r>
      <w:r w:rsidR="005934E9" w:rsidRPr="00D050E9">
        <w:rPr>
          <w:rFonts w:asciiTheme="minorHAnsi" w:hAnsiTheme="minorHAnsi"/>
        </w:rPr>
        <w:t xml:space="preserve"> V letu 2017 je bilo za</w:t>
      </w:r>
      <w:r w:rsidR="00712281" w:rsidRPr="00D050E9">
        <w:rPr>
          <w:rFonts w:asciiTheme="minorHAnsi" w:hAnsiTheme="minorHAnsi"/>
        </w:rPr>
        <w:t xml:space="preserve"> spodbujanje zaposlovanja prikrajšanih delavcev izplačanih </w:t>
      </w:r>
      <w:r w:rsidR="005934E9" w:rsidRPr="00D050E9">
        <w:rPr>
          <w:rFonts w:asciiTheme="minorHAnsi" w:hAnsiTheme="minorHAnsi"/>
        </w:rPr>
        <w:t xml:space="preserve">29,7 mio EUR </w:t>
      </w:r>
      <w:r w:rsidR="009B30E1" w:rsidRPr="009B30E1">
        <w:rPr>
          <w:rFonts w:asciiTheme="minorHAnsi" w:hAnsiTheme="minorHAnsi"/>
          <w:i/>
        </w:rPr>
        <w:t>de minimis</w:t>
      </w:r>
      <w:r w:rsidR="00712281" w:rsidRPr="00D050E9">
        <w:rPr>
          <w:rFonts w:asciiTheme="minorHAnsi" w:hAnsiTheme="minorHAnsi"/>
        </w:rPr>
        <w:t xml:space="preserve"> pomoči</w:t>
      </w:r>
      <w:r w:rsidR="005934E9" w:rsidRPr="00D050E9">
        <w:rPr>
          <w:rFonts w:asciiTheme="minorHAnsi" w:hAnsiTheme="minorHAnsi"/>
        </w:rPr>
        <w:t xml:space="preserve">, kar je pomenilo 96 % vseh spodbud za zaposlovanje prikrajšanih delavcev v letu 2017 (78 % v obdobju 2012–2017). </w:t>
      </w:r>
    </w:p>
    <w:p w:rsidR="005934E9" w:rsidRDefault="005934E9" w:rsidP="005934E9">
      <w:pPr>
        <w:spacing w:line="276" w:lineRule="auto"/>
        <w:rPr>
          <w:rFonts w:asciiTheme="minorHAnsi" w:hAnsiTheme="minorHAnsi"/>
          <w:noProof/>
          <w:lang w:eastAsia="sl-SI"/>
        </w:rPr>
      </w:pPr>
      <w:r w:rsidRPr="00D050E9">
        <w:rPr>
          <w:rFonts w:asciiTheme="minorHAnsi" w:hAnsiTheme="minorHAnsi"/>
        </w:rPr>
        <w:t>V letu 2017 je bilo tako za zaposlovanje prikrajšanih delavcev</w:t>
      </w:r>
      <w:r w:rsidR="00712281" w:rsidRPr="00D050E9">
        <w:rPr>
          <w:rFonts w:asciiTheme="minorHAnsi" w:hAnsiTheme="minorHAnsi"/>
        </w:rPr>
        <w:t xml:space="preserve"> izplačanih </w:t>
      </w:r>
      <w:r w:rsidRPr="00D050E9">
        <w:rPr>
          <w:rFonts w:asciiTheme="minorHAnsi" w:hAnsiTheme="minorHAnsi"/>
        </w:rPr>
        <w:t>slabih 31 mio EUR</w:t>
      </w:r>
      <w:r w:rsidR="00712281" w:rsidRPr="00D050E9">
        <w:rPr>
          <w:rFonts w:asciiTheme="minorHAnsi" w:hAnsiTheme="minorHAnsi"/>
        </w:rPr>
        <w:t xml:space="preserve"> državnih in </w:t>
      </w:r>
      <w:r w:rsidR="009B30E1" w:rsidRPr="009B30E1">
        <w:rPr>
          <w:rFonts w:asciiTheme="minorHAnsi" w:hAnsiTheme="minorHAnsi"/>
          <w:i/>
        </w:rPr>
        <w:t>de minimis</w:t>
      </w:r>
      <w:r w:rsidR="00712281" w:rsidRPr="00D050E9">
        <w:rPr>
          <w:rFonts w:asciiTheme="minorHAnsi" w:hAnsiTheme="minorHAnsi"/>
        </w:rPr>
        <w:t xml:space="preserve"> pomoči</w:t>
      </w:r>
      <w:r w:rsidRPr="00D050E9">
        <w:rPr>
          <w:rFonts w:asciiTheme="minorHAnsi" w:hAnsiTheme="minorHAnsi"/>
        </w:rPr>
        <w:t>.</w:t>
      </w:r>
      <w:r w:rsidRPr="00D050E9">
        <w:rPr>
          <w:rFonts w:asciiTheme="minorHAnsi" w:hAnsiTheme="minorHAnsi"/>
          <w:noProof/>
          <w:lang w:eastAsia="sl-SI"/>
        </w:rPr>
        <w:t xml:space="preserve"> Razlogi za večjo uporabo pomoči </w:t>
      </w:r>
      <w:r w:rsidRPr="00D050E9">
        <w:rPr>
          <w:rFonts w:asciiTheme="minorHAnsi" w:hAnsiTheme="minorHAnsi"/>
          <w:i/>
          <w:noProof/>
          <w:lang w:eastAsia="sl-SI"/>
        </w:rPr>
        <w:t xml:space="preserve">de minimis </w:t>
      </w:r>
      <w:r w:rsidRPr="00D050E9">
        <w:rPr>
          <w:rFonts w:asciiTheme="minorHAnsi" w:hAnsiTheme="minorHAnsi"/>
          <w:noProof/>
          <w:lang w:eastAsia="sl-SI"/>
        </w:rPr>
        <w:t>so manj strogi pogoji dodeljevanja teh pomoči</w:t>
      </w:r>
      <w:r w:rsidR="00712281" w:rsidRPr="00D050E9">
        <w:rPr>
          <w:rFonts w:asciiTheme="minorHAnsi" w:hAnsiTheme="minorHAnsi"/>
          <w:noProof/>
          <w:lang w:eastAsia="sl-SI"/>
        </w:rPr>
        <w:t xml:space="preserve">. Pomoč </w:t>
      </w:r>
      <w:r w:rsidR="009B30E1" w:rsidRPr="009B30E1">
        <w:rPr>
          <w:rFonts w:asciiTheme="minorHAnsi" w:hAnsiTheme="minorHAnsi"/>
          <w:i/>
          <w:noProof/>
          <w:lang w:eastAsia="sl-SI"/>
        </w:rPr>
        <w:t>de minimis</w:t>
      </w:r>
      <w:r w:rsidRPr="00D050E9">
        <w:rPr>
          <w:rFonts w:asciiTheme="minorHAnsi" w:hAnsiTheme="minorHAnsi"/>
          <w:noProof/>
          <w:lang w:eastAsia="sl-SI"/>
        </w:rPr>
        <w:t xml:space="preserve"> namreč </w:t>
      </w:r>
      <w:r w:rsidR="00712281" w:rsidRPr="00D050E9">
        <w:rPr>
          <w:rFonts w:asciiTheme="minorHAnsi" w:hAnsiTheme="minorHAnsi"/>
          <w:noProof/>
          <w:lang w:eastAsia="sl-SI"/>
        </w:rPr>
        <w:t>n</w:t>
      </w:r>
      <w:r w:rsidRPr="00D050E9">
        <w:rPr>
          <w:rFonts w:asciiTheme="minorHAnsi" w:hAnsiTheme="minorHAnsi"/>
          <w:noProof/>
          <w:lang w:eastAsia="sl-SI"/>
        </w:rPr>
        <w:t xml:space="preserve">i pogojena z neto povečanjem števila zaposlenih kot velja za državne pomoči skupinski izjemi. </w:t>
      </w:r>
      <w:r w:rsidR="00F95147" w:rsidRPr="00D050E9">
        <w:rPr>
          <w:rFonts w:asciiTheme="minorHAnsi" w:hAnsiTheme="minorHAnsi"/>
          <w:noProof/>
          <w:lang w:eastAsia="sl-SI"/>
        </w:rPr>
        <w:t xml:space="preserve">Več o pomočeh </w:t>
      </w:r>
      <w:r w:rsidR="009B30E1" w:rsidRPr="009B30E1">
        <w:rPr>
          <w:rFonts w:asciiTheme="minorHAnsi" w:hAnsiTheme="minorHAnsi"/>
          <w:i/>
          <w:noProof/>
          <w:lang w:eastAsia="sl-SI"/>
        </w:rPr>
        <w:t>de minimis</w:t>
      </w:r>
      <w:r w:rsidR="00F95147" w:rsidRPr="00D050E9">
        <w:rPr>
          <w:rFonts w:asciiTheme="minorHAnsi" w:hAnsiTheme="minorHAnsi"/>
          <w:noProof/>
          <w:lang w:eastAsia="sl-SI"/>
        </w:rPr>
        <w:t xml:space="preserve"> v poglavju 5. </w:t>
      </w:r>
    </w:p>
    <w:p w:rsidR="00D150CC" w:rsidRDefault="00D150CC" w:rsidP="005934E9">
      <w:pPr>
        <w:spacing w:line="276" w:lineRule="auto"/>
        <w:rPr>
          <w:rFonts w:asciiTheme="minorHAnsi" w:hAnsiTheme="minorHAnsi"/>
          <w:noProof/>
          <w:lang w:eastAsia="sl-SI"/>
        </w:rPr>
      </w:pPr>
    </w:p>
    <w:p w:rsidR="00AB33BA" w:rsidRDefault="00AB33BA" w:rsidP="005934E9">
      <w:pPr>
        <w:spacing w:line="276" w:lineRule="auto"/>
        <w:rPr>
          <w:rFonts w:asciiTheme="minorHAnsi" w:hAnsiTheme="minorHAnsi"/>
          <w:noProof/>
          <w:lang w:eastAsia="sl-SI"/>
        </w:rPr>
      </w:pPr>
    </w:p>
    <w:p w:rsidR="00AB33BA" w:rsidRPr="00D050E9" w:rsidRDefault="00AB33BA" w:rsidP="005934E9">
      <w:pPr>
        <w:spacing w:line="276" w:lineRule="auto"/>
        <w:rPr>
          <w:rFonts w:asciiTheme="minorHAnsi" w:hAnsiTheme="minorHAnsi"/>
          <w:noProof/>
          <w:lang w:eastAsia="sl-SI"/>
        </w:rPr>
      </w:pPr>
    </w:p>
    <w:p w:rsidR="00194D94" w:rsidRPr="00D050E9" w:rsidRDefault="00194D94" w:rsidP="006966B1">
      <w:pPr>
        <w:spacing w:after="0" w:line="276" w:lineRule="auto"/>
        <w:jc w:val="left"/>
        <w:rPr>
          <w:rFonts w:asciiTheme="minorHAnsi" w:hAnsiTheme="minorHAnsi"/>
        </w:rPr>
      </w:pPr>
      <w:r w:rsidRPr="00D050E9">
        <w:rPr>
          <w:rFonts w:asciiTheme="minorHAnsi" w:hAnsiTheme="minorHAnsi"/>
        </w:rPr>
        <w:lastRenderedPageBreak/>
        <w:t>Največji prejemniki pomoči za zaposlovanje</w:t>
      </w:r>
      <w:r w:rsidR="006966B1" w:rsidRPr="00D050E9">
        <w:rPr>
          <w:rFonts w:asciiTheme="minorHAnsi" w:hAnsiTheme="minorHAnsi"/>
        </w:rPr>
        <w:t xml:space="preserve"> v obdobju </w:t>
      </w:r>
      <w:r w:rsidRPr="00D050E9">
        <w:rPr>
          <w:rFonts w:asciiTheme="minorHAnsi" w:hAnsiTheme="minorHAnsi"/>
        </w:rPr>
        <w:t>2015–2017</w:t>
      </w:r>
      <w:r w:rsidR="006966B1" w:rsidRPr="00D050E9">
        <w:rPr>
          <w:rFonts w:asciiTheme="minorHAnsi" w:hAnsiTheme="minorHAnsi"/>
        </w:rPr>
        <w:t xml:space="preserve"> so bili:</w:t>
      </w:r>
    </w:p>
    <w:tbl>
      <w:tblPr>
        <w:tblStyle w:val="LightShading-Accent4"/>
        <w:tblW w:w="5000" w:type="pct"/>
        <w:tblLook w:val="04A0" w:firstRow="1" w:lastRow="0" w:firstColumn="1" w:lastColumn="0" w:noHBand="0" w:noVBand="1"/>
      </w:tblPr>
      <w:tblGrid>
        <w:gridCol w:w="4143"/>
        <w:gridCol w:w="1315"/>
        <w:gridCol w:w="1314"/>
        <w:gridCol w:w="1314"/>
        <w:gridCol w:w="1314"/>
      </w:tblGrid>
      <w:tr w:rsidR="006966B1" w:rsidRPr="007F1967" w:rsidTr="003F77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auto"/>
                <w:sz w:val="18"/>
                <w:szCs w:val="18"/>
                <w:lang w:eastAsia="sl-SI"/>
              </w:rPr>
            </w:pPr>
            <w:r w:rsidRPr="007F1967">
              <w:rPr>
                <w:rFonts w:ascii="Calibri" w:eastAsia="Times New Roman" w:hAnsi="Calibri" w:cs="Arial"/>
                <w:color w:val="auto"/>
                <w:sz w:val="18"/>
                <w:szCs w:val="18"/>
                <w:lang w:eastAsia="sl-SI"/>
              </w:rPr>
              <w:t>Prejemnik pomoči</w:t>
            </w:r>
          </w:p>
        </w:tc>
        <w:tc>
          <w:tcPr>
            <w:tcW w:w="699" w:type="pct"/>
            <w:hideMark/>
          </w:tcPr>
          <w:p w:rsidR="003F779D" w:rsidRPr="007F1967" w:rsidRDefault="003F779D" w:rsidP="003F779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7F1967">
              <w:rPr>
                <w:rFonts w:ascii="Calibri" w:eastAsia="Times New Roman" w:hAnsi="Calibri" w:cs="Arial"/>
                <w:color w:val="auto"/>
                <w:sz w:val="18"/>
                <w:szCs w:val="18"/>
                <w:lang w:eastAsia="sl-SI"/>
              </w:rPr>
              <w:t>2015</w:t>
            </w:r>
          </w:p>
        </w:tc>
        <w:tc>
          <w:tcPr>
            <w:tcW w:w="699" w:type="pct"/>
            <w:hideMark/>
          </w:tcPr>
          <w:p w:rsidR="003F779D" w:rsidRPr="007F1967" w:rsidRDefault="003F779D" w:rsidP="003F779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7F1967">
              <w:rPr>
                <w:rFonts w:ascii="Calibri" w:eastAsia="Times New Roman" w:hAnsi="Calibri" w:cs="Arial"/>
                <w:color w:val="auto"/>
                <w:sz w:val="18"/>
                <w:szCs w:val="18"/>
                <w:lang w:eastAsia="sl-SI"/>
              </w:rPr>
              <w:t>2016</w:t>
            </w:r>
          </w:p>
        </w:tc>
        <w:tc>
          <w:tcPr>
            <w:tcW w:w="699" w:type="pct"/>
            <w:hideMark/>
          </w:tcPr>
          <w:p w:rsidR="003F779D" w:rsidRPr="007F1967" w:rsidRDefault="003F779D" w:rsidP="003F779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7F1967">
              <w:rPr>
                <w:rFonts w:ascii="Calibri" w:eastAsia="Times New Roman" w:hAnsi="Calibri" w:cs="Arial"/>
                <w:color w:val="auto"/>
                <w:sz w:val="18"/>
                <w:szCs w:val="18"/>
                <w:lang w:eastAsia="sl-SI"/>
              </w:rPr>
              <w:t>2017</w:t>
            </w:r>
          </w:p>
        </w:tc>
        <w:tc>
          <w:tcPr>
            <w:tcW w:w="699" w:type="pct"/>
            <w:hideMark/>
          </w:tcPr>
          <w:p w:rsidR="003F779D" w:rsidRPr="007F1967" w:rsidRDefault="003F779D" w:rsidP="003F779D">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7F1967">
              <w:rPr>
                <w:rFonts w:ascii="Calibri" w:eastAsia="Times New Roman" w:hAnsi="Calibri" w:cs="Arial"/>
                <w:color w:val="auto"/>
                <w:sz w:val="18"/>
                <w:szCs w:val="18"/>
                <w:lang w:eastAsia="sl-SI"/>
              </w:rPr>
              <w:t>Skupaj</w:t>
            </w:r>
          </w:p>
        </w:tc>
      </w:tr>
      <w:tr w:rsidR="003F779D" w:rsidRPr="007F1967" w:rsidTr="003F7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HTZ Harmonija tehnologije in znanja, invalidsko podjetje, d.o.o. Velenje</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6.602.415,54</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6.692.737,81</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7.063.240,79</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20.358.394,14</w:t>
            </w:r>
          </w:p>
        </w:tc>
      </w:tr>
      <w:tr w:rsidR="003F779D" w:rsidRPr="007F1967" w:rsidTr="003F779D">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SŽ-ŽIP, storitve, d.o.o.</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4.662.511,38</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4.969.819,43</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4.182.218,19</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13.814.549,00</w:t>
            </w:r>
          </w:p>
        </w:tc>
      </w:tr>
      <w:tr w:rsidR="003F779D" w:rsidRPr="007F1967" w:rsidTr="003F7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GORENJE I.P.C., Invalidsko podjetniški center, d.o.o.</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3.989.059,86</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4.280.287,08</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4.638.894,80</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12.908.241,74</w:t>
            </w:r>
          </w:p>
        </w:tc>
      </w:tr>
      <w:tr w:rsidR="003F779D" w:rsidRPr="007F1967" w:rsidTr="003F779D">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SALOMON d.o.o., podjetje za zaposlovanje invalidov, proizvodnjo, posredovanje in storitve Ljubljana</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1.352.396,05</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1.155.146,93</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5.744.777,64</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8.252.320,62</w:t>
            </w:r>
          </w:p>
        </w:tc>
      </w:tr>
      <w:tr w:rsidR="003F779D" w:rsidRPr="007F1967" w:rsidTr="003F7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Mercator IP, invalidsko podjetje d.o.o.</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1.765.911,95</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1.845.164,15</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2.013.209,28</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5.624.285,38</w:t>
            </w:r>
          </w:p>
        </w:tc>
      </w:tr>
      <w:tr w:rsidR="003F779D" w:rsidRPr="007F1967" w:rsidTr="003F779D">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PAPIR SERVIS d.o.o., Družba za ravnanje z odpadki - v stečaju</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2.831.451,06</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1.574.622,20</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181.528,16</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4.587.601,42</w:t>
            </w:r>
          </w:p>
        </w:tc>
      </w:tr>
      <w:tr w:rsidR="003F779D" w:rsidRPr="007F1967" w:rsidTr="003F7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LUKA KOPER INPO - invalidsko podjetje, d.o.o., gradbeništvo, proizvodne in druge storitve v kopenskem in vodnem prometu, invalidska dejavnost.</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1.587.162,12</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1.472.991,63</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1.447.524,69</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4.507.678,44</w:t>
            </w:r>
          </w:p>
        </w:tc>
      </w:tr>
      <w:tr w:rsidR="003F779D" w:rsidRPr="007F1967" w:rsidTr="003F779D">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IPPS Invalidsko Podjetje Pošte Slovenije, proizvodnja in storitve d.o.o.</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75.360,53</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1.549.622,57</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2.778.592,09</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4.403.575,19</w:t>
            </w:r>
          </w:p>
        </w:tc>
      </w:tr>
      <w:tr w:rsidR="003F779D" w:rsidRPr="007F1967" w:rsidTr="003F7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ŽELVA podjetje za usposabljanje in zaposlovanje invalidov, d.o.o. Ljubljana</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1.695.665,36</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1.215.458,50</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868.526,70</w:t>
            </w:r>
          </w:p>
        </w:tc>
        <w:tc>
          <w:tcPr>
            <w:tcW w:w="699" w:type="pct"/>
            <w:hideMark/>
          </w:tcPr>
          <w:p w:rsidR="003F779D" w:rsidRPr="007F1967" w:rsidRDefault="003F779D" w:rsidP="003F779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3.779.650,56</w:t>
            </w:r>
          </w:p>
        </w:tc>
      </w:tr>
      <w:tr w:rsidR="003F779D" w:rsidRPr="007F1967" w:rsidTr="003F779D">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3F779D" w:rsidRPr="007F1967" w:rsidRDefault="003F779D" w:rsidP="003F779D">
            <w:pPr>
              <w:jc w:val="left"/>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ARCONT IP, proizvodnja oken in podjetje za usposabljanje in zaposlovanje invalidov, d.o.o.</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1.191.317,46</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1.048.364,12</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769.762,03</w:t>
            </w:r>
          </w:p>
        </w:tc>
        <w:tc>
          <w:tcPr>
            <w:tcW w:w="699" w:type="pct"/>
            <w:hideMark/>
          </w:tcPr>
          <w:p w:rsidR="003F779D" w:rsidRPr="007F1967" w:rsidRDefault="003F779D" w:rsidP="003F779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7F1967">
              <w:rPr>
                <w:rFonts w:ascii="Calibri" w:eastAsia="Times New Roman" w:hAnsi="Calibri" w:cs="Arial"/>
                <w:color w:val="000000"/>
                <w:sz w:val="18"/>
                <w:szCs w:val="18"/>
                <w:lang w:eastAsia="sl-SI"/>
              </w:rPr>
              <w:t>3.009.443,61</w:t>
            </w:r>
          </w:p>
        </w:tc>
      </w:tr>
    </w:tbl>
    <w:p w:rsidR="003F779D" w:rsidRPr="00D050E9" w:rsidRDefault="003F779D" w:rsidP="007B2E67">
      <w:pPr>
        <w:spacing w:line="276" w:lineRule="auto"/>
        <w:rPr>
          <w:rFonts w:asciiTheme="minorHAnsi" w:hAnsiTheme="minorHAnsi"/>
          <w:b/>
          <w:color w:val="5F497A" w:themeColor="accent4" w:themeShade="BF"/>
        </w:rPr>
      </w:pPr>
    </w:p>
    <w:p w:rsidR="006966B1" w:rsidRPr="00D050E9" w:rsidRDefault="006966B1" w:rsidP="006966B1">
      <w:pPr>
        <w:spacing w:line="276" w:lineRule="auto"/>
        <w:rPr>
          <w:rFonts w:asciiTheme="minorHAnsi" w:hAnsiTheme="minorHAnsi"/>
        </w:rPr>
      </w:pPr>
      <w:r w:rsidRPr="00D050E9">
        <w:rPr>
          <w:rFonts w:asciiTheme="minorHAnsi" w:hAnsiTheme="minorHAnsi"/>
        </w:rPr>
        <w:t xml:space="preserve">Največji prejemniki pomoči za zaposlovanje so invalidska podjetja. Dvajset največjih prejemnikov je prejelo skoraj 40 % vseh pomoči za zaposlovanje. Na drugi strani je velika množica prejemnikov relativno majhnih zneskov pomoči.  V letu 2017 je kar 63 % vseh prejemnikov pomoči za zaposlovanje dobilo pomoč 5.000 EUR ali manj (v povprečju vseh pomoči je bilo takih 43 % prejemnikov vseh pomoči).  </w:t>
      </w:r>
    </w:p>
    <w:p w:rsidR="006966B1" w:rsidRPr="00D050E9" w:rsidRDefault="006966B1" w:rsidP="006966B1">
      <w:pPr>
        <w:spacing w:line="276" w:lineRule="auto"/>
        <w:rPr>
          <w:rFonts w:asciiTheme="minorHAnsi" w:hAnsiTheme="minorHAnsi"/>
        </w:rPr>
      </w:pPr>
      <w:r w:rsidRPr="00D050E9">
        <w:rPr>
          <w:rFonts w:asciiTheme="minorHAnsi" w:hAnsiTheme="minorHAnsi"/>
        </w:rPr>
        <w:t xml:space="preserve">Vseh prejemnikov pomoči za zaposlovanje v letu 2017 je bilo 3.228, povprečno je vsak prejel dobrih 30 tisoč EUR pomoči, kar je polovica povprečne </w:t>
      </w:r>
      <w:r w:rsidR="00070BE2" w:rsidRPr="00D050E9">
        <w:rPr>
          <w:rFonts w:asciiTheme="minorHAnsi" w:hAnsiTheme="minorHAnsi"/>
        </w:rPr>
        <w:t xml:space="preserve">državne </w:t>
      </w:r>
      <w:r w:rsidRPr="00D050E9">
        <w:rPr>
          <w:rFonts w:asciiTheme="minorHAnsi" w:hAnsiTheme="minorHAnsi"/>
        </w:rPr>
        <w:t>pomoč</w:t>
      </w:r>
      <w:r w:rsidR="00070BE2" w:rsidRPr="00D050E9">
        <w:rPr>
          <w:rFonts w:asciiTheme="minorHAnsi" w:hAnsiTheme="minorHAnsi"/>
        </w:rPr>
        <w:t>i</w:t>
      </w:r>
      <w:r w:rsidRPr="00D050E9">
        <w:rPr>
          <w:rFonts w:asciiTheme="minorHAnsi" w:hAnsiTheme="minorHAnsi"/>
        </w:rPr>
        <w:t xml:space="preserve"> na prejemnika v Sloveniji v letu 2017. </w:t>
      </w:r>
    </w:p>
    <w:p w:rsidR="002955C9" w:rsidRPr="00D050E9" w:rsidRDefault="002955C9" w:rsidP="00B9182A">
      <w:pPr>
        <w:pStyle w:val="Heading3"/>
      </w:pPr>
    </w:p>
    <w:p w:rsidR="007B2E67" w:rsidRPr="00D050E9" w:rsidRDefault="007B2E67" w:rsidP="002873D2">
      <w:pPr>
        <w:pStyle w:val="Heading2"/>
        <w:spacing w:line="240" w:lineRule="auto"/>
      </w:pPr>
      <w:bookmarkStart w:id="82" w:name="_Toc528594655"/>
      <w:bookmarkStart w:id="83" w:name="_Toc530654551"/>
      <w:r w:rsidRPr="00D050E9">
        <w:t>4.3 RAZISKAVE, RAZVOJ IN INOVACIJE</w:t>
      </w:r>
      <w:bookmarkEnd w:id="82"/>
      <w:bookmarkEnd w:id="83"/>
    </w:p>
    <w:p w:rsidR="003F2F56" w:rsidRPr="00D050E9" w:rsidRDefault="003F2F56" w:rsidP="007F1967">
      <w:pPr>
        <w:spacing w:after="0"/>
        <w:rPr>
          <w:rFonts w:asciiTheme="minorHAnsi" w:hAnsiTheme="minorHAnsi"/>
        </w:rPr>
      </w:pPr>
    </w:p>
    <w:p w:rsidR="00070BE2" w:rsidRDefault="00024383" w:rsidP="00E91284">
      <w:pPr>
        <w:spacing w:line="276" w:lineRule="auto"/>
        <w:rPr>
          <w:rFonts w:asciiTheme="minorHAnsi" w:hAnsiTheme="minorHAnsi"/>
        </w:rPr>
      </w:pPr>
      <w:r w:rsidRPr="00D050E9">
        <w:rPr>
          <w:rFonts w:asciiTheme="minorHAnsi" w:hAnsiTheme="minorHAnsi"/>
        </w:rPr>
        <w:t xml:space="preserve">V letu 2017 je bilo za raziskave, razvoj in inovacije izplačanih 34,40 mio EUR, kar je za 23,75 mio EUR </w:t>
      </w:r>
      <w:r w:rsidR="00220A72" w:rsidRPr="00D050E9">
        <w:rPr>
          <w:rFonts w:asciiTheme="minorHAnsi" w:hAnsiTheme="minorHAnsi"/>
        </w:rPr>
        <w:t xml:space="preserve">ali </w:t>
      </w:r>
      <w:r w:rsidR="00C91D17" w:rsidRPr="00D050E9">
        <w:rPr>
          <w:rFonts w:asciiTheme="minorHAnsi" w:hAnsiTheme="minorHAnsi"/>
        </w:rPr>
        <w:t xml:space="preserve">za 223 </w:t>
      </w:r>
      <w:r w:rsidR="00220A72" w:rsidRPr="00D050E9">
        <w:rPr>
          <w:rFonts w:asciiTheme="minorHAnsi" w:hAnsiTheme="minorHAnsi"/>
        </w:rPr>
        <w:t xml:space="preserve">% </w:t>
      </w:r>
      <w:r w:rsidRPr="00D050E9">
        <w:rPr>
          <w:rFonts w:asciiTheme="minorHAnsi" w:hAnsiTheme="minorHAnsi"/>
        </w:rPr>
        <w:t xml:space="preserve">več kot v letu 2016. </w:t>
      </w:r>
      <w:r w:rsidR="00220A72" w:rsidRPr="00D050E9">
        <w:rPr>
          <w:rFonts w:asciiTheme="minorHAnsi" w:hAnsiTheme="minorHAnsi"/>
        </w:rPr>
        <w:t>P</w:t>
      </w:r>
      <w:r w:rsidRPr="00D050E9">
        <w:rPr>
          <w:rFonts w:asciiTheme="minorHAnsi" w:hAnsiTheme="minorHAnsi"/>
        </w:rPr>
        <w:t>omoči za RRI so predstavljale 8,1 % vseh državnih pomoči v letu 2017 (2,8 % vseh pomoči v 2016).</w:t>
      </w:r>
      <w:r w:rsidR="00220A72" w:rsidRPr="00D050E9">
        <w:rPr>
          <w:rFonts w:asciiTheme="minorHAnsi" w:hAnsiTheme="minorHAnsi"/>
        </w:rPr>
        <w:t xml:space="preserve"> Gre za prvo povečanje</w:t>
      </w:r>
      <w:r w:rsidR="00C91D17" w:rsidRPr="00D050E9">
        <w:rPr>
          <w:rFonts w:asciiTheme="minorHAnsi" w:hAnsiTheme="minorHAnsi"/>
        </w:rPr>
        <w:t xml:space="preserve"> pomoči za RRI </w:t>
      </w:r>
      <w:r w:rsidR="00220A72" w:rsidRPr="00D050E9">
        <w:rPr>
          <w:rFonts w:asciiTheme="minorHAnsi" w:hAnsiTheme="minorHAnsi"/>
        </w:rPr>
        <w:t>po več letnem obdobju zniževanja</w:t>
      </w:r>
      <w:r w:rsidR="00C91D17" w:rsidRPr="00D050E9">
        <w:rPr>
          <w:rFonts w:asciiTheme="minorHAnsi" w:hAnsiTheme="minorHAnsi"/>
        </w:rPr>
        <w:t xml:space="preserve"> teh pomoči</w:t>
      </w:r>
      <w:r w:rsidR="00220A72" w:rsidRPr="00D050E9">
        <w:rPr>
          <w:rFonts w:asciiTheme="minorHAnsi" w:hAnsiTheme="minorHAnsi"/>
        </w:rPr>
        <w:t xml:space="preserve">, </w:t>
      </w:r>
      <w:r w:rsidR="00C91D17" w:rsidRPr="00D050E9">
        <w:rPr>
          <w:rFonts w:asciiTheme="minorHAnsi" w:hAnsiTheme="minorHAnsi"/>
        </w:rPr>
        <w:t xml:space="preserve">ki je trajalo </w:t>
      </w:r>
      <w:r w:rsidR="00220A72" w:rsidRPr="00D050E9">
        <w:rPr>
          <w:rFonts w:asciiTheme="minorHAnsi" w:hAnsiTheme="minorHAnsi"/>
        </w:rPr>
        <w:t>od leta 2012</w:t>
      </w:r>
      <w:r w:rsidR="00C91D17" w:rsidRPr="00D050E9">
        <w:rPr>
          <w:rFonts w:asciiTheme="minorHAnsi" w:hAnsiTheme="minorHAnsi"/>
        </w:rPr>
        <w:t>. Največji obseg so pomoči za RRI dosegle v letu 2010 (</w:t>
      </w:r>
      <w:r w:rsidR="00220A72" w:rsidRPr="00D050E9">
        <w:rPr>
          <w:rFonts w:asciiTheme="minorHAnsi" w:hAnsiTheme="minorHAnsi"/>
        </w:rPr>
        <w:t>95 mio EUR ali</w:t>
      </w:r>
      <w:r w:rsidR="00D348D4" w:rsidRPr="00D050E9">
        <w:rPr>
          <w:rFonts w:asciiTheme="minorHAnsi" w:hAnsiTheme="minorHAnsi"/>
        </w:rPr>
        <w:t xml:space="preserve"> skoraj</w:t>
      </w:r>
      <w:r w:rsidR="00220A72" w:rsidRPr="00D050E9">
        <w:rPr>
          <w:rFonts w:asciiTheme="minorHAnsi" w:hAnsiTheme="minorHAnsi"/>
        </w:rPr>
        <w:t xml:space="preserve"> 23 % vseh </w:t>
      </w:r>
      <w:r w:rsidR="00D348D4" w:rsidRPr="00D050E9">
        <w:rPr>
          <w:rFonts w:asciiTheme="minorHAnsi" w:hAnsiTheme="minorHAnsi"/>
        </w:rPr>
        <w:t xml:space="preserve">državnih </w:t>
      </w:r>
      <w:r w:rsidR="00220A72" w:rsidRPr="00D050E9">
        <w:rPr>
          <w:rFonts w:asciiTheme="minorHAnsi" w:hAnsiTheme="minorHAnsi"/>
        </w:rPr>
        <w:t xml:space="preserve">pomoči). </w:t>
      </w:r>
    </w:p>
    <w:p w:rsidR="007F1967" w:rsidRPr="004E4300" w:rsidRDefault="007F1967" w:rsidP="007F1967">
      <w:pPr>
        <w:spacing w:line="276" w:lineRule="auto"/>
        <w:rPr>
          <w:rFonts w:asciiTheme="minorHAnsi" w:hAnsiTheme="minorHAnsi"/>
        </w:rPr>
      </w:pPr>
      <w:r w:rsidRPr="00D050E9">
        <w:rPr>
          <w:rFonts w:asciiTheme="minorHAnsi" w:hAnsiTheme="minorHAnsi"/>
        </w:rPr>
        <w:t xml:space="preserve">Pomoči za RRI so se začele občutno zmanjševati po letu 2014, kar sovpada z iztekom programov evropske kohezijske politike za obdobje 2007–2013, ki so pomenila pomemben delež sredstev za spodbujanje RRI dejavnosti v obdobju 2009–2014, ko so pomoči za RRI dosegale najvišje vrednosti (raziskovalci za gospodarstvo, spodbujanje inovacijske dejavnosti podjetij, </w:t>
      </w:r>
      <w:r w:rsidRPr="004E4300">
        <w:rPr>
          <w:rFonts w:asciiTheme="minorHAnsi" w:hAnsiTheme="minorHAnsi"/>
        </w:rPr>
        <w:t xml:space="preserve">konkurenčnost podjetij in raziskovalna odličnost, kompetenčni centri in razvojni centri slovenskega gospodarstva). </w:t>
      </w:r>
    </w:p>
    <w:p w:rsidR="007F1967" w:rsidRDefault="007F1967" w:rsidP="00E91284">
      <w:pPr>
        <w:spacing w:line="276" w:lineRule="auto"/>
        <w:rPr>
          <w:rFonts w:asciiTheme="minorHAnsi" w:hAnsiTheme="minorHAnsi"/>
        </w:rPr>
      </w:pPr>
    </w:p>
    <w:p w:rsidR="007F1967" w:rsidRDefault="007F1967" w:rsidP="00E91284">
      <w:pPr>
        <w:spacing w:line="276" w:lineRule="auto"/>
        <w:rPr>
          <w:rFonts w:asciiTheme="minorHAnsi" w:hAnsiTheme="minorHAnsi"/>
        </w:rPr>
      </w:pPr>
    </w:p>
    <w:p w:rsidR="007F1967" w:rsidRDefault="007F1967" w:rsidP="00E91284">
      <w:pPr>
        <w:spacing w:line="276" w:lineRule="auto"/>
        <w:rPr>
          <w:rFonts w:asciiTheme="minorHAnsi" w:hAnsiTheme="minorHAnsi"/>
        </w:rPr>
      </w:pPr>
    </w:p>
    <w:p w:rsidR="0055661E" w:rsidRPr="00D050E9" w:rsidRDefault="002955C9" w:rsidP="002955C9">
      <w:pPr>
        <w:pStyle w:val="Caption"/>
        <w:rPr>
          <w:color w:val="auto"/>
        </w:rPr>
      </w:pPr>
      <w:bookmarkStart w:id="84" w:name="_Toc530654652"/>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37</w:t>
      </w:r>
      <w:r w:rsidRPr="00D050E9">
        <w:rPr>
          <w:color w:val="auto"/>
        </w:rPr>
        <w:fldChar w:fldCharType="end"/>
      </w:r>
      <w:r w:rsidRPr="00D050E9">
        <w:rPr>
          <w:color w:val="auto"/>
        </w:rPr>
        <w:t xml:space="preserve">: </w:t>
      </w:r>
      <w:r w:rsidR="0055661E" w:rsidRPr="00D050E9">
        <w:rPr>
          <w:color w:val="auto"/>
        </w:rPr>
        <w:t>Državne pomoči za raziskave, razvoj in inovacije v mio EUR in kot</w:t>
      </w:r>
      <w:r w:rsidR="00F018AA" w:rsidRPr="00D050E9">
        <w:rPr>
          <w:color w:val="auto"/>
        </w:rPr>
        <w:t xml:space="preserve"> % </w:t>
      </w:r>
      <w:r w:rsidR="0055661E" w:rsidRPr="00D050E9">
        <w:rPr>
          <w:color w:val="auto"/>
        </w:rPr>
        <w:t>vseh pomoči, 2008–2017</w:t>
      </w:r>
      <w:bookmarkEnd w:id="84"/>
    </w:p>
    <w:p w:rsidR="00B24A60" w:rsidRPr="00D050E9" w:rsidRDefault="0010785F" w:rsidP="00B81449">
      <w:pPr>
        <w:spacing w:line="276" w:lineRule="auto"/>
        <w:rPr>
          <w:rFonts w:asciiTheme="minorHAnsi" w:hAnsiTheme="minorHAnsi"/>
          <w:b/>
          <w:color w:val="5F497A" w:themeColor="accent4" w:themeShade="BF"/>
        </w:rPr>
      </w:pPr>
      <w:r w:rsidRPr="00D050E9">
        <w:rPr>
          <w:noProof/>
          <w:lang w:eastAsia="sl-SI"/>
        </w:rPr>
        <w:drawing>
          <wp:inline distT="0" distB="0" distL="0" distR="0" wp14:anchorId="0192279B" wp14:editId="5F0607A0">
            <wp:extent cx="5760720" cy="2659380"/>
            <wp:effectExtent l="0" t="0" r="0" b="76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B7019" w:rsidRPr="00D050E9" w:rsidRDefault="004B7019" w:rsidP="004B7019">
      <w:pPr>
        <w:spacing w:line="276" w:lineRule="auto"/>
        <w:rPr>
          <w:rFonts w:asciiTheme="minorHAnsi" w:hAnsiTheme="minorHAnsi"/>
        </w:rPr>
      </w:pPr>
      <w:r w:rsidRPr="004E4300">
        <w:rPr>
          <w:rFonts w:asciiTheme="minorHAnsi" w:hAnsiTheme="minorHAnsi"/>
        </w:rPr>
        <w:t>V letu 2017 se je trend pomoči za RRI ponovno obrnil navzgor. Povečanje sredstev za RRI v letu 2017</w:t>
      </w:r>
      <w:r w:rsidRPr="00D050E9">
        <w:rPr>
          <w:rFonts w:asciiTheme="minorHAnsi" w:hAnsiTheme="minorHAnsi"/>
        </w:rPr>
        <w:t xml:space="preserve"> je mogoče v veliki meri pripisati (prvim) večjim izplačilom sredstev iz programov evropske kohezijske politike za obdobje 2014–2020. Povečale so se zlasti spodbude za industrijske raziskave in eksperimentalni razvoj, medtem ko so se pomoči za temeljne raziskave, ki se v veliki večini financirajo iz nacionalnih sredstev, nekoliko znižale. </w:t>
      </w:r>
    </w:p>
    <w:p w:rsidR="008A44FA" w:rsidRPr="00D050E9" w:rsidRDefault="002350CE" w:rsidP="00220A72">
      <w:pPr>
        <w:spacing w:line="276" w:lineRule="auto"/>
        <w:rPr>
          <w:rFonts w:asciiTheme="minorHAnsi" w:hAnsiTheme="minorHAnsi"/>
        </w:rPr>
      </w:pPr>
      <w:r w:rsidRPr="00D050E9">
        <w:rPr>
          <w:rFonts w:asciiTheme="minorHAnsi" w:hAnsiTheme="minorHAnsi"/>
        </w:rPr>
        <w:t xml:space="preserve">V letu 2017 je bilo tako skoraj štiri petine (78 %)  vseh sredstev za </w:t>
      </w:r>
      <w:r w:rsidR="004B7019" w:rsidRPr="00D050E9">
        <w:rPr>
          <w:rFonts w:asciiTheme="minorHAnsi" w:hAnsiTheme="minorHAnsi"/>
        </w:rPr>
        <w:t>RRI</w:t>
      </w:r>
      <w:r w:rsidRPr="00D050E9">
        <w:rPr>
          <w:rFonts w:asciiTheme="minorHAnsi" w:hAnsiTheme="minorHAnsi"/>
        </w:rPr>
        <w:t xml:space="preserve"> namenjenih za industrijske raziskave in eksperimentalni razvoj</w:t>
      </w:r>
      <w:r w:rsidR="008A44FA" w:rsidRPr="00D050E9">
        <w:rPr>
          <w:rStyle w:val="FootnoteReference"/>
          <w:rFonts w:asciiTheme="minorHAnsi" w:hAnsiTheme="minorHAnsi"/>
        </w:rPr>
        <w:footnoteReference w:id="13"/>
      </w:r>
      <w:r w:rsidR="008A44FA" w:rsidRPr="00D050E9">
        <w:rPr>
          <w:rFonts w:asciiTheme="minorHAnsi" w:hAnsiTheme="minorHAnsi"/>
        </w:rPr>
        <w:t xml:space="preserve"> </w:t>
      </w:r>
      <w:r w:rsidRPr="00D050E9">
        <w:rPr>
          <w:rFonts w:asciiTheme="minorHAnsi" w:hAnsiTheme="minorHAnsi"/>
        </w:rPr>
        <w:t>(62 % v obdobju 2015–2017). V letu 2017 se je povečal zlasti obseg sredstev za ind</w:t>
      </w:r>
      <w:r w:rsidR="008A44FA" w:rsidRPr="00D050E9">
        <w:rPr>
          <w:rFonts w:asciiTheme="minorHAnsi" w:hAnsiTheme="minorHAnsi"/>
        </w:rPr>
        <w:t>ustrijske raziskave, za skoraj 17 mio EUR (</w:t>
      </w:r>
      <w:r w:rsidRPr="00D050E9">
        <w:rPr>
          <w:rFonts w:asciiTheme="minorHAnsi" w:hAnsiTheme="minorHAnsi"/>
        </w:rPr>
        <w:t xml:space="preserve">54 % </w:t>
      </w:r>
      <w:r w:rsidR="008A44FA" w:rsidRPr="00D050E9">
        <w:rPr>
          <w:rFonts w:asciiTheme="minorHAnsi" w:hAnsiTheme="minorHAnsi"/>
        </w:rPr>
        <w:t xml:space="preserve">RRI pomoči </w:t>
      </w:r>
      <w:r w:rsidRPr="00D050E9">
        <w:rPr>
          <w:rFonts w:asciiTheme="minorHAnsi" w:hAnsiTheme="minorHAnsi"/>
        </w:rPr>
        <w:t>v letu 2017</w:t>
      </w:r>
      <w:r w:rsidR="008A44FA" w:rsidRPr="00D050E9">
        <w:rPr>
          <w:rFonts w:asciiTheme="minorHAnsi" w:hAnsiTheme="minorHAnsi"/>
        </w:rPr>
        <w:t xml:space="preserve">), pomoči za eksperimentalni razvoj je bilo za 7,65 mio EUR več kot leta 2016 (25 % vseh RRI pomoči v letu 2017). </w:t>
      </w:r>
    </w:p>
    <w:p w:rsidR="00343952" w:rsidRDefault="008A44FA" w:rsidP="002873D2">
      <w:pPr>
        <w:spacing w:line="276" w:lineRule="auto"/>
        <w:rPr>
          <w:rFonts w:asciiTheme="minorHAnsi" w:hAnsiTheme="minorHAnsi"/>
        </w:rPr>
      </w:pPr>
      <w:r w:rsidRPr="004E4300">
        <w:rPr>
          <w:rFonts w:asciiTheme="minorHAnsi" w:hAnsiTheme="minorHAnsi"/>
        </w:rPr>
        <w:t>Za temeljn</w:t>
      </w:r>
      <w:r w:rsidR="00A82107" w:rsidRPr="004E4300">
        <w:rPr>
          <w:rFonts w:asciiTheme="minorHAnsi" w:hAnsiTheme="minorHAnsi"/>
        </w:rPr>
        <w:t>e</w:t>
      </w:r>
      <w:r w:rsidRPr="004E4300">
        <w:rPr>
          <w:rFonts w:asciiTheme="minorHAnsi" w:hAnsiTheme="minorHAnsi"/>
        </w:rPr>
        <w:t xml:space="preserve"> raziskave je bila v letu 2017 namenjena slaba petina vseh sredstev za RRI v letu 2017 (36</w:t>
      </w:r>
      <w:r w:rsidR="00F018AA" w:rsidRPr="004E4300">
        <w:rPr>
          <w:rFonts w:asciiTheme="minorHAnsi" w:hAnsiTheme="minorHAnsi"/>
        </w:rPr>
        <w:t> </w:t>
      </w:r>
      <w:r w:rsidRPr="004E4300">
        <w:rPr>
          <w:rFonts w:asciiTheme="minorHAnsi" w:hAnsiTheme="minorHAnsi"/>
        </w:rPr>
        <w:t>% v obdobju 2015–2017).</w:t>
      </w:r>
    </w:p>
    <w:p w:rsidR="00F018AA" w:rsidRPr="00D050E9" w:rsidRDefault="00F018AA" w:rsidP="00343952">
      <w:pPr>
        <w:pStyle w:val="Caption"/>
      </w:pPr>
      <w:bookmarkStart w:id="85" w:name="_Toc530654596"/>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12</w:t>
      </w:r>
      <w:r w:rsidRPr="00D050E9">
        <w:rPr>
          <w:color w:val="auto"/>
        </w:rPr>
        <w:fldChar w:fldCharType="end"/>
      </w:r>
      <w:r w:rsidRPr="00D050E9">
        <w:rPr>
          <w:color w:val="auto"/>
        </w:rPr>
        <w:t xml:space="preserve">: </w:t>
      </w:r>
      <w:r w:rsidR="008A44FA" w:rsidRPr="00D050E9">
        <w:rPr>
          <w:color w:val="auto"/>
        </w:rPr>
        <w:t>Državne pomoči za RRI po namenih, 2015–2017</w:t>
      </w:r>
      <w:bookmarkEnd w:id="85"/>
    </w:p>
    <w:tbl>
      <w:tblPr>
        <w:tblStyle w:val="LightGrid-Accent5"/>
        <w:tblW w:w="5000" w:type="pct"/>
        <w:tblLook w:val="04A0" w:firstRow="1" w:lastRow="0" w:firstColumn="1" w:lastColumn="0" w:noHBand="0" w:noVBand="1"/>
      </w:tblPr>
      <w:tblGrid>
        <w:gridCol w:w="2705"/>
        <w:gridCol w:w="1418"/>
        <w:gridCol w:w="1549"/>
        <w:gridCol w:w="1461"/>
        <w:gridCol w:w="1090"/>
        <w:gridCol w:w="1177"/>
      </w:tblGrid>
      <w:tr w:rsidR="003B0049" w:rsidRPr="00D050E9" w:rsidTr="00DE48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hideMark/>
          </w:tcPr>
          <w:p w:rsidR="003B0049" w:rsidRPr="00D050E9" w:rsidRDefault="003B0049" w:rsidP="00DE48AD">
            <w:pPr>
              <w:jc w:val="center"/>
              <w:rPr>
                <w:rFonts w:asciiTheme="minorHAnsi" w:eastAsia="Times New Roman" w:hAnsiTheme="minorHAnsi" w:cs="Arial"/>
                <w:sz w:val="19"/>
                <w:szCs w:val="19"/>
                <w:lang w:eastAsia="sl-SI"/>
              </w:rPr>
            </w:pPr>
            <w:r w:rsidRPr="00D050E9">
              <w:rPr>
                <w:rFonts w:asciiTheme="minorHAnsi" w:hAnsiTheme="minorHAnsi"/>
                <w:sz w:val="19"/>
                <w:szCs w:val="19"/>
              </w:rPr>
              <w:t xml:space="preserve">Tabela: </w:t>
            </w:r>
            <w:r w:rsidRPr="00D050E9">
              <w:rPr>
                <w:rFonts w:asciiTheme="minorHAnsi" w:eastAsia="Times New Roman" w:hAnsiTheme="minorHAnsi" w:cs="Arial"/>
                <w:sz w:val="19"/>
                <w:szCs w:val="19"/>
                <w:lang w:eastAsia="sl-SI"/>
              </w:rPr>
              <w:t>Namen</w:t>
            </w:r>
          </w:p>
        </w:tc>
        <w:tc>
          <w:tcPr>
            <w:tcW w:w="754" w:type="pct"/>
            <w:hideMark/>
          </w:tcPr>
          <w:p w:rsidR="003B0049" w:rsidRPr="00D050E9" w:rsidRDefault="003B0049" w:rsidP="00DE48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2015</w:t>
            </w:r>
          </w:p>
        </w:tc>
        <w:tc>
          <w:tcPr>
            <w:tcW w:w="824" w:type="pct"/>
            <w:hideMark/>
          </w:tcPr>
          <w:p w:rsidR="003B0049" w:rsidRPr="00D050E9" w:rsidRDefault="003B0049" w:rsidP="00DE48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2016</w:t>
            </w:r>
          </w:p>
        </w:tc>
        <w:tc>
          <w:tcPr>
            <w:tcW w:w="777" w:type="pct"/>
            <w:hideMark/>
          </w:tcPr>
          <w:p w:rsidR="003B0049" w:rsidRPr="00D050E9" w:rsidRDefault="003B0049" w:rsidP="00DE48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2017</w:t>
            </w:r>
          </w:p>
        </w:tc>
        <w:tc>
          <w:tcPr>
            <w:tcW w:w="580" w:type="pct"/>
            <w:hideMark/>
          </w:tcPr>
          <w:p w:rsidR="003B0049" w:rsidRPr="00D050E9" w:rsidRDefault="003B0049" w:rsidP="00DE48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Delež</w:t>
            </w:r>
            <w:r w:rsidRPr="00D050E9">
              <w:rPr>
                <w:rFonts w:asciiTheme="minorHAnsi" w:eastAsia="Times New Roman" w:hAnsiTheme="minorHAnsi" w:cs="Arial"/>
                <w:sz w:val="19"/>
                <w:szCs w:val="19"/>
                <w:lang w:eastAsia="sl-SI"/>
              </w:rPr>
              <w:br/>
              <w:t>2017</w:t>
            </w:r>
          </w:p>
        </w:tc>
        <w:tc>
          <w:tcPr>
            <w:tcW w:w="626" w:type="pct"/>
            <w:hideMark/>
          </w:tcPr>
          <w:p w:rsidR="003B0049" w:rsidRPr="00D050E9" w:rsidRDefault="003B0049" w:rsidP="00DE48A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Delež</w:t>
            </w:r>
            <w:r w:rsidRPr="00D050E9">
              <w:rPr>
                <w:rFonts w:asciiTheme="minorHAnsi" w:eastAsia="Times New Roman" w:hAnsiTheme="minorHAnsi" w:cs="Arial"/>
                <w:sz w:val="19"/>
                <w:szCs w:val="19"/>
                <w:lang w:eastAsia="sl-SI"/>
              </w:rPr>
              <w:br/>
              <w:t>2015-2017</w:t>
            </w:r>
          </w:p>
        </w:tc>
      </w:tr>
      <w:tr w:rsidR="003B0049" w:rsidRPr="00D050E9" w:rsidTr="00DE48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3B0049" w:rsidRPr="00D050E9" w:rsidRDefault="003B0049" w:rsidP="00DE48A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Temeljne raziskave</w:t>
            </w:r>
          </w:p>
        </w:tc>
        <w:tc>
          <w:tcPr>
            <w:tcW w:w="754"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8.437.639,52</w:t>
            </w:r>
          </w:p>
        </w:tc>
        <w:tc>
          <w:tcPr>
            <w:tcW w:w="824"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8.331.256,98</w:t>
            </w:r>
          </w:p>
        </w:tc>
        <w:tc>
          <w:tcPr>
            <w:tcW w:w="777"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6.710.239,40</w:t>
            </w:r>
          </w:p>
        </w:tc>
        <w:tc>
          <w:tcPr>
            <w:tcW w:w="580"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19,5%</w:t>
            </w:r>
          </w:p>
        </w:tc>
        <w:tc>
          <w:tcPr>
            <w:tcW w:w="626"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35,8%</w:t>
            </w:r>
          </w:p>
        </w:tc>
      </w:tr>
      <w:tr w:rsidR="003B0049" w:rsidRPr="00D050E9" w:rsidTr="00DE48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3B0049" w:rsidRPr="00D050E9" w:rsidRDefault="003B0049" w:rsidP="00DE48A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Industrijske raziskave</w:t>
            </w:r>
          </w:p>
        </w:tc>
        <w:tc>
          <w:tcPr>
            <w:tcW w:w="754"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11.215.088,49</w:t>
            </w:r>
          </w:p>
        </w:tc>
        <w:tc>
          <w:tcPr>
            <w:tcW w:w="824"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1.498.759,15</w:t>
            </w:r>
          </w:p>
        </w:tc>
        <w:tc>
          <w:tcPr>
            <w:tcW w:w="777"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18.423.675,68</w:t>
            </w:r>
          </w:p>
        </w:tc>
        <w:tc>
          <w:tcPr>
            <w:tcW w:w="580"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53,6%</w:t>
            </w:r>
          </w:p>
        </w:tc>
        <w:tc>
          <w:tcPr>
            <w:tcW w:w="626"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47,4%</w:t>
            </w:r>
          </w:p>
        </w:tc>
      </w:tr>
      <w:tr w:rsidR="003B0049" w:rsidRPr="00D050E9" w:rsidTr="00DE48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3B0049" w:rsidRPr="00D050E9" w:rsidRDefault="003B0049" w:rsidP="00DE48A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Eksperimentalni razvoj</w:t>
            </w:r>
          </w:p>
        </w:tc>
        <w:tc>
          <w:tcPr>
            <w:tcW w:w="754"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834.890,65</w:t>
            </w:r>
          </w:p>
        </w:tc>
        <w:tc>
          <w:tcPr>
            <w:tcW w:w="824"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816.952,36</w:t>
            </w:r>
          </w:p>
        </w:tc>
        <w:tc>
          <w:tcPr>
            <w:tcW w:w="777"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8.464.911,15</w:t>
            </w:r>
          </w:p>
        </w:tc>
        <w:tc>
          <w:tcPr>
            <w:tcW w:w="580"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24,6%</w:t>
            </w:r>
          </w:p>
        </w:tc>
        <w:tc>
          <w:tcPr>
            <w:tcW w:w="626"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15,4%</w:t>
            </w:r>
          </w:p>
        </w:tc>
      </w:tr>
      <w:tr w:rsidR="003B0049" w:rsidRPr="00D050E9" w:rsidTr="00DE48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3B0049" w:rsidRPr="00D050E9" w:rsidRDefault="003B0049" w:rsidP="00DE48A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Študije o tehnični izvedljivosti</w:t>
            </w:r>
          </w:p>
        </w:tc>
        <w:tc>
          <w:tcPr>
            <w:tcW w:w="754"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 </w:t>
            </w:r>
          </w:p>
        </w:tc>
        <w:tc>
          <w:tcPr>
            <w:tcW w:w="824"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 </w:t>
            </w:r>
          </w:p>
        </w:tc>
        <w:tc>
          <w:tcPr>
            <w:tcW w:w="777"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210.000,00</w:t>
            </w:r>
          </w:p>
        </w:tc>
        <w:tc>
          <w:tcPr>
            <w:tcW w:w="580"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0,6%</w:t>
            </w:r>
          </w:p>
        </w:tc>
        <w:tc>
          <w:tcPr>
            <w:tcW w:w="626"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0,3%</w:t>
            </w:r>
          </w:p>
        </w:tc>
      </w:tr>
      <w:tr w:rsidR="003B0049" w:rsidRPr="00D050E9" w:rsidTr="00DE48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3B0049" w:rsidRPr="00D050E9" w:rsidRDefault="003B0049" w:rsidP="00DE48A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Pomoč za inovacijske grozde</w:t>
            </w:r>
          </w:p>
        </w:tc>
        <w:tc>
          <w:tcPr>
            <w:tcW w:w="754"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 </w:t>
            </w:r>
          </w:p>
        </w:tc>
        <w:tc>
          <w:tcPr>
            <w:tcW w:w="824"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 </w:t>
            </w:r>
          </w:p>
        </w:tc>
        <w:tc>
          <w:tcPr>
            <w:tcW w:w="777"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593.562,91</w:t>
            </w:r>
          </w:p>
        </w:tc>
        <w:tc>
          <w:tcPr>
            <w:tcW w:w="580"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1,7%</w:t>
            </w:r>
          </w:p>
        </w:tc>
        <w:tc>
          <w:tcPr>
            <w:tcW w:w="626" w:type="pct"/>
            <w:vAlign w:val="center"/>
            <w:hideMark/>
          </w:tcPr>
          <w:p w:rsidR="003B0049" w:rsidRPr="00D050E9" w:rsidRDefault="003B0049" w:rsidP="00DE48A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0,9%</w:t>
            </w:r>
          </w:p>
        </w:tc>
      </w:tr>
      <w:tr w:rsidR="003B0049" w:rsidRPr="00D050E9" w:rsidTr="00DE48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9" w:type="pct"/>
            <w:vAlign w:val="center"/>
            <w:hideMark/>
          </w:tcPr>
          <w:p w:rsidR="003B0049" w:rsidRPr="00D050E9" w:rsidRDefault="003B0049" w:rsidP="00DE48AD">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SKUPAJ</w:t>
            </w:r>
          </w:p>
        </w:tc>
        <w:tc>
          <w:tcPr>
            <w:tcW w:w="754"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20.609.645,17</w:t>
            </w:r>
          </w:p>
        </w:tc>
        <w:tc>
          <w:tcPr>
            <w:tcW w:w="824"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10.646.968,49</w:t>
            </w:r>
          </w:p>
        </w:tc>
        <w:tc>
          <w:tcPr>
            <w:tcW w:w="777"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 xml:space="preserve">34.402.389,14 </w:t>
            </w:r>
          </w:p>
        </w:tc>
        <w:tc>
          <w:tcPr>
            <w:tcW w:w="580"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 xml:space="preserve">100,0% </w:t>
            </w:r>
          </w:p>
        </w:tc>
        <w:tc>
          <w:tcPr>
            <w:tcW w:w="626" w:type="pct"/>
            <w:vAlign w:val="center"/>
            <w:hideMark/>
          </w:tcPr>
          <w:p w:rsidR="003B0049" w:rsidRPr="00D050E9" w:rsidRDefault="003B0049" w:rsidP="00DE48A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 xml:space="preserve">100,0% </w:t>
            </w:r>
          </w:p>
        </w:tc>
      </w:tr>
    </w:tbl>
    <w:p w:rsidR="003B0049" w:rsidRPr="00D050E9" w:rsidRDefault="003B0049" w:rsidP="00F018AA">
      <w:pPr>
        <w:spacing w:after="0" w:line="276" w:lineRule="auto"/>
        <w:rPr>
          <w:rFonts w:asciiTheme="minorHAnsi" w:hAnsiTheme="minorHAnsi"/>
        </w:rPr>
      </w:pPr>
    </w:p>
    <w:p w:rsidR="00C91D17" w:rsidRPr="00D050E9" w:rsidRDefault="004F09AE" w:rsidP="00582121">
      <w:pPr>
        <w:spacing w:line="276" w:lineRule="auto"/>
        <w:rPr>
          <w:rFonts w:asciiTheme="minorHAnsi" w:hAnsiTheme="minorHAnsi"/>
        </w:rPr>
      </w:pPr>
      <w:r w:rsidRPr="00D050E9">
        <w:rPr>
          <w:rFonts w:asciiTheme="minorHAnsi" w:hAnsiTheme="minorHAnsi"/>
        </w:rPr>
        <w:t xml:space="preserve">Glavnino od </w:t>
      </w:r>
      <w:r w:rsidR="002350CE" w:rsidRPr="00D050E9">
        <w:rPr>
          <w:rFonts w:asciiTheme="minorHAnsi" w:hAnsiTheme="minorHAnsi"/>
        </w:rPr>
        <w:t xml:space="preserve">skoraj </w:t>
      </w:r>
      <w:r w:rsidRPr="00D050E9">
        <w:rPr>
          <w:rFonts w:asciiTheme="minorHAnsi" w:hAnsiTheme="minorHAnsi"/>
        </w:rPr>
        <w:t>24</w:t>
      </w:r>
      <w:r w:rsidR="002350CE" w:rsidRPr="00D050E9">
        <w:rPr>
          <w:rFonts w:asciiTheme="minorHAnsi" w:hAnsiTheme="minorHAnsi"/>
        </w:rPr>
        <w:t xml:space="preserve"> mio EUR,</w:t>
      </w:r>
      <w:r w:rsidRPr="00D050E9">
        <w:rPr>
          <w:rFonts w:asciiTheme="minorHAnsi" w:hAnsiTheme="minorHAnsi"/>
        </w:rPr>
        <w:t xml:space="preserve"> za kolikor so se povečale pomoči za RRI, je izplačalo M</w:t>
      </w:r>
      <w:r w:rsidR="00A8177A" w:rsidRPr="00D050E9">
        <w:rPr>
          <w:rFonts w:asciiTheme="minorHAnsi" w:hAnsiTheme="minorHAnsi"/>
        </w:rPr>
        <w:t>inistrstv</w:t>
      </w:r>
      <w:r w:rsidRPr="00D050E9">
        <w:rPr>
          <w:rFonts w:asciiTheme="minorHAnsi" w:hAnsiTheme="minorHAnsi"/>
        </w:rPr>
        <w:t>o</w:t>
      </w:r>
      <w:r w:rsidR="00A8177A" w:rsidRPr="00D050E9">
        <w:rPr>
          <w:rFonts w:asciiTheme="minorHAnsi" w:hAnsiTheme="minorHAnsi"/>
        </w:rPr>
        <w:t xml:space="preserve"> za izobraževanje, znanost in šport, </w:t>
      </w:r>
      <w:r w:rsidR="00582121" w:rsidRPr="00D050E9">
        <w:rPr>
          <w:rFonts w:asciiTheme="minorHAnsi" w:hAnsiTheme="minorHAnsi"/>
        </w:rPr>
        <w:t xml:space="preserve">ki je </w:t>
      </w:r>
      <w:r w:rsidRPr="00D050E9">
        <w:rPr>
          <w:rFonts w:asciiTheme="minorHAnsi" w:hAnsiTheme="minorHAnsi"/>
        </w:rPr>
        <w:t xml:space="preserve">bilo </w:t>
      </w:r>
      <w:r w:rsidR="008A44FA" w:rsidRPr="00D050E9">
        <w:rPr>
          <w:rFonts w:asciiTheme="minorHAnsi" w:hAnsiTheme="minorHAnsi"/>
        </w:rPr>
        <w:t>z</w:t>
      </w:r>
      <w:r w:rsidR="00C91D17" w:rsidRPr="00D050E9">
        <w:rPr>
          <w:rFonts w:asciiTheme="minorHAnsi" w:hAnsiTheme="minorHAnsi"/>
        </w:rPr>
        <w:t xml:space="preserve"> </w:t>
      </w:r>
      <w:r w:rsidR="008A44FA" w:rsidRPr="00D050E9">
        <w:rPr>
          <w:rFonts w:asciiTheme="minorHAnsi" w:hAnsiTheme="minorHAnsi"/>
        </w:rPr>
        <w:t xml:space="preserve">18,1 mio EUR ali </w:t>
      </w:r>
      <w:r w:rsidR="00A8177A" w:rsidRPr="00D050E9">
        <w:rPr>
          <w:rFonts w:asciiTheme="minorHAnsi" w:hAnsiTheme="minorHAnsi"/>
        </w:rPr>
        <w:t>53 % vseh RRI pomoči v letu 2017</w:t>
      </w:r>
      <w:r w:rsidRPr="00D050E9">
        <w:rPr>
          <w:rFonts w:asciiTheme="minorHAnsi" w:hAnsiTheme="minorHAnsi"/>
        </w:rPr>
        <w:t xml:space="preserve"> </w:t>
      </w:r>
      <w:r w:rsidR="00A8177A" w:rsidRPr="00D050E9">
        <w:rPr>
          <w:rFonts w:asciiTheme="minorHAnsi" w:hAnsiTheme="minorHAnsi"/>
        </w:rPr>
        <w:t xml:space="preserve">največji </w:t>
      </w:r>
      <w:r w:rsidR="00A8177A" w:rsidRPr="00D050E9">
        <w:rPr>
          <w:rFonts w:asciiTheme="minorHAnsi" w:hAnsiTheme="minorHAnsi"/>
        </w:rPr>
        <w:lastRenderedPageBreak/>
        <w:t xml:space="preserve">dajalec RRI pomoči v lanskem letu (29 % v obdobju </w:t>
      </w:r>
      <w:r w:rsidR="00F474CF" w:rsidRPr="00F474CF">
        <w:rPr>
          <w:rFonts w:asciiTheme="minorHAnsi" w:hAnsiTheme="minorHAnsi"/>
          <w:i/>
        </w:rPr>
        <w:t>2015–2017</w:t>
      </w:r>
      <w:r w:rsidR="00A8177A" w:rsidRPr="00D050E9">
        <w:rPr>
          <w:rFonts w:asciiTheme="minorHAnsi" w:hAnsiTheme="minorHAnsi"/>
        </w:rPr>
        <w:t xml:space="preserve">). </w:t>
      </w:r>
      <w:r w:rsidR="00C91D17" w:rsidRPr="00D050E9">
        <w:rPr>
          <w:rFonts w:asciiTheme="minorHAnsi" w:hAnsiTheme="minorHAnsi"/>
        </w:rPr>
        <w:t xml:space="preserve">Pomoči so bile </w:t>
      </w:r>
      <w:r w:rsidR="008A44FA" w:rsidRPr="00D050E9">
        <w:rPr>
          <w:rFonts w:asciiTheme="minorHAnsi" w:hAnsiTheme="minorHAnsi"/>
        </w:rPr>
        <w:t xml:space="preserve">pretežno </w:t>
      </w:r>
      <w:r w:rsidR="00C91D17" w:rsidRPr="00D050E9">
        <w:rPr>
          <w:rFonts w:asciiTheme="minorHAnsi" w:hAnsiTheme="minorHAnsi"/>
        </w:rPr>
        <w:t>namenjene za izvedbo skupnih raziskovalno-razvojnih projektov</w:t>
      </w:r>
      <w:r w:rsidR="002360E8" w:rsidRPr="00D050E9">
        <w:rPr>
          <w:rFonts w:asciiTheme="minorHAnsi" w:hAnsiTheme="minorHAnsi"/>
        </w:rPr>
        <w:t xml:space="preserve"> </w:t>
      </w:r>
      <w:r w:rsidR="00C91D17" w:rsidRPr="00D050E9">
        <w:rPr>
          <w:rFonts w:asciiTheme="minorHAnsi" w:hAnsiTheme="minorHAnsi"/>
        </w:rPr>
        <w:t xml:space="preserve">institucij znanja in </w:t>
      </w:r>
      <w:r w:rsidR="002360E8" w:rsidRPr="00D050E9">
        <w:rPr>
          <w:rFonts w:asciiTheme="minorHAnsi" w:hAnsiTheme="minorHAnsi"/>
        </w:rPr>
        <w:t>gospodarstva</w:t>
      </w:r>
      <w:r w:rsidR="008A44FA" w:rsidRPr="00D050E9">
        <w:rPr>
          <w:rFonts w:asciiTheme="minorHAnsi" w:hAnsiTheme="minorHAnsi"/>
        </w:rPr>
        <w:t xml:space="preserve"> ter za </w:t>
      </w:r>
      <w:r w:rsidR="002360E8" w:rsidRPr="00D050E9">
        <w:rPr>
          <w:rFonts w:asciiTheme="minorHAnsi" w:hAnsiTheme="minorHAnsi"/>
        </w:rPr>
        <w:t>spodbujanje transnacionalnega in evropskega sodelovanja v okviru okvirnih programov EU (Obzorja 2020</w:t>
      </w:r>
      <w:r w:rsidR="003264B7">
        <w:rPr>
          <w:rFonts w:asciiTheme="minorHAnsi" w:hAnsiTheme="minorHAnsi"/>
        </w:rPr>
        <w:t>)</w:t>
      </w:r>
      <w:r w:rsidR="002360E8" w:rsidRPr="00D050E9">
        <w:rPr>
          <w:rFonts w:asciiTheme="minorHAnsi" w:hAnsiTheme="minorHAnsi"/>
        </w:rPr>
        <w:t xml:space="preserve">. </w:t>
      </w:r>
    </w:p>
    <w:p w:rsidR="003B0049" w:rsidRPr="00D050E9" w:rsidRDefault="003B0049" w:rsidP="003B0049">
      <w:pPr>
        <w:spacing w:line="276" w:lineRule="auto"/>
        <w:rPr>
          <w:rFonts w:asciiTheme="minorHAnsi" w:hAnsiTheme="minorHAnsi"/>
        </w:rPr>
      </w:pPr>
      <w:r w:rsidRPr="00D050E9">
        <w:rPr>
          <w:rFonts w:asciiTheme="minorHAnsi" w:hAnsiTheme="minorHAnsi"/>
        </w:rPr>
        <w:t xml:space="preserve">Več pomoči za RRI (+ 8 mio EUR) je lani dodelilo tudi Ministrstvo za gospodarski razvoj in tehnologijo, v letu 2017 skupaj 9,6 mio EUR pomoči ali 28 % vseh RRI pomoči v 2017 (34 % v </w:t>
      </w:r>
      <w:r w:rsidR="00F474CF" w:rsidRPr="00F474CF">
        <w:rPr>
          <w:rFonts w:asciiTheme="minorHAnsi" w:hAnsiTheme="minorHAnsi"/>
          <w:i/>
        </w:rPr>
        <w:t>2015–2017</w:t>
      </w:r>
      <w:r w:rsidRPr="00D050E9">
        <w:rPr>
          <w:rFonts w:asciiTheme="minorHAnsi" w:hAnsiTheme="minorHAnsi"/>
        </w:rPr>
        <w:t xml:space="preserve">). Glavnina je bila namenjena za </w:t>
      </w:r>
      <w:r w:rsidR="00F902C8" w:rsidRPr="00D050E9">
        <w:rPr>
          <w:rFonts w:asciiTheme="minorHAnsi" w:hAnsiTheme="minorHAnsi"/>
        </w:rPr>
        <w:t xml:space="preserve">raziskovalno-razvojne projekte, ki sodijo v kategorijo industrijskih raziskav in eksperimentalnega </w:t>
      </w:r>
      <w:r w:rsidRPr="00D050E9">
        <w:rPr>
          <w:rFonts w:asciiTheme="minorHAnsi" w:hAnsiTheme="minorHAnsi"/>
        </w:rPr>
        <w:t>razvoj</w:t>
      </w:r>
      <w:r w:rsidR="00F902C8" w:rsidRPr="00D050E9">
        <w:rPr>
          <w:rFonts w:asciiTheme="minorHAnsi" w:hAnsiTheme="minorHAnsi"/>
        </w:rPr>
        <w:t>a</w:t>
      </w:r>
      <w:r w:rsidRPr="00D050E9">
        <w:rPr>
          <w:rFonts w:asciiTheme="minorHAnsi" w:hAnsiTheme="minorHAnsi"/>
        </w:rPr>
        <w:t xml:space="preserve">, izplačane pa so bile tudi prve pomoči za inovacijske grozde. </w:t>
      </w:r>
    </w:p>
    <w:p w:rsidR="003B0049" w:rsidRPr="00D050E9" w:rsidRDefault="003B0049" w:rsidP="003B0049">
      <w:pPr>
        <w:spacing w:line="276" w:lineRule="auto"/>
        <w:rPr>
          <w:rFonts w:asciiTheme="minorHAnsi" w:hAnsiTheme="minorHAnsi"/>
        </w:rPr>
      </w:pPr>
      <w:r w:rsidRPr="004E4300">
        <w:rPr>
          <w:rFonts w:asciiTheme="minorHAnsi" w:hAnsiTheme="minorHAnsi"/>
        </w:rPr>
        <w:t>Obseg pomoči,</w:t>
      </w:r>
      <w:r w:rsidR="00300995" w:rsidRPr="004E4300">
        <w:rPr>
          <w:rFonts w:asciiTheme="minorHAnsi" w:hAnsiTheme="minorHAnsi"/>
        </w:rPr>
        <w:t xml:space="preserve"> ki jih dodeljuje Javna agencija</w:t>
      </w:r>
      <w:r w:rsidRPr="004E4300">
        <w:rPr>
          <w:rFonts w:asciiTheme="minorHAnsi" w:hAnsiTheme="minorHAnsi"/>
        </w:rPr>
        <w:t xml:space="preserve"> za raziskovalno dejavnost</w:t>
      </w:r>
      <w:r w:rsidR="00300995" w:rsidRPr="004E4300">
        <w:rPr>
          <w:rFonts w:asciiTheme="minorHAnsi" w:hAnsiTheme="minorHAnsi"/>
        </w:rPr>
        <w:t xml:space="preserve"> Republike Slovenije</w:t>
      </w:r>
      <w:r w:rsidRPr="004E4300">
        <w:rPr>
          <w:rFonts w:asciiTheme="minorHAnsi" w:hAnsiTheme="minorHAnsi"/>
        </w:rPr>
        <w:t xml:space="preserve"> (ARRS) in so namenjene za spodbujanje temeljnih raziskav, se je v letu 2017 zmanjšal za dobrih 1,5 mio EUR na</w:t>
      </w:r>
      <w:r w:rsidRPr="00D050E9">
        <w:rPr>
          <w:rFonts w:asciiTheme="minorHAnsi" w:hAnsiTheme="minorHAnsi"/>
        </w:rPr>
        <w:t xml:space="preserve"> skupaj 6,7 mio EUR ali slabo petino vseh pomoči za RRI v letu 2017 (34 % 2015–2017). </w:t>
      </w:r>
    </w:p>
    <w:p w:rsidR="003B0049" w:rsidRPr="00D050E9" w:rsidRDefault="003B0049" w:rsidP="003B0049">
      <w:pPr>
        <w:spacing w:line="276" w:lineRule="auto"/>
        <w:rPr>
          <w:rFonts w:asciiTheme="minorHAnsi" w:hAnsiTheme="minorHAnsi"/>
        </w:rPr>
      </w:pPr>
      <w:r w:rsidRPr="00D050E9">
        <w:rPr>
          <w:rFonts w:asciiTheme="minorHAnsi" w:hAnsiTheme="minorHAnsi"/>
        </w:rPr>
        <w:t xml:space="preserve">Pomembnejši dajalec pomoči za RRI v Sloveniji je </w:t>
      </w:r>
      <w:r w:rsidR="008A44FA" w:rsidRPr="00D050E9">
        <w:rPr>
          <w:rFonts w:asciiTheme="minorHAnsi" w:hAnsiTheme="minorHAnsi"/>
        </w:rPr>
        <w:t xml:space="preserve">tudi </w:t>
      </w:r>
      <w:r w:rsidRPr="00D050E9">
        <w:rPr>
          <w:rFonts w:asciiTheme="minorHAnsi" w:hAnsiTheme="minorHAnsi"/>
        </w:rPr>
        <w:t xml:space="preserve">SID banka, ki je v letih 2015 in 2016 dodelila dobra 2 % vseh pomoči za RRI, vse v obliki ugodnih posojil (v letu 2016 za 9,9 mio EUR ugodnih posojil, v letu pa 4 mio EUR ugodnih posojil za spodbujanje tehnološko-razvojnih projektov in inovacijske dejavnosti MSP, kar je skupaj predstavljajo 1,4 mio EUR ali dobra 2 % pomoči za RRI v obdobju 2015–2017). V letu 2017 SID banka ugodnih posojil za RRI ni dodeljevala. Razlog za to je lahko manjše </w:t>
      </w:r>
      <w:r w:rsidRPr="00E116E8">
        <w:rPr>
          <w:rFonts w:asciiTheme="minorHAnsi" w:hAnsiTheme="minorHAnsi"/>
        </w:rPr>
        <w:t xml:space="preserve">povpraševanje po </w:t>
      </w:r>
      <w:r w:rsidRPr="00E116E8">
        <w:rPr>
          <w:rFonts w:asciiTheme="minorHAnsi" w:hAnsiTheme="minorHAnsi"/>
          <w:b/>
        </w:rPr>
        <w:t>ugodnih kreditih</w:t>
      </w:r>
      <w:r w:rsidRPr="00E116E8">
        <w:rPr>
          <w:rFonts w:asciiTheme="minorHAnsi" w:hAnsiTheme="minorHAnsi"/>
        </w:rPr>
        <w:t xml:space="preserve">, potem ko je bil </w:t>
      </w:r>
      <w:r w:rsidR="00EB52D0" w:rsidRPr="00E116E8">
        <w:rPr>
          <w:rFonts w:asciiTheme="minorHAnsi" w:hAnsiTheme="minorHAnsi"/>
        </w:rPr>
        <w:t xml:space="preserve">na </w:t>
      </w:r>
      <w:r w:rsidRPr="00E116E8">
        <w:rPr>
          <w:rFonts w:asciiTheme="minorHAnsi" w:hAnsiTheme="minorHAnsi"/>
        </w:rPr>
        <w:t>voljo večji obseg nepovratnih sredstev za RRI. Ugodna posojila so</w:t>
      </w:r>
      <w:r w:rsidR="000B0041" w:rsidRPr="00E116E8">
        <w:rPr>
          <w:rFonts w:asciiTheme="minorHAnsi" w:hAnsiTheme="minorHAnsi"/>
        </w:rPr>
        <w:t xml:space="preserve"> sicer v letu 2016 predstavljala</w:t>
      </w:r>
      <w:r w:rsidRPr="00E116E8">
        <w:rPr>
          <w:rFonts w:asciiTheme="minorHAnsi" w:hAnsiTheme="minorHAnsi"/>
        </w:rPr>
        <w:t xml:space="preserve"> skoraj 8 % vseh pomoči za RRI, povprečno v zadnjih</w:t>
      </w:r>
      <w:r w:rsidRPr="00D050E9">
        <w:rPr>
          <w:rFonts w:asciiTheme="minorHAnsi" w:hAnsiTheme="minorHAnsi"/>
        </w:rPr>
        <w:t xml:space="preserve"> desetih letih pa 2 % pomoči za RRI. </w:t>
      </w:r>
    </w:p>
    <w:p w:rsidR="004F09AE" w:rsidRPr="00D050E9" w:rsidRDefault="00F018AA" w:rsidP="00F018AA">
      <w:pPr>
        <w:pStyle w:val="Caption"/>
        <w:rPr>
          <w:color w:val="auto"/>
        </w:rPr>
      </w:pPr>
      <w:bookmarkStart w:id="86" w:name="_Toc530654653"/>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38</w:t>
      </w:r>
      <w:r w:rsidRPr="00D050E9">
        <w:rPr>
          <w:color w:val="auto"/>
        </w:rPr>
        <w:fldChar w:fldCharType="end"/>
      </w:r>
      <w:r w:rsidRPr="00D050E9">
        <w:rPr>
          <w:color w:val="auto"/>
        </w:rPr>
        <w:t xml:space="preserve">: </w:t>
      </w:r>
      <w:r w:rsidR="004F09AE" w:rsidRPr="00D050E9">
        <w:rPr>
          <w:color w:val="auto"/>
        </w:rPr>
        <w:t xml:space="preserve">Pomoči za RRI po glavnih </w:t>
      </w:r>
      <w:r w:rsidR="0055661E" w:rsidRPr="00D050E9">
        <w:rPr>
          <w:color w:val="auto"/>
        </w:rPr>
        <w:t>namenih oz. shemah</w:t>
      </w:r>
      <w:r w:rsidR="004F09AE" w:rsidRPr="00D050E9">
        <w:rPr>
          <w:color w:val="auto"/>
        </w:rPr>
        <w:t>, 2015–2017</w:t>
      </w:r>
      <w:bookmarkEnd w:id="86"/>
    </w:p>
    <w:p w:rsidR="00DD10D1" w:rsidRPr="00D050E9" w:rsidRDefault="00DD10D1" w:rsidP="00B24A60">
      <w:pPr>
        <w:rPr>
          <w:b/>
          <w:sz w:val="18"/>
          <w:szCs w:val="20"/>
        </w:rPr>
      </w:pPr>
      <w:r w:rsidRPr="00D050E9">
        <w:rPr>
          <w:b/>
          <w:noProof/>
          <w:color w:val="FFC000"/>
          <w:lang w:eastAsia="sl-SI"/>
        </w:rPr>
        <w:drawing>
          <wp:inline distT="0" distB="0" distL="0" distR="0" wp14:anchorId="055F6650" wp14:editId="37E4BA31">
            <wp:extent cx="5756564" cy="2535381"/>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F09AE" w:rsidRPr="00D050E9" w:rsidRDefault="00C7398B" w:rsidP="00492B28">
      <w:pPr>
        <w:spacing w:line="276" w:lineRule="auto"/>
        <w:rPr>
          <w:rFonts w:asciiTheme="minorHAnsi" w:hAnsiTheme="minorHAnsi"/>
        </w:rPr>
      </w:pPr>
      <w:r w:rsidRPr="00D050E9">
        <w:rPr>
          <w:rFonts w:asciiTheme="minorHAnsi" w:hAnsiTheme="minorHAnsi"/>
        </w:rPr>
        <w:t>Pomoči za RRI so se</w:t>
      </w:r>
      <w:r w:rsidR="003B1373" w:rsidRPr="00D050E9">
        <w:rPr>
          <w:rFonts w:asciiTheme="minorHAnsi" w:hAnsiTheme="minorHAnsi"/>
        </w:rPr>
        <w:t xml:space="preserve"> </w:t>
      </w:r>
      <w:r w:rsidRPr="00D050E9">
        <w:rPr>
          <w:rFonts w:asciiTheme="minorHAnsi" w:hAnsiTheme="minorHAnsi"/>
        </w:rPr>
        <w:t xml:space="preserve">v letu 2017 tako skoraj v celoti </w:t>
      </w:r>
      <w:r w:rsidR="000F2F0D" w:rsidRPr="00D050E9">
        <w:rPr>
          <w:rFonts w:asciiTheme="minorHAnsi" w:hAnsiTheme="minorHAnsi"/>
        </w:rPr>
        <w:t>dodeljevale v obliki</w:t>
      </w:r>
      <w:r w:rsidR="000F2F0D" w:rsidRPr="00D050E9">
        <w:rPr>
          <w:rFonts w:asciiTheme="minorHAnsi" w:hAnsiTheme="minorHAnsi"/>
          <w:b/>
        </w:rPr>
        <w:t xml:space="preserve"> subvencij (99,9 %</w:t>
      </w:r>
      <w:r w:rsidR="000F2F0D" w:rsidRPr="00D050E9">
        <w:rPr>
          <w:rFonts w:asciiTheme="minorHAnsi" w:hAnsiTheme="minorHAnsi"/>
        </w:rPr>
        <w:t xml:space="preserve"> pomoči, 97</w:t>
      </w:r>
      <w:r w:rsidR="003F3581" w:rsidRPr="00D050E9">
        <w:rPr>
          <w:rFonts w:asciiTheme="minorHAnsi" w:hAnsiTheme="minorHAnsi"/>
        </w:rPr>
        <w:t> % 2015–2017</w:t>
      </w:r>
      <w:r w:rsidR="000F2F0D" w:rsidRPr="00D050E9">
        <w:rPr>
          <w:rFonts w:asciiTheme="minorHAnsi" w:hAnsiTheme="minorHAnsi"/>
        </w:rPr>
        <w:t xml:space="preserve">). </w:t>
      </w:r>
      <w:r w:rsidR="000F2F0D" w:rsidRPr="00D050E9">
        <w:rPr>
          <w:rFonts w:asciiTheme="minorHAnsi" w:hAnsiTheme="minorHAnsi"/>
          <w:b/>
        </w:rPr>
        <w:t>Davčne olajšave</w:t>
      </w:r>
      <w:r w:rsidR="000F2F0D" w:rsidRPr="00D050E9">
        <w:rPr>
          <w:rFonts w:asciiTheme="minorHAnsi" w:hAnsiTheme="minorHAnsi"/>
        </w:rPr>
        <w:t xml:space="preserve"> za RRI so v letu 2017 predstavljale le še </w:t>
      </w:r>
      <w:r w:rsidR="000F2F0D" w:rsidRPr="00D050E9">
        <w:rPr>
          <w:rFonts w:asciiTheme="minorHAnsi" w:hAnsiTheme="minorHAnsi"/>
          <w:b/>
        </w:rPr>
        <w:t>0,1 %</w:t>
      </w:r>
      <w:r w:rsidR="000F2F0D" w:rsidRPr="00D050E9">
        <w:rPr>
          <w:rFonts w:asciiTheme="minorHAnsi" w:hAnsiTheme="minorHAnsi"/>
        </w:rPr>
        <w:t xml:space="preserve"> pomoči</w:t>
      </w:r>
      <w:r w:rsidR="003F3581" w:rsidRPr="00D050E9">
        <w:rPr>
          <w:rFonts w:asciiTheme="minorHAnsi" w:hAnsiTheme="minorHAnsi"/>
        </w:rPr>
        <w:t xml:space="preserve"> za RRI</w:t>
      </w:r>
      <w:r w:rsidR="000F2F0D" w:rsidRPr="00D050E9">
        <w:rPr>
          <w:rFonts w:asciiTheme="minorHAnsi" w:hAnsiTheme="minorHAnsi"/>
        </w:rPr>
        <w:t>. Zniževanje je posledica preoblikovanja regijske davčne olajšave za RRI (državna pomoč) v splošni ukrep, ki ne predstavlja več državne pomoči</w:t>
      </w:r>
      <w:r w:rsidR="000F2F0D" w:rsidRPr="00D050E9">
        <w:rPr>
          <w:rStyle w:val="FootnoteReference"/>
          <w:rFonts w:asciiTheme="minorHAnsi" w:hAnsiTheme="minorHAnsi"/>
        </w:rPr>
        <w:footnoteReference w:id="14"/>
      </w:r>
      <w:r w:rsidR="000F2F0D" w:rsidRPr="00D050E9">
        <w:rPr>
          <w:rFonts w:asciiTheme="minorHAnsi" w:hAnsiTheme="minorHAnsi"/>
        </w:rPr>
        <w:t xml:space="preserve">. </w:t>
      </w:r>
    </w:p>
    <w:p w:rsidR="00492B28" w:rsidRPr="00D050E9" w:rsidRDefault="00F018AA" w:rsidP="00F018AA">
      <w:pPr>
        <w:pStyle w:val="Caption"/>
        <w:rPr>
          <w:color w:val="auto"/>
        </w:rPr>
      </w:pPr>
      <w:bookmarkStart w:id="87" w:name="_Toc530654654"/>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39</w:t>
      </w:r>
      <w:r w:rsidRPr="00D050E9">
        <w:rPr>
          <w:color w:val="auto"/>
        </w:rPr>
        <w:fldChar w:fldCharType="end"/>
      </w:r>
      <w:r w:rsidRPr="00D050E9">
        <w:rPr>
          <w:color w:val="auto"/>
        </w:rPr>
        <w:t xml:space="preserve">: </w:t>
      </w:r>
      <w:r w:rsidR="00492B28" w:rsidRPr="00D050E9">
        <w:rPr>
          <w:color w:val="auto"/>
        </w:rPr>
        <w:t>Struktura pomoči za RRI po instrumentih pomoči, 2008–2017</w:t>
      </w:r>
      <w:bookmarkEnd w:id="87"/>
    </w:p>
    <w:p w:rsidR="00EE1350" w:rsidRPr="00D050E9" w:rsidRDefault="00B24A60" w:rsidP="00B81449">
      <w:pPr>
        <w:spacing w:line="276" w:lineRule="auto"/>
        <w:rPr>
          <w:rFonts w:asciiTheme="minorHAnsi" w:hAnsiTheme="minorHAnsi"/>
          <w:b/>
          <w:color w:val="5F497A" w:themeColor="accent4" w:themeShade="BF"/>
        </w:rPr>
      </w:pPr>
      <w:r w:rsidRPr="00D050E9">
        <w:rPr>
          <w:noProof/>
          <w:lang w:eastAsia="sl-SI"/>
        </w:rPr>
        <w:drawing>
          <wp:inline distT="0" distB="0" distL="0" distR="0" wp14:anchorId="5CC7CD4E" wp14:editId="781C0B90">
            <wp:extent cx="5608320" cy="24003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92200" w:rsidRPr="00D050E9" w:rsidRDefault="00AB4EAE" w:rsidP="00B81449">
      <w:pPr>
        <w:spacing w:line="276" w:lineRule="auto"/>
        <w:rPr>
          <w:rFonts w:asciiTheme="minorHAnsi" w:hAnsiTheme="minorHAnsi"/>
        </w:rPr>
      </w:pPr>
      <w:r w:rsidRPr="00D050E9">
        <w:rPr>
          <w:rFonts w:asciiTheme="minorHAnsi" w:hAnsiTheme="minorHAnsi"/>
        </w:rPr>
        <w:t>Med največjimi prejemniki</w:t>
      </w:r>
      <w:r w:rsidR="00CB6D70" w:rsidRPr="00D050E9">
        <w:rPr>
          <w:rFonts w:asciiTheme="minorHAnsi" w:hAnsiTheme="minorHAnsi"/>
        </w:rPr>
        <w:t xml:space="preserve"> RRI so </w:t>
      </w:r>
      <w:r w:rsidRPr="00D050E9">
        <w:rPr>
          <w:rFonts w:asciiTheme="minorHAnsi" w:hAnsiTheme="minorHAnsi"/>
        </w:rPr>
        <w:t>večje izobraževalne ustanove in gospodarsk</w:t>
      </w:r>
      <w:r w:rsidR="00CB6D70" w:rsidRPr="00D050E9">
        <w:rPr>
          <w:rFonts w:asciiTheme="minorHAnsi" w:hAnsiTheme="minorHAnsi"/>
        </w:rPr>
        <w:t xml:space="preserve">e enote, </w:t>
      </w:r>
      <w:r w:rsidRPr="00D050E9">
        <w:rPr>
          <w:rFonts w:asciiTheme="minorHAnsi" w:hAnsiTheme="minorHAnsi"/>
        </w:rPr>
        <w:t xml:space="preserve">vključno s razvojnimi centri. </w:t>
      </w:r>
      <w:r w:rsidR="00F018AA" w:rsidRPr="00D050E9">
        <w:rPr>
          <w:rFonts w:asciiTheme="minorHAnsi" w:hAnsiTheme="minorHAnsi"/>
        </w:rPr>
        <w:t>Povprečna višina pomoči za RRI se je v letu 2017 glede na pretekla leta občutno povečala. Upravičenec je povprečno prejel dobrih 101 tisoč EUR pomoči, kar je za skoraj 40 tisoč EUR več kot je bila povprečna pomoč v Sloveniji v letu 2016 (slabih 61 tisoč EUR). Visoke pomoči, povprečno 173 tisoč na prejemnika, je dodelilo Ministrstvo za izobraževanje znanost in šport za izvajanje raziskovalno-razvojnih programov konzorcijev, ki povezujejo akademsko sfero in gospodarstvo</w:t>
      </w:r>
      <w:r w:rsidR="00337E4D" w:rsidRPr="00D050E9">
        <w:rPr>
          <w:rFonts w:asciiTheme="minorHAnsi" w:hAnsiTheme="minorHAnsi"/>
        </w:rPr>
        <w:t>.</w:t>
      </w:r>
    </w:p>
    <w:p w:rsidR="003F3581" w:rsidRPr="00D050E9" w:rsidRDefault="003F3581" w:rsidP="003F3581">
      <w:pPr>
        <w:spacing w:line="276" w:lineRule="auto"/>
        <w:jc w:val="left"/>
        <w:rPr>
          <w:rFonts w:asciiTheme="minorHAnsi" w:hAnsiTheme="minorHAnsi"/>
        </w:rPr>
      </w:pPr>
      <w:r w:rsidRPr="00D050E9">
        <w:rPr>
          <w:rFonts w:asciiTheme="minorHAnsi" w:hAnsiTheme="minorHAnsi"/>
        </w:rPr>
        <w:t>Največji prejemniki pomoči za raziskave, razvoj in inovacije, 2015–2017</w:t>
      </w:r>
      <w:r w:rsidR="00F018AA" w:rsidRPr="00D050E9">
        <w:rPr>
          <w:rFonts w:asciiTheme="minorHAnsi" w:hAnsiTheme="minorHAnsi"/>
        </w:rPr>
        <w:t xml:space="preserve"> so bili:</w:t>
      </w:r>
    </w:p>
    <w:tbl>
      <w:tblPr>
        <w:tblStyle w:val="LightShading-Accent4"/>
        <w:tblW w:w="5000" w:type="pct"/>
        <w:tblLook w:val="04A0" w:firstRow="1" w:lastRow="0" w:firstColumn="1" w:lastColumn="0" w:noHBand="0" w:noVBand="1"/>
      </w:tblPr>
      <w:tblGrid>
        <w:gridCol w:w="4143"/>
        <w:gridCol w:w="1315"/>
        <w:gridCol w:w="1314"/>
        <w:gridCol w:w="1314"/>
        <w:gridCol w:w="1314"/>
      </w:tblGrid>
      <w:tr w:rsidR="00E672C3" w:rsidRPr="00D050E9" w:rsidTr="00E672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jc w:val="center"/>
              <w:rPr>
                <w:rFonts w:ascii="Calibri" w:hAnsi="Calibri" w:cs="Arial"/>
                <w:color w:val="auto"/>
                <w:sz w:val="18"/>
                <w:szCs w:val="18"/>
              </w:rPr>
            </w:pPr>
            <w:r w:rsidRPr="00D050E9">
              <w:rPr>
                <w:rFonts w:ascii="Calibri" w:hAnsi="Calibri" w:cs="Arial"/>
                <w:b w:val="0"/>
                <w:bCs w:val="0"/>
                <w:color w:val="auto"/>
                <w:sz w:val="18"/>
                <w:szCs w:val="18"/>
              </w:rPr>
              <w:t>Prejemnik pomoči</w:t>
            </w:r>
          </w:p>
        </w:tc>
        <w:tc>
          <w:tcPr>
            <w:tcW w:w="699" w:type="pct"/>
            <w:hideMark/>
          </w:tcPr>
          <w:p w:rsidR="00E672C3" w:rsidRPr="00D050E9" w:rsidRDefault="00E672C3">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18"/>
                <w:szCs w:val="18"/>
              </w:rPr>
            </w:pPr>
            <w:r w:rsidRPr="00D050E9">
              <w:rPr>
                <w:rFonts w:ascii="Calibri" w:hAnsi="Calibri" w:cs="Arial"/>
                <w:b w:val="0"/>
                <w:bCs w:val="0"/>
                <w:color w:val="auto"/>
                <w:sz w:val="18"/>
                <w:szCs w:val="18"/>
              </w:rPr>
              <w:t>2015</w:t>
            </w:r>
          </w:p>
        </w:tc>
        <w:tc>
          <w:tcPr>
            <w:tcW w:w="699" w:type="pct"/>
            <w:hideMark/>
          </w:tcPr>
          <w:p w:rsidR="00E672C3" w:rsidRPr="00D050E9" w:rsidRDefault="00E672C3">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18"/>
                <w:szCs w:val="18"/>
              </w:rPr>
            </w:pPr>
            <w:r w:rsidRPr="00D050E9">
              <w:rPr>
                <w:rFonts w:ascii="Calibri" w:hAnsi="Calibri" w:cs="Arial"/>
                <w:b w:val="0"/>
                <w:bCs w:val="0"/>
                <w:color w:val="auto"/>
                <w:sz w:val="18"/>
                <w:szCs w:val="18"/>
              </w:rPr>
              <w:t>2016</w:t>
            </w:r>
          </w:p>
        </w:tc>
        <w:tc>
          <w:tcPr>
            <w:tcW w:w="699" w:type="pct"/>
            <w:hideMark/>
          </w:tcPr>
          <w:p w:rsidR="00E672C3" w:rsidRPr="00D050E9" w:rsidRDefault="00E672C3">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18"/>
                <w:szCs w:val="18"/>
              </w:rPr>
            </w:pPr>
            <w:r w:rsidRPr="00D050E9">
              <w:rPr>
                <w:rFonts w:ascii="Calibri" w:hAnsi="Calibri" w:cs="Arial"/>
                <w:b w:val="0"/>
                <w:bCs w:val="0"/>
                <w:color w:val="auto"/>
                <w:sz w:val="18"/>
                <w:szCs w:val="18"/>
              </w:rPr>
              <w:t>2017</w:t>
            </w:r>
          </w:p>
        </w:tc>
        <w:tc>
          <w:tcPr>
            <w:tcW w:w="699" w:type="pct"/>
            <w:hideMark/>
          </w:tcPr>
          <w:p w:rsidR="00E672C3" w:rsidRPr="00D050E9" w:rsidRDefault="00E672C3">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18"/>
                <w:szCs w:val="18"/>
              </w:rPr>
            </w:pPr>
            <w:r w:rsidRPr="00D050E9">
              <w:rPr>
                <w:rFonts w:ascii="Calibri" w:hAnsi="Calibri" w:cs="Arial"/>
                <w:b w:val="0"/>
                <w:bCs w:val="0"/>
                <w:color w:val="auto"/>
                <w:sz w:val="18"/>
                <w:szCs w:val="18"/>
              </w:rPr>
              <w:t>Skupaj</w:t>
            </w:r>
          </w:p>
        </w:tc>
      </w:tr>
      <w:tr w:rsidR="00E672C3" w:rsidRPr="00D050E9" w:rsidTr="00E672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UNIVERZA V LJUBLJANI</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2.283.354,39</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2.557.585,47</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2.177.255,45</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7.018.195,31</w:t>
            </w:r>
          </w:p>
        </w:tc>
      </w:tr>
      <w:tr w:rsidR="00E672C3" w:rsidRPr="00D050E9" w:rsidTr="00E672C3">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INSTITUT JOŽEF STEFAN V angl.jeziku: Jožef Stefan Institute, Ljubljana, Slovenia</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1.042.851,16</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1.232.883,76</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1.801.947,27</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4.077.682,19</w:t>
            </w:r>
          </w:p>
        </w:tc>
      </w:tr>
      <w:tr w:rsidR="00E672C3" w:rsidRPr="00D050E9" w:rsidTr="00E672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Kemijski inštitut</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294.036,27</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282.181,30</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940.490,22</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1.516.707,79</w:t>
            </w:r>
          </w:p>
        </w:tc>
      </w:tr>
      <w:tr w:rsidR="00E672C3" w:rsidRPr="00D050E9" w:rsidTr="00E672C3">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SiEVA, podjetje za razvoj in trženje v avtomobilski industriji d.o.o.</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713.624,63</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7.444,38</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772.069,42</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1.493.138,43</w:t>
            </w:r>
          </w:p>
        </w:tc>
      </w:tr>
      <w:tr w:rsidR="00E672C3" w:rsidRPr="00D050E9" w:rsidTr="00E672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GORENJE gospodinjski aparati, d.d.</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665.920,05</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5.862,98</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761.184,96</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1.432.967,99</w:t>
            </w:r>
          </w:p>
        </w:tc>
      </w:tr>
      <w:tr w:rsidR="00E672C3" w:rsidRPr="00D050E9" w:rsidTr="00E672C3">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UNIVERZA V MARIBORU</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338.095,70</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431.372,13</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591.750,79</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1.361.218,62</w:t>
            </w:r>
          </w:p>
        </w:tc>
      </w:tr>
      <w:tr w:rsidR="00E672C3" w:rsidRPr="00D050E9" w:rsidTr="00E672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INTECH-LES, razvojni center, d.o.o.</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734.252,57</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24.657,50</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487.610,34</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1.246.520,41</w:t>
            </w:r>
          </w:p>
        </w:tc>
      </w:tr>
      <w:tr w:rsidR="00E672C3" w:rsidRPr="00D050E9" w:rsidTr="00E672C3">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KOLEKTOR GROUP Vodenje in upravljanje družb d.o.o.</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302.294,93</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57.410,89</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757.262,24</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1.116.968,06</w:t>
            </w:r>
          </w:p>
        </w:tc>
      </w:tr>
      <w:tr w:rsidR="00E672C3" w:rsidRPr="00D050E9" w:rsidTr="00E672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METRONIK elementi in sistemi za avtomatiko, Ljubljana d.o.o.</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287.541,25</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198.509,07</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471.787,72</w:t>
            </w:r>
          </w:p>
        </w:tc>
        <w:tc>
          <w:tcPr>
            <w:tcW w:w="699" w:type="pct"/>
            <w:hideMark/>
          </w:tcPr>
          <w:p w:rsidR="00E672C3" w:rsidRPr="00D050E9" w:rsidRDefault="00E672C3">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957.838,04</w:t>
            </w:r>
          </w:p>
        </w:tc>
      </w:tr>
      <w:tr w:rsidR="00E672C3" w:rsidRPr="00D050E9" w:rsidTr="00E672C3">
        <w:trPr>
          <w:trHeight w:val="20"/>
        </w:trPr>
        <w:tc>
          <w:tcPr>
            <w:cnfStyle w:val="001000000000" w:firstRow="0" w:lastRow="0" w:firstColumn="1" w:lastColumn="0" w:oddVBand="0" w:evenVBand="0" w:oddHBand="0" w:evenHBand="0" w:firstRowFirstColumn="0" w:firstRowLastColumn="0" w:lastRowFirstColumn="0" w:lastRowLastColumn="0"/>
            <w:tcW w:w="2203" w:type="pct"/>
            <w:hideMark/>
          </w:tcPr>
          <w:p w:rsidR="00E672C3" w:rsidRPr="00D050E9" w:rsidRDefault="00E672C3">
            <w:pPr>
              <w:rPr>
                <w:rFonts w:ascii="Calibri" w:hAnsi="Calibri" w:cs="Arial"/>
                <w:color w:val="000000"/>
                <w:sz w:val="18"/>
                <w:szCs w:val="18"/>
              </w:rPr>
            </w:pPr>
            <w:r w:rsidRPr="00D050E9">
              <w:rPr>
                <w:rFonts w:ascii="Calibri" w:hAnsi="Calibri" w:cs="Arial"/>
                <w:color w:val="000000"/>
                <w:sz w:val="18"/>
                <w:szCs w:val="18"/>
              </w:rPr>
              <w:t>UNIVERZA V LJUBLJANI, FAKULTETA ZA STROJNIŠTVO</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 </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 </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948.970,00</w:t>
            </w:r>
          </w:p>
        </w:tc>
        <w:tc>
          <w:tcPr>
            <w:tcW w:w="699" w:type="pct"/>
            <w:hideMark/>
          </w:tcPr>
          <w:p w:rsidR="00E672C3" w:rsidRPr="00D050E9" w:rsidRDefault="00E672C3">
            <w:pPr>
              <w:jc w:val="right"/>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D050E9">
              <w:rPr>
                <w:rFonts w:ascii="Calibri" w:hAnsi="Calibri" w:cs="Arial"/>
                <w:color w:val="000000"/>
                <w:sz w:val="18"/>
                <w:szCs w:val="18"/>
              </w:rPr>
              <w:t>948.970,00</w:t>
            </w:r>
          </w:p>
        </w:tc>
      </w:tr>
      <w:tr w:rsidR="00AB4EAE" w:rsidRPr="00D050E9" w:rsidTr="00E672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3" w:type="pct"/>
          </w:tcPr>
          <w:p w:rsidR="00AB4EAE" w:rsidRPr="00D050E9" w:rsidRDefault="00AB4EAE">
            <w:pPr>
              <w:rPr>
                <w:rFonts w:ascii="Calibri" w:hAnsi="Calibri" w:cs="Arial"/>
                <w:b w:val="0"/>
                <w:color w:val="000000"/>
                <w:sz w:val="18"/>
                <w:szCs w:val="18"/>
              </w:rPr>
            </w:pPr>
          </w:p>
        </w:tc>
        <w:tc>
          <w:tcPr>
            <w:tcW w:w="699" w:type="pct"/>
          </w:tcPr>
          <w:p w:rsidR="00AB4EAE" w:rsidRPr="00D050E9" w:rsidRDefault="00AB4EAE">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c>
          <w:tcPr>
            <w:tcW w:w="699" w:type="pct"/>
          </w:tcPr>
          <w:p w:rsidR="00AB4EAE" w:rsidRPr="00D050E9" w:rsidRDefault="00AB4EAE">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c>
          <w:tcPr>
            <w:tcW w:w="699" w:type="pct"/>
          </w:tcPr>
          <w:p w:rsidR="00AB4EAE" w:rsidRPr="00D050E9" w:rsidRDefault="00AB4EAE">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c>
          <w:tcPr>
            <w:tcW w:w="699" w:type="pct"/>
          </w:tcPr>
          <w:p w:rsidR="00AB4EAE" w:rsidRPr="00D050E9" w:rsidRDefault="00AB4EAE">
            <w:pPr>
              <w:jc w:val="right"/>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r>
    </w:tbl>
    <w:p w:rsidR="006860F4" w:rsidRDefault="006860F4" w:rsidP="003F2F56">
      <w:pPr>
        <w:pStyle w:val="Heading2"/>
      </w:pPr>
      <w:bookmarkStart w:id="88" w:name="_Toc528594656"/>
    </w:p>
    <w:p w:rsidR="006860F4" w:rsidRDefault="006860F4" w:rsidP="006860F4"/>
    <w:p w:rsidR="0052290A" w:rsidRDefault="0052290A" w:rsidP="003F2F56">
      <w:pPr>
        <w:pStyle w:val="Heading2"/>
      </w:pPr>
    </w:p>
    <w:p w:rsidR="007B2E67" w:rsidRPr="00D050E9" w:rsidRDefault="007B2E67" w:rsidP="003F2F56">
      <w:pPr>
        <w:pStyle w:val="Heading2"/>
      </w:pPr>
      <w:bookmarkStart w:id="89" w:name="_Toc530654552"/>
      <w:r w:rsidRPr="00D050E9">
        <w:t>4.4 REGIONALNE POMOČI</w:t>
      </w:r>
      <w:bookmarkEnd w:id="88"/>
      <w:bookmarkEnd w:id="89"/>
    </w:p>
    <w:p w:rsidR="00400AE5" w:rsidRPr="00D050E9" w:rsidRDefault="00400AE5" w:rsidP="00400AE5">
      <w:pPr>
        <w:spacing w:after="0"/>
      </w:pPr>
    </w:p>
    <w:p w:rsidR="00C165B1" w:rsidRPr="00D050E9" w:rsidRDefault="007F1280" w:rsidP="009964FA">
      <w:pPr>
        <w:autoSpaceDE w:val="0"/>
        <w:autoSpaceDN w:val="0"/>
        <w:adjustRightInd w:val="0"/>
        <w:spacing w:line="276" w:lineRule="auto"/>
        <w:rPr>
          <w:rFonts w:asciiTheme="minorHAnsi" w:hAnsiTheme="minorHAnsi"/>
        </w:rPr>
      </w:pPr>
      <w:r w:rsidRPr="00D050E9">
        <w:rPr>
          <w:rFonts w:asciiTheme="minorHAnsi" w:hAnsiTheme="minorHAnsi"/>
        </w:rPr>
        <w:t>Namen regionalnih pomoči je spodbujanje razvoja manj razvitih območij</w:t>
      </w:r>
      <w:r w:rsidR="009964FA" w:rsidRPr="00D050E9">
        <w:rPr>
          <w:rFonts w:asciiTheme="minorHAnsi" w:hAnsiTheme="minorHAnsi"/>
        </w:rPr>
        <w:t xml:space="preserve"> Evropske unije</w:t>
      </w:r>
      <w:r w:rsidR="00C165B1" w:rsidRPr="00D050E9">
        <w:rPr>
          <w:rFonts w:asciiTheme="minorHAnsi" w:hAnsiTheme="minorHAnsi"/>
        </w:rPr>
        <w:t>, preko naložb in ustvarjanja novih delovnih mest</w:t>
      </w:r>
      <w:r w:rsidR="00100A48" w:rsidRPr="00D050E9">
        <w:rPr>
          <w:rFonts w:asciiTheme="minorHAnsi" w:hAnsiTheme="minorHAnsi"/>
        </w:rPr>
        <w:t>. Regionalne pomoči se lahko v</w:t>
      </w:r>
      <w:r w:rsidR="00C165B1" w:rsidRPr="00D050E9">
        <w:rPr>
          <w:rFonts w:asciiTheme="minorHAnsi" w:hAnsiTheme="minorHAnsi"/>
        </w:rPr>
        <w:t xml:space="preserve"> obdobju 2014–2020  dodeljujejo na celotnem območju Republike Slovenije, vendar z različno intenzivnostjo za regiji Vzhodna in Zahodna Slovenija</w:t>
      </w:r>
      <w:r w:rsidR="00C165B1" w:rsidRPr="00D050E9">
        <w:rPr>
          <w:rStyle w:val="FootnoteReference"/>
          <w:rFonts w:asciiTheme="minorHAnsi" w:hAnsiTheme="minorHAnsi"/>
        </w:rPr>
        <w:footnoteReference w:id="15"/>
      </w:r>
      <w:r w:rsidR="00C165B1" w:rsidRPr="00D050E9">
        <w:rPr>
          <w:rFonts w:asciiTheme="minorHAnsi" w:hAnsiTheme="minorHAnsi"/>
        </w:rPr>
        <w:t xml:space="preserve">. </w:t>
      </w:r>
    </w:p>
    <w:p w:rsidR="007F1280" w:rsidRPr="00D050E9" w:rsidRDefault="00100A48" w:rsidP="00100A48">
      <w:pPr>
        <w:autoSpaceDE w:val="0"/>
        <w:autoSpaceDN w:val="0"/>
        <w:adjustRightInd w:val="0"/>
        <w:spacing w:line="276" w:lineRule="auto"/>
        <w:rPr>
          <w:rFonts w:asciiTheme="minorHAnsi" w:hAnsiTheme="minorHAnsi"/>
        </w:rPr>
      </w:pPr>
      <w:r w:rsidRPr="00D050E9">
        <w:rPr>
          <w:rFonts w:asciiTheme="minorHAnsi" w:hAnsiTheme="minorHAnsi"/>
        </w:rPr>
        <w:t>V letu 2017 je bilo za regionalne pomoči izplačanih 20,97 mio EUR ali 4,9 % vseh pomoči, kar je za 1</w:t>
      </w:r>
      <w:r w:rsidR="009D6D2B" w:rsidRPr="00D050E9">
        <w:rPr>
          <w:rFonts w:asciiTheme="minorHAnsi" w:hAnsiTheme="minorHAnsi"/>
        </w:rPr>
        <w:t> </w:t>
      </w:r>
      <w:r w:rsidRPr="00D050E9">
        <w:rPr>
          <w:rFonts w:asciiTheme="minorHAnsi" w:hAnsiTheme="minorHAnsi"/>
        </w:rPr>
        <w:t xml:space="preserve">mio EUR manj kot v letu 2016 (5,9 % vseh pomoči). V letu 2017 se je nadaljeval trend zmanjševanja regionalnih pomoči, ki z izjemo leta 2014, traja od leta 2011, ko so te pomoči </w:t>
      </w:r>
      <w:r w:rsidR="0038530A" w:rsidRPr="00D050E9">
        <w:rPr>
          <w:rFonts w:asciiTheme="minorHAnsi" w:hAnsiTheme="minorHAnsi"/>
        </w:rPr>
        <w:t xml:space="preserve">dosegle tudi največjo vrednost in so </w:t>
      </w:r>
      <w:r w:rsidRPr="00D050E9">
        <w:rPr>
          <w:rFonts w:asciiTheme="minorHAnsi" w:hAnsiTheme="minorHAnsi"/>
        </w:rPr>
        <w:t xml:space="preserve">predstavljale skoraj četrtino vseh državnih pomoči, zanje pa je bilo izplačanih 127 mio EUR. </w:t>
      </w:r>
    </w:p>
    <w:p w:rsidR="007E75BF" w:rsidRPr="00D050E9" w:rsidRDefault="00400AE5" w:rsidP="00400AE5">
      <w:pPr>
        <w:pStyle w:val="Caption"/>
        <w:rPr>
          <w:color w:val="auto"/>
        </w:rPr>
      </w:pPr>
      <w:bookmarkStart w:id="90" w:name="_Toc530654655"/>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40</w:t>
      </w:r>
      <w:r w:rsidRPr="00D050E9">
        <w:rPr>
          <w:color w:val="auto"/>
        </w:rPr>
        <w:fldChar w:fldCharType="end"/>
      </w:r>
      <w:r w:rsidRPr="00D050E9">
        <w:rPr>
          <w:color w:val="auto"/>
        </w:rPr>
        <w:t xml:space="preserve">: </w:t>
      </w:r>
      <w:r w:rsidR="007E75BF" w:rsidRPr="00D050E9">
        <w:rPr>
          <w:color w:val="auto"/>
        </w:rPr>
        <w:t>Regionalne pomoči v obdobju 2008–2017, v mio EUR in kot</w:t>
      </w:r>
      <w:r w:rsidRPr="00D050E9">
        <w:rPr>
          <w:color w:val="auto"/>
        </w:rPr>
        <w:t xml:space="preserve"> %</w:t>
      </w:r>
      <w:r w:rsidR="007E75BF" w:rsidRPr="00D050E9">
        <w:rPr>
          <w:color w:val="auto"/>
        </w:rPr>
        <w:t xml:space="preserve"> vseh pomoči</w:t>
      </w:r>
      <w:r w:rsidRPr="00D050E9">
        <w:rPr>
          <w:color w:val="auto"/>
        </w:rPr>
        <w:t>, 2008–2017</w:t>
      </w:r>
      <w:bookmarkEnd w:id="90"/>
    </w:p>
    <w:p w:rsidR="00400AE5" w:rsidRPr="00D050E9" w:rsidRDefault="00400AE5" w:rsidP="00400AE5">
      <w:pPr>
        <w:spacing w:after="0"/>
        <w:rPr>
          <w:lang w:bidi="hi-IN"/>
        </w:rPr>
      </w:pPr>
    </w:p>
    <w:p w:rsidR="007E75BF" w:rsidRPr="00D050E9" w:rsidRDefault="007E75BF" w:rsidP="007E75BF">
      <w:pPr>
        <w:spacing w:line="276" w:lineRule="auto"/>
        <w:rPr>
          <w:rFonts w:asciiTheme="minorHAnsi" w:hAnsiTheme="minorHAnsi"/>
          <w:b/>
          <w:color w:val="5F497A" w:themeColor="accent4" w:themeShade="BF"/>
        </w:rPr>
      </w:pPr>
      <w:r w:rsidRPr="00D050E9">
        <w:rPr>
          <w:noProof/>
          <w:lang w:eastAsia="sl-SI"/>
        </w:rPr>
        <w:drawing>
          <wp:inline distT="0" distB="0" distL="0" distR="0" wp14:anchorId="3F992BFE" wp14:editId="723994F3">
            <wp:extent cx="5433060" cy="2621280"/>
            <wp:effectExtent l="0" t="0" r="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F5449" w:rsidRPr="00D050E9" w:rsidRDefault="009F5449" w:rsidP="00100A48">
      <w:pPr>
        <w:autoSpaceDE w:val="0"/>
        <w:autoSpaceDN w:val="0"/>
        <w:adjustRightInd w:val="0"/>
        <w:spacing w:line="276" w:lineRule="auto"/>
        <w:rPr>
          <w:rFonts w:asciiTheme="minorHAnsi" w:hAnsiTheme="minorHAnsi"/>
        </w:rPr>
      </w:pPr>
      <w:r w:rsidRPr="00D050E9">
        <w:rPr>
          <w:rFonts w:asciiTheme="minorHAnsi" w:hAnsiTheme="minorHAnsi"/>
        </w:rPr>
        <w:t>Najbolj so se zmanjšale pomoči</w:t>
      </w:r>
      <w:r w:rsidR="008344A8" w:rsidRPr="00D050E9">
        <w:rPr>
          <w:rFonts w:asciiTheme="minorHAnsi" w:hAnsiTheme="minorHAnsi"/>
        </w:rPr>
        <w:t xml:space="preserve"> za spodbujanje</w:t>
      </w:r>
      <w:r w:rsidRPr="00D050E9">
        <w:rPr>
          <w:rFonts w:asciiTheme="minorHAnsi" w:hAnsiTheme="minorHAnsi"/>
        </w:rPr>
        <w:t xml:space="preserve"> podjetništva in konkurenčnosti (infrastruktura za razvoj podjetništva, začetne investicije v visokotehnološke proizvode) po Programu spodbujanja podjetništva in konkurenčnosti 2007–2013</w:t>
      </w:r>
      <w:r w:rsidR="008344A8" w:rsidRPr="00D050E9">
        <w:rPr>
          <w:rFonts w:asciiTheme="minorHAnsi" w:hAnsiTheme="minorHAnsi"/>
        </w:rPr>
        <w:t>,</w:t>
      </w:r>
      <w:r w:rsidR="00490808" w:rsidRPr="00D050E9">
        <w:rPr>
          <w:rFonts w:asciiTheme="minorHAnsi" w:hAnsiTheme="minorHAnsi"/>
        </w:rPr>
        <w:t xml:space="preserve"> in pomoči za </w:t>
      </w:r>
      <w:r w:rsidR="00B977F3" w:rsidRPr="00D050E9">
        <w:rPr>
          <w:rFonts w:asciiTheme="minorHAnsi" w:hAnsiTheme="minorHAnsi"/>
        </w:rPr>
        <w:t>razvoj</w:t>
      </w:r>
      <w:r w:rsidRPr="00D050E9">
        <w:rPr>
          <w:rFonts w:asciiTheme="minorHAnsi" w:hAnsiTheme="minorHAnsi"/>
        </w:rPr>
        <w:t xml:space="preserve"> turističnih zmogljivosti</w:t>
      </w:r>
      <w:r w:rsidR="008344A8" w:rsidRPr="00D050E9">
        <w:rPr>
          <w:rFonts w:asciiTheme="minorHAnsi" w:hAnsiTheme="minorHAnsi"/>
        </w:rPr>
        <w:t xml:space="preserve">. Omenjena </w:t>
      </w:r>
      <w:r w:rsidR="00B977F3" w:rsidRPr="00D050E9">
        <w:rPr>
          <w:rFonts w:asciiTheme="minorHAnsi" w:hAnsiTheme="minorHAnsi"/>
        </w:rPr>
        <w:t xml:space="preserve"> ukrepa </w:t>
      </w:r>
      <w:r w:rsidR="008344A8" w:rsidRPr="00D050E9">
        <w:rPr>
          <w:rFonts w:asciiTheme="minorHAnsi" w:hAnsiTheme="minorHAnsi"/>
        </w:rPr>
        <w:t xml:space="preserve">sta se v velikem obsegu financirala iz evropskih kohezijskih sredstev. Prav upad teh sredstev po izteku programskega obdobja 2007–2013 je, poleg manjšega obsega nacionalnih sredstev za regionalni </w:t>
      </w:r>
      <w:r w:rsidR="008344A8" w:rsidRPr="00D050E9">
        <w:rPr>
          <w:rFonts w:asciiTheme="minorHAnsi" w:hAnsiTheme="minorHAnsi"/>
        </w:rPr>
        <w:lastRenderedPageBreak/>
        <w:t xml:space="preserve">razvoj, eden ključih </w:t>
      </w:r>
      <w:r w:rsidR="00490808" w:rsidRPr="00D050E9">
        <w:rPr>
          <w:rFonts w:asciiTheme="minorHAnsi" w:hAnsiTheme="minorHAnsi"/>
        </w:rPr>
        <w:t xml:space="preserve">vzrokov </w:t>
      </w:r>
      <w:r w:rsidR="008344A8" w:rsidRPr="00D050E9">
        <w:rPr>
          <w:rFonts w:asciiTheme="minorHAnsi" w:hAnsiTheme="minorHAnsi"/>
        </w:rPr>
        <w:t xml:space="preserve">za zmanjšanje regionalnih pomoči. V letu 2017 so se sicer začela postopoma povečevati izplačila </w:t>
      </w:r>
      <w:r w:rsidR="00B977F3" w:rsidRPr="00D050E9">
        <w:rPr>
          <w:rFonts w:asciiTheme="minorHAnsi" w:hAnsiTheme="minorHAnsi"/>
        </w:rPr>
        <w:t xml:space="preserve">pomoči </w:t>
      </w:r>
      <w:r w:rsidR="008344A8" w:rsidRPr="00D050E9">
        <w:rPr>
          <w:rFonts w:asciiTheme="minorHAnsi" w:hAnsiTheme="minorHAnsi"/>
        </w:rPr>
        <w:t xml:space="preserve">iz programov evropske kohezijske politike 2014–2020, vendar </w:t>
      </w:r>
      <w:r w:rsidR="00490808" w:rsidRPr="00D050E9">
        <w:rPr>
          <w:rFonts w:asciiTheme="minorHAnsi" w:hAnsiTheme="minorHAnsi"/>
        </w:rPr>
        <w:t xml:space="preserve">(še) </w:t>
      </w:r>
      <w:r w:rsidR="008344A8" w:rsidRPr="00D050E9">
        <w:rPr>
          <w:rFonts w:asciiTheme="minorHAnsi" w:hAnsiTheme="minorHAnsi"/>
        </w:rPr>
        <w:t xml:space="preserve">ne v takem obsegu, da bi nadomestila izpad iz prejšnjega finančnega obdobja.  </w:t>
      </w:r>
      <w:r w:rsidR="00B845CD" w:rsidRPr="00D050E9">
        <w:rPr>
          <w:rFonts w:asciiTheme="minorHAnsi" w:hAnsiTheme="minorHAnsi"/>
        </w:rPr>
        <w:t>Poleg tega je bilo po letu 2012 več sredstev</w:t>
      </w:r>
      <w:r w:rsidR="00F40022" w:rsidRPr="00D050E9">
        <w:rPr>
          <w:rFonts w:asciiTheme="minorHAnsi" w:hAnsiTheme="minorHAnsi"/>
        </w:rPr>
        <w:t>, zlasti z</w:t>
      </w:r>
      <w:r w:rsidR="00B845CD" w:rsidRPr="00D050E9">
        <w:rPr>
          <w:rFonts w:asciiTheme="minorHAnsi" w:hAnsiTheme="minorHAnsi"/>
        </w:rPr>
        <w:t>a razvoj turizma</w:t>
      </w:r>
      <w:r w:rsidR="00F40022" w:rsidRPr="00D050E9">
        <w:rPr>
          <w:rFonts w:asciiTheme="minorHAnsi" w:hAnsiTheme="minorHAnsi"/>
        </w:rPr>
        <w:t>,</w:t>
      </w:r>
      <w:r w:rsidR="00B845CD" w:rsidRPr="00D050E9">
        <w:rPr>
          <w:rFonts w:asciiTheme="minorHAnsi" w:hAnsiTheme="minorHAnsi"/>
        </w:rPr>
        <w:t xml:space="preserve"> </w:t>
      </w:r>
      <w:r w:rsidR="003F3581" w:rsidRPr="00D050E9">
        <w:rPr>
          <w:rFonts w:asciiTheme="minorHAnsi" w:hAnsiTheme="minorHAnsi"/>
        </w:rPr>
        <w:t>namenjenih za financiranje javne infrastrukture</w:t>
      </w:r>
      <w:r w:rsidR="00B845CD" w:rsidRPr="00D050E9">
        <w:rPr>
          <w:rFonts w:asciiTheme="minorHAnsi" w:hAnsiTheme="minorHAnsi"/>
        </w:rPr>
        <w:t xml:space="preserve"> na tem področju (kar ni državna pomoč). </w:t>
      </w:r>
    </w:p>
    <w:p w:rsidR="00BA5736" w:rsidRPr="00D050E9" w:rsidRDefault="00100A48" w:rsidP="00100A48">
      <w:pPr>
        <w:autoSpaceDE w:val="0"/>
        <w:autoSpaceDN w:val="0"/>
        <w:adjustRightInd w:val="0"/>
        <w:spacing w:line="276" w:lineRule="auto"/>
        <w:rPr>
          <w:rFonts w:asciiTheme="minorHAnsi" w:hAnsiTheme="minorHAnsi"/>
        </w:rPr>
      </w:pPr>
      <w:r w:rsidRPr="00D050E9">
        <w:rPr>
          <w:rFonts w:asciiTheme="minorHAnsi" w:hAnsiTheme="minorHAnsi"/>
        </w:rPr>
        <w:t xml:space="preserve">Trend zniževanja regionalnih pomoči je opazen tudi v EU, tako rekoč v vseh državah </w:t>
      </w:r>
      <w:r w:rsidR="00B977F3" w:rsidRPr="00D050E9">
        <w:rPr>
          <w:rFonts w:asciiTheme="minorHAnsi" w:hAnsiTheme="minorHAnsi"/>
        </w:rPr>
        <w:t>članicah</w:t>
      </w:r>
      <w:r w:rsidRPr="00D050E9">
        <w:rPr>
          <w:rFonts w:asciiTheme="minorHAnsi" w:hAnsiTheme="minorHAnsi"/>
        </w:rPr>
        <w:t xml:space="preserve">. Razlog </w:t>
      </w:r>
      <w:r w:rsidR="00BA5736" w:rsidRPr="00D050E9">
        <w:rPr>
          <w:rFonts w:asciiTheme="minorHAnsi" w:hAnsiTheme="minorHAnsi"/>
        </w:rPr>
        <w:t>za</w:t>
      </w:r>
      <w:r w:rsidR="00B845CD" w:rsidRPr="00D050E9">
        <w:rPr>
          <w:rFonts w:asciiTheme="minorHAnsi" w:hAnsiTheme="minorHAnsi"/>
        </w:rPr>
        <w:t>nj</w:t>
      </w:r>
      <w:r w:rsidR="00B977F3" w:rsidRPr="00D050E9">
        <w:rPr>
          <w:rFonts w:asciiTheme="minorHAnsi" w:hAnsiTheme="minorHAnsi"/>
        </w:rPr>
        <w:t xml:space="preserve"> </w:t>
      </w:r>
      <w:r w:rsidR="00B845CD" w:rsidRPr="00D050E9">
        <w:rPr>
          <w:rFonts w:asciiTheme="minorHAnsi" w:hAnsiTheme="minorHAnsi"/>
        </w:rPr>
        <w:t xml:space="preserve">bi zato </w:t>
      </w:r>
      <w:r w:rsidR="00B977F3" w:rsidRPr="00D050E9">
        <w:rPr>
          <w:rFonts w:asciiTheme="minorHAnsi" w:hAnsiTheme="minorHAnsi"/>
        </w:rPr>
        <w:t>lahko bili</w:t>
      </w:r>
      <w:r w:rsidR="00BA5736" w:rsidRPr="00D050E9">
        <w:rPr>
          <w:rFonts w:asciiTheme="minorHAnsi" w:hAnsiTheme="minorHAnsi"/>
        </w:rPr>
        <w:t xml:space="preserve"> tudi </w:t>
      </w:r>
      <w:r w:rsidRPr="00D050E9">
        <w:rPr>
          <w:rFonts w:asciiTheme="minorHAnsi" w:hAnsiTheme="minorHAnsi"/>
        </w:rPr>
        <w:t xml:space="preserve">manj ugodni </w:t>
      </w:r>
      <w:r w:rsidR="00B977F3" w:rsidRPr="00D050E9">
        <w:rPr>
          <w:rFonts w:asciiTheme="minorHAnsi" w:hAnsiTheme="minorHAnsi"/>
        </w:rPr>
        <w:t xml:space="preserve">oz. strožji </w:t>
      </w:r>
      <w:r w:rsidRPr="00D050E9">
        <w:rPr>
          <w:rFonts w:asciiTheme="minorHAnsi" w:hAnsiTheme="minorHAnsi"/>
        </w:rPr>
        <w:t xml:space="preserve">pogoji dodeljevanja </w:t>
      </w:r>
      <w:r w:rsidR="00BA5736" w:rsidRPr="00D050E9">
        <w:rPr>
          <w:rFonts w:asciiTheme="minorHAnsi" w:hAnsiTheme="minorHAnsi"/>
        </w:rPr>
        <w:t xml:space="preserve">regionalnih </w:t>
      </w:r>
      <w:r w:rsidRPr="00D050E9">
        <w:rPr>
          <w:rFonts w:asciiTheme="minorHAnsi" w:hAnsiTheme="minorHAnsi"/>
        </w:rPr>
        <w:t xml:space="preserve">pomoči po letu 2014 </w:t>
      </w:r>
      <w:r w:rsidR="00BA5736" w:rsidRPr="00D050E9">
        <w:rPr>
          <w:rFonts w:asciiTheme="minorHAnsi" w:hAnsiTheme="minorHAnsi"/>
        </w:rPr>
        <w:t xml:space="preserve">(nižje intenzivnosti, </w:t>
      </w:r>
      <w:r w:rsidR="00E66C36" w:rsidRPr="00D050E9">
        <w:rPr>
          <w:rFonts w:asciiTheme="minorHAnsi" w:hAnsiTheme="minorHAnsi"/>
        </w:rPr>
        <w:t>pomoč za velika podjetja v regijah »c« le za potrebe nove gospodarske dejavnosti</w:t>
      </w:r>
      <w:r w:rsidR="007E75BF" w:rsidRPr="00D050E9">
        <w:rPr>
          <w:rFonts w:asciiTheme="minorHAnsi" w:hAnsiTheme="minorHAnsi"/>
        </w:rPr>
        <w:t>)</w:t>
      </w:r>
      <w:r w:rsidR="00BA5736" w:rsidRPr="00D050E9">
        <w:rPr>
          <w:rFonts w:asciiTheme="minorHAnsi" w:hAnsiTheme="minorHAnsi"/>
        </w:rPr>
        <w:t xml:space="preserve"> </w:t>
      </w:r>
      <w:r w:rsidRPr="00D050E9">
        <w:rPr>
          <w:rFonts w:asciiTheme="minorHAnsi" w:hAnsiTheme="minorHAnsi"/>
        </w:rPr>
        <w:t>in</w:t>
      </w:r>
      <w:r w:rsidR="00D666CF" w:rsidRPr="00D050E9">
        <w:rPr>
          <w:rFonts w:asciiTheme="minorHAnsi" w:hAnsiTheme="minorHAnsi"/>
        </w:rPr>
        <w:t xml:space="preserve"> </w:t>
      </w:r>
      <w:r w:rsidR="00BA5736" w:rsidRPr="00D050E9">
        <w:rPr>
          <w:rFonts w:asciiTheme="minorHAnsi" w:hAnsiTheme="minorHAnsi"/>
        </w:rPr>
        <w:t xml:space="preserve">zato </w:t>
      </w:r>
      <w:r w:rsidR="00D666CF" w:rsidRPr="00D050E9">
        <w:rPr>
          <w:rFonts w:asciiTheme="minorHAnsi" w:hAnsiTheme="minorHAnsi"/>
        </w:rPr>
        <w:t>večja uporaba drugih pravil pomoči (</w:t>
      </w:r>
      <w:r w:rsidR="00BA5736" w:rsidRPr="00D050E9">
        <w:rPr>
          <w:rFonts w:asciiTheme="minorHAnsi" w:hAnsiTheme="minorHAnsi"/>
        </w:rPr>
        <w:t xml:space="preserve">npr. za raziskave, razvoj in inovacije, mala in srednje velika </w:t>
      </w:r>
      <w:r w:rsidR="00B977F3" w:rsidRPr="00D050E9">
        <w:rPr>
          <w:rFonts w:asciiTheme="minorHAnsi" w:hAnsiTheme="minorHAnsi"/>
        </w:rPr>
        <w:t>podjetja</w:t>
      </w:r>
      <w:r w:rsidR="00BA5736" w:rsidRPr="00D050E9">
        <w:rPr>
          <w:rFonts w:asciiTheme="minorHAnsi" w:hAnsiTheme="minorHAnsi"/>
        </w:rPr>
        <w:t xml:space="preserve">). </w:t>
      </w:r>
    </w:p>
    <w:p w:rsidR="00F40022" w:rsidRPr="00D050E9" w:rsidRDefault="00F40022" w:rsidP="00F40022">
      <w:pPr>
        <w:spacing w:after="0" w:line="276" w:lineRule="auto"/>
        <w:rPr>
          <w:rFonts w:asciiTheme="minorHAnsi" w:hAnsiTheme="minorHAnsi"/>
        </w:rPr>
      </w:pPr>
      <w:r w:rsidRPr="00D050E9">
        <w:rPr>
          <w:rFonts w:asciiTheme="minorHAnsi" w:hAnsiTheme="minorHAnsi"/>
        </w:rPr>
        <w:t>Večina regionalnih pomoči</w:t>
      </w:r>
      <w:r w:rsidR="003F3581" w:rsidRPr="00D050E9">
        <w:rPr>
          <w:rFonts w:asciiTheme="minorHAnsi" w:hAnsiTheme="minorHAnsi"/>
        </w:rPr>
        <w:t xml:space="preserve"> se namenja</w:t>
      </w:r>
      <w:r w:rsidRPr="00D050E9">
        <w:rPr>
          <w:rFonts w:asciiTheme="minorHAnsi" w:hAnsiTheme="minorHAnsi"/>
        </w:rPr>
        <w:t xml:space="preserve"> za naložbe in z njimi povezano ustvarjanje </w:t>
      </w:r>
      <w:r w:rsidR="003F3581" w:rsidRPr="00D050E9">
        <w:rPr>
          <w:rFonts w:asciiTheme="minorHAnsi" w:hAnsiTheme="minorHAnsi"/>
        </w:rPr>
        <w:t xml:space="preserve">novih </w:t>
      </w:r>
      <w:r w:rsidRPr="00D050E9">
        <w:rPr>
          <w:rFonts w:asciiTheme="minorHAnsi" w:hAnsiTheme="minorHAnsi"/>
        </w:rPr>
        <w:t>delovnih mest. Do leta 2016 so se po pravilih regionalnih pomoči dodeljevale tudi pomoči za investicije v predelavo in</w:t>
      </w:r>
      <w:r w:rsidR="003F3581" w:rsidRPr="00D050E9">
        <w:rPr>
          <w:rFonts w:asciiTheme="minorHAnsi" w:hAnsiTheme="minorHAnsi"/>
        </w:rPr>
        <w:t xml:space="preserve"> trženje kmetijskih proizvodov, ki se </w:t>
      </w:r>
      <w:r w:rsidR="00B509E1" w:rsidRPr="00D050E9">
        <w:rPr>
          <w:rFonts w:asciiTheme="minorHAnsi" w:hAnsiTheme="minorHAnsi"/>
        </w:rPr>
        <w:t xml:space="preserve">zdaj </w:t>
      </w:r>
      <w:r w:rsidR="003F3581" w:rsidRPr="00D050E9">
        <w:rPr>
          <w:rFonts w:asciiTheme="minorHAnsi" w:hAnsiTheme="minorHAnsi"/>
        </w:rPr>
        <w:t>dodeljujejo po pravilih</w:t>
      </w:r>
      <w:r w:rsidR="00094B65" w:rsidRPr="00D050E9">
        <w:rPr>
          <w:rFonts w:asciiTheme="minorHAnsi" w:hAnsiTheme="minorHAnsi"/>
        </w:rPr>
        <w:t xml:space="preserve"> pomoči na </w:t>
      </w:r>
      <w:r w:rsidR="003F3581" w:rsidRPr="00D050E9">
        <w:rPr>
          <w:rFonts w:asciiTheme="minorHAnsi" w:hAnsiTheme="minorHAnsi"/>
        </w:rPr>
        <w:t xml:space="preserve">področju kmetijstva. </w:t>
      </w:r>
    </w:p>
    <w:p w:rsidR="00F40022" w:rsidRPr="00D050E9" w:rsidRDefault="00F40022" w:rsidP="00F40022">
      <w:pPr>
        <w:spacing w:after="0" w:line="276" w:lineRule="auto"/>
        <w:rPr>
          <w:rFonts w:asciiTheme="minorHAnsi" w:hAnsiTheme="minorHAnsi"/>
        </w:rPr>
      </w:pPr>
    </w:p>
    <w:p w:rsidR="00503A1D" w:rsidRPr="00D050E9" w:rsidRDefault="00400AE5" w:rsidP="00400AE5">
      <w:pPr>
        <w:pStyle w:val="Caption"/>
        <w:rPr>
          <w:color w:val="auto"/>
        </w:rPr>
      </w:pPr>
      <w:bookmarkStart w:id="91" w:name="_Toc530654597"/>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13</w:t>
      </w:r>
      <w:r w:rsidRPr="00D050E9">
        <w:rPr>
          <w:color w:val="auto"/>
        </w:rPr>
        <w:fldChar w:fldCharType="end"/>
      </w:r>
      <w:r w:rsidRPr="00D050E9">
        <w:rPr>
          <w:color w:val="auto"/>
        </w:rPr>
        <w:t xml:space="preserve">: </w:t>
      </w:r>
      <w:r w:rsidR="00503A1D" w:rsidRPr="00D050E9">
        <w:rPr>
          <w:color w:val="auto"/>
        </w:rPr>
        <w:t>Regionalne pomoči po namenih, 2015–2017</w:t>
      </w:r>
      <w:bookmarkEnd w:id="91"/>
    </w:p>
    <w:p w:rsidR="00400AE5" w:rsidRPr="00D050E9" w:rsidRDefault="00400AE5" w:rsidP="00400AE5">
      <w:pPr>
        <w:spacing w:after="0"/>
        <w:rPr>
          <w:lang w:bidi="hi-IN"/>
        </w:rPr>
      </w:pPr>
    </w:p>
    <w:tbl>
      <w:tblPr>
        <w:tblStyle w:val="LightGrid-Accent5"/>
        <w:tblW w:w="5000" w:type="pct"/>
        <w:tblLook w:val="04A0" w:firstRow="1" w:lastRow="0" w:firstColumn="1" w:lastColumn="0" w:noHBand="0" w:noVBand="1"/>
      </w:tblPr>
      <w:tblGrid>
        <w:gridCol w:w="3280"/>
        <w:gridCol w:w="1330"/>
        <w:gridCol w:w="1330"/>
        <w:gridCol w:w="1330"/>
        <w:gridCol w:w="1330"/>
        <w:gridCol w:w="800"/>
      </w:tblGrid>
      <w:tr w:rsidR="00503A1D" w:rsidRPr="00D050E9" w:rsidTr="00503A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pct"/>
            <w:hideMark/>
          </w:tcPr>
          <w:p w:rsidR="00503A1D" w:rsidRPr="00D050E9" w:rsidRDefault="00503A1D" w:rsidP="00503A1D">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Namen</w:t>
            </w:r>
          </w:p>
        </w:tc>
        <w:tc>
          <w:tcPr>
            <w:tcW w:w="614" w:type="pct"/>
            <w:hideMark/>
          </w:tcPr>
          <w:p w:rsidR="00503A1D" w:rsidRPr="00D050E9" w:rsidRDefault="00503A1D" w:rsidP="00503A1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2015</w:t>
            </w:r>
          </w:p>
        </w:tc>
        <w:tc>
          <w:tcPr>
            <w:tcW w:w="614" w:type="pct"/>
            <w:hideMark/>
          </w:tcPr>
          <w:p w:rsidR="00503A1D" w:rsidRPr="00D050E9" w:rsidRDefault="00503A1D" w:rsidP="00503A1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2016</w:t>
            </w:r>
          </w:p>
        </w:tc>
        <w:tc>
          <w:tcPr>
            <w:tcW w:w="614" w:type="pct"/>
            <w:hideMark/>
          </w:tcPr>
          <w:p w:rsidR="00503A1D" w:rsidRPr="00D050E9" w:rsidRDefault="00503A1D" w:rsidP="00503A1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2017</w:t>
            </w:r>
          </w:p>
        </w:tc>
        <w:tc>
          <w:tcPr>
            <w:tcW w:w="614" w:type="pct"/>
            <w:hideMark/>
          </w:tcPr>
          <w:p w:rsidR="00503A1D" w:rsidRPr="00D050E9" w:rsidRDefault="00503A1D" w:rsidP="00503A1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Skupaj</w:t>
            </w:r>
            <w:r w:rsidRPr="00D050E9">
              <w:rPr>
                <w:rFonts w:asciiTheme="minorHAnsi" w:eastAsia="Times New Roman" w:hAnsiTheme="minorHAnsi" w:cs="Arial"/>
                <w:sz w:val="19"/>
                <w:szCs w:val="19"/>
                <w:lang w:eastAsia="sl-SI"/>
              </w:rPr>
              <w:br/>
              <w:t>2015-2017</w:t>
            </w:r>
          </w:p>
        </w:tc>
        <w:tc>
          <w:tcPr>
            <w:tcW w:w="614" w:type="pct"/>
            <w:hideMark/>
          </w:tcPr>
          <w:p w:rsidR="00503A1D" w:rsidRPr="00D050E9" w:rsidRDefault="00503A1D" w:rsidP="00503A1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Delež</w:t>
            </w:r>
            <w:r w:rsidRPr="00D050E9">
              <w:rPr>
                <w:rFonts w:asciiTheme="minorHAnsi" w:eastAsia="Times New Roman" w:hAnsiTheme="minorHAnsi" w:cs="Arial"/>
                <w:sz w:val="19"/>
                <w:szCs w:val="19"/>
                <w:lang w:eastAsia="sl-SI"/>
              </w:rPr>
              <w:br/>
              <w:t>2015-2017</w:t>
            </w:r>
          </w:p>
        </w:tc>
      </w:tr>
      <w:tr w:rsidR="00F40022" w:rsidRPr="00D050E9" w:rsidTr="00503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pct"/>
            <w:hideMark/>
          </w:tcPr>
          <w:p w:rsidR="00503A1D" w:rsidRPr="00D050E9" w:rsidRDefault="00503A1D" w:rsidP="00503A1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Naložbe in ustvarjanje delovnih mest zaradi naložb</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27.990.835,68</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20.832.125,44</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20.967.698,15</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69.790.659,27</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97,8%</w:t>
            </w:r>
          </w:p>
        </w:tc>
      </w:tr>
      <w:tr w:rsidR="00503A1D" w:rsidRPr="00D050E9" w:rsidTr="00503A1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pct"/>
            <w:hideMark/>
          </w:tcPr>
          <w:p w:rsidR="00503A1D" w:rsidRPr="00D050E9" w:rsidRDefault="00503A1D" w:rsidP="00503A1D">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Investicije v predelavo in trženje kmetijskih proizvodov</w:t>
            </w:r>
          </w:p>
        </w:tc>
        <w:tc>
          <w:tcPr>
            <w:tcW w:w="614" w:type="pct"/>
            <w:hideMark/>
          </w:tcPr>
          <w:p w:rsidR="00503A1D" w:rsidRPr="00D050E9" w:rsidRDefault="00503A1D" w:rsidP="00503A1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433.458,66</w:t>
            </w:r>
          </w:p>
        </w:tc>
        <w:tc>
          <w:tcPr>
            <w:tcW w:w="614" w:type="pct"/>
            <w:hideMark/>
          </w:tcPr>
          <w:p w:rsidR="00503A1D" w:rsidRPr="00D050E9" w:rsidRDefault="00503A1D" w:rsidP="00503A1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1.126.737,95</w:t>
            </w:r>
          </w:p>
        </w:tc>
        <w:tc>
          <w:tcPr>
            <w:tcW w:w="614" w:type="pct"/>
            <w:hideMark/>
          </w:tcPr>
          <w:p w:rsidR="00503A1D" w:rsidRPr="00D050E9" w:rsidRDefault="00503A1D" w:rsidP="00503A1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 </w:t>
            </w:r>
          </w:p>
        </w:tc>
        <w:tc>
          <w:tcPr>
            <w:tcW w:w="614" w:type="pct"/>
            <w:hideMark/>
          </w:tcPr>
          <w:p w:rsidR="00503A1D" w:rsidRPr="00D050E9" w:rsidRDefault="00503A1D" w:rsidP="00503A1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1.560.196,61</w:t>
            </w:r>
          </w:p>
        </w:tc>
        <w:tc>
          <w:tcPr>
            <w:tcW w:w="614" w:type="pct"/>
            <w:hideMark/>
          </w:tcPr>
          <w:p w:rsidR="00503A1D" w:rsidRPr="00D050E9" w:rsidRDefault="00503A1D" w:rsidP="00503A1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2,2%</w:t>
            </w:r>
          </w:p>
        </w:tc>
      </w:tr>
      <w:tr w:rsidR="00F40022" w:rsidRPr="00D050E9" w:rsidTr="00503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2" w:type="pct"/>
            <w:hideMark/>
          </w:tcPr>
          <w:p w:rsidR="00503A1D" w:rsidRPr="00D050E9" w:rsidRDefault="00503A1D" w:rsidP="00503A1D">
            <w:pPr>
              <w:jc w:val="left"/>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Skupaj regionalne pomoči</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28.424.294,34</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21.958.863,39</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 xml:space="preserve">20.967.698,15 </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19"/>
                <w:szCs w:val="19"/>
                <w:lang w:eastAsia="sl-SI"/>
              </w:rPr>
            </w:pPr>
            <w:r w:rsidRPr="00D050E9">
              <w:rPr>
                <w:rFonts w:asciiTheme="minorHAnsi" w:eastAsia="Times New Roman" w:hAnsiTheme="minorHAnsi" w:cs="Arial"/>
                <w:b/>
                <w:bCs/>
                <w:sz w:val="19"/>
                <w:szCs w:val="19"/>
                <w:lang w:eastAsia="sl-SI"/>
              </w:rPr>
              <w:t>71.350.855,88</w:t>
            </w:r>
          </w:p>
        </w:tc>
        <w:tc>
          <w:tcPr>
            <w:tcW w:w="614" w:type="pct"/>
            <w:hideMark/>
          </w:tcPr>
          <w:p w:rsidR="00503A1D" w:rsidRPr="00D050E9" w:rsidRDefault="00503A1D" w:rsidP="00503A1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 xml:space="preserve">100,0% </w:t>
            </w:r>
          </w:p>
        </w:tc>
      </w:tr>
    </w:tbl>
    <w:p w:rsidR="007F1967" w:rsidRDefault="007F1967" w:rsidP="00A16183">
      <w:pPr>
        <w:spacing w:after="0" w:line="276" w:lineRule="auto"/>
        <w:rPr>
          <w:rFonts w:asciiTheme="minorHAnsi" w:hAnsiTheme="minorHAnsi"/>
        </w:rPr>
      </w:pPr>
    </w:p>
    <w:p w:rsidR="00F40022" w:rsidRPr="00E116E8" w:rsidRDefault="00F40022" w:rsidP="00A16183">
      <w:pPr>
        <w:spacing w:after="0" w:line="276" w:lineRule="auto"/>
        <w:rPr>
          <w:rFonts w:asciiTheme="minorHAnsi" w:hAnsiTheme="minorHAnsi"/>
        </w:rPr>
      </w:pPr>
      <w:r w:rsidRPr="00D050E9">
        <w:rPr>
          <w:rFonts w:asciiTheme="minorHAnsi" w:hAnsiTheme="minorHAnsi"/>
        </w:rPr>
        <w:t>V letu 2017 je bila večina tj. dve tretjini vseh regionalnih pomoči izplačana na osnovi regionalne sheme pomoči (slabih 50 % v obdobju 2015–2017), po kateri se pomoči dodeljujejo za začetne investicije (vzpostavitev</w:t>
      </w:r>
      <w:r w:rsidR="00D72605">
        <w:rPr>
          <w:rFonts w:asciiTheme="minorHAnsi" w:hAnsiTheme="minorHAnsi"/>
        </w:rPr>
        <w:t xml:space="preserve"> nove poslovne </w:t>
      </w:r>
      <w:r w:rsidR="00D72605" w:rsidRPr="00E116E8">
        <w:rPr>
          <w:rFonts w:asciiTheme="minorHAnsi" w:hAnsiTheme="minorHAnsi"/>
        </w:rPr>
        <w:t>enote</w:t>
      </w:r>
      <w:r w:rsidRPr="00E116E8">
        <w:rPr>
          <w:rFonts w:asciiTheme="minorHAnsi" w:hAnsiTheme="minorHAnsi"/>
        </w:rPr>
        <w:t xml:space="preserve">, razširitev dejavnosti in diverzifikacijo proizvodnje ali bistveno spremembo proizvodnega procesa v obstoječi poslovni enoti) in s tem povezano </w:t>
      </w:r>
      <w:r w:rsidR="00B46832" w:rsidRPr="00E116E8">
        <w:rPr>
          <w:rFonts w:asciiTheme="minorHAnsi" w:hAnsiTheme="minorHAnsi"/>
        </w:rPr>
        <w:t>ustvarjenje novih delovnih mest</w:t>
      </w:r>
      <w:r w:rsidRPr="00E116E8">
        <w:rPr>
          <w:rFonts w:asciiTheme="minorHAnsi" w:hAnsiTheme="minorHAnsi"/>
        </w:rPr>
        <w:t xml:space="preserve"> po pogojih regionalne karte</w:t>
      </w:r>
      <w:r w:rsidRPr="00E116E8">
        <w:rPr>
          <w:rStyle w:val="FootnoteReference"/>
          <w:rFonts w:asciiTheme="minorHAnsi" w:hAnsiTheme="minorHAnsi"/>
        </w:rPr>
        <w:footnoteReference w:id="16"/>
      </w:r>
      <w:r w:rsidRPr="00E116E8">
        <w:rPr>
          <w:rFonts w:asciiTheme="minorHAnsi" w:hAnsiTheme="minorHAnsi"/>
        </w:rPr>
        <w:t>. V letih 2015 in 2016 so se pomoči po regionalni</w:t>
      </w:r>
      <w:r w:rsidR="00E116E8" w:rsidRPr="00E116E8">
        <w:rPr>
          <w:rFonts w:asciiTheme="minorHAnsi" w:hAnsiTheme="minorHAnsi"/>
        </w:rPr>
        <w:t xml:space="preserve"> </w:t>
      </w:r>
      <w:r w:rsidRPr="00E116E8">
        <w:rPr>
          <w:rFonts w:asciiTheme="minorHAnsi" w:hAnsiTheme="minorHAnsi"/>
        </w:rPr>
        <w:t>shemi izplačeval</w:t>
      </w:r>
      <w:r w:rsidR="00451C4A" w:rsidRPr="00E116E8">
        <w:rPr>
          <w:rFonts w:asciiTheme="minorHAnsi" w:hAnsiTheme="minorHAnsi"/>
        </w:rPr>
        <w:t>e</w:t>
      </w:r>
      <w:r w:rsidRPr="00E116E8">
        <w:rPr>
          <w:rFonts w:asciiTheme="minorHAnsi" w:hAnsiTheme="minorHAnsi"/>
        </w:rPr>
        <w:t xml:space="preserve"> tudi za investicije v predelavo in trženje kmetijskih proizvodov.</w:t>
      </w:r>
    </w:p>
    <w:p w:rsidR="00A16183" w:rsidRPr="00E116E8" w:rsidRDefault="00A16183" w:rsidP="007F1967">
      <w:pPr>
        <w:spacing w:after="0" w:line="276" w:lineRule="auto"/>
        <w:rPr>
          <w:rFonts w:asciiTheme="minorHAnsi" w:hAnsiTheme="minorHAnsi"/>
        </w:rPr>
      </w:pPr>
    </w:p>
    <w:p w:rsidR="00F40022" w:rsidRPr="00D050E9" w:rsidRDefault="00F40022" w:rsidP="00A16183">
      <w:pPr>
        <w:spacing w:after="0" w:line="276" w:lineRule="auto"/>
        <w:rPr>
          <w:rFonts w:asciiTheme="minorHAnsi" w:hAnsiTheme="minorHAnsi"/>
        </w:rPr>
      </w:pPr>
      <w:r w:rsidRPr="00E116E8">
        <w:rPr>
          <w:rFonts w:asciiTheme="minorHAnsi" w:hAnsiTheme="minorHAnsi"/>
        </w:rPr>
        <w:t xml:space="preserve">Tretjina regionalnih pomoči v letu 2017 (skoraj 40 % v obdobju 2015–2017) pa je bila namenjena spodbujanju tujih neposrednih investicij. Pomoči za oba namena je izplačevalo Ministrstvo za gospodarski razvoj in tehnologijo. Manjši del regionalnih pomoči, 0,2 % </w:t>
      </w:r>
      <w:r w:rsidR="003F3581" w:rsidRPr="00E116E8">
        <w:rPr>
          <w:rFonts w:asciiTheme="minorHAnsi" w:hAnsiTheme="minorHAnsi"/>
        </w:rPr>
        <w:t xml:space="preserve">teh pomoči </w:t>
      </w:r>
      <w:r w:rsidRPr="00E116E8">
        <w:rPr>
          <w:rFonts w:asciiTheme="minorHAnsi" w:hAnsiTheme="minorHAnsi"/>
        </w:rPr>
        <w:t>v 2017 (3 % 2015–2017) je bil dodeljen v obliki ugodnih posojil po programu SID banke, 0,1 % regionalnih pomoči v 2017 pa je dodeli</w:t>
      </w:r>
      <w:r w:rsidR="006F49F3" w:rsidRPr="00E116E8">
        <w:rPr>
          <w:rFonts w:asciiTheme="minorHAnsi" w:hAnsiTheme="minorHAnsi"/>
        </w:rPr>
        <w:t>l</w:t>
      </w:r>
      <w:r w:rsidRPr="00E116E8">
        <w:rPr>
          <w:rFonts w:asciiTheme="minorHAnsi" w:hAnsiTheme="minorHAnsi"/>
        </w:rPr>
        <w:t xml:space="preserve"> Sklad za regionalni razvoj in raz</w:t>
      </w:r>
      <w:r w:rsidRPr="00D050E9">
        <w:rPr>
          <w:rFonts w:asciiTheme="minorHAnsi" w:hAnsiTheme="minorHAnsi"/>
        </w:rPr>
        <w:t xml:space="preserve">voj podeželja po svoji garancijski shemi. </w:t>
      </w:r>
    </w:p>
    <w:p w:rsidR="00F40022" w:rsidRDefault="00F40022" w:rsidP="00A16183">
      <w:pPr>
        <w:spacing w:after="0" w:line="276" w:lineRule="auto"/>
        <w:rPr>
          <w:rFonts w:asciiTheme="minorHAnsi" w:hAnsiTheme="minorHAnsi"/>
        </w:rPr>
      </w:pPr>
    </w:p>
    <w:p w:rsidR="007F1967" w:rsidRDefault="007F1967" w:rsidP="00A16183">
      <w:pPr>
        <w:spacing w:after="0" w:line="276" w:lineRule="auto"/>
        <w:rPr>
          <w:rFonts w:asciiTheme="minorHAnsi" w:hAnsiTheme="minorHAnsi"/>
        </w:rPr>
      </w:pPr>
    </w:p>
    <w:p w:rsidR="007F1967" w:rsidRDefault="007F1967" w:rsidP="00A16183">
      <w:pPr>
        <w:spacing w:after="0" w:line="276" w:lineRule="auto"/>
        <w:rPr>
          <w:rFonts w:asciiTheme="minorHAnsi" w:hAnsiTheme="minorHAnsi"/>
        </w:rPr>
      </w:pPr>
    </w:p>
    <w:p w:rsidR="007F1967" w:rsidRDefault="007F1967" w:rsidP="00A16183">
      <w:pPr>
        <w:spacing w:after="0" w:line="276" w:lineRule="auto"/>
        <w:rPr>
          <w:rFonts w:asciiTheme="minorHAnsi" w:hAnsiTheme="minorHAnsi"/>
        </w:rPr>
      </w:pPr>
    </w:p>
    <w:p w:rsidR="007F1967" w:rsidRPr="00D050E9" w:rsidRDefault="007F1967" w:rsidP="00A16183">
      <w:pPr>
        <w:spacing w:after="0" w:line="276" w:lineRule="auto"/>
        <w:rPr>
          <w:rFonts w:asciiTheme="minorHAnsi" w:hAnsiTheme="minorHAnsi"/>
        </w:rPr>
      </w:pPr>
    </w:p>
    <w:p w:rsidR="00F40022" w:rsidRPr="00D050E9" w:rsidRDefault="00400AE5" w:rsidP="00400AE5">
      <w:pPr>
        <w:pStyle w:val="Caption"/>
        <w:rPr>
          <w:color w:val="auto"/>
        </w:rPr>
      </w:pPr>
      <w:bookmarkStart w:id="92" w:name="_Toc530654598"/>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14</w:t>
      </w:r>
      <w:r w:rsidRPr="00D050E9">
        <w:rPr>
          <w:color w:val="auto"/>
        </w:rPr>
        <w:fldChar w:fldCharType="end"/>
      </w:r>
      <w:r w:rsidRPr="00D050E9">
        <w:rPr>
          <w:color w:val="auto"/>
        </w:rPr>
        <w:t xml:space="preserve">: </w:t>
      </w:r>
      <w:r w:rsidR="00F40022" w:rsidRPr="00D050E9">
        <w:rPr>
          <w:color w:val="auto"/>
        </w:rPr>
        <w:t>Regionalen pomoči po glavnih shemah oz. namenih pomoči, 2015–2017</w:t>
      </w:r>
      <w:bookmarkEnd w:id="92"/>
    </w:p>
    <w:p w:rsidR="00E62B1A" w:rsidRPr="00D050E9" w:rsidRDefault="00E62B1A" w:rsidP="00E62B1A">
      <w:pPr>
        <w:spacing w:after="0"/>
        <w:rPr>
          <w:lang w:bidi="hi-IN"/>
        </w:rPr>
      </w:pPr>
    </w:p>
    <w:tbl>
      <w:tblPr>
        <w:tblStyle w:val="LightGrid-Accent5"/>
        <w:tblW w:w="5000" w:type="pct"/>
        <w:tblLook w:val="04A0" w:firstRow="1" w:lastRow="0" w:firstColumn="1" w:lastColumn="0" w:noHBand="0" w:noVBand="1"/>
      </w:tblPr>
      <w:tblGrid>
        <w:gridCol w:w="2815"/>
        <w:gridCol w:w="1287"/>
        <w:gridCol w:w="1286"/>
        <w:gridCol w:w="1286"/>
        <w:gridCol w:w="671"/>
        <w:gridCol w:w="1286"/>
        <w:gridCol w:w="769"/>
      </w:tblGrid>
      <w:tr w:rsidR="00F40022" w:rsidRPr="00D050E9" w:rsidTr="00F400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center"/>
              <w:rPr>
                <w:rFonts w:ascii="Calibri" w:eastAsia="Times New Roman" w:hAnsi="Calibri" w:cs="Arial"/>
                <w:sz w:val="18"/>
                <w:szCs w:val="18"/>
                <w:lang w:eastAsia="sl-SI"/>
              </w:rPr>
            </w:pPr>
            <w:r w:rsidRPr="00D050E9">
              <w:rPr>
                <w:rFonts w:ascii="Calibri" w:eastAsia="Times New Roman" w:hAnsi="Calibri" w:cs="Arial"/>
                <w:sz w:val="18"/>
                <w:szCs w:val="18"/>
                <w:lang w:eastAsia="sl-SI"/>
              </w:rPr>
              <w:t>Shema oz namen pomoči</w:t>
            </w:r>
          </w:p>
        </w:tc>
        <w:tc>
          <w:tcPr>
            <w:tcW w:w="684" w:type="pct"/>
            <w:hideMark/>
          </w:tcPr>
          <w:p w:rsidR="00F40022" w:rsidRPr="00D050E9" w:rsidRDefault="00F40022" w:rsidP="00F400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2015</w:t>
            </w:r>
          </w:p>
        </w:tc>
        <w:tc>
          <w:tcPr>
            <w:tcW w:w="684" w:type="pct"/>
            <w:hideMark/>
          </w:tcPr>
          <w:p w:rsidR="00F40022" w:rsidRPr="00D050E9" w:rsidRDefault="00F40022" w:rsidP="00F400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2016</w:t>
            </w:r>
          </w:p>
        </w:tc>
        <w:tc>
          <w:tcPr>
            <w:tcW w:w="684" w:type="pct"/>
            <w:hideMark/>
          </w:tcPr>
          <w:p w:rsidR="00F40022" w:rsidRPr="00D050E9" w:rsidRDefault="00F40022" w:rsidP="00F400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2017</w:t>
            </w:r>
          </w:p>
        </w:tc>
        <w:tc>
          <w:tcPr>
            <w:tcW w:w="357" w:type="pct"/>
            <w:hideMark/>
          </w:tcPr>
          <w:p w:rsidR="00F40022" w:rsidRPr="00D050E9" w:rsidRDefault="00F40022" w:rsidP="00F400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w:t>
            </w:r>
            <w:r w:rsidRPr="00D050E9">
              <w:rPr>
                <w:rFonts w:ascii="Calibri" w:eastAsia="Times New Roman" w:hAnsi="Calibri" w:cs="Arial"/>
                <w:sz w:val="18"/>
                <w:szCs w:val="18"/>
                <w:lang w:eastAsia="sl-SI"/>
              </w:rPr>
              <w:br/>
              <w:t>2017</w:t>
            </w:r>
          </w:p>
        </w:tc>
        <w:tc>
          <w:tcPr>
            <w:tcW w:w="684" w:type="pct"/>
            <w:hideMark/>
          </w:tcPr>
          <w:p w:rsidR="00F40022" w:rsidRPr="00D050E9" w:rsidRDefault="00F40022" w:rsidP="00F400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Skupaj</w:t>
            </w:r>
          </w:p>
        </w:tc>
        <w:tc>
          <w:tcPr>
            <w:tcW w:w="409" w:type="pct"/>
            <w:hideMark/>
          </w:tcPr>
          <w:p w:rsidR="00F40022" w:rsidRPr="00D050E9" w:rsidRDefault="00F40022" w:rsidP="00F4002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w:t>
            </w:r>
            <w:r w:rsidRPr="00D050E9">
              <w:rPr>
                <w:rFonts w:ascii="Calibri" w:eastAsia="Times New Roman" w:hAnsi="Calibri" w:cs="Arial"/>
                <w:sz w:val="18"/>
                <w:szCs w:val="18"/>
                <w:lang w:eastAsia="sl-SI"/>
              </w:rPr>
              <w:br/>
              <w:t>2015-2017</w:t>
            </w:r>
          </w:p>
        </w:tc>
      </w:tr>
      <w:tr w:rsidR="00F40022" w:rsidRPr="00D050E9" w:rsidTr="00F400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Regionalna shema državnih pomoči</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7.936.015,30</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10.760.606,71</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14.147.492,33</w:t>
            </w:r>
          </w:p>
        </w:tc>
        <w:tc>
          <w:tcPr>
            <w:tcW w:w="357"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67,5%</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32.844.114,34</w:t>
            </w:r>
          </w:p>
        </w:tc>
        <w:tc>
          <w:tcPr>
            <w:tcW w:w="409"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46,0%</w:t>
            </w:r>
          </w:p>
        </w:tc>
      </w:tr>
      <w:tr w:rsidR="00F40022" w:rsidRPr="00D050E9" w:rsidTr="00F400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Razvojne podpore Pomurski regiji</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1.884.127,30</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357"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1.884.127,30</w:t>
            </w:r>
          </w:p>
        </w:tc>
        <w:tc>
          <w:tcPr>
            <w:tcW w:w="409"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w:t>
            </w:r>
          </w:p>
        </w:tc>
      </w:tr>
      <w:tr w:rsidR="00F40022" w:rsidRPr="00D050E9" w:rsidTr="00F400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Finančne spodbude za tuje neposredne investicije</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10.299.184,00</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10.438.552,00</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6.745.480,00</w:t>
            </w:r>
          </w:p>
        </w:tc>
        <w:tc>
          <w:tcPr>
            <w:tcW w:w="357"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32,2%</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27.483.216,00</w:t>
            </w:r>
          </w:p>
        </w:tc>
        <w:tc>
          <w:tcPr>
            <w:tcW w:w="409"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38,5%</w:t>
            </w:r>
          </w:p>
        </w:tc>
      </w:tr>
      <w:tr w:rsidR="00F40022" w:rsidRPr="00D050E9" w:rsidTr="00F400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Spodbujanje podjetništva in konkurenčnosti 2007-2013</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5.795.763,17</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w:t>
            </w:r>
          </w:p>
        </w:tc>
        <w:tc>
          <w:tcPr>
            <w:tcW w:w="357"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5.795.763,17</w:t>
            </w:r>
          </w:p>
        </w:tc>
        <w:tc>
          <w:tcPr>
            <w:tcW w:w="409"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w:t>
            </w:r>
          </w:p>
        </w:tc>
      </w:tr>
      <w:tr w:rsidR="00F40022" w:rsidRPr="00D050E9" w:rsidTr="00F400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Spodbujanje učinkovite rabe energije in rabe obnovljivih virov energije</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1.141.860,75</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138.200,14</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357"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1.280.060,89</w:t>
            </w:r>
          </w:p>
        </w:tc>
        <w:tc>
          <w:tcPr>
            <w:tcW w:w="409"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w:t>
            </w:r>
          </w:p>
        </w:tc>
      </w:tr>
      <w:tr w:rsidR="00F40022" w:rsidRPr="00D050E9" w:rsidTr="00F400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Program SID banke za financiranje tehnološko - razvojnih projektov</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1.364.735,82</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590.816,60</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41.081,82</w:t>
            </w:r>
          </w:p>
        </w:tc>
        <w:tc>
          <w:tcPr>
            <w:tcW w:w="357"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1.996.634,24</w:t>
            </w:r>
          </w:p>
        </w:tc>
        <w:tc>
          <w:tcPr>
            <w:tcW w:w="409"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w:t>
            </w:r>
          </w:p>
        </w:tc>
      </w:tr>
      <w:tr w:rsidR="00F40022" w:rsidRPr="00D050E9" w:rsidTr="00F400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hideMark/>
          </w:tcPr>
          <w:p w:rsidR="00F40022" w:rsidRPr="00D050E9" w:rsidRDefault="00F40022" w:rsidP="00F40022">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 xml:space="preserve">Regionalna garancijska shema  </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2.608,00</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31.251,01</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33.644,00</w:t>
            </w:r>
          </w:p>
        </w:tc>
        <w:tc>
          <w:tcPr>
            <w:tcW w:w="357"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p>
        </w:tc>
        <w:tc>
          <w:tcPr>
            <w:tcW w:w="684"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67.503,01</w:t>
            </w:r>
          </w:p>
        </w:tc>
        <w:tc>
          <w:tcPr>
            <w:tcW w:w="409" w:type="pct"/>
            <w:hideMark/>
          </w:tcPr>
          <w:p w:rsidR="00F40022" w:rsidRPr="00D050E9" w:rsidRDefault="00F40022" w:rsidP="00F400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0,1%</w:t>
            </w:r>
          </w:p>
        </w:tc>
      </w:tr>
      <w:tr w:rsidR="00F40022" w:rsidRPr="00D050E9" w:rsidTr="00F4002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pct"/>
            <w:noWrap/>
            <w:hideMark/>
          </w:tcPr>
          <w:p w:rsidR="00F40022" w:rsidRPr="00D050E9" w:rsidRDefault="00F40022" w:rsidP="00F40022">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w:t>
            </w:r>
          </w:p>
        </w:tc>
        <w:tc>
          <w:tcPr>
            <w:tcW w:w="684" w:type="pct"/>
            <w:noWrap/>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28.424.294,34</w:t>
            </w:r>
          </w:p>
        </w:tc>
        <w:tc>
          <w:tcPr>
            <w:tcW w:w="684" w:type="pct"/>
            <w:noWrap/>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21.959.426,46</w:t>
            </w:r>
          </w:p>
        </w:tc>
        <w:tc>
          <w:tcPr>
            <w:tcW w:w="684" w:type="pct"/>
            <w:noWrap/>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20.967.698,15</w:t>
            </w:r>
          </w:p>
        </w:tc>
        <w:tc>
          <w:tcPr>
            <w:tcW w:w="357"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100%</w:t>
            </w:r>
          </w:p>
        </w:tc>
        <w:tc>
          <w:tcPr>
            <w:tcW w:w="684"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71.351.418,95</w:t>
            </w:r>
          </w:p>
        </w:tc>
        <w:tc>
          <w:tcPr>
            <w:tcW w:w="409" w:type="pct"/>
            <w:hideMark/>
          </w:tcPr>
          <w:p w:rsidR="00F40022" w:rsidRPr="00D050E9" w:rsidRDefault="00F40022" w:rsidP="00F4002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100,0%</w:t>
            </w:r>
          </w:p>
        </w:tc>
      </w:tr>
    </w:tbl>
    <w:p w:rsidR="00F40022" w:rsidRPr="00D050E9" w:rsidRDefault="00F40022" w:rsidP="00F40022">
      <w:pPr>
        <w:spacing w:after="0" w:line="276" w:lineRule="auto"/>
        <w:rPr>
          <w:rFonts w:asciiTheme="minorHAnsi" w:hAnsiTheme="minorHAnsi"/>
        </w:rPr>
      </w:pPr>
    </w:p>
    <w:p w:rsidR="00F40022" w:rsidRPr="00D050E9" w:rsidRDefault="00F40022" w:rsidP="00F40022">
      <w:pPr>
        <w:spacing w:line="276" w:lineRule="auto"/>
        <w:rPr>
          <w:rFonts w:asciiTheme="minorHAnsi" w:hAnsiTheme="minorHAnsi"/>
        </w:rPr>
      </w:pPr>
      <w:r w:rsidRPr="00D050E9">
        <w:rPr>
          <w:rFonts w:asciiTheme="minorHAnsi" w:hAnsiTheme="minorHAnsi"/>
        </w:rPr>
        <w:t xml:space="preserve">V letih 2016 in 2015 so se </w:t>
      </w:r>
      <w:r w:rsidR="003F3581" w:rsidRPr="00D050E9">
        <w:rPr>
          <w:rFonts w:asciiTheme="minorHAnsi" w:hAnsiTheme="minorHAnsi"/>
        </w:rPr>
        <w:t xml:space="preserve">po regionalnih pravilih </w:t>
      </w:r>
      <w:r w:rsidRPr="00D050E9">
        <w:rPr>
          <w:rFonts w:asciiTheme="minorHAnsi" w:hAnsiTheme="minorHAnsi"/>
        </w:rPr>
        <w:t xml:space="preserve">dodeljevale tudi </w:t>
      </w:r>
      <w:r w:rsidR="00451C4A" w:rsidRPr="00D050E9">
        <w:rPr>
          <w:rFonts w:asciiTheme="minorHAnsi" w:hAnsiTheme="minorHAnsi"/>
        </w:rPr>
        <w:t xml:space="preserve">pomoči </w:t>
      </w:r>
      <w:r w:rsidRPr="00D050E9">
        <w:rPr>
          <w:rFonts w:asciiTheme="minorHAnsi" w:hAnsiTheme="minorHAnsi"/>
        </w:rPr>
        <w:t xml:space="preserve">za začetne investicije, ki omogočajo učinkovito rabo energije in rabo obnovljivih virov energije (v povprečju 2 % vseh regionalnih pomoči 2015–2017) po shemi Ministrstva za infrastrukturo, 8 % </w:t>
      </w:r>
      <w:r w:rsidR="00D1223F" w:rsidRPr="00D050E9">
        <w:rPr>
          <w:rFonts w:asciiTheme="minorHAnsi" w:hAnsiTheme="minorHAnsi"/>
        </w:rPr>
        <w:t xml:space="preserve">regionalnih </w:t>
      </w:r>
      <w:r w:rsidRPr="00D050E9">
        <w:rPr>
          <w:rFonts w:asciiTheme="minorHAnsi" w:hAnsiTheme="minorHAnsi"/>
        </w:rPr>
        <w:t>p</w:t>
      </w:r>
      <w:r w:rsidR="003F3581" w:rsidRPr="00D050E9">
        <w:rPr>
          <w:rFonts w:asciiTheme="minorHAnsi" w:hAnsiTheme="minorHAnsi"/>
        </w:rPr>
        <w:t>omoči je bilo izplačanih</w:t>
      </w:r>
      <w:r w:rsidRPr="00D050E9">
        <w:rPr>
          <w:rFonts w:asciiTheme="minorHAnsi" w:hAnsiTheme="minorHAnsi"/>
        </w:rPr>
        <w:t xml:space="preserve"> na osnovi iztekajoče se sheme za spodbujanje podjetništva in konkurenčnosti. Omenjene pomoči se v letu 2017 zaradi izteka shem pomoči niso več izplačevale. </w:t>
      </w:r>
    </w:p>
    <w:p w:rsidR="007E75BF" w:rsidRPr="00D050E9" w:rsidRDefault="00F21DB1" w:rsidP="00F21DB1">
      <w:pPr>
        <w:pStyle w:val="Caption"/>
        <w:rPr>
          <w:color w:val="auto"/>
        </w:rPr>
      </w:pPr>
      <w:bookmarkStart w:id="93" w:name="_Toc530654656"/>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41</w:t>
      </w:r>
      <w:r w:rsidRPr="00D050E9">
        <w:rPr>
          <w:color w:val="auto"/>
        </w:rPr>
        <w:fldChar w:fldCharType="end"/>
      </w:r>
      <w:r w:rsidRPr="00D050E9">
        <w:rPr>
          <w:color w:val="auto"/>
        </w:rPr>
        <w:t xml:space="preserve">: </w:t>
      </w:r>
      <w:r w:rsidR="007E75BF" w:rsidRPr="00D050E9">
        <w:rPr>
          <w:color w:val="auto"/>
        </w:rPr>
        <w:t>nameni</w:t>
      </w:r>
      <w:r w:rsidRPr="00D050E9">
        <w:rPr>
          <w:color w:val="auto"/>
        </w:rPr>
        <w:t xml:space="preserve"> dodeljevanja </w:t>
      </w:r>
      <w:r w:rsidR="007E75BF" w:rsidRPr="00D050E9">
        <w:rPr>
          <w:color w:val="auto"/>
        </w:rPr>
        <w:t>regionalnih pomoči v letih 2015–2017</w:t>
      </w:r>
      <w:bookmarkEnd w:id="93"/>
    </w:p>
    <w:p w:rsidR="007E75BF" w:rsidRPr="00D050E9" w:rsidRDefault="007E75BF" w:rsidP="007E75BF">
      <w:pPr>
        <w:spacing w:after="0" w:line="276" w:lineRule="auto"/>
        <w:rPr>
          <w:rFonts w:asciiTheme="minorHAnsi" w:hAnsiTheme="minorHAnsi"/>
          <w:b/>
          <w:color w:val="5F497A" w:themeColor="accent4" w:themeShade="BF"/>
        </w:rPr>
      </w:pPr>
      <w:r w:rsidRPr="00D050E9">
        <w:rPr>
          <w:noProof/>
          <w:lang w:eastAsia="sl-SI"/>
        </w:rPr>
        <w:drawing>
          <wp:inline distT="0" distB="0" distL="0" distR="0" wp14:anchorId="3CAE8A30" wp14:editId="0EF83AC4">
            <wp:extent cx="5624946" cy="2556163"/>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D0896" w:rsidRPr="00D050E9" w:rsidRDefault="002D0896" w:rsidP="00D42B78">
      <w:pPr>
        <w:spacing w:after="0" w:line="276" w:lineRule="auto"/>
        <w:rPr>
          <w:rFonts w:asciiTheme="minorHAnsi" w:hAnsiTheme="minorHAnsi"/>
        </w:rPr>
      </w:pPr>
      <w:r w:rsidRPr="00D050E9">
        <w:rPr>
          <w:rFonts w:asciiTheme="minorHAnsi" w:hAnsiTheme="minorHAnsi"/>
        </w:rPr>
        <w:t xml:space="preserve">Dobrih </w:t>
      </w:r>
      <w:r w:rsidR="00EE47B0" w:rsidRPr="00D050E9">
        <w:rPr>
          <w:rFonts w:asciiTheme="minorHAnsi" w:hAnsiTheme="minorHAnsi"/>
        </w:rPr>
        <w:t>80 % regionalnih pomoči v letih 2015–2017 je bilo izplačanih v ob</w:t>
      </w:r>
      <w:r w:rsidR="00362BD9" w:rsidRPr="00D050E9">
        <w:rPr>
          <w:rFonts w:asciiTheme="minorHAnsi" w:hAnsiTheme="minorHAnsi"/>
        </w:rPr>
        <w:t>liki subvencij</w:t>
      </w:r>
      <w:r w:rsidR="00451C4A" w:rsidRPr="00D050E9">
        <w:rPr>
          <w:rFonts w:asciiTheme="minorHAnsi" w:hAnsiTheme="minorHAnsi"/>
        </w:rPr>
        <w:t>,</w:t>
      </w:r>
      <w:r w:rsidR="00362BD9" w:rsidRPr="00D050E9">
        <w:rPr>
          <w:rFonts w:asciiTheme="minorHAnsi" w:hAnsiTheme="minorHAnsi"/>
        </w:rPr>
        <w:t xml:space="preserve"> </w:t>
      </w:r>
      <w:r w:rsidR="00BB50B8" w:rsidRPr="00D050E9">
        <w:rPr>
          <w:rFonts w:asciiTheme="minorHAnsi" w:hAnsiTheme="minorHAnsi"/>
        </w:rPr>
        <w:t xml:space="preserve">v letu 2017 je to predstavljajo 17,2 mio EUR. </w:t>
      </w:r>
      <w:r w:rsidRPr="00D050E9">
        <w:rPr>
          <w:rFonts w:asciiTheme="minorHAnsi" w:hAnsiTheme="minorHAnsi"/>
        </w:rPr>
        <w:t>Davčne olajšave so predstavljale 15 % vseh regionalnih pomoči 2015–2017, v letu 2017 se je ta delež povečal na 16,3 %</w:t>
      </w:r>
      <w:r w:rsidR="00BB50B8" w:rsidRPr="00D050E9">
        <w:rPr>
          <w:rFonts w:asciiTheme="minorHAnsi" w:hAnsiTheme="minorHAnsi"/>
        </w:rPr>
        <w:t xml:space="preserve"> </w:t>
      </w:r>
      <w:r w:rsidR="00D1223F" w:rsidRPr="00D050E9">
        <w:rPr>
          <w:rFonts w:asciiTheme="minorHAnsi" w:hAnsiTheme="minorHAnsi"/>
        </w:rPr>
        <w:t>(</w:t>
      </w:r>
      <w:r w:rsidR="00BB50B8" w:rsidRPr="00D050E9">
        <w:rPr>
          <w:rFonts w:asciiTheme="minorHAnsi" w:hAnsiTheme="minorHAnsi"/>
        </w:rPr>
        <w:t>3,4 mio EUR</w:t>
      </w:r>
      <w:r w:rsidR="00D1223F" w:rsidRPr="00D050E9">
        <w:rPr>
          <w:rFonts w:asciiTheme="minorHAnsi" w:hAnsiTheme="minorHAnsi"/>
        </w:rPr>
        <w:t>)</w:t>
      </w:r>
      <w:r w:rsidRPr="00D050E9">
        <w:rPr>
          <w:rFonts w:asciiTheme="minorHAnsi" w:hAnsiTheme="minorHAnsi"/>
        </w:rPr>
        <w:t xml:space="preserve">. </w:t>
      </w:r>
    </w:p>
    <w:p w:rsidR="00BB50B8" w:rsidRPr="00D050E9" w:rsidRDefault="00BB50B8" w:rsidP="00D42B78">
      <w:pPr>
        <w:spacing w:after="0" w:line="276" w:lineRule="auto"/>
        <w:rPr>
          <w:rFonts w:asciiTheme="minorHAnsi" w:hAnsiTheme="minorHAnsi"/>
        </w:rPr>
      </w:pPr>
    </w:p>
    <w:p w:rsidR="002D0896" w:rsidRPr="00D050E9" w:rsidRDefault="002D0896" w:rsidP="00D42B78">
      <w:pPr>
        <w:spacing w:after="0" w:line="276" w:lineRule="auto"/>
        <w:rPr>
          <w:rFonts w:asciiTheme="minorHAnsi" w:hAnsiTheme="minorHAnsi"/>
          <w:color w:val="FF0000"/>
        </w:rPr>
      </w:pPr>
      <w:r w:rsidRPr="00D050E9">
        <w:rPr>
          <w:rFonts w:asciiTheme="minorHAnsi" w:hAnsiTheme="minorHAnsi"/>
        </w:rPr>
        <w:t>Delež ugodnih posojil se je zmanjšal s 3,2 % v 2015–2017, na 1,6 % v 2017, predvsem so se zmanjšala ugodna poso</w:t>
      </w:r>
      <w:r w:rsidR="00D31703" w:rsidRPr="00D050E9">
        <w:rPr>
          <w:rFonts w:asciiTheme="minorHAnsi" w:hAnsiTheme="minorHAnsi"/>
        </w:rPr>
        <w:t>jila SID banke (-0,55 mio EUR tj. -2,8 mio EUR bruto ugodnih posojil</w:t>
      </w:r>
      <w:r w:rsidRPr="00D050E9">
        <w:rPr>
          <w:rFonts w:asciiTheme="minorHAnsi" w:hAnsiTheme="minorHAnsi"/>
        </w:rPr>
        <w:t xml:space="preserve">), več pa je bilo ugodnih posojil, ki jih je dodelil Sklad za regionalni razvoj in razvoj podeželja na osnovi </w:t>
      </w:r>
      <w:r w:rsidR="00D31703" w:rsidRPr="00D050E9">
        <w:rPr>
          <w:rFonts w:asciiTheme="minorHAnsi" w:hAnsiTheme="minorHAnsi"/>
        </w:rPr>
        <w:t>regionalne sheme (+ 0,3 mio EUR tj. + 5,2 mio EUR bruto posojil).</w:t>
      </w:r>
    </w:p>
    <w:p w:rsidR="007E75BF" w:rsidRDefault="007E75BF" w:rsidP="002D0896">
      <w:pPr>
        <w:spacing w:after="0" w:line="276" w:lineRule="auto"/>
        <w:rPr>
          <w:rFonts w:asciiTheme="minorHAnsi" w:hAnsiTheme="minorHAnsi"/>
        </w:rPr>
      </w:pPr>
    </w:p>
    <w:p w:rsidR="00A24F11" w:rsidRDefault="00DE64D4" w:rsidP="00DE64D4">
      <w:pPr>
        <w:pStyle w:val="Caption"/>
        <w:rPr>
          <w:color w:val="auto"/>
        </w:rPr>
      </w:pPr>
      <w:bookmarkStart w:id="94" w:name="_Toc530654657"/>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42</w:t>
      </w:r>
      <w:r w:rsidRPr="00D050E9">
        <w:rPr>
          <w:color w:val="auto"/>
        </w:rPr>
        <w:fldChar w:fldCharType="end"/>
      </w:r>
      <w:r w:rsidRPr="00D050E9">
        <w:rPr>
          <w:color w:val="auto"/>
        </w:rPr>
        <w:t xml:space="preserve">: </w:t>
      </w:r>
      <w:r w:rsidR="002D0896" w:rsidRPr="00D050E9">
        <w:rPr>
          <w:color w:val="auto"/>
        </w:rPr>
        <w:t>Instrumenti regionalnih pomoči, 2008–2017</w:t>
      </w:r>
      <w:bookmarkEnd w:id="94"/>
    </w:p>
    <w:p w:rsidR="00D42B78" w:rsidRPr="00D050E9" w:rsidRDefault="00D42B78" w:rsidP="007B2E67">
      <w:pPr>
        <w:spacing w:line="276" w:lineRule="auto"/>
        <w:rPr>
          <w:rFonts w:asciiTheme="minorHAnsi" w:hAnsiTheme="minorHAnsi"/>
          <w:b/>
          <w:color w:val="5F497A" w:themeColor="accent4" w:themeShade="BF"/>
        </w:rPr>
      </w:pPr>
      <w:r w:rsidRPr="00D050E9">
        <w:rPr>
          <w:noProof/>
          <w:lang w:eastAsia="sl-SI"/>
        </w:rPr>
        <w:drawing>
          <wp:inline distT="0" distB="0" distL="0" distR="0" wp14:anchorId="63F3372F" wp14:editId="0498F8F1">
            <wp:extent cx="5394960" cy="275082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F2F56" w:rsidRPr="00D050E9" w:rsidRDefault="003F2F56" w:rsidP="003F2F56">
      <w:pPr>
        <w:spacing w:line="276" w:lineRule="auto"/>
        <w:jc w:val="left"/>
        <w:rPr>
          <w:rFonts w:asciiTheme="minorHAnsi" w:hAnsiTheme="minorHAnsi"/>
        </w:rPr>
      </w:pPr>
      <w:r w:rsidRPr="00D050E9">
        <w:rPr>
          <w:rFonts w:asciiTheme="minorHAnsi" w:hAnsiTheme="minorHAnsi"/>
        </w:rPr>
        <w:t xml:space="preserve">V letu 2017 je regionalno državno pomoč prejelo 383 upravičencev (70 manj kot v letu 2016). Vsak je v </w:t>
      </w:r>
      <w:r w:rsidRPr="00E116E8">
        <w:rPr>
          <w:rFonts w:asciiTheme="minorHAnsi" w:hAnsiTheme="minorHAnsi"/>
        </w:rPr>
        <w:t>povprečju prejel dobrih 54 tisoč EUR, k</w:t>
      </w:r>
      <w:r w:rsidR="008E1F2E" w:rsidRPr="00E116E8">
        <w:rPr>
          <w:rFonts w:asciiTheme="minorHAnsi" w:hAnsiTheme="minorHAnsi"/>
        </w:rPr>
        <w:t>a</w:t>
      </w:r>
      <w:r w:rsidRPr="00E116E8">
        <w:rPr>
          <w:rFonts w:asciiTheme="minorHAnsi" w:hAnsiTheme="minorHAnsi"/>
        </w:rPr>
        <w:t>r je nekaj manj od povprečne državne pomoči v Sloveniji, glede</w:t>
      </w:r>
      <w:r w:rsidR="008D0EBC" w:rsidRPr="00E116E8">
        <w:rPr>
          <w:rFonts w:asciiTheme="minorHAnsi" w:hAnsiTheme="minorHAnsi"/>
        </w:rPr>
        <w:t xml:space="preserve"> na leto 2016 pa se je povprečna</w:t>
      </w:r>
      <w:r w:rsidRPr="00E116E8">
        <w:rPr>
          <w:rFonts w:asciiTheme="minorHAnsi" w:hAnsiTheme="minorHAnsi"/>
        </w:rPr>
        <w:t xml:space="preserve"> regionalna pomoč zvišala za 13 %.</w:t>
      </w:r>
      <w:r w:rsidRPr="00D050E9">
        <w:rPr>
          <w:rFonts w:asciiTheme="minorHAnsi" w:hAnsiTheme="minorHAnsi"/>
        </w:rPr>
        <w:t xml:space="preserve"> </w:t>
      </w:r>
    </w:p>
    <w:p w:rsidR="003F779D" w:rsidRDefault="00F40022" w:rsidP="00F40022">
      <w:pPr>
        <w:spacing w:after="0" w:line="276" w:lineRule="auto"/>
        <w:rPr>
          <w:rFonts w:asciiTheme="minorHAnsi" w:hAnsiTheme="minorHAnsi"/>
        </w:rPr>
      </w:pPr>
      <w:r w:rsidRPr="00D050E9">
        <w:rPr>
          <w:rFonts w:asciiTheme="minorHAnsi" w:hAnsiTheme="minorHAnsi"/>
        </w:rPr>
        <w:t>Največji prejemniki regionalnih pomoči v obdobju 2015–2017 so bili:</w:t>
      </w:r>
    </w:p>
    <w:tbl>
      <w:tblPr>
        <w:tblStyle w:val="LightShading-Accent4"/>
        <w:tblW w:w="5000" w:type="pct"/>
        <w:tblLook w:val="04A0" w:firstRow="1" w:lastRow="0" w:firstColumn="1" w:lastColumn="0" w:noHBand="0" w:noVBand="1"/>
      </w:tblPr>
      <w:tblGrid>
        <w:gridCol w:w="4144"/>
        <w:gridCol w:w="1314"/>
        <w:gridCol w:w="1314"/>
        <w:gridCol w:w="1314"/>
        <w:gridCol w:w="1314"/>
      </w:tblGrid>
      <w:tr w:rsidR="003F779D" w:rsidRPr="00D050E9" w:rsidTr="00B23C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Prejemnik pomoči</w:t>
            </w:r>
          </w:p>
        </w:tc>
        <w:tc>
          <w:tcPr>
            <w:tcW w:w="699" w:type="pct"/>
            <w:hideMark/>
          </w:tcPr>
          <w:p w:rsidR="003F779D" w:rsidRPr="00D050E9" w:rsidRDefault="003F779D" w:rsidP="003A51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2015</w:t>
            </w:r>
          </w:p>
        </w:tc>
        <w:tc>
          <w:tcPr>
            <w:tcW w:w="699" w:type="pct"/>
            <w:hideMark/>
          </w:tcPr>
          <w:p w:rsidR="003F779D" w:rsidRPr="00D050E9" w:rsidRDefault="003F779D" w:rsidP="003A51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2016</w:t>
            </w:r>
          </w:p>
        </w:tc>
        <w:tc>
          <w:tcPr>
            <w:tcW w:w="699" w:type="pct"/>
            <w:hideMark/>
          </w:tcPr>
          <w:p w:rsidR="003F779D" w:rsidRPr="00D050E9" w:rsidRDefault="003F779D" w:rsidP="003A51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2017</w:t>
            </w:r>
          </w:p>
        </w:tc>
        <w:tc>
          <w:tcPr>
            <w:tcW w:w="699" w:type="pct"/>
            <w:hideMark/>
          </w:tcPr>
          <w:p w:rsidR="003F779D" w:rsidRPr="00D050E9" w:rsidRDefault="003F779D" w:rsidP="003A5126">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Skupaj</w:t>
            </w:r>
          </w:p>
        </w:tc>
      </w:tr>
      <w:tr w:rsidR="003F779D" w:rsidRPr="00D050E9" w:rsidTr="00B23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REVOZ podjetje za proizvodnjo in komercializacijo avtomobilov d.d.</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7.664.902,00</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6.930.698,00</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14.595.600,00</w:t>
            </w:r>
          </w:p>
        </w:tc>
      </w:tr>
      <w:tr w:rsidR="003F779D" w:rsidRPr="00D050E9" w:rsidTr="00B23C93">
        <w:trPr>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HELLA SATURNUS SLOVENIJA, proizvodnja svetlobne opreme za motorna in druga vozila, d.o.o.</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2.634.282,00</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3.007.854,00</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5.642.136,00</w:t>
            </w:r>
          </w:p>
        </w:tc>
      </w:tr>
      <w:tr w:rsidR="003F779D" w:rsidRPr="00D050E9" w:rsidTr="00B23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MAGNA STEYR, avtomobilski dobavitelj d.o.o.</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3.000.000,00</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3.000.000,00</w:t>
            </w:r>
          </w:p>
        </w:tc>
      </w:tr>
      <w:tr w:rsidR="003F779D" w:rsidRPr="00D050E9" w:rsidTr="00B23C93">
        <w:trPr>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SiEVA, podjetje za razvoj in trženje v avtomobilski industriji d.o.o.</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2.769.604,72</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2.769.604,72</w:t>
            </w:r>
          </w:p>
        </w:tc>
      </w:tr>
      <w:tr w:rsidR="003F779D" w:rsidRPr="00D050E9" w:rsidTr="00B23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Lek farmacevtska družba d.d.</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500.000,00</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1.500.000,00</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2.000.000,00</w:t>
            </w:r>
          </w:p>
        </w:tc>
      </w:tr>
      <w:tr w:rsidR="003F779D" w:rsidRPr="00D050E9" w:rsidTr="00B23C93">
        <w:trPr>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smartMELAMINE, podjetje za proizvodnjo melaminskih flisov d.o.o.</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375.000,00</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1.125.000,00</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1.500.000,00</w:t>
            </w:r>
          </w:p>
        </w:tc>
      </w:tr>
      <w:tr w:rsidR="003F779D" w:rsidRPr="00D050E9" w:rsidTr="00B23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GORENJE gospodinjski aparati, d.d.</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1.364.735,82</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1.364.735,82</w:t>
            </w:r>
          </w:p>
        </w:tc>
      </w:tr>
      <w:tr w:rsidR="003F779D" w:rsidRPr="00D050E9" w:rsidTr="00B23C93">
        <w:trPr>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GEBERIT proizvodnja, proizvodno in trgovsko podjetje d.o.o.</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352.318,43</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421.372,95</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539.433,07</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1.313.124,45</w:t>
            </w:r>
          </w:p>
        </w:tc>
      </w:tr>
      <w:tr w:rsidR="003F779D" w:rsidRPr="00D050E9" w:rsidTr="00B23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ELRAD INTERNATIONAL razvoj in proizvodnja elektronskih naprav d.o.o.</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63.873,09</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820.464,39</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123.720,63</w:t>
            </w:r>
          </w:p>
        </w:tc>
        <w:tc>
          <w:tcPr>
            <w:tcW w:w="699" w:type="pct"/>
            <w:hideMark/>
          </w:tcPr>
          <w:p w:rsidR="003F779D" w:rsidRPr="00D050E9" w:rsidRDefault="003F779D" w:rsidP="003A51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1.008.058,11</w:t>
            </w:r>
          </w:p>
        </w:tc>
      </w:tr>
      <w:tr w:rsidR="003F779D" w:rsidRPr="00D050E9" w:rsidTr="00B23C93">
        <w:trPr>
          <w:trHeight w:val="20"/>
        </w:trPr>
        <w:tc>
          <w:tcPr>
            <w:cnfStyle w:val="001000000000" w:firstRow="0" w:lastRow="0" w:firstColumn="1" w:lastColumn="0" w:oddVBand="0" w:evenVBand="0" w:oddHBand="0" w:evenHBand="0" w:firstRowFirstColumn="0" w:firstRowLastColumn="0" w:lastRowFirstColumn="0" w:lastRowLastColumn="0"/>
            <w:tcW w:w="2204" w:type="pct"/>
            <w:hideMark/>
          </w:tcPr>
          <w:p w:rsidR="003F779D" w:rsidRPr="00D050E9" w:rsidRDefault="003F779D" w:rsidP="003A5126">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STERIS AST, storitve v zdravstvu, d.o.o.</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988.480,00</w:t>
            </w:r>
          </w:p>
        </w:tc>
        <w:tc>
          <w:tcPr>
            <w:tcW w:w="699" w:type="pct"/>
            <w:hideMark/>
          </w:tcPr>
          <w:p w:rsidR="003F779D" w:rsidRPr="00D050E9" w:rsidRDefault="003F779D" w:rsidP="003A51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988.480,00</w:t>
            </w:r>
          </w:p>
        </w:tc>
      </w:tr>
    </w:tbl>
    <w:p w:rsidR="00F21DB1" w:rsidRDefault="00F21DB1">
      <w:pPr>
        <w:spacing w:line="276" w:lineRule="auto"/>
        <w:jc w:val="left"/>
        <w:rPr>
          <w:rFonts w:asciiTheme="minorHAnsi" w:hAnsiTheme="minorHAnsi"/>
        </w:rPr>
      </w:pPr>
    </w:p>
    <w:p w:rsidR="006E43D9" w:rsidRPr="00D050E9" w:rsidRDefault="006E43D9" w:rsidP="003F2F56">
      <w:pPr>
        <w:pStyle w:val="Heading2"/>
      </w:pPr>
      <w:bookmarkStart w:id="95" w:name="_Toc528594657"/>
      <w:bookmarkStart w:id="96" w:name="_Toc530654553"/>
      <w:r w:rsidRPr="00D050E9">
        <w:t>4.5 MALA IN SREDNJE VELIKA PODJETJA TER TVEGANO FINANCIRANJE</w:t>
      </w:r>
      <w:bookmarkEnd w:id="95"/>
      <w:bookmarkEnd w:id="96"/>
    </w:p>
    <w:p w:rsidR="00D82F9B" w:rsidRDefault="00D82F9B" w:rsidP="007F1967">
      <w:pPr>
        <w:spacing w:after="0" w:line="276" w:lineRule="auto"/>
        <w:rPr>
          <w:rFonts w:asciiTheme="minorHAnsi" w:hAnsiTheme="minorHAnsi"/>
        </w:rPr>
      </w:pPr>
    </w:p>
    <w:p w:rsidR="00072024" w:rsidRDefault="003F2F56" w:rsidP="003F2F56">
      <w:pPr>
        <w:spacing w:after="0" w:line="276" w:lineRule="auto"/>
        <w:rPr>
          <w:rFonts w:asciiTheme="minorHAnsi" w:hAnsiTheme="minorHAnsi"/>
        </w:rPr>
      </w:pPr>
      <w:r w:rsidRPr="00D050E9">
        <w:rPr>
          <w:rFonts w:asciiTheme="minorHAnsi" w:hAnsiTheme="minorHAnsi"/>
        </w:rPr>
        <w:t>V</w:t>
      </w:r>
      <w:r w:rsidR="00A871DB" w:rsidRPr="00D050E9">
        <w:rPr>
          <w:rFonts w:asciiTheme="minorHAnsi" w:hAnsiTheme="minorHAnsi"/>
        </w:rPr>
        <w:t xml:space="preserve"> letu 2017 je bilo za pomoči za mala in srednje velika podjetja</w:t>
      </w:r>
      <w:r w:rsidR="003A5FE0" w:rsidRPr="00D050E9">
        <w:rPr>
          <w:rFonts w:asciiTheme="minorHAnsi" w:hAnsiTheme="minorHAnsi"/>
        </w:rPr>
        <w:t>, vključno s pomočmi za tvegano financiranje</w:t>
      </w:r>
      <w:r w:rsidR="00356740" w:rsidRPr="00D050E9">
        <w:rPr>
          <w:rStyle w:val="FootnoteReference"/>
          <w:rFonts w:asciiTheme="minorHAnsi" w:hAnsiTheme="minorHAnsi"/>
        </w:rPr>
        <w:footnoteReference w:id="17"/>
      </w:r>
      <w:r w:rsidR="003A5FE0" w:rsidRPr="00D050E9">
        <w:rPr>
          <w:rFonts w:asciiTheme="minorHAnsi" w:hAnsiTheme="minorHAnsi"/>
        </w:rPr>
        <w:t>,</w:t>
      </w:r>
      <w:r w:rsidR="00A871DB" w:rsidRPr="00D050E9">
        <w:rPr>
          <w:rFonts w:asciiTheme="minorHAnsi" w:hAnsiTheme="minorHAnsi"/>
        </w:rPr>
        <w:t xml:space="preserve"> </w:t>
      </w:r>
      <w:r w:rsidR="00072024" w:rsidRPr="00D050E9">
        <w:rPr>
          <w:rFonts w:asciiTheme="minorHAnsi" w:hAnsiTheme="minorHAnsi"/>
        </w:rPr>
        <w:t>izplačanih 3,73 mio EUR, kar je skoraj 1 mio EUR ali 35 % več</w:t>
      </w:r>
      <w:r w:rsidR="00A871DB" w:rsidRPr="00D050E9">
        <w:rPr>
          <w:rFonts w:asciiTheme="minorHAnsi" w:hAnsiTheme="minorHAnsi"/>
        </w:rPr>
        <w:t xml:space="preserve"> kot v letu 2016</w:t>
      </w:r>
      <w:r w:rsidR="00A871DB" w:rsidRPr="00D050E9">
        <w:rPr>
          <w:rStyle w:val="FootnoteReference"/>
          <w:rFonts w:asciiTheme="minorHAnsi" w:hAnsiTheme="minorHAnsi"/>
        </w:rPr>
        <w:footnoteReference w:id="18"/>
      </w:r>
      <w:r w:rsidR="00072024" w:rsidRPr="00D050E9">
        <w:rPr>
          <w:rFonts w:asciiTheme="minorHAnsi" w:hAnsiTheme="minorHAnsi"/>
        </w:rPr>
        <w:t xml:space="preserve">. Te pomoči so </w:t>
      </w:r>
      <w:r w:rsidR="00356740" w:rsidRPr="00D050E9">
        <w:rPr>
          <w:rFonts w:asciiTheme="minorHAnsi" w:hAnsiTheme="minorHAnsi"/>
        </w:rPr>
        <w:t xml:space="preserve"> </w:t>
      </w:r>
      <w:r w:rsidR="00451C4A" w:rsidRPr="00D050E9">
        <w:rPr>
          <w:rFonts w:asciiTheme="minorHAnsi" w:hAnsiTheme="minorHAnsi"/>
        </w:rPr>
        <w:t xml:space="preserve">predstavljale </w:t>
      </w:r>
      <w:r w:rsidR="00356740" w:rsidRPr="00D050E9">
        <w:rPr>
          <w:rFonts w:asciiTheme="minorHAnsi" w:hAnsiTheme="minorHAnsi"/>
        </w:rPr>
        <w:t xml:space="preserve">0,9 % vseh pomoči. </w:t>
      </w:r>
    </w:p>
    <w:p w:rsidR="00072024" w:rsidRPr="00D050E9" w:rsidRDefault="00DE64D4" w:rsidP="00DE64D4">
      <w:pPr>
        <w:pStyle w:val="Caption"/>
        <w:rPr>
          <w:color w:val="auto"/>
        </w:rPr>
      </w:pPr>
      <w:bookmarkStart w:id="97" w:name="_Toc530654658"/>
      <w:r w:rsidRPr="00D050E9">
        <w:rPr>
          <w:color w:val="auto"/>
        </w:rPr>
        <w:lastRenderedPageBreak/>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43</w:t>
      </w:r>
      <w:r w:rsidRPr="00D050E9">
        <w:rPr>
          <w:color w:val="auto"/>
        </w:rPr>
        <w:fldChar w:fldCharType="end"/>
      </w:r>
      <w:r w:rsidRPr="00D050E9">
        <w:rPr>
          <w:color w:val="auto"/>
        </w:rPr>
        <w:t xml:space="preserve">: </w:t>
      </w:r>
      <w:r w:rsidR="00072024" w:rsidRPr="00D050E9">
        <w:rPr>
          <w:color w:val="auto"/>
        </w:rPr>
        <w:t>Pomoči za MSP in tvegano financiranje, 2008–2017</w:t>
      </w:r>
      <w:bookmarkEnd w:id="97"/>
    </w:p>
    <w:p w:rsidR="001B7E3A" w:rsidRPr="00D050E9" w:rsidRDefault="001B7E3A" w:rsidP="00D82F9B">
      <w:pPr>
        <w:spacing w:after="0"/>
        <w:rPr>
          <w:lang w:bidi="hi-IN"/>
        </w:rPr>
      </w:pPr>
    </w:p>
    <w:p w:rsidR="009F4ADF" w:rsidRPr="00D050E9" w:rsidRDefault="00072024" w:rsidP="007B2E67">
      <w:pPr>
        <w:spacing w:line="276" w:lineRule="auto"/>
        <w:rPr>
          <w:rFonts w:asciiTheme="minorHAnsi" w:hAnsiTheme="minorHAnsi"/>
        </w:rPr>
      </w:pPr>
      <w:r w:rsidRPr="00D050E9">
        <w:rPr>
          <w:noProof/>
          <w:color w:val="FF0000"/>
          <w:lang w:eastAsia="sl-SI"/>
        </w:rPr>
        <w:drawing>
          <wp:inline distT="0" distB="0" distL="0" distR="0" wp14:anchorId="7B92FA7B" wp14:editId="50A04515">
            <wp:extent cx="5806440" cy="259842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05626" w:rsidRPr="00D050E9" w:rsidRDefault="00356740" w:rsidP="007B2E67">
      <w:pPr>
        <w:spacing w:line="276" w:lineRule="auto"/>
        <w:rPr>
          <w:rFonts w:asciiTheme="minorHAnsi" w:hAnsiTheme="minorHAnsi"/>
        </w:rPr>
      </w:pPr>
      <w:r w:rsidRPr="00D050E9">
        <w:rPr>
          <w:rFonts w:asciiTheme="minorHAnsi" w:hAnsiTheme="minorHAnsi"/>
        </w:rPr>
        <w:t xml:space="preserve">V letu 2017 so se povečale predvsem pomoči za </w:t>
      </w:r>
      <w:r w:rsidRPr="00D050E9">
        <w:rPr>
          <w:rFonts w:asciiTheme="minorHAnsi" w:hAnsiTheme="minorHAnsi"/>
          <w:b/>
        </w:rPr>
        <w:t>svetovanje MSP</w:t>
      </w:r>
      <w:r w:rsidR="00CC3604" w:rsidRPr="00D050E9">
        <w:rPr>
          <w:rStyle w:val="FootnoteReference"/>
          <w:rFonts w:asciiTheme="minorHAnsi" w:hAnsiTheme="minorHAnsi"/>
        </w:rPr>
        <w:footnoteReference w:id="19"/>
      </w:r>
      <w:r w:rsidRPr="00D050E9">
        <w:rPr>
          <w:rFonts w:asciiTheme="minorHAnsi" w:hAnsiTheme="minorHAnsi"/>
        </w:rPr>
        <w:t xml:space="preserve"> po novi shemi Ministrstva za gospodarstvo in tehnološki razvoj (+2 m</w:t>
      </w:r>
      <w:r w:rsidR="005A0751" w:rsidRPr="00D050E9">
        <w:rPr>
          <w:rFonts w:asciiTheme="minorHAnsi" w:hAnsiTheme="minorHAnsi"/>
        </w:rPr>
        <w:t>io EUR)</w:t>
      </w:r>
      <w:r w:rsidR="00441595" w:rsidRPr="00D050E9">
        <w:rPr>
          <w:rFonts w:asciiTheme="minorHAnsi" w:hAnsiTheme="minorHAnsi"/>
        </w:rPr>
        <w:t>, na skupaj 2,21 mio EUR ali 60 % vseh pomoči za MSP v letu 2017 (2</w:t>
      </w:r>
      <w:r w:rsidR="00F079B8" w:rsidRPr="00D050E9">
        <w:rPr>
          <w:rFonts w:asciiTheme="minorHAnsi" w:hAnsiTheme="minorHAnsi"/>
        </w:rPr>
        <w:t>1 % teh pomoči 2015–2017)</w:t>
      </w:r>
      <w:r w:rsidR="00D1669F" w:rsidRPr="00D050E9">
        <w:rPr>
          <w:rFonts w:asciiTheme="minorHAnsi" w:hAnsiTheme="minorHAnsi"/>
        </w:rPr>
        <w:t>, kar je v</w:t>
      </w:r>
      <w:r w:rsidR="00C05626" w:rsidRPr="00D050E9">
        <w:rPr>
          <w:rFonts w:asciiTheme="minorHAnsi" w:hAnsiTheme="minorHAnsi"/>
        </w:rPr>
        <w:t>eč kot 11-kratno</w:t>
      </w:r>
      <w:r w:rsidR="00D1669F" w:rsidRPr="00D050E9">
        <w:rPr>
          <w:rFonts w:asciiTheme="minorHAnsi" w:hAnsiTheme="minorHAnsi"/>
        </w:rPr>
        <w:t xml:space="preserve"> povečanje glede na leto 2016. </w:t>
      </w:r>
      <w:r w:rsidR="00F51B6C" w:rsidRPr="00D050E9">
        <w:rPr>
          <w:rFonts w:asciiTheme="minorHAnsi" w:hAnsiTheme="minorHAnsi"/>
        </w:rPr>
        <w:t>Pomoč je namenjena za stroške svetovalnih storitev, ki jih zagotovijo zunanji svetovalci.</w:t>
      </w:r>
    </w:p>
    <w:p w:rsidR="00F51B6C" w:rsidRPr="00D050E9" w:rsidRDefault="00C05626" w:rsidP="007B2E67">
      <w:pPr>
        <w:spacing w:line="276" w:lineRule="auto"/>
        <w:rPr>
          <w:rFonts w:asciiTheme="minorHAnsi" w:hAnsiTheme="minorHAnsi"/>
        </w:rPr>
      </w:pPr>
      <w:r w:rsidRPr="00D050E9">
        <w:rPr>
          <w:rFonts w:asciiTheme="minorHAnsi" w:hAnsiTheme="minorHAnsi"/>
        </w:rPr>
        <w:t xml:space="preserve">Po drugi strani se je </w:t>
      </w:r>
      <w:r w:rsidR="00441595" w:rsidRPr="00D050E9">
        <w:rPr>
          <w:rFonts w:asciiTheme="minorHAnsi" w:hAnsiTheme="minorHAnsi"/>
        </w:rPr>
        <w:t xml:space="preserve">obseg </w:t>
      </w:r>
      <w:r w:rsidR="00356740" w:rsidRPr="00D050E9">
        <w:rPr>
          <w:rFonts w:asciiTheme="minorHAnsi" w:hAnsiTheme="minorHAnsi"/>
        </w:rPr>
        <w:t>pomoči za naložbe in zaposlovanje</w:t>
      </w:r>
      <w:r w:rsidR="00CC4DFF" w:rsidRPr="00D050E9">
        <w:rPr>
          <w:rFonts w:asciiTheme="minorHAnsi" w:hAnsiTheme="minorHAnsi"/>
        </w:rPr>
        <w:t xml:space="preserve"> v MSP</w:t>
      </w:r>
      <w:r w:rsidR="00356740" w:rsidRPr="00D050E9">
        <w:rPr>
          <w:rFonts w:asciiTheme="minorHAnsi" w:hAnsiTheme="minorHAnsi"/>
        </w:rPr>
        <w:t xml:space="preserve"> </w:t>
      </w:r>
      <w:r w:rsidR="00441595" w:rsidRPr="00D050E9">
        <w:rPr>
          <w:rFonts w:asciiTheme="minorHAnsi" w:hAnsiTheme="minorHAnsi"/>
        </w:rPr>
        <w:t>ter</w:t>
      </w:r>
      <w:r w:rsidR="00356740" w:rsidRPr="00D050E9">
        <w:rPr>
          <w:rFonts w:asciiTheme="minorHAnsi" w:hAnsiTheme="minorHAnsi"/>
        </w:rPr>
        <w:t xml:space="preserve"> za financiranje MSP v obliki tveganega kapitala </w:t>
      </w:r>
      <w:r w:rsidR="00441595" w:rsidRPr="00D050E9">
        <w:rPr>
          <w:rFonts w:asciiTheme="minorHAnsi" w:hAnsiTheme="minorHAnsi"/>
        </w:rPr>
        <w:t xml:space="preserve">lani </w:t>
      </w:r>
      <w:r w:rsidR="00CC4DFF" w:rsidRPr="00D050E9">
        <w:rPr>
          <w:rFonts w:asciiTheme="minorHAnsi" w:hAnsiTheme="minorHAnsi"/>
        </w:rPr>
        <w:t xml:space="preserve">glede na leto </w:t>
      </w:r>
      <w:r w:rsidR="00441595" w:rsidRPr="00D050E9">
        <w:rPr>
          <w:rFonts w:asciiTheme="minorHAnsi" w:hAnsiTheme="minorHAnsi"/>
        </w:rPr>
        <w:t>2016</w:t>
      </w:r>
      <w:r w:rsidR="00CC4DFF" w:rsidRPr="00D050E9">
        <w:rPr>
          <w:rFonts w:asciiTheme="minorHAnsi" w:hAnsiTheme="minorHAnsi"/>
        </w:rPr>
        <w:t xml:space="preserve"> nekoliko zmanjšal</w:t>
      </w:r>
      <w:r w:rsidR="00441595" w:rsidRPr="00D050E9">
        <w:rPr>
          <w:rFonts w:asciiTheme="minorHAnsi" w:hAnsiTheme="minorHAnsi"/>
        </w:rPr>
        <w:t xml:space="preserve"> </w:t>
      </w:r>
      <w:r w:rsidR="00356740" w:rsidRPr="00D050E9">
        <w:rPr>
          <w:rFonts w:asciiTheme="minorHAnsi" w:hAnsiTheme="minorHAnsi"/>
        </w:rPr>
        <w:t>(</w:t>
      </w:r>
      <w:r w:rsidR="00D1223F" w:rsidRPr="00D050E9">
        <w:rPr>
          <w:rFonts w:asciiTheme="minorHAnsi" w:hAnsiTheme="minorHAnsi"/>
        </w:rPr>
        <w:t>-</w:t>
      </w:r>
      <w:r w:rsidR="00D1669F" w:rsidRPr="00D050E9">
        <w:rPr>
          <w:rFonts w:asciiTheme="minorHAnsi" w:hAnsiTheme="minorHAnsi"/>
        </w:rPr>
        <w:t>0,45 mio EUR oz</w:t>
      </w:r>
      <w:r w:rsidR="00D1223F" w:rsidRPr="00D050E9">
        <w:rPr>
          <w:rFonts w:asciiTheme="minorHAnsi" w:hAnsiTheme="minorHAnsi"/>
        </w:rPr>
        <w:t>. -</w:t>
      </w:r>
      <w:r w:rsidR="00441595" w:rsidRPr="00D050E9">
        <w:rPr>
          <w:rFonts w:asciiTheme="minorHAnsi" w:hAnsiTheme="minorHAnsi"/>
        </w:rPr>
        <w:t>0,56 mio EUR)</w:t>
      </w:r>
      <w:r w:rsidR="00356740" w:rsidRPr="00D050E9">
        <w:rPr>
          <w:rFonts w:asciiTheme="minorHAnsi" w:hAnsiTheme="minorHAnsi"/>
        </w:rPr>
        <w:t>.</w:t>
      </w:r>
    </w:p>
    <w:p w:rsidR="003A5FE0" w:rsidRPr="00D050E9" w:rsidRDefault="00072024" w:rsidP="007B2E67">
      <w:pPr>
        <w:spacing w:line="276" w:lineRule="auto"/>
        <w:rPr>
          <w:rFonts w:asciiTheme="minorHAnsi" w:hAnsiTheme="minorHAnsi"/>
        </w:rPr>
      </w:pPr>
      <w:r w:rsidRPr="00D050E9">
        <w:rPr>
          <w:rFonts w:asciiTheme="minorHAnsi" w:hAnsiTheme="minorHAnsi"/>
        </w:rPr>
        <w:t xml:space="preserve">Najbolj občutno so se </w:t>
      </w:r>
      <w:r w:rsidRPr="00D050E9">
        <w:rPr>
          <w:rFonts w:asciiTheme="minorHAnsi" w:hAnsiTheme="minorHAnsi"/>
          <w:b/>
        </w:rPr>
        <w:t>zmanjšale</w:t>
      </w:r>
      <w:r w:rsidR="00C05626" w:rsidRPr="00D050E9">
        <w:rPr>
          <w:rFonts w:asciiTheme="minorHAnsi" w:hAnsiTheme="minorHAnsi"/>
          <w:b/>
        </w:rPr>
        <w:t xml:space="preserve"> </w:t>
      </w:r>
      <w:r w:rsidR="00441595" w:rsidRPr="00D050E9">
        <w:rPr>
          <w:rFonts w:asciiTheme="minorHAnsi" w:hAnsiTheme="minorHAnsi"/>
          <w:b/>
        </w:rPr>
        <w:t xml:space="preserve">pomoči </w:t>
      </w:r>
      <w:r w:rsidR="00CC4DFF" w:rsidRPr="00D050E9">
        <w:rPr>
          <w:rFonts w:asciiTheme="minorHAnsi" w:hAnsiTheme="minorHAnsi"/>
          <w:b/>
        </w:rPr>
        <w:t>za tvegano financiranje</w:t>
      </w:r>
      <w:r w:rsidR="00CC4DFF" w:rsidRPr="00D050E9">
        <w:rPr>
          <w:rFonts w:asciiTheme="minorHAnsi" w:hAnsiTheme="minorHAnsi"/>
        </w:rPr>
        <w:t xml:space="preserve">, tj. financiranje MSP </w:t>
      </w:r>
      <w:r w:rsidR="00441595" w:rsidRPr="00D050E9">
        <w:rPr>
          <w:rFonts w:asciiTheme="minorHAnsi" w:hAnsiTheme="minorHAnsi"/>
        </w:rPr>
        <w:t xml:space="preserve">v obliki kapitalskih oz. </w:t>
      </w:r>
      <w:r w:rsidR="00441595" w:rsidRPr="00D050E9">
        <w:rPr>
          <w:rFonts w:asciiTheme="minorHAnsi" w:hAnsiTheme="minorHAnsi"/>
          <w:i/>
        </w:rPr>
        <w:t>mezzanin</w:t>
      </w:r>
      <w:r w:rsidR="00441595" w:rsidRPr="00D050E9">
        <w:rPr>
          <w:rFonts w:asciiTheme="minorHAnsi" w:hAnsiTheme="minorHAnsi"/>
        </w:rPr>
        <w:t xml:space="preserve"> naložb v MSP na začetni stopnji razvoja, ki ne kotirajo na borzi</w:t>
      </w:r>
      <w:r w:rsidR="00F079B8" w:rsidRPr="00D050E9">
        <w:rPr>
          <w:rFonts w:asciiTheme="minorHAnsi" w:hAnsiTheme="minorHAnsi"/>
        </w:rPr>
        <w:t xml:space="preserve"> (63 % vseh pomoči v 2015–2017 in le četrtina teh pomoči v letu 2017 ali 0,9 mio EUR)</w:t>
      </w:r>
      <w:r w:rsidR="00441595" w:rsidRPr="00D050E9">
        <w:rPr>
          <w:rFonts w:asciiTheme="minorHAnsi" w:hAnsiTheme="minorHAnsi"/>
        </w:rPr>
        <w:t xml:space="preserve">. </w:t>
      </w:r>
      <w:r w:rsidR="00F079B8" w:rsidRPr="00D050E9">
        <w:rPr>
          <w:rFonts w:asciiTheme="minorHAnsi" w:hAnsiTheme="minorHAnsi"/>
        </w:rPr>
        <w:t>Pomoči za tvegano financiranje za MSP s</w:t>
      </w:r>
      <w:r w:rsidR="00441595" w:rsidRPr="00D050E9">
        <w:rPr>
          <w:rFonts w:asciiTheme="minorHAnsi" w:hAnsiTheme="minorHAnsi"/>
        </w:rPr>
        <w:t>o se v letih 2010–2015</w:t>
      </w:r>
      <w:r w:rsidR="00F079B8" w:rsidRPr="00D050E9">
        <w:rPr>
          <w:rFonts w:asciiTheme="minorHAnsi" w:hAnsiTheme="minorHAnsi"/>
        </w:rPr>
        <w:t>, ko so dosegale največje vrednosti,</w:t>
      </w:r>
      <w:r w:rsidR="00441595" w:rsidRPr="00D050E9">
        <w:rPr>
          <w:rFonts w:asciiTheme="minorHAnsi" w:hAnsiTheme="minorHAnsi"/>
        </w:rPr>
        <w:t xml:space="preserve"> dodeljevale pretežno preko družb tveganega kapitala</w:t>
      </w:r>
      <w:r w:rsidR="00977C20" w:rsidRPr="00D050E9">
        <w:rPr>
          <w:rFonts w:asciiTheme="minorHAnsi" w:hAnsiTheme="minorHAnsi"/>
        </w:rPr>
        <w:t xml:space="preserve">. </w:t>
      </w:r>
      <w:r w:rsidR="00441595" w:rsidRPr="00D050E9">
        <w:rPr>
          <w:rFonts w:asciiTheme="minorHAnsi" w:hAnsiTheme="minorHAnsi"/>
        </w:rPr>
        <w:t xml:space="preserve">Nove sheme pomoči za tvegano (lastniško) financiranje MSP se izvajajo z neposrednim vstopom v ciljna podjetja, preko Slovenskega podjetniškega sklada. Namenjene so spodbujanju nastajanja novih inovativnih podjetij in njihove nadaljnje rasti. </w:t>
      </w:r>
    </w:p>
    <w:p w:rsidR="00F079B8" w:rsidRPr="00D050E9" w:rsidRDefault="00F079B8" w:rsidP="007B2E67">
      <w:pPr>
        <w:spacing w:line="276" w:lineRule="auto"/>
        <w:rPr>
          <w:rFonts w:asciiTheme="minorHAnsi" w:hAnsiTheme="minorHAnsi"/>
        </w:rPr>
      </w:pPr>
      <w:r w:rsidRPr="00D050E9">
        <w:rPr>
          <w:rFonts w:asciiTheme="minorHAnsi" w:hAnsiTheme="minorHAnsi"/>
          <w:b/>
        </w:rPr>
        <w:t xml:space="preserve">Za </w:t>
      </w:r>
      <w:r w:rsidR="00F51B6C" w:rsidRPr="00D050E9">
        <w:rPr>
          <w:rFonts w:asciiTheme="minorHAnsi" w:hAnsiTheme="minorHAnsi"/>
          <w:b/>
        </w:rPr>
        <w:t xml:space="preserve">začetne </w:t>
      </w:r>
      <w:r w:rsidRPr="00D050E9">
        <w:rPr>
          <w:rFonts w:asciiTheme="minorHAnsi" w:hAnsiTheme="minorHAnsi"/>
          <w:b/>
        </w:rPr>
        <w:t>naložbe v MSP</w:t>
      </w:r>
      <w:r w:rsidRPr="00D050E9">
        <w:rPr>
          <w:rFonts w:asciiTheme="minorHAnsi" w:hAnsiTheme="minorHAnsi"/>
        </w:rPr>
        <w:t xml:space="preserve"> je bilo v letu 2017 namenjenih 0,62 mio EUR ali 16 % vseh pomoči za MSP in tvegano financiranje, kar je sicer manj kot v letu 2016, vendar še vedno več kot je bilo teh pomoči v povprečju v zadnjih desetih letih. Dodeljevale so se v obliki ugodnih posojil </w:t>
      </w:r>
      <w:r w:rsidR="00F51B6C" w:rsidRPr="00D050E9">
        <w:rPr>
          <w:rFonts w:asciiTheme="minorHAnsi" w:hAnsiTheme="minorHAnsi"/>
        </w:rPr>
        <w:t xml:space="preserve">na osnovi programa </w:t>
      </w:r>
      <w:r w:rsidRPr="00D050E9">
        <w:rPr>
          <w:rFonts w:asciiTheme="minorHAnsi" w:hAnsiTheme="minorHAnsi"/>
        </w:rPr>
        <w:t xml:space="preserve">SID banke. </w:t>
      </w:r>
      <w:r w:rsidR="00C05626" w:rsidRPr="00D050E9">
        <w:rPr>
          <w:rFonts w:asciiTheme="minorHAnsi" w:hAnsiTheme="minorHAnsi"/>
        </w:rPr>
        <w:t xml:space="preserve">Eno podjetje je prejelo ugodno posojilo Sklada za regionalni razvoj in razvoj podeželja. </w:t>
      </w:r>
    </w:p>
    <w:p w:rsidR="00072024" w:rsidRDefault="00072024" w:rsidP="007B2E67">
      <w:pPr>
        <w:spacing w:line="276" w:lineRule="auto"/>
        <w:rPr>
          <w:rFonts w:asciiTheme="minorHAnsi" w:hAnsiTheme="minorHAnsi"/>
        </w:rPr>
      </w:pPr>
      <w:r w:rsidRPr="00D050E9">
        <w:rPr>
          <w:rFonts w:asciiTheme="minorHAnsi" w:hAnsiTheme="minorHAnsi"/>
        </w:rPr>
        <w:t xml:space="preserve">V letih 2016 in 2017 so se pomoči namenjale tudi za </w:t>
      </w:r>
      <w:r w:rsidRPr="00D050E9">
        <w:rPr>
          <w:rFonts w:asciiTheme="minorHAnsi" w:hAnsiTheme="minorHAnsi"/>
          <w:b/>
        </w:rPr>
        <w:t>kritje stroškov MSP, ki sodelujejo v projektih Evropskega teritorialnega sodelovanja</w:t>
      </w:r>
      <w:r w:rsidRPr="00D050E9">
        <w:rPr>
          <w:rFonts w:asciiTheme="minorHAnsi" w:hAnsiTheme="minorHAnsi"/>
        </w:rPr>
        <w:t xml:space="preserve">. </w:t>
      </w:r>
      <w:r w:rsidR="003907A9" w:rsidRPr="00D050E9">
        <w:rPr>
          <w:rFonts w:asciiTheme="minorHAnsi" w:hAnsiTheme="minorHAnsi"/>
        </w:rPr>
        <w:t xml:space="preserve">V ta namen je bilo dodeljenih okoli 50 tisoč EUR letno oz. 1% pomoči za MSP in tvegano financiranje. </w:t>
      </w:r>
    </w:p>
    <w:p w:rsidR="00366888" w:rsidRPr="00D050E9" w:rsidRDefault="00DE64D4" w:rsidP="00DE64D4">
      <w:pPr>
        <w:pStyle w:val="Caption"/>
        <w:rPr>
          <w:color w:val="auto"/>
        </w:rPr>
      </w:pPr>
      <w:bookmarkStart w:id="98" w:name="_Toc530654599"/>
      <w:r w:rsidRPr="00D050E9">
        <w:rPr>
          <w:color w:val="auto"/>
        </w:rPr>
        <w:lastRenderedPageBreak/>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15</w:t>
      </w:r>
      <w:r w:rsidRPr="00D050E9">
        <w:rPr>
          <w:color w:val="auto"/>
        </w:rPr>
        <w:fldChar w:fldCharType="end"/>
      </w:r>
      <w:r w:rsidRPr="00D050E9">
        <w:rPr>
          <w:color w:val="auto"/>
        </w:rPr>
        <w:t xml:space="preserve">: </w:t>
      </w:r>
      <w:r w:rsidR="00366888" w:rsidRPr="00D050E9">
        <w:rPr>
          <w:color w:val="auto"/>
        </w:rPr>
        <w:t>Pomoči za MSP in tvegano financiranje po namenih, 2015–2017</w:t>
      </w:r>
      <w:bookmarkEnd w:id="98"/>
    </w:p>
    <w:p w:rsidR="00DE64D4" w:rsidRPr="00D050E9" w:rsidRDefault="00DE64D4" w:rsidP="00DE64D4">
      <w:pPr>
        <w:spacing w:after="0"/>
        <w:rPr>
          <w:lang w:bidi="hi-IN"/>
        </w:rPr>
      </w:pPr>
    </w:p>
    <w:tbl>
      <w:tblPr>
        <w:tblStyle w:val="LightGrid-Accent5"/>
        <w:tblW w:w="0" w:type="auto"/>
        <w:tblLook w:val="04A0" w:firstRow="1" w:lastRow="0" w:firstColumn="1" w:lastColumn="0" w:noHBand="0" w:noVBand="1"/>
      </w:tblPr>
      <w:tblGrid>
        <w:gridCol w:w="2802"/>
        <w:gridCol w:w="1180"/>
        <w:gridCol w:w="1229"/>
        <w:gridCol w:w="1180"/>
        <w:gridCol w:w="1230"/>
        <w:gridCol w:w="851"/>
        <w:gridCol w:w="816"/>
      </w:tblGrid>
      <w:tr w:rsidR="003907A9" w:rsidRPr="00D050E9" w:rsidTr="003907A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hideMark/>
          </w:tcPr>
          <w:p w:rsidR="003907A9" w:rsidRPr="00D050E9" w:rsidRDefault="003907A9" w:rsidP="003907A9">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Namen</w:t>
            </w:r>
          </w:p>
        </w:tc>
        <w:tc>
          <w:tcPr>
            <w:tcW w:w="1180" w:type="dxa"/>
            <w:hideMark/>
          </w:tcPr>
          <w:p w:rsidR="003907A9" w:rsidRPr="00D050E9" w:rsidRDefault="003907A9" w:rsidP="003907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2015</w:t>
            </w:r>
            <w:r w:rsidRPr="00D050E9">
              <w:rPr>
                <w:rFonts w:ascii="Calibri" w:eastAsia="Times New Roman" w:hAnsi="Calibri" w:cs="Arial"/>
                <w:sz w:val="18"/>
                <w:szCs w:val="18"/>
                <w:lang w:eastAsia="sl-SI"/>
              </w:rPr>
              <w:br/>
              <w:t>v EUR</w:t>
            </w:r>
          </w:p>
        </w:tc>
        <w:tc>
          <w:tcPr>
            <w:tcW w:w="1229" w:type="dxa"/>
            <w:hideMark/>
          </w:tcPr>
          <w:p w:rsidR="003907A9" w:rsidRPr="00D050E9" w:rsidRDefault="003907A9" w:rsidP="003907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2016</w:t>
            </w:r>
            <w:r w:rsidRPr="00D050E9">
              <w:rPr>
                <w:rFonts w:ascii="Calibri" w:eastAsia="Times New Roman" w:hAnsi="Calibri" w:cs="Arial"/>
                <w:sz w:val="18"/>
                <w:szCs w:val="18"/>
                <w:lang w:eastAsia="sl-SI"/>
              </w:rPr>
              <w:br/>
              <w:t>v EUR</w:t>
            </w:r>
          </w:p>
        </w:tc>
        <w:tc>
          <w:tcPr>
            <w:tcW w:w="1180" w:type="dxa"/>
            <w:hideMark/>
          </w:tcPr>
          <w:p w:rsidR="003907A9" w:rsidRPr="00D050E9" w:rsidRDefault="003907A9" w:rsidP="003907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2017</w:t>
            </w:r>
            <w:r w:rsidRPr="00D050E9">
              <w:rPr>
                <w:rFonts w:ascii="Calibri" w:eastAsia="Times New Roman" w:hAnsi="Calibri" w:cs="Arial"/>
                <w:sz w:val="18"/>
                <w:szCs w:val="18"/>
                <w:lang w:eastAsia="sl-SI"/>
              </w:rPr>
              <w:br/>
              <w:t>v EUR</w:t>
            </w:r>
          </w:p>
        </w:tc>
        <w:tc>
          <w:tcPr>
            <w:tcW w:w="1230" w:type="dxa"/>
            <w:hideMark/>
          </w:tcPr>
          <w:p w:rsidR="003907A9" w:rsidRPr="00D050E9" w:rsidRDefault="003907A9" w:rsidP="003907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Razlika</w:t>
            </w:r>
            <w:r w:rsidRPr="00D050E9">
              <w:rPr>
                <w:rFonts w:ascii="Calibri" w:eastAsia="Times New Roman" w:hAnsi="Calibri" w:cs="Arial"/>
                <w:sz w:val="18"/>
                <w:szCs w:val="18"/>
                <w:lang w:eastAsia="sl-SI"/>
              </w:rPr>
              <w:br/>
              <w:t>v EUR</w:t>
            </w:r>
          </w:p>
        </w:tc>
        <w:tc>
          <w:tcPr>
            <w:tcW w:w="851" w:type="dxa"/>
            <w:hideMark/>
          </w:tcPr>
          <w:p w:rsidR="003907A9" w:rsidRPr="00D050E9" w:rsidRDefault="003907A9" w:rsidP="003907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w:t>
            </w:r>
            <w:r w:rsidRPr="00D050E9">
              <w:rPr>
                <w:rFonts w:ascii="Calibri" w:eastAsia="Times New Roman" w:hAnsi="Calibri" w:cs="Arial"/>
                <w:sz w:val="18"/>
                <w:szCs w:val="18"/>
                <w:lang w:eastAsia="sl-SI"/>
              </w:rPr>
              <w:br/>
              <w:t>2017</w:t>
            </w:r>
          </w:p>
        </w:tc>
        <w:tc>
          <w:tcPr>
            <w:tcW w:w="816" w:type="dxa"/>
            <w:hideMark/>
          </w:tcPr>
          <w:p w:rsidR="003907A9" w:rsidRPr="00D050E9" w:rsidRDefault="003907A9" w:rsidP="003907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w:t>
            </w:r>
            <w:r w:rsidRPr="00D050E9">
              <w:rPr>
                <w:rFonts w:ascii="Calibri" w:eastAsia="Times New Roman" w:hAnsi="Calibri" w:cs="Arial"/>
                <w:sz w:val="18"/>
                <w:szCs w:val="18"/>
                <w:lang w:eastAsia="sl-SI"/>
              </w:rPr>
              <w:br/>
              <w:t>2015-2017</w:t>
            </w:r>
          </w:p>
        </w:tc>
      </w:tr>
      <w:tr w:rsidR="003907A9" w:rsidRPr="00D050E9" w:rsidTr="003907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hideMark/>
          </w:tcPr>
          <w:p w:rsidR="003907A9" w:rsidRPr="00D050E9" w:rsidRDefault="003907A9" w:rsidP="003907A9">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Tvegani kapital in dostop do finančnih sredstev za MSP</w:t>
            </w:r>
          </w:p>
        </w:tc>
        <w:tc>
          <w:tcPr>
            <w:tcW w:w="118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5.372.323,44</w:t>
            </w:r>
          </w:p>
        </w:tc>
        <w:tc>
          <w:tcPr>
            <w:tcW w:w="1229"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1.463.881,09</w:t>
            </w:r>
          </w:p>
        </w:tc>
        <w:tc>
          <w:tcPr>
            <w:tcW w:w="118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904.952,81</w:t>
            </w:r>
          </w:p>
        </w:tc>
        <w:tc>
          <w:tcPr>
            <w:tcW w:w="123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-558.928,28</w:t>
            </w:r>
          </w:p>
        </w:tc>
        <w:tc>
          <w:tcPr>
            <w:tcW w:w="851"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24%</w:t>
            </w:r>
          </w:p>
        </w:tc>
        <w:tc>
          <w:tcPr>
            <w:tcW w:w="816"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63%</w:t>
            </w:r>
          </w:p>
        </w:tc>
      </w:tr>
      <w:tr w:rsidR="003907A9" w:rsidRPr="00D050E9" w:rsidTr="003907A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hideMark/>
          </w:tcPr>
          <w:p w:rsidR="003907A9" w:rsidRPr="00D050E9" w:rsidRDefault="003907A9" w:rsidP="003907A9">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Pomoč za svetovanje za MSP</w:t>
            </w:r>
          </w:p>
        </w:tc>
        <w:tc>
          <w:tcPr>
            <w:tcW w:w="1180"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172.367,50</w:t>
            </w:r>
          </w:p>
        </w:tc>
        <w:tc>
          <w:tcPr>
            <w:tcW w:w="1229"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190.725,00</w:t>
            </w:r>
          </w:p>
        </w:tc>
        <w:tc>
          <w:tcPr>
            <w:tcW w:w="1180"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2.164.409,87</w:t>
            </w:r>
          </w:p>
        </w:tc>
        <w:tc>
          <w:tcPr>
            <w:tcW w:w="1230"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1.973.684,87</w:t>
            </w:r>
          </w:p>
        </w:tc>
        <w:tc>
          <w:tcPr>
            <w:tcW w:w="851"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58%</w:t>
            </w:r>
          </w:p>
        </w:tc>
        <w:tc>
          <w:tcPr>
            <w:tcW w:w="816"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21%</w:t>
            </w:r>
          </w:p>
        </w:tc>
      </w:tr>
      <w:tr w:rsidR="003907A9" w:rsidRPr="00D050E9" w:rsidTr="003907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hideMark/>
          </w:tcPr>
          <w:p w:rsidR="003907A9" w:rsidRPr="00D050E9" w:rsidRDefault="003907A9" w:rsidP="003907A9">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Pomoč za naložbe in zaposlovanje</w:t>
            </w:r>
          </w:p>
        </w:tc>
        <w:tc>
          <w:tcPr>
            <w:tcW w:w="118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174.389,86</w:t>
            </w:r>
          </w:p>
        </w:tc>
        <w:tc>
          <w:tcPr>
            <w:tcW w:w="1229"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1.070.692,21</w:t>
            </w:r>
          </w:p>
        </w:tc>
        <w:tc>
          <w:tcPr>
            <w:tcW w:w="118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616.034,72</w:t>
            </w:r>
          </w:p>
        </w:tc>
        <w:tc>
          <w:tcPr>
            <w:tcW w:w="123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-454.657,49</w:t>
            </w:r>
          </w:p>
        </w:tc>
        <w:tc>
          <w:tcPr>
            <w:tcW w:w="851"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16%</w:t>
            </w:r>
          </w:p>
        </w:tc>
        <w:tc>
          <w:tcPr>
            <w:tcW w:w="816"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15%</w:t>
            </w:r>
          </w:p>
        </w:tc>
      </w:tr>
      <w:tr w:rsidR="003907A9" w:rsidRPr="00D050E9" w:rsidTr="003907A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hideMark/>
          </w:tcPr>
          <w:p w:rsidR="003907A9" w:rsidRPr="00D050E9" w:rsidRDefault="003907A9" w:rsidP="003907A9">
            <w:pPr>
              <w:jc w:val="left"/>
              <w:rPr>
                <w:rFonts w:ascii="Calibri" w:eastAsia="Times New Roman" w:hAnsi="Calibri" w:cs="Arial"/>
                <w:b w:val="0"/>
                <w:sz w:val="18"/>
                <w:szCs w:val="18"/>
                <w:lang w:eastAsia="sl-SI"/>
              </w:rPr>
            </w:pPr>
            <w:r w:rsidRPr="00D050E9">
              <w:rPr>
                <w:rFonts w:ascii="Calibri" w:eastAsia="Times New Roman" w:hAnsi="Calibri" w:cs="Arial"/>
                <w:b w:val="0"/>
                <w:sz w:val="18"/>
                <w:szCs w:val="18"/>
                <w:lang w:eastAsia="sl-SI"/>
              </w:rPr>
              <w:t>Pomoč za stroške sodelovanja MSP v projektih ETS</w:t>
            </w:r>
          </w:p>
        </w:tc>
        <w:tc>
          <w:tcPr>
            <w:tcW w:w="1180"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229"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49.295,00</w:t>
            </w:r>
          </w:p>
        </w:tc>
        <w:tc>
          <w:tcPr>
            <w:tcW w:w="1180"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50.338,40</w:t>
            </w:r>
          </w:p>
        </w:tc>
        <w:tc>
          <w:tcPr>
            <w:tcW w:w="1230"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1.043,40</w:t>
            </w:r>
          </w:p>
        </w:tc>
        <w:tc>
          <w:tcPr>
            <w:tcW w:w="851"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1,3%</w:t>
            </w:r>
          </w:p>
        </w:tc>
        <w:tc>
          <w:tcPr>
            <w:tcW w:w="816" w:type="dxa"/>
            <w:hideMark/>
          </w:tcPr>
          <w:p w:rsidR="003907A9" w:rsidRPr="00D050E9" w:rsidRDefault="003907A9" w:rsidP="003907A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0,8%</w:t>
            </w:r>
          </w:p>
        </w:tc>
      </w:tr>
      <w:tr w:rsidR="003907A9" w:rsidRPr="00D050E9" w:rsidTr="003907A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hideMark/>
          </w:tcPr>
          <w:p w:rsidR="003907A9" w:rsidRPr="00D050E9" w:rsidRDefault="003907A9" w:rsidP="003907A9">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Skupaj pomoči za MSP in tvegani kapital</w:t>
            </w:r>
          </w:p>
        </w:tc>
        <w:tc>
          <w:tcPr>
            <w:tcW w:w="118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5.719.080,80</w:t>
            </w:r>
          </w:p>
        </w:tc>
        <w:tc>
          <w:tcPr>
            <w:tcW w:w="1229"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2.774.593,30</w:t>
            </w:r>
          </w:p>
        </w:tc>
        <w:tc>
          <w:tcPr>
            <w:tcW w:w="118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3.735.735,80 </w:t>
            </w:r>
          </w:p>
        </w:tc>
        <w:tc>
          <w:tcPr>
            <w:tcW w:w="1230"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961.142,50 </w:t>
            </w:r>
          </w:p>
        </w:tc>
        <w:tc>
          <w:tcPr>
            <w:tcW w:w="851"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8"/>
                <w:szCs w:val="18"/>
                <w:lang w:eastAsia="sl-SI"/>
              </w:rPr>
            </w:pPr>
            <w:r w:rsidRPr="00D050E9">
              <w:rPr>
                <w:rFonts w:ascii="Calibri" w:eastAsia="Times New Roman" w:hAnsi="Calibri" w:cs="Arial"/>
                <w:b/>
                <w:sz w:val="18"/>
                <w:szCs w:val="18"/>
                <w:lang w:eastAsia="sl-SI"/>
              </w:rPr>
              <w:t xml:space="preserve">100% </w:t>
            </w:r>
          </w:p>
        </w:tc>
        <w:tc>
          <w:tcPr>
            <w:tcW w:w="816" w:type="dxa"/>
            <w:hideMark/>
          </w:tcPr>
          <w:p w:rsidR="003907A9" w:rsidRPr="00D050E9" w:rsidRDefault="003907A9" w:rsidP="003907A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8"/>
                <w:szCs w:val="18"/>
                <w:lang w:eastAsia="sl-SI"/>
              </w:rPr>
            </w:pPr>
            <w:r w:rsidRPr="00D050E9">
              <w:rPr>
                <w:rFonts w:ascii="Calibri" w:eastAsia="Times New Roman" w:hAnsi="Calibri" w:cs="Arial"/>
                <w:b/>
                <w:sz w:val="18"/>
                <w:szCs w:val="18"/>
                <w:lang w:eastAsia="sl-SI"/>
              </w:rPr>
              <w:t>100%</w:t>
            </w:r>
          </w:p>
        </w:tc>
      </w:tr>
    </w:tbl>
    <w:p w:rsidR="003907A9" w:rsidRPr="00D050E9" w:rsidRDefault="003907A9" w:rsidP="00DE64D4">
      <w:pPr>
        <w:spacing w:after="0" w:line="276" w:lineRule="auto"/>
        <w:rPr>
          <w:rFonts w:asciiTheme="minorHAnsi" w:hAnsiTheme="minorHAnsi"/>
        </w:rPr>
      </w:pPr>
    </w:p>
    <w:p w:rsidR="00366888" w:rsidRPr="00D050E9" w:rsidRDefault="003907A9" w:rsidP="007B2E67">
      <w:pPr>
        <w:spacing w:line="276" w:lineRule="auto"/>
        <w:rPr>
          <w:rFonts w:asciiTheme="minorHAnsi" w:hAnsiTheme="minorHAnsi"/>
        </w:rPr>
      </w:pPr>
      <w:r w:rsidRPr="00D050E9">
        <w:rPr>
          <w:rFonts w:asciiTheme="minorHAnsi" w:hAnsiTheme="minorHAnsi"/>
        </w:rPr>
        <w:t xml:space="preserve">V letu 2017 se je večina </w:t>
      </w:r>
      <w:r w:rsidR="00CC4DFF" w:rsidRPr="00D050E9">
        <w:rPr>
          <w:rFonts w:asciiTheme="minorHAnsi" w:hAnsiTheme="minorHAnsi"/>
        </w:rPr>
        <w:t xml:space="preserve">pomoči za MSP in tvegano financiranje </w:t>
      </w:r>
      <w:r w:rsidRPr="00D050E9">
        <w:rPr>
          <w:rFonts w:asciiTheme="minorHAnsi" w:hAnsiTheme="minorHAnsi"/>
        </w:rPr>
        <w:t xml:space="preserve">dodelila </w:t>
      </w:r>
      <w:r w:rsidR="00CC4DFF" w:rsidRPr="00D050E9">
        <w:rPr>
          <w:rFonts w:asciiTheme="minorHAnsi" w:hAnsiTheme="minorHAnsi"/>
        </w:rPr>
        <w:t xml:space="preserve">v obliki </w:t>
      </w:r>
      <w:r w:rsidR="00CC4DFF" w:rsidRPr="00D050E9">
        <w:rPr>
          <w:rFonts w:asciiTheme="minorHAnsi" w:hAnsiTheme="minorHAnsi"/>
          <w:b/>
        </w:rPr>
        <w:t>subvencij</w:t>
      </w:r>
      <w:r w:rsidR="00CC4DFF" w:rsidRPr="00D050E9">
        <w:rPr>
          <w:rFonts w:asciiTheme="minorHAnsi" w:hAnsiTheme="minorHAnsi"/>
        </w:rPr>
        <w:t>, skoraj 60</w:t>
      </w:r>
      <w:r w:rsidRPr="00D050E9">
        <w:rPr>
          <w:rFonts w:asciiTheme="minorHAnsi" w:hAnsiTheme="minorHAnsi"/>
        </w:rPr>
        <w:t> % teh</w:t>
      </w:r>
      <w:r w:rsidR="00CC4DFF" w:rsidRPr="00D050E9">
        <w:rPr>
          <w:rFonts w:asciiTheme="minorHAnsi" w:hAnsiTheme="minorHAnsi"/>
        </w:rPr>
        <w:t xml:space="preserve"> pomoči (</w:t>
      </w:r>
      <w:r w:rsidRPr="00D050E9">
        <w:rPr>
          <w:rFonts w:asciiTheme="minorHAnsi" w:hAnsiTheme="minorHAnsi"/>
        </w:rPr>
        <w:t>svetovanje</w:t>
      </w:r>
      <w:r w:rsidR="00CC4DFF" w:rsidRPr="00D050E9">
        <w:rPr>
          <w:rFonts w:asciiTheme="minorHAnsi" w:hAnsiTheme="minorHAnsi"/>
        </w:rPr>
        <w:t xml:space="preserve"> </w:t>
      </w:r>
      <w:r w:rsidRPr="00D050E9">
        <w:rPr>
          <w:rFonts w:asciiTheme="minorHAnsi" w:hAnsiTheme="minorHAnsi"/>
        </w:rPr>
        <w:t>M</w:t>
      </w:r>
      <w:r w:rsidR="00CC4DFF" w:rsidRPr="00D050E9">
        <w:rPr>
          <w:rFonts w:asciiTheme="minorHAnsi" w:hAnsiTheme="minorHAnsi"/>
        </w:rPr>
        <w:t>SP</w:t>
      </w:r>
      <w:r w:rsidRPr="00D050E9">
        <w:rPr>
          <w:rFonts w:asciiTheme="minorHAnsi" w:hAnsiTheme="minorHAnsi"/>
        </w:rPr>
        <w:t xml:space="preserve"> in stroški sodelovanja v ETS programih</w:t>
      </w:r>
      <w:r w:rsidR="00CC4DFF" w:rsidRPr="00D050E9">
        <w:rPr>
          <w:rFonts w:asciiTheme="minorHAnsi" w:hAnsiTheme="minorHAnsi"/>
        </w:rPr>
        <w:t>)</w:t>
      </w:r>
      <w:r w:rsidR="00BF52F0" w:rsidRPr="00D050E9">
        <w:rPr>
          <w:rFonts w:asciiTheme="minorHAnsi" w:hAnsiTheme="minorHAnsi"/>
        </w:rPr>
        <w:t xml:space="preserve">, kar pomeni precejšnjo spremembo v strukturi instrumentov glede na obdobje 2010–2016, ko je bila večina pomoči dodeljena v obliki kapitalskih naložb pretežno preko družb tveganega kapitala. </w:t>
      </w:r>
    </w:p>
    <w:p w:rsidR="003907A9" w:rsidRDefault="00961098" w:rsidP="007B2E67">
      <w:pPr>
        <w:spacing w:line="276" w:lineRule="auto"/>
        <w:rPr>
          <w:rFonts w:asciiTheme="minorHAnsi" w:hAnsiTheme="minorHAnsi"/>
        </w:rPr>
      </w:pPr>
      <w:r w:rsidRPr="00D050E9">
        <w:rPr>
          <w:rFonts w:asciiTheme="minorHAnsi" w:hAnsiTheme="minorHAnsi"/>
        </w:rPr>
        <w:t xml:space="preserve">Delež kapitalskih naložb se je v letu 2017 zmanjšal na </w:t>
      </w:r>
      <w:r w:rsidRPr="00D050E9">
        <w:rPr>
          <w:rFonts w:asciiTheme="minorHAnsi" w:hAnsiTheme="minorHAnsi"/>
          <w:b/>
        </w:rPr>
        <w:t>četrtino vseh MSP pomoči</w:t>
      </w:r>
      <w:r w:rsidRPr="00D050E9">
        <w:rPr>
          <w:rFonts w:asciiTheme="minorHAnsi" w:hAnsiTheme="minorHAnsi"/>
        </w:rPr>
        <w:t xml:space="preserve"> (63 % vseh pomoči 2015–2017</w:t>
      </w:r>
      <w:r w:rsidR="00C05626" w:rsidRPr="00D050E9">
        <w:rPr>
          <w:rFonts w:asciiTheme="minorHAnsi" w:hAnsiTheme="minorHAnsi"/>
        </w:rPr>
        <w:t>)</w:t>
      </w:r>
      <w:r w:rsidR="00366888" w:rsidRPr="00D050E9">
        <w:rPr>
          <w:rFonts w:asciiTheme="minorHAnsi" w:hAnsiTheme="minorHAnsi"/>
        </w:rPr>
        <w:t xml:space="preserve">. Manj je bilo </w:t>
      </w:r>
      <w:r w:rsidRPr="00D050E9">
        <w:rPr>
          <w:rFonts w:asciiTheme="minorHAnsi" w:hAnsiTheme="minorHAnsi"/>
        </w:rPr>
        <w:t>tudi</w:t>
      </w:r>
      <w:r w:rsidR="00366888" w:rsidRPr="00D050E9">
        <w:rPr>
          <w:rFonts w:asciiTheme="minorHAnsi" w:hAnsiTheme="minorHAnsi"/>
        </w:rPr>
        <w:t xml:space="preserve"> pomoči na osnovi</w:t>
      </w:r>
      <w:r w:rsidRPr="00D050E9">
        <w:rPr>
          <w:rFonts w:asciiTheme="minorHAnsi" w:hAnsiTheme="minorHAnsi"/>
        </w:rPr>
        <w:t xml:space="preserve"> </w:t>
      </w:r>
      <w:r w:rsidRPr="00D050E9">
        <w:rPr>
          <w:rFonts w:asciiTheme="minorHAnsi" w:hAnsiTheme="minorHAnsi"/>
          <w:b/>
        </w:rPr>
        <w:t>ugodnih posojil</w:t>
      </w:r>
      <w:r w:rsidR="00475610" w:rsidRPr="00D050E9">
        <w:rPr>
          <w:rFonts w:asciiTheme="minorHAnsi" w:hAnsiTheme="minorHAnsi"/>
        </w:rPr>
        <w:t xml:space="preserve"> (-0,45</w:t>
      </w:r>
      <w:r w:rsidR="00366888" w:rsidRPr="00D050E9">
        <w:rPr>
          <w:rFonts w:asciiTheme="minorHAnsi" w:hAnsiTheme="minorHAnsi"/>
        </w:rPr>
        <w:t xml:space="preserve"> mio EUR, kar pomeni bruto </w:t>
      </w:r>
      <w:r w:rsidR="00475610" w:rsidRPr="00D050E9">
        <w:rPr>
          <w:rFonts w:asciiTheme="minorHAnsi" w:hAnsiTheme="minorHAnsi"/>
        </w:rPr>
        <w:t>-</w:t>
      </w:r>
      <w:r w:rsidR="00366888" w:rsidRPr="00D050E9">
        <w:rPr>
          <w:rFonts w:asciiTheme="minorHAnsi" w:hAnsiTheme="minorHAnsi"/>
        </w:rPr>
        <w:t>6</w:t>
      </w:r>
      <w:r w:rsidR="00475610" w:rsidRPr="00D050E9">
        <w:rPr>
          <w:rFonts w:asciiTheme="minorHAnsi" w:hAnsiTheme="minorHAnsi"/>
        </w:rPr>
        <w:t>,92 mio EUR manj</w:t>
      </w:r>
      <w:r w:rsidR="00366888" w:rsidRPr="00D050E9">
        <w:rPr>
          <w:rFonts w:asciiTheme="minorHAnsi" w:hAnsiTheme="minorHAnsi"/>
        </w:rPr>
        <w:t xml:space="preserve"> dodeljenih ugodnih posojil</w:t>
      </w:r>
      <w:r w:rsidR="00475610" w:rsidRPr="00D050E9">
        <w:rPr>
          <w:rFonts w:asciiTheme="minorHAnsi" w:hAnsiTheme="minorHAnsi"/>
        </w:rPr>
        <w:t xml:space="preserve"> kot v letu 2016</w:t>
      </w:r>
      <w:r w:rsidR="00366888" w:rsidRPr="00D050E9">
        <w:rPr>
          <w:rFonts w:asciiTheme="minorHAnsi" w:hAnsiTheme="minorHAnsi"/>
        </w:rPr>
        <w:t>)</w:t>
      </w:r>
      <w:r w:rsidR="00475610" w:rsidRPr="00D050E9">
        <w:rPr>
          <w:rFonts w:asciiTheme="minorHAnsi" w:hAnsiTheme="minorHAnsi"/>
        </w:rPr>
        <w:t xml:space="preserve">, </w:t>
      </w:r>
      <w:r w:rsidRPr="00D050E9">
        <w:rPr>
          <w:rFonts w:asciiTheme="minorHAnsi" w:hAnsiTheme="minorHAnsi"/>
        </w:rPr>
        <w:t xml:space="preserve">v deležu pa so ta </w:t>
      </w:r>
      <w:r w:rsidR="00366888" w:rsidRPr="00D050E9">
        <w:rPr>
          <w:rFonts w:asciiTheme="minorHAnsi" w:hAnsiTheme="minorHAnsi"/>
        </w:rPr>
        <w:t>p</w:t>
      </w:r>
      <w:r w:rsidRPr="00D050E9">
        <w:rPr>
          <w:rFonts w:asciiTheme="minorHAnsi" w:hAnsiTheme="minorHAnsi"/>
        </w:rPr>
        <w:t>redstavljala 16 % vseh pomoči za MSP</w:t>
      </w:r>
      <w:r w:rsidR="00475610" w:rsidRPr="00D050E9">
        <w:rPr>
          <w:rFonts w:asciiTheme="minorHAnsi" w:hAnsiTheme="minorHAnsi"/>
        </w:rPr>
        <w:t xml:space="preserve"> (15 % 2015–2017)</w:t>
      </w:r>
      <w:r w:rsidR="003907A9" w:rsidRPr="00D050E9">
        <w:rPr>
          <w:rFonts w:asciiTheme="minorHAnsi" w:hAnsiTheme="minorHAnsi"/>
        </w:rPr>
        <w:t xml:space="preserve">. </w:t>
      </w:r>
    </w:p>
    <w:p w:rsidR="00042FD5" w:rsidRPr="00D050E9" w:rsidRDefault="00DE64D4" w:rsidP="00DE64D4">
      <w:pPr>
        <w:pStyle w:val="Caption"/>
        <w:rPr>
          <w:color w:val="auto"/>
        </w:rPr>
      </w:pPr>
      <w:bookmarkStart w:id="99" w:name="_Toc530654659"/>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44</w:t>
      </w:r>
      <w:r w:rsidRPr="00D050E9">
        <w:rPr>
          <w:color w:val="auto"/>
        </w:rPr>
        <w:fldChar w:fldCharType="end"/>
      </w:r>
      <w:r w:rsidRPr="00D050E9">
        <w:rPr>
          <w:color w:val="auto"/>
        </w:rPr>
        <w:t xml:space="preserve">: </w:t>
      </w:r>
      <w:r w:rsidR="00042FD5" w:rsidRPr="00D050E9">
        <w:rPr>
          <w:color w:val="auto"/>
        </w:rPr>
        <w:t>Državne pomoči za MSP in tvegano financiranje po instrumentih, 2008–2017, v % vseh pomoči</w:t>
      </w:r>
      <w:r w:rsidR="00B23C93" w:rsidRPr="00D050E9">
        <w:rPr>
          <w:noProof/>
          <w:lang w:eastAsia="sl-SI" w:bidi="ar-SA"/>
        </w:rPr>
        <w:drawing>
          <wp:inline distT="0" distB="0" distL="0" distR="0" wp14:anchorId="68B86C2E" wp14:editId="061B2291">
            <wp:extent cx="5516880" cy="2453640"/>
            <wp:effectExtent l="0" t="0" r="7620" b="38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bookmarkEnd w:id="99"/>
    </w:p>
    <w:p w:rsidR="00343952" w:rsidRPr="00D050E9" w:rsidRDefault="00343952" w:rsidP="00D82F9B">
      <w:pPr>
        <w:spacing w:after="0"/>
        <w:rPr>
          <w:lang w:bidi="hi-IN"/>
        </w:rPr>
      </w:pPr>
    </w:p>
    <w:p w:rsidR="00CC4DFF" w:rsidRDefault="00987CAA" w:rsidP="007B2E67">
      <w:pPr>
        <w:spacing w:line="276" w:lineRule="auto"/>
        <w:rPr>
          <w:rFonts w:asciiTheme="minorHAnsi" w:hAnsiTheme="minorHAnsi"/>
        </w:rPr>
      </w:pPr>
      <w:r w:rsidRPr="00D050E9">
        <w:rPr>
          <w:rFonts w:asciiTheme="minorHAnsi" w:hAnsiTheme="minorHAnsi"/>
        </w:rPr>
        <w:t>Pomoči za MSP so v obdobju 2015–2017 dodeljevali Ministrstvo za gospodarski razvoj in tehnologijo</w:t>
      </w:r>
      <w:r w:rsidR="00C50AB4" w:rsidRPr="00D050E9">
        <w:rPr>
          <w:rFonts w:asciiTheme="minorHAnsi" w:hAnsiTheme="minorHAnsi"/>
        </w:rPr>
        <w:t xml:space="preserve"> </w:t>
      </w:r>
      <w:r w:rsidRPr="00D050E9">
        <w:rPr>
          <w:rFonts w:asciiTheme="minorHAnsi" w:hAnsiTheme="minorHAnsi"/>
        </w:rPr>
        <w:t>(84 % vseh MSP pomoči), SID banka (15 % vseh MSP pomoči) in Služba Vlade RS za razvoj in kohezijsko politiko za programe v okviru evropskega teritorialnega sodelovanja (1 % MSP pomoči).</w:t>
      </w:r>
    </w:p>
    <w:p w:rsidR="00B23C93" w:rsidRDefault="00B23C93" w:rsidP="00DE64D4">
      <w:pPr>
        <w:pStyle w:val="Caption"/>
        <w:rPr>
          <w:color w:val="auto"/>
        </w:rPr>
      </w:pPr>
    </w:p>
    <w:p w:rsidR="00B23C93" w:rsidRDefault="00B23C93" w:rsidP="00DE64D4">
      <w:pPr>
        <w:pStyle w:val="Caption"/>
        <w:rPr>
          <w:color w:val="auto"/>
        </w:rPr>
      </w:pPr>
    </w:p>
    <w:p w:rsidR="00B23C93" w:rsidRDefault="00B23C93" w:rsidP="00DE64D4">
      <w:pPr>
        <w:pStyle w:val="Caption"/>
        <w:rPr>
          <w:color w:val="auto"/>
        </w:rPr>
      </w:pPr>
    </w:p>
    <w:p w:rsidR="00B23C93" w:rsidRDefault="00B23C93" w:rsidP="00DE64D4">
      <w:pPr>
        <w:pStyle w:val="Caption"/>
        <w:rPr>
          <w:color w:val="auto"/>
        </w:rPr>
      </w:pPr>
    </w:p>
    <w:p w:rsidR="00B23C93" w:rsidRPr="00B23C93" w:rsidRDefault="00B23C93" w:rsidP="00B23C93">
      <w:pPr>
        <w:rPr>
          <w:lang w:bidi="hi-IN"/>
        </w:rPr>
      </w:pPr>
    </w:p>
    <w:p w:rsidR="003907A9" w:rsidRPr="00D050E9" w:rsidRDefault="00DE64D4" w:rsidP="00DE64D4">
      <w:pPr>
        <w:pStyle w:val="Caption"/>
        <w:rPr>
          <w:color w:val="auto"/>
        </w:rPr>
      </w:pPr>
      <w:bookmarkStart w:id="100" w:name="_Toc530654600"/>
      <w:r w:rsidRPr="00D050E9">
        <w:rPr>
          <w:color w:val="auto"/>
        </w:rPr>
        <w:lastRenderedPageBreak/>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16</w:t>
      </w:r>
      <w:r w:rsidRPr="00D050E9">
        <w:rPr>
          <w:color w:val="auto"/>
        </w:rPr>
        <w:fldChar w:fldCharType="end"/>
      </w:r>
      <w:r w:rsidRPr="00D050E9">
        <w:rPr>
          <w:color w:val="auto"/>
        </w:rPr>
        <w:t>: Državne pomoči za MSP in tvegano financiranje po dajalcih in namenih, 2015–2017</w:t>
      </w:r>
      <w:bookmarkEnd w:id="100"/>
    </w:p>
    <w:p w:rsidR="00DE64D4" w:rsidRPr="00D050E9" w:rsidRDefault="00DE64D4" w:rsidP="00D82F9B">
      <w:pPr>
        <w:spacing w:after="0"/>
        <w:rPr>
          <w:lang w:bidi="hi-IN"/>
        </w:rPr>
      </w:pPr>
    </w:p>
    <w:tbl>
      <w:tblPr>
        <w:tblStyle w:val="LightGrid-Accent5"/>
        <w:tblW w:w="5020" w:type="pct"/>
        <w:tblLook w:val="04A0" w:firstRow="1" w:lastRow="0" w:firstColumn="1" w:lastColumn="0" w:noHBand="0" w:noVBand="1"/>
      </w:tblPr>
      <w:tblGrid>
        <w:gridCol w:w="1003"/>
        <w:gridCol w:w="2301"/>
        <w:gridCol w:w="1055"/>
        <w:gridCol w:w="1185"/>
        <w:gridCol w:w="1185"/>
        <w:gridCol w:w="1185"/>
        <w:gridCol w:w="763"/>
        <w:gridCol w:w="761"/>
      </w:tblGrid>
      <w:tr w:rsidR="00C50AB4" w:rsidRPr="00D050E9" w:rsidTr="00B23C93">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31" w:type="pct"/>
            <w:hideMark/>
          </w:tcPr>
          <w:p w:rsidR="00C50AB4" w:rsidRPr="00D050E9" w:rsidRDefault="00C50AB4" w:rsidP="00C50AB4">
            <w:pPr>
              <w:jc w:val="left"/>
              <w:rPr>
                <w:rFonts w:ascii="Calibri" w:eastAsia="Times New Roman" w:hAnsi="Calibri" w:cs="Arial"/>
                <w:color w:val="003366"/>
                <w:sz w:val="18"/>
                <w:szCs w:val="18"/>
                <w:lang w:eastAsia="sl-SI"/>
              </w:rPr>
            </w:pPr>
            <w:r w:rsidRPr="00D050E9">
              <w:rPr>
                <w:rFonts w:ascii="Calibri" w:eastAsia="Times New Roman" w:hAnsi="Calibri" w:cs="Arial"/>
                <w:color w:val="003366"/>
                <w:sz w:val="18"/>
                <w:szCs w:val="18"/>
                <w:lang w:eastAsia="sl-SI"/>
              </w:rPr>
              <w:t>Priglasitelj pomoči</w:t>
            </w:r>
          </w:p>
        </w:tc>
        <w:tc>
          <w:tcPr>
            <w:tcW w:w="1219" w:type="pct"/>
            <w:hideMark/>
          </w:tcPr>
          <w:p w:rsidR="00C50AB4" w:rsidRPr="00D050E9" w:rsidRDefault="00C50AB4" w:rsidP="00C50AB4">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3366"/>
                <w:sz w:val="18"/>
                <w:szCs w:val="18"/>
                <w:lang w:eastAsia="sl-SI"/>
              </w:rPr>
            </w:pPr>
            <w:r w:rsidRPr="00D050E9">
              <w:rPr>
                <w:rFonts w:ascii="Calibri" w:eastAsia="Times New Roman" w:hAnsi="Calibri" w:cs="Arial"/>
                <w:color w:val="003366"/>
                <w:sz w:val="18"/>
                <w:szCs w:val="18"/>
                <w:lang w:eastAsia="sl-SI"/>
              </w:rPr>
              <w:t>Shema  pomoči</w:t>
            </w:r>
          </w:p>
        </w:tc>
        <w:tc>
          <w:tcPr>
            <w:tcW w:w="559" w:type="pct"/>
            <w:hideMark/>
          </w:tcPr>
          <w:p w:rsidR="00C50AB4" w:rsidRPr="00D050E9" w:rsidRDefault="00C50AB4" w:rsidP="00C50AB4">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3366"/>
                <w:sz w:val="18"/>
                <w:szCs w:val="18"/>
                <w:lang w:eastAsia="sl-SI"/>
              </w:rPr>
            </w:pPr>
            <w:r w:rsidRPr="00D050E9">
              <w:rPr>
                <w:rFonts w:ascii="Calibri" w:eastAsia="Times New Roman" w:hAnsi="Calibri" w:cs="Arial"/>
                <w:color w:val="003366"/>
                <w:sz w:val="18"/>
                <w:szCs w:val="18"/>
                <w:lang w:eastAsia="sl-SI"/>
              </w:rPr>
              <w:t>Instrument</w:t>
            </w:r>
          </w:p>
        </w:tc>
        <w:tc>
          <w:tcPr>
            <w:tcW w:w="628" w:type="pct"/>
            <w:hideMark/>
          </w:tcPr>
          <w:p w:rsidR="00C50AB4" w:rsidRPr="00D050E9" w:rsidRDefault="00C50AB4" w:rsidP="00C50AB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w:t>
            </w:r>
          </w:p>
        </w:tc>
        <w:tc>
          <w:tcPr>
            <w:tcW w:w="628" w:type="pct"/>
            <w:hideMark/>
          </w:tcPr>
          <w:p w:rsidR="00C50AB4" w:rsidRPr="00D050E9" w:rsidRDefault="00C50AB4" w:rsidP="00C50AB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2016</w:t>
            </w:r>
          </w:p>
        </w:tc>
        <w:tc>
          <w:tcPr>
            <w:tcW w:w="628" w:type="pct"/>
            <w:hideMark/>
          </w:tcPr>
          <w:p w:rsidR="00C50AB4" w:rsidRPr="00D050E9" w:rsidRDefault="00C50AB4" w:rsidP="00C50AB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w:t>
            </w:r>
          </w:p>
        </w:tc>
        <w:tc>
          <w:tcPr>
            <w:tcW w:w="404" w:type="pct"/>
            <w:hideMark/>
          </w:tcPr>
          <w:p w:rsidR="00C50AB4" w:rsidRPr="00D050E9" w:rsidRDefault="00C50AB4" w:rsidP="00C50AB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Delež</w:t>
            </w:r>
            <w:r w:rsidRPr="00D050E9">
              <w:rPr>
                <w:rFonts w:ascii="Calibri" w:eastAsia="Times New Roman" w:hAnsi="Calibri" w:cs="Arial"/>
                <w:color w:val="000000"/>
                <w:sz w:val="18"/>
                <w:szCs w:val="18"/>
                <w:lang w:eastAsia="sl-SI"/>
              </w:rPr>
              <w:br/>
              <w:t>2017</w:t>
            </w:r>
          </w:p>
        </w:tc>
        <w:tc>
          <w:tcPr>
            <w:tcW w:w="404" w:type="pct"/>
            <w:hideMark/>
          </w:tcPr>
          <w:p w:rsidR="00C50AB4" w:rsidRPr="00D050E9" w:rsidRDefault="00C50AB4" w:rsidP="00C50AB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Delež</w:t>
            </w:r>
            <w:r w:rsidRPr="00D050E9">
              <w:rPr>
                <w:rFonts w:ascii="Calibri" w:eastAsia="Times New Roman" w:hAnsi="Calibri" w:cs="Arial"/>
                <w:color w:val="000000"/>
                <w:sz w:val="18"/>
                <w:szCs w:val="18"/>
                <w:lang w:eastAsia="sl-SI"/>
              </w:rPr>
              <w:br/>
              <w:t>2015-2017</w:t>
            </w:r>
          </w:p>
        </w:tc>
      </w:tr>
      <w:tr w:rsidR="00C50AB4" w:rsidRPr="00D050E9" w:rsidTr="002F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750" w:type="pct"/>
            <w:gridSpan w:val="2"/>
            <w:hideMark/>
          </w:tcPr>
          <w:p w:rsidR="00C50AB4" w:rsidRPr="00D050E9" w:rsidRDefault="00C50AB4" w:rsidP="002F606A">
            <w:pPr>
              <w:jc w:val="left"/>
              <w:rPr>
                <w:rFonts w:ascii="Calibri" w:eastAsia="Times New Roman" w:hAnsi="Calibri" w:cs="Arial"/>
                <w:color w:val="000066"/>
                <w:sz w:val="18"/>
                <w:szCs w:val="18"/>
                <w:lang w:eastAsia="sl-SI"/>
              </w:rPr>
            </w:pPr>
            <w:r w:rsidRPr="00D050E9">
              <w:rPr>
                <w:rFonts w:ascii="Calibri" w:eastAsia="Times New Roman" w:hAnsi="Calibri" w:cs="Arial"/>
                <w:color w:val="000066"/>
                <w:sz w:val="18"/>
                <w:szCs w:val="18"/>
                <w:lang w:eastAsia="sl-SI"/>
              </w:rPr>
              <w:t>MINISTRSTVO ZA GOSPODARSKI RAZVOJ IN TEHNOLOGIJO</w:t>
            </w:r>
          </w:p>
        </w:tc>
        <w:tc>
          <w:tcPr>
            <w:tcW w:w="559" w:type="pct"/>
            <w:hideMark/>
          </w:tcPr>
          <w:p w:rsidR="00C50AB4" w:rsidRPr="00D050E9" w:rsidRDefault="00C50AB4" w:rsidP="002F606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66"/>
                <w:sz w:val="18"/>
                <w:szCs w:val="18"/>
                <w:lang w:eastAsia="sl-SI"/>
              </w:rPr>
            </w:pP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5.544.690,94</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1.654.606,09</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3.069.452,05</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82%</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84,0%</w:t>
            </w:r>
          </w:p>
        </w:tc>
      </w:tr>
      <w:tr w:rsidR="00C50AB4" w:rsidRPr="00D050E9" w:rsidTr="002F606A">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31" w:type="pct"/>
            <w:vMerge w:val="restart"/>
            <w:hideMark/>
          </w:tcPr>
          <w:p w:rsidR="00C50AB4" w:rsidRPr="00D050E9" w:rsidRDefault="00C50AB4" w:rsidP="002F606A">
            <w:pPr>
              <w:jc w:val="left"/>
              <w:rPr>
                <w:rFonts w:ascii="Calibri" w:eastAsia="Times New Roman" w:hAnsi="Calibri" w:cs="Arial"/>
                <w:color w:val="000000"/>
                <w:sz w:val="18"/>
                <w:szCs w:val="18"/>
                <w:lang w:eastAsia="sl-SI"/>
              </w:rPr>
            </w:pPr>
          </w:p>
        </w:tc>
        <w:tc>
          <w:tcPr>
            <w:tcW w:w="121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Program izvajanja finančnih spodbud MGRT - MSP</w:t>
            </w:r>
          </w:p>
        </w:tc>
        <w:tc>
          <w:tcPr>
            <w:tcW w:w="55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Subvencije</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172.367,50</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190.725,00</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2.164.409,87</w:t>
            </w: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r>
      <w:tr w:rsidR="00C50AB4" w:rsidRPr="00D050E9" w:rsidTr="002F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31" w:type="pct"/>
            <w:vMerge/>
            <w:hideMark/>
          </w:tcPr>
          <w:p w:rsidR="00C50AB4" w:rsidRPr="00D050E9" w:rsidRDefault="00C50AB4" w:rsidP="002F606A">
            <w:pPr>
              <w:jc w:val="left"/>
              <w:rPr>
                <w:rFonts w:ascii="Calibri" w:eastAsia="Times New Roman" w:hAnsi="Calibri" w:cs="Arial"/>
                <w:color w:val="000000"/>
                <w:sz w:val="18"/>
                <w:szCs w:val="18"/>
                <w:lang w:eastAsia="sl-SI"/>
              </w:rPr>
            </w:pPr>
          </w:p>
        </w:tc>
        <w:tc>
          <w:tcPr>
            <w:tcW w:w="1219" w:type="pct"/>
            <w:hideMark/>
          </w:tcPr>
          <w:p w:rsidR="00C50AB4" w:rsidRPr="00D050E9" w:rsidRDefault="00C50AB4" w:rsidP="002F606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Izvajanje inštrumentov lastniškega fin</w:t>
            </w:r>
            <w:r w:rsidR="002F606A">
              <w:rPr>
                <w:rFonts w:ascii="Calibri" w:eastAsia="Times New Roman" w:hAnsi="Calibri" w:cs="Arial"/>
                <w:color w:val="000000"/>
                <w:sz w:val="18"/>
                <w:szCs w:val="18"/>
                <w:lang w:eastAsia="sl-SI"/>
              </w:rPr>
              <w:t>. (DTK)</w:t>
            </w:r>
          </w:p>
        </w:tc>
        <w:tc>
          <w:tcPr>
            <w:tcW w:w="559" w:type="pct"/>
            <w:hideMark/>
          </w:tcPr>
          <w:p w:rsidR="00C50AB4" w:rsidRPr="00D050E9" w:rsidRDefault="00C50AB4" w:rsidP="002F606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Kapitalske naložbe</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4.922.323,44</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413.881,09</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254.952,81</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r>
      <w:tr w:rsidR="00C50AB4" w:rsidRPr="00D050E9" w:rsidTr="002F606A">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31" w:type="pct"/>
            <w:vMerge/>
            <w:hideMark/>
          </w:tcPr>
          <w:p w:rsidR="00C50AB4" w:rsidRPr="00D050E9" w:rsidRDefault="00C50AB4" w:rsidP="002F606A">
            <w:pPr>
              <w:jc w:val="left"/>
              <w:rPr>
                <w:rFonts w:ascii="Calibri" w:eastAsia="Times New Roman" w:hAnsi="Calibri" w:cs="Arial"/>
                <w:color w:val="000000"/>
                <w:sz w:val="18"/>
                <w:szCs w:val="18"/>
                <w:lang w:eastAsia="sl-SI"/>
              </w:rPr>
            </w:pPr>
          </w:p>
        </w:tc>
        <w:tc>
          <w:tcPr>
            <w:tcW w:w="121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Dostop do finančnih sredstev za MSP</w:t>
            </w:r>
          </w:p>
        </w:tc>
        <w:tc>
          <w:tcPr>
            <w:tcW w:w="55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Kapitalske naložbe</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450.000,00</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1.050.000,00</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650.000,00</w:t>
            </w: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r>
      <w:tr w:rsidR="00C50AB4" w:rsidRPr="00D050E9" w:rsidTr="002F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750" w:type="pct"/>
            <w:gridSpan w:val="2"/>
            <w:hideMark/>
          </w:tcPr>
          <w:p w:rsidR="00C50AB4" w:rsidRPr="00D050E9" w:rsidRDefault="00C50AB4" w:rsidP="002F606A">
            <w:pPr>
              <w:jc w:val="left"/>
              <w:rPr>
                <w:rFonts w:ascii="Calibri" w:eastAsia="Times New Roman" w:hAnsi="Calibri" w:cs="Arial"/>
                <w:color w:val="000066"/>
                <w:sz w:val="18"/>
                <w:szCs w:val="18"/>
                <w:lang w:eastAsia="sl-SI"/>
              </w:rPr>
            </w:pPr>
            <w:r w:rsidRPr="00D050E9">
              <w:rPr>
                <w:rFonts w:ascii="Calibri" w:eastAsia="Times New Roman" w:hAnsi="Calibri" w:cs="Arial"/>
                <w:color w:val="000066"/>
                <w:sz w:val="18"/>
                <w:szCs w:val="18"/>
                <w:lang w:eastAsia="sl-SI"/>
              </w:rPr>
              <w:t>SID banka</w:t>
            </w:r>
          </w:p>
        </w:tc>
        <w:tc>
          <w:tcPr>
            <w:tcW w:w="559" w:type="pct"/>
            <w:hideMark/>
          </w:tcPr>
          <w:p w:rsidR="00C50AB4" w:rsidRPr="00D050E9" w:rsidRDefault="00C50AB4" w:rsidP="002F606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66"/>
                <w:sz w:val="18"/>
                <w:szCs w:val="18"/>
                <w:lang w:eastAsia="sl-SI"/>
              </w:rPr>
            </w:pP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174.389,86</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1.070.692,21</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615.945,35</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16%</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15,2%</w:t>
            </w:r>
          </w:p>
        </w:tc>
      </w:tr>
      <w:tr w:rsidR="00C50AB4" w:rsidRPr="00D050E9" w:rsidTr="002F606A">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31" w:type="pct"/>
            <w:hideMark/>
          </w:tcPr>
          <w:p w:rsidR="00C50AB4" w:rsidRPr="00D050E9" w:rsidRDefault="00C50AB4" w:rsidP="002F606A">
            <w:pPr>
              <w:jc w:val="left"/>
              <w:rPr>
                <w:rFonts w:ascii="Calibri" w:eastAsia="Times New Roman" w:hAnsi="Calibri" w:cs="Arial"/>
                <w:color w:val="000000"/>
                <w:sz w:val="18"/>
                <w:szCs w:val="18"/>
                <w:lang w:eastAsia="sl-SI"/>
              </w:rPr>
            </w:pPr>
          </w:p>
        </w:tc>
        <w:tc>
          <w:tcPr>
            <w:tcW w:w="121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Posebni pogoji inv</w:t>
            </w:r>
            <w:r w:rsidR="002F606A">
              <w:rPr>
                <w:rFonts w:ascii="Calibri" w:eastAsia="Times New Roman" w:hAnsi="Calibri" w:cs="Arial"/>
                <w:color w:val="000000"/>
                <w:sz w:val="18"/>
                <w:szCs w:val="18"/>
                <w:lang w:eastAsia="sl-SI"/>
              </w:rPr>
              <w:t>est.</w:t>
            </w:r>
            <w:r w:rsidRPr="00D050E9">
              <w:rPr>
                <w:rFonts w:ascii="Calibri" w:eastAsia="Times New Roman" w:hAnsi="Calibri" w:cs="Arial"/>
                <w:color w:val="000000"/>
                <w:sz w:val="18"/>
                <w:szCs w:val="18"/>
                <w:lang w:eastAsia="sl-SI"/>
              </w:rPr>
              <w:t xml:space="preserve"> financiranja MSP</w:t>
            </w:r>
          </w:p>
        </w:tc>
        <w:tc>
          <w:tcPr>
            <w:tcW w:w="55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Ugodna posojila</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174.389,86</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1.070.692,21</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615.945,35</w:t>
            </w: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r>
      <w:tr w:rsidR="00C50AB4" w:rsidRPr="00D050E9" w:rsidTr="002F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750" w:type="pct"/>
            <w:gridSpan w:val="2"/>
            <w:hideMark/>
          </w:tcPr>
          <w:p w:rsidR="00C50AB4" w:rsidRPr="00D050E9" w:rsidRDefault="00C50AB4" w:rsidP="002F606A">
            <w:pPr>
              <w:jc w:val="left"/>
              <w:rPr>
                <w:rFonts w:ascii="Calibri" w:eastAsia="Times New Roman" w:hAnsi="Calibri" w:cs="Arial"/>
                <w:color w:val="000066"/>
                <w:sz w:val="18"/>
                <w:szCs w:val="18"/>
                <w:lang w:eastAsia="sl-SI"/>
              </w:rPr>
            </w:pPr>
            <w:r w:rsidRPr="00D050E9">
              <w:rPr>
                <w:rFonts w:ascii="Calibri" w:eastAsia="Times New Roman" w:hAnsi="Calibri" w:cs="Arial"/>
                <w:color w:val="000066"/>
                <w:sz w:val="18"/>
                <w:szCs w:val="18"/>
                <w:lang w:eastAsia="sl-SI"/>
              </w:rPr>
              <w:t>Služba Vlade RS za razvoj in evropsko kohezijsko politiko</w:t>
            </w:r>
          </w:p>
        </w:tc>
        <w:tc>
          <w:tcPr>
            <w:tcW w:w="559" w:type="pct"/>
            <w:hideMark/>
          </w:tcPr>
          <w:p w:rsidR="00C50AB4" w:rsidRPr="00D050E9" w:rsidRDefault="00C50AB4" w:rsidP="002F606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66"/>
                <w:sz w:val="18"/>
                <w:szCs w:val="18"/>
                <w:lang w:eastAsia="sl-SI"/>
              </w:rPr>
            </w:pP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49.295,00</w:t>
            </w:r>
          </w:p>
        </w:tc>
        <w:tc>
          <w:tcPr>
            <w:tcW w:w="628"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50.338,40</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1,3%</w:t>
            </w:r>
          </w:p>
        </w:tc>
        <w:tc>
          <w:tcPr>
            <w:tcW w:w="404" w:type="pct"/>
            <w:hideMark/>
          </w:tcPr>
          <w:p w:rsidR="00C50AB4" w:rsidRPr="00D050E9"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0,8%</w:t>
            </w:r>
          </w:p>
        </w:tc>
      </w:tr>
      <w:tr w:rsidR="00C50AB4" w:rsidRPr="00D050E9" w:rsidTr="002F606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31" w:type="pct"/>
            <w:hideMark/>
          </w:tcPr>
          <w:p w:rsidR="00C50AB4" w:rsidRPr="00D050E9" w:rsidRDefault="00C50AB4" w:rsidP="002F606A">
            <w:pPr>
              <w:jc w:val="left"/>
              <w:rPr>
                <w:rFonts w:ascii="Calibri" w:eastAsia="Times New Roman" w:hAnsi="Calibri" w:cs="Arial"/>
                <w:color w:val="000000"/>
                <w:sz w:val="18"/>
                <w:szCs w:val="18"/>
                <w:lang w:eastAsia="sl-SI"/>
              </w:rPr>
            </w:pPr>
          </w:p>
        </w:tc>
        <w:tc>
          <w:tcPr>
            <w:tcW w:w="121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Državna pomoč za MSP v programih ETS</w:t>
            </w:r>
          </w:p>
        </w:tc>
        <w:tc>
          <w:tcPr>
            <w:tcW w:w="559" w:type="pct"/>
            <w:hideMark/>
          </w:tcPr>
          <w:p w:rsidR="00C50AB4" w:rsidRPr="00D050E9" w:rsidRDefault="00C50AB4" w:rsidP="002F606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Subvencije</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49.295,00</w:t>
            </w:r>
          </w:p>
        </w:tc>
        <w:tc>
          <w:tcPr>
            <w:tcW w:w="628"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50.338,40</w:t>
            </w: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c>
          <w:tcPr>
            <w:tcW w:w="404" w:type="pct"/>
            <w:hideMark/>
          </w:tcPr>
          <w:p w:rsidR="00C50AB4" w:rsidRPr="00D050E9" w:rsidRDefault="00C50AB4" w:rsidP="002F606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p>
        </w:tc>
      </w:tr>
      <w:tr w:rsidR="00C50AB4" w:rsidRPr="00D82F9B" w:rsidTr="002F606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750" w:type="pct"/>
            <w:gridSpan w:val="2"/>
            <w:hideMark/>
          </w:tcPr>
          <w:p w:rsidR="00C50AB4" w:rsidRPr="00D82F9B" w:rsidRDefault="00C50AB4" w:rsidP="002F606A">
            <w:pPr>
              <w:jc w:val="left"/>
              <w:rPr>
                <w:rFonts w:ascii="Calibri" w:eastAsia="Times New Roman" w:hAnsi="Calibri" w:cs="Arial"/>
                <w:color w:val="1F497D" w:themeColor="text2"/>
                <w:sz w:val="18"/>
                <w:szCs w:val="18"/>
                <w:lang w:eastAsia="sl-SI"/>
              </w:rPr>
            </w:pPr>
            <w:r w:rsidRPr="00D82F9B">
              <w:rPr>
                <w:rFonts w:ascii="Calibri" w:eastAsia="Times New Roman" w:hAnsi="Calibri" w:cs="Arial"/>
                <w:color w:val="1F497D" w:themeColor="text2"/>
                <w:sz w:val="18"/>
                <w:szCs w:val="18"/>
                <w:lang w:eastAsia="sl-SI"/>
              </w:rPr>
              <w:t>Skupaj</w:t>
            </w:r>
          </w:p>
        </w:tc>
        <w:tc>
          <w:tcPr>
            <w:tcW w:w="559" w:type="pct"/>
            <w:hideMark/>
          </w:tcPr>
          <w:p w:rsidR="00C50AB4" w:rsidRPr="00D82F9B" w:rsidRDefault="00C50AB4" w:rsidP="002F606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themeColor="text2"/>
                <w:sz w:val="18"/>
                <w:szCs w:val="18"/>
                <w:lang w:eastAsia="sl-SI"/>
              </w:rPr>
            </w:pPr>
          </w:p>
        </w:tc>
        <w:tc>
          <w:tcPr>
            <w:tcW w:w="628" w:type="pct"/>
            <w:hideMark/>
          </w:tcPr>
          <w:p w:rsidR="00C50AB4" w:rsidRPr="00D82F9B"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themeColor="text2"/>
                <w:sz w:val="18"/>
                <w:szCs w:val="18"/>
                <w:lang w:eastAsia="sl-SI"/>
              </w:rPr>
            </w:pPr>
            <w:r w:rsidRPr="00D82F9B">
              <w:rPr>
                <w:rFonts w:ascii="Calibri" w:eastAsia="Times New Roman" w:hAnsi="Calibri" w:cs="Arial"/>
                <w:b/>
                <w:bCs/>
                <w:color w:val="1F497D" w:themeColor="text2"/>
                <w:sz w:val="18"/>
                <w:szCs w:val="18"/>
                <w:lang w:eastAsia="sl-SI"/>
              </w:rPr>
              <w:t>5.719.080,80</w:t>
            </w:r>
          </w:p>
        </w:tc>
        <w:tc>
          <w:tcPr>
            <w:tcW w:w="628" w:type="pct"/>
            <w:hideMark/>
          </w:tcPr>
          <w:p w:rsidR="00C50AB4" w:rsidRPr="00D82F9B"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themeColor="text2"/>
                <w:sz w:val="18"/>
                <w:szCs w:val="18"/>
                <w:lang w:eastAsia="sl-SI"/>
              </w:rPr>
            </w:pPr>
            <w:r w:rsidRPr="00D82F9B">
              <w:rPr>
                <w:rFonts w:ascii="Calibri" w:eastAsia="Times New Roman" w:hAnsi="Calibri" w:cs="Arial"/>
                <w:b/>
                <w:bCs/>
                <w:color w:val="1F497D" w:themeColor="text2"/>
                <w:sz w:val="18"/>
                <w:szCs w:val="18"/>
                <w:lang w:eastAsia="sl-SI"/>
              </w:rPr>
              <w:t>2.774.593,30</w:t>
            </w:r>
          </w:p>
        </w:tc>
        <w:tc>
          <w:tcPr>
            <w:tcW w:w="628" w:type="pct"/>
            <w:hideMark/>
          </w:tcPr>
          <w:p w:rsidR="00C50AB4" w:rsidRPr="00D82F9B"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themeColor="text2"/>
                <w:sz w:val="18"/>
                <w:szCs w:val="18"/>
                <w:lang w:eastAsia="sl-SI"/>
              </w:rPr>
            </w:pPr>
            <w:r w:rsidRPr="00D82F9B">
              <w:rPr>
                <w:rFonts w:ascii="Calibri" w:eastAsia="Times New Roman" w:hAnsi="Calibri" w:cs="Arial"/>
                <w:b/>
                <w:bCs/>
                <w:color w:val="1F497D" w:themeColor="text2"/>
                <w:sz w:val="18"/>
                <w:szCs w:val="18"/>
                <w:lang w:eastAsia="sl-SI"/>
              </w:rPr>
              <w:t>3.735.735,80</w:t>
            </w:r>
          </w:p>
        </w:tc>
        <w:tc>
          <w:tcPr>
            <w:tcW w:w="404" w:type="pct"/>
            <w:hideMark/>
          </w:tcPr>
          <w:p w:rsidR="00C50AB4" w:rsidRPr="00D82F9B"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themeColor="text2"/>
                <w:sz w:val="18"/>
                <w:szCs w:val="18"/>
                <w:lang w:eastAsia="sl-SI"/>
              </w:rPr>
            </w:pPr>
            <w:r w:rsidRPr="00D82F9B">
              <w:rPr>
                <w:rFonts w:ascii="Calibri" w:eastAsia="Times New Roman" w:hAnsi="Calibri" w:cs="Arial"/>
                <w:b/>
                <w:bCs/>
                <w:color w:val="1F497D" w:themeColor="text2"/>
                <w:sz w:val="18"/>
                <w:szCs w:val="18"/>
                <w:lang w:eastAsia="sl-SI"/>
              </w:rPr>
              <w:t>100,0%</w:t>
            </w:r>
          </w:p>
        </w:tc>
        <w:tc>
          <w:tcPr>
            <w:tcW w:w="404" w:type="pct"/>
            <w:hideMark/>
          </w:tcPr>
          <w:p w:rsidR="00C50AB4" w:rsidRPr="00D82F9B" w:rsidRDefault="00C50AB4" w:rsidP="002F6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themeColor="text2"/>
                <w:sz w:val="18"/>
                <w:szCs w:val="18"/>
                <w:lang w:eastAsia="sl-SI"/>
              </w:rPr>
            </w:pPr>
            <w:r w:rsidRPr="00D82F9B">
              <w:rPr>
                <w:rFonts w:ascii="Calibri" w:eastAsia="Times New Roman" w:hAnsi="Calibri" w:cs="Arial"/>
                <w:b/>
                <w:bCs/>
                <w:color w:val="1F497D" w:themeColor="text2"/>
                <w:sz w:val="18"/>
                <w:szCs w:val="18"/>
                <w:lang w:eastAsia="sl-SI"/>
              </w:rPr>
              <w:t>100,0%</w:t>
            </w:r>
          </w:p>
        </w:tc>
      </w:tr>
    </w:tbl>
    <w:p w:rsidR="00DE64D4" w:rsidRPr="00D050E9" w:rsidRDefault="00DE64D4" w:rsidP="00DE64D4">
      <w:pPr>
        <w:spacing w:after="0" w:line="276" w:lineRule="auto"/>
        <w:rPr>
          <w:rFonts w:asciiTheme="minorHAnsi" w:hAnsiTheme="minorHAnsi"/>
        </w:rPr>
      </w:pPr>
    </w:p>
    <w:p w:rsidR="00522333" w:rsidRPr="00D050E9" w:rsidRDefault="00C50AB4" w:rsidP="007B2E67">
      <w:pPr>
        <w:spacing w:line="276" w:lineRule="auto"/>
        <w:rPr>
          <w:rFonts w:asciiTheme="minorHAnsi" w:hAnsiTheme="minorHAnsi"/>
        </w:rPr>
      </w:pPr>
      <w:r w:rsidRPr="00D050E9">
        <w:rPr>
          <w:rFonts w:asciiTheme="minorHAnsi" w:hAnsiTheme="minorHAnsi"/>
        </w:rPr>
        <w:t xml:space="preserve">Pomemben del pomoči za spodbujanje MSP, kar 87 % vseh pomoči za MSP in tvegano financiranje v obdobju 2015–2017 (88 % ali 26,6 mio EUR v letu 2017) je bil izplačan v obliki pomoči </w:t>
      </w:r>
      <w:r w:rsidR="009B30E1" w:rsidRPr="009B30E1">
        <w:rPr>
          <w:rFonts w:asciiTheme="minorHAnsi" w:hAnsiTheme="minorHAnsi"/>
          <w:i/>
        </w:rPr>
        <w:t>de minimis</w:t>
      </w:r>
      <w:r w:rsidRPr="00D050E9">
        <w:rPr>
          <w:rFonts w:asciiTheme="minorHAnsi" w:hAnsiTheme="minorHAnsi"/>
        </w:rPr>
        <w:t xml:space="preserve"> (pomoči do 200.000 EUR v treh letih). </w:t>
      </w:r>
      <w:r w:rsidR="00522333" w:rsidRPr="00D050E9">
        <w:rPr>
          <w:rFonts w:asciiTheme="minorHAnsi" w:hAnsiTheme="minorHAnsi"/>
        </w:rPr>
        <w:t xml:space="preserve">Če upoštevamo državne pomoči in </w:t>
      </w:r>
      <w:r w:rsidR="009B30E1" w:rsidRPr="009B30E1">
        <w:rPr>
          <w:rFonts w:asciiTheme="minorHAnsi" w:hAnsiTheme="minorHAnsi"/>
          <w:i/>
        </w:rPr>
        <w:t>de minimis</w:t>
      </w:r>
      <w:r w:rsidR="00522333" w:rsidRPr="00D050E9">
        <w:rPr>
          <w:rFonts w:asciiTheme="minorHAnsi" w:hAnsiTheme="minorHAnsi"/>
        </w:rPr>
        <w:t xml:space="preserve"> pomoči skupaj, je bilo v letu </w:t>
      </w:r>
      <w:r w:rsidRPr="00D050E9">
        <w:rPr>
          <w:rFonts w:asciiTheme="minorHAnsi" w:hAnsiTheme="minorHAnsi"/>
        </w:rPr>
        <w:t xml:space="preserve">2017 </w:t>
      </w:r>
      <w:r w:rsidR="00522333" w:rsidRPr="00D050E9">
        <w:rPr>
          <w:rFonts w:asciiTheme="minorHAnsi" w:hAnsiTheme="minorHAnsi"/>
        </w:rPr>
        <w:t>z</w:t>
      </w:r>
      <w:r w:rsidRPr="00D050E9">
        <w:rPr>
          <w:rFonts w:asciiTheme="minorHAnsi" w:hAnsiTheme="minorHAnsi"/>
        </w:rPr>
        <w:t>a MSP in tvegano financiranje namenjenih 29,27 mio EUR spodbud</w:t>
      </w:r>
      <w:r w:rsidR="00522333" w:rsidRPr="00D050E9">
        <w:rPr>
          <w:rFonts w:asciiTheme="minorHAnsi" w:hAnsiTheme="minorHAnsi"/>
        </w:rPr>
        <w:t xml:space="preserve">. </w:t>
      </w:r>
    </w:p>
    <w:p w:rsidR="00F60BBF" w:rsidRPr="00D050E9" w:rsidRDefault="00F60BBF" w:rsidP="00B23C93">
      <w:pPr>
        <w:spacing w:after="0" w:line="276" w:lineRule="auto"/>
        <w:rPr>
          <w:rFonts w:asciiTheme="minorHAnsi" w:hAnsiTheme="minorHAnsi"/>
        </w:rPr>
      </w:pPr>
      <w:r w:rsidRPr="00D050E9">
        <w:rPr>
          <w:rFonts w:asciiTheme="minorHAnsi" w:hAnsiTheme="minorHAnsi"/>
        </w:rPr>
        <w:t>Največji prejemniki pomoči za MSP in tvegano financiranje</w:t>
      </w:r>
      <w:r w:rsidR="00DE64D4" w:rsidRPr="00D050E9">
        <w:rPr>
          <w:rFonts w:asciiTheme="minorHAnsi" w:hAnsiTheme="minorHAnsi"/>
        </w:rPr>
        <w:t xml:space="preserve"> v obdobju 2015–2017 so bili:</w:t>
      </w:r>
    </w:p>
    <w:tbl>
      <w:tblPr>
        <w:tblStyle w:val="LightShading-Accent4"/>
        <w:tblW w:w="9160" w:type="dxa"/>
        <w:tblLook w:val="04A0" w:firstRow="1" w:lastRow="0" w:firstColumn="1" w:lastColumn="0" w:noHBand="0" w:noVBand="1"/>
      </w:tblPr>
      <w:tblGrid>
        <w:gridCol w:w="4248"/>
        <w:gridCol w:w="1228"/>
        <w:gridCol w:w="1228"/>
        <w:gridCol w:w="1228"/>
        <w:gridCol w:w="1228"/>
      </w:tblGrid>
      <w:tr w:rsidR="003A3F11" w:rsidRPr="00D050E9" w:rsidTr="00B23C93">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D050E9" w:rsidRDefault="003A3F11" w:rsidP="003A3F11">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Prejemnik  pomoči</w:t>
            </w:r>
          </w:p>
        </w:tc>
        <w:tc>
          <w:tcPr>
            <w:tcW w:w="1228" w:type="dxa"/>
            <w:hideMark/>
          </w:tcPr>
          <w:p w:rsidR="003A3F11" w:rsidRPr="00D050E9" w:rsidRDefault="003A3F11" w:rsidP="003A3F1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2015</w:t>
            </w:r>
          </w:p>
        </w:tc>
        <w:tc>
          <w:tcPr>
            <w:tcW w:w="1228" w:type="dxa"/>
            <w:hideMark/>
          </w:tcPr>
          <w:p w:rsidR="003A3F11" w:rsidRPr="00D050E9" w:rsidRDefault="003A3F11" w:rsidP="003A3F1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2016</w:t>
            </w:r>
          </w:p>
        </w:tc>
        <w:tc>
          <w:tcPr>
            <w:tcW w:w="1228" w:type="dxa"/>
            <w:hideMark/>
          </w:tcPr>
          <w:p w:rsidR="003A3F11" w:rsidRPr="00D050E9" w:rsidRDefault="003A3F11" w:rsidP="003A3F1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2017</w:t>
            </w:r>
          </w:p>
        </w:tc>
        <w:tc>
          <w:tcPr>
            <w:tcW w:w="1228" w:type="dxa"/>
            <w:hideMark/>
          </w:tcPr>
          <w:p w:rsidR="003A3F11" w:rsidRPr="00D050E9" w:rsidRDefault="003A3F11" w:rsidP="003A3F1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Skupaj</w:t>
            </w:r>
          </w:p>
        </w:tc>
      </w:tr>
      <w:tr w:rsidR="003A3F11" w:rsidRPr="00D050E9" w:rsidTr="00B23C9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META Ingenium, družba tveganega kapitala, d.o.o.</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2.468.690,34</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106.767,40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2.575.457,74</w:t>
            </w:r>
          </w:p>
        </w:tc>
      </w:tr>
      <w:tr w:rsidR="003A3F11" w:rsidRPr="00D050E9" w:rsidTr="00B23C93">
        <w:trPr>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PRVI SKLAD, družba tveganega kapitala, d.o.o.</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1.325.227,38</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205.885,28</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177.049,89</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1.708.162,55</w:t>
            </w:r>
          </w:p>
        </w:tc>
      </w:tr>
      <w:tr w:rsidR="003A3F11" w:rsidRPr="00D050E9" w:rsidTr="00B23C9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STH VENTURES, družba tveganega kapitala, d.o.o.</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874.772,50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48.598,00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37.450,92</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960.821,42</w:t>
            </w:r>
          </w:p>
        </w:tc>
      </w:tr>
      <w:tr w:rsidR="003A3F11" w:rsidRPr="00D050E9" w:rsidTr="00B23C93">
        <w:trPr>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DTK MURKA, družba tveganega kapitala, d.o.o.</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253.633,22</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52.630,41</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40.452,00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346.715,63</w:t>
            </w:r>
          </w:p>
        </w:tc>
      </w:tr>
      <w:tr w:rsidR="003A3F11" w:rsidRPr="00D050E9" w:rsidTr="00B23C9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CHIPOLO, Raziskave in razvoj na področju elektronike, d.o.o.</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54.500,00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204.500,00</w:t>
            </w:r>
          </w:p>
        </w:tc>
      </w:tr>
      <w:tr w:rsidR="003A3F11" w:rsidRPr="00D050E9" w:rsidTr="00B23C93">
        <w:trPr>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Fieldo, spletne storitve in svetovanje d.o.o.</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w:t>
            </w:r>
          </w:p>
        </w:tc>
      </w:tr>
      <w:tr w:rsidR="003A3F11" w:rsidRPr="00D050E9" w:rsidTr="00B23C9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Optilab Analytics, informacijske tehnologije in poslovne storitve, d.o.o. - V STEČAJU</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100.000,00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100.000,00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w:t>
            </w:r>
          </w:p>
        </w:tc>
      </w:tr>
      <w:tr w:rsidR="003A3F11" w:rsidRPr="00D050E9" w:rsidTr="00B23C93">
        <w:trPr>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MODRI PLANET, družba za tehnološki razvoj, zajemanje in obdelavo podatkov, d.o.o.</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w:t>
            </w:r>
          </w:p>
        </w:tc>
      </w:tr>
      <w:tr w:rsidR="003A3F11" w:rsidRPr="00D050E9" w:rsidTr="00B23C9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BORZA TERJATEV, trg poslovnih terjatev, d.o.o.</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w:t>
            </w:r>
          </w:p>
        </w:tc>
        <w:tc>
          <w:tcPr>
            <w:tcW w:w="1228" w:type="dxa"/>
            <w:hideMark/>
          </w:tcPr>
          <w:p w:rsidR="003A3F11" w:rsidRPr="00D050E9" w:rsidRDefault="003A3F11" w:rsidP="003A3F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w:t>
            </w:r>
          </w:p>
        </w:tc>
      </w:tr>
      <w:tr w:rsidR="003A3F11" w:rsidRPr="00D050E9" w:rsidTr="00B23C93">
        <w:trPr>
          <w:trHeight w:val="18"/>
        </w:trPr>
        <w:tc>
          <w:tcPr>
            <w:cnfStyle w:val="001000000000" w:firstRow="0" w:lastRow="0" w:firstColumn="1" w:lastColumn="0" w:oddVBand="0" w:evenVBand="0" w:oddHBand="0" w:evenHBand="0" w:firstRowFirstColumn="0" w:firstRowLastColumn="0" w:lastRowFirstColumn="0" w:lastRowLastColumn="0"/>
            <w:tcW w:w="4248" w:type="dxa"/>
            <w:hideMark/>
          </w:tcPr>
          <w:p w:rsidR="003A3F11" w:rsidRPr="00B23C93" w:rsidRDefault="003A3F11" w:rsidP="003A3F11">
            <w:pPr>
              <w:jc w:val="left"/>
              <w:rPr>
                <w:rFonts w:ascii="Calibri" w:eastAsia="Times New Roman" w:hAnsi="Calibri" w:cs="Arial"/>
                <w:b w:val="0"/>
                <w:color w:val="000000"/>
                <w:sz w:val="18"/>
                <w:szCs w:val="18"/>
                <w:lang w:eastAsia="sl-SI"/>
              </w:rPr>
            </w:pPr>
            <w:r w:rsidRPr="00B23C93">
              <w:rPr>
                <w:rFonts w:ascii="Calibri" w:eastAsia="Times New Roman" w:hAnsi="Calibri" w:cs="Arial"/>
                <w:b w:val="0"/>
                <w:color w:val="000000"/>
                <w:sz w:val="18"/>
                <w:szCs w:val="18"/>
                <w:lang w:eastAsia="sl-SI"/>
              </w:rPr>
              <w:t>PROTECTUS, storitve, razvoj in informacijska tehnologija, d.o.o.</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100.000,00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100.000,00</w:t>
            </w:r>
          </w:p>
        </w:tc>
        <w:tc>
          <w:tcPr>
            <w:tcW w:w="1228" w:type="dxa"/>
            <w:hideMark/>
          </w:tcPr>
          <w:p w:rsidR="003A3F11" w:rsidRPr="00D050E9" w:rsidRDefault="003A3F11" w:rsidP="003A3F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w:t>
            </w:r>
          </w:p>
        </w:tc>
      </w:tr>
    </w:tbl>
    <w:p w:rsidR="003A3F11" w:rsidRPr="00D050E9" w:rsidRDefault="003A3F11" w:rsidP="00DE64D4">
      <w:pPr>
        <w:spacing w:after="0" w:line="276" w:lineRule="auto"/>
        <w:rPr>
          <w:rFonts w:asciiTheme="minorHAnsi" w:hAnsiTheme="minorHAnsi"/>
        </w:rPr>
      </w:pPr>
    </w:p>
    <w:p w:rsidR="00F60BBF" w:rsidRPr="00D050E9" w:rsidRDefault="00F60BBF" w:rsidP="00F60BBF">
      <w:pPr>
        <w:spacing w:line="276" w:lineRule="auto"/>
        <w:rPr>
          <w:rFonts w:asciiTheme="minorHAnsi" w:hAnsiTheme="minorHAnsi"/>
        </w:rPr>
      </w:pPr>
      <w:r w:rsidRPr="00D050E9">
        <w:rPr>
          <w:rFonts w:asciiTheme="minorHAnsi" w:hAnsiTheme="minorHAnsi"/>
        </w:rPr>
        <w:t xml:space="preserve">Med največjimi prejemniki pomoči za MSP in tvegano financiranje so še vedno 4 družbe tveganega kapitala, preko katerih so bila plasirana sredstva za </w:t>
      </w:r>
      <w:r w:rsidR="00962944" w:rsidRPr="00D050E9">
        <w:rPr>
          <w:rFonts w:asciiTheme="minorHAnsi" w:hAnsiTheme="minorHAnsi"/>
        </w:rPr>
        <w:t>kapitalski vstop v MSP</w:t>
      </w:r>
      <w:r w:rsidRPr="00D050E9">
        <w:rPr>
          <w:rFonts w:asciiTheme="minorHAnsi" w:hAnsiTheme="minorHAnsi"/>
        </w:rPr>
        <w:t xml:space="preserve"> namen p</w:t>
      </w:r>
      <w:r w:rsidR="003A3F11" w:rsidRPr="00D050E9">
        <w:rPr>
          <w:rFonts w:asciiTheme="minorHAnsi" w:hAnsiTheme="minorHAnsi"/>
        </w:rPr>
        <w:t>o (stari) shemi iz leta 2009. Po</w:t>
      </w:r>
      <w:r w:rsidRPr="00D050E9">
        <w:rPr>
          <w:rFonts w:asciiTheme="minorHAnsi" w:hAnsiTheme="minorHAnsi"/>
        </w:rPr>
        <w:t xml:space="preserve"> novi shemi, kakor že navedeno, se pomoč za tvegano financiranje namenja neposredno </w:t>
      </w:r>
      <w:r w:rsidR="00827DA6" w:rsidRPr="00D050E9">
        <w:rPr>
          <w:rFonts w:asciiTheme="minorHAnsi" w:hAnsiTheme="minorHAnsi"/>
        </w:rPr>
        <w:t xml:space="preserve">(preko SPS) </w:t>
      </w:r>
      <w:r w:rsidRPr="00D050E9">
        <w:rPr>
          <w:rFonts w:asciiTheme="minorHAnsi" w:hAnsiTheme="minorHAnsi"/>
        </w:rPr>
        <w:t xml:space="preserve">upravičenim MSP. </w:t>
      </w:r>
    </w:p>
    <w:p w:rsidR="00827DA6" w:rsidRDefault="00827DA6" w:rsidP="00166A1C">
      <w:pPr>
        <w:spacing w:line="276" w:lineRule="auto"/>
        <w:rPr>
          <w:rFonts w:asciiTheme="minorHAnsi" w:hAnsiTheme="minorHAnsi"/>
        </w:rPr>
      </w:pPr>
      <w:r w:rsidRPr="00D050E9">
        <w:rPr>
          <w:rFonts w:asciiTheme="minorHAnsi" w:hAnsiTheme="minorHAnsi"/>
        </w:rPr>
        <w:t xml:space="preserve">Pomoč po pravilih za MSP oz. tvegano financiranje je v letu 2017 prejelo 184 upravičencev, kar je </w:t>
      </w:r>
      <w:r w:rsidR="003907A9" w:rsidRPr="00D050E9">
        <w:rPr>
          <w:rFonts w:asciiTheme="minorHAnsi" w:hAnsiTheme="minorHAnsi"/>
        </w:rPr>
        <w:t xml:space="preserve">za </w:t>
      </w:r>
      <w:r w:rsidRPr="00D050E9">
        <w:rPr>
          <w:rFonts w:asciiTheme="minorHAnsi" w:hAnsiTheme="minorHAnsi"/>
        </w:rPr>
        <w:t>82 več kot v letu 2016, povprečna pomoč pa je bila nekoliko nižja, znašala je tretjino povprečne pomoči v Sloveniji</w:t>
      </w:r>
      <w:r w:rsidR="003907A9" w:rsidRPr="00D050E9">
        <w:rPr>
          <w:rFonts w:asciiTheme="minorHAnsi" w:hAnsiTheme="minorHAnsi"/>
        </w:rPr>
        <w:t xml:space="preserve"> (20.302 EUR, p</w:t>
      </w:r>
      <w:r w:rsidR="007228D8" w:rsidRPr="00D050E9">
        <w:rPr>
          <w:rFonts w:asciiTheme="minorHAnsi" w:hAnsiTheme="minorHAnsi"/>
        </w:rPr>
        <w:t xml:space="preserve">ovprečje </w:t>
      </w:r>
      <w:r w:rsidR="00977C20" w:rsidRPr="00D050E9">
        <w:rPr>
          <w:rFonts w:asciiTheme="minorHAnsi" w:hAnsiTheme="minorHAnsi"/>
        </w:rPr>
        <w:t>60.931 EUR</w:t>
      </w:r>
      <w:r w:rsidR="007228D8" w:rsidRPr="00D050E9">
        <w:rPr>
          <w:rFonts w:asciiTheme="minorHAnsi" w:hAnsiTheme="minorHAnsi"/>
        </w:rPr>
        <w:t xml:space="preserve">). </w:t>
      </w:r>
      <w:r w:rsidRPr="00D050E9">
        <w:rPr>
          <w:rFonts w:asciiTheme="minorHAnsi" w:hAnsiTheme="minorHAnsi"/>
        </w:rPr>
        <w:t xml:space="preserve">Zmanjšanje je posledica večjega števila prejemnikov, zlasti za pomoči za svetovanje </w:t>
      </w:r>
      <w:r w:rsidR="003907A9" w:rsidRPr="00D050E9">
        <w:rPr>
          <w:rFonts w:asciiTheme="minorHAnsi" w:hAnsiTheme="minorHAnsi"/>
        </w:rPr>
        <w:t xml:space="preserve">MSP </w:t>
      </w:r>
      <w:r w:rsidRPr="00D050E9">
        <w:rPr>
          <w:rFonts w:asciiTheme="minorHAnsi" w:hAnsiTheme="minorHAnsi"/>
        </w:rPr>
        <w:t xml:space="preserve">in hkrati manjšega obsega sredstev za tvegano financiranje, kjer </w:t>
      </w:r>
      <w:r w:rsidR="003907A9" w:rsidRPr="00D050E9">
        <w:rPr>
          <w:rFonts w:asciiTheme="minorHAnsi" w:hAnsiTheme="minorHAnsi"/>
        </w:rPr>
        <w:t xml:space="preserve">so pomoči v povprečju višje. </w:t>
      </w:r>
    </w:p>
    <w:p w:rsidR="007B2E67" w:rsidRDefault="006E43D9" w:rsidP="003F2F56">
      <w:pPr>
        <w:pStyle w:val="Heading2"/>
      </w:pPr>
      <w:bookmarkStart w:id="101" w:name="_Toc528594658"/>
      <w:bookmarkStart w:id="102" w:name="_Toc530654554"/>
      <w:r w:rsidRPr="00D050E9">
        <w:lastRenderedPageBreak/>
        <w:t>4.6</w:t>
      </w:r>
      <w:r w:rsidR="007B2E67" w:rsidRPr="00D050E9">
        <w:t xml:space="preserve"> KULTURA</w:t>
      </w:r>
      <w:r w:rsidR="004F3F8A" w:rsidRPr="00D050E9">
        <w:t xml:space="preserve"> IN AVDIOVIZUALNA DEJAVNOST</w:t>
      </w:r>
      <w:bookmarkEnd w:id="101"/>
      <w:bookmarkEnd w:id="102"/>
    </w:p>
    <w:p w:rsidR="0052290A" w:rsidRPr="0052290A" w:rsidRDefault="0052290A" w:rsidP="0052290A">
      <w:pPr>
        <w:spacing w:after="0"/>
      </w:pPr>
    </w:p>
    <w:p w:rsidR="00F867A6" w:rsidRPr="00D050E9" w:rsidRDefault="00F867A6" w:rsidP="007B2E67">
      <w:pPr>
        <w:spacing w:line="276" w:lineRule="auto"/>
        <w:rPr>
          <w:rFonts w:asciiTheme="minorHAnsi" w:hAnsiTheme="minorHAnsi"/>
        </w:rPr>
      </w:pPr>
      <w:r w:rsidRPr="00D050E9">
        <w:rPr>
          <w:rFonts w:asciiTheme="minorHAnsi" w:hAnsiTheme="minorHAnsi"/>
        </w:rPr>
        <w:t>Za spodbujanje kulture in avdiovizualne dejavnosti je bilo v letu 2017 izplačanih 10,34 mio EUR ali 2,4 % vseh državnih pomoči, kar je na enaki ravni kot v letu 2016 (10,31 mio EUR). Obseg pomoči za kultur</w:t>
      </w:r>
      <w:r w:rsidR="000C006E" w:rsidRPr="00D050E9">
        <w:rPr>
          <w:rFonts w:asciiTheme="minorHAnsi" w:hAnsiTheme="minorHAnsi"/>
        </w:rPr>
        <w:t>o</w:t>
      </w:r>
      <w:r w:rsidRPr="00D050E9">
        <w:rPr>
          <w:rFonts w:asciiTheme="minorHAnsi" w:hAnsiTheme="minorHAnsi"/>
        </w:rPr>
        <w:t xml:space="preserve"> in AV sektor se je v zadnjih treh letih ustalil na ravni okoli 10 mio EUR, v deležu pomoči, pa je to, zaradi večjih nihanj drugih kategorij pomoči pomenilo od 1,8 % (2015) do 2,7 % (2016), v povprečju pa 2,3 % vseh pomoči 2015–2017. </w:t>
      </w:r>
    </w:p>
    <w:p w:rsidR="004D4924" w:rsidRPr="00D050E9" w:rsidRDefault="00DE64D4" w:rsidP="00DE64D4">
      <w:pPr>
        <w:pStyle w:val="Caption"/>
        <w:rPr>
          <w:color w:val="auto"/>
        </w:rPr>
      </w:pPr>
      <w:bookmarkStart w:id="103" w:name="_Toc530654660"/>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45</w:t>
      </w:r>
      <w:r w:rsidRPr="00D050E9">
        <w:rPr>
          <w:color w:val="auto"/>
        </w:rPr>
        <w:fldChar w:fldCharType="end"/>
      </w:r>
      <w:r w:rsidR="00147FE7" w:rsidRPr="00D050E9">
        <w:rPr>
          <w:color w:val="auto"/>
        </w:rPr>
        <w:t>: Državne pomoči za kulturo in avdiovizualno dejavnost, 2008–2017, v mio EUR in v % vseh pomoči</w:t>
      </w:r>
      <w:bookmarkEnd w:id="103"/>
    </w:p>
    <w:p w:rsidR="001B7E3A" w:rsidRPr="00D050E9" w:rsidRDefault="0052290A" w:rsidP="001B7E3A">
      <w:pPr>
        <w:spacing w:after="0"/>
        <w:rPr>
          <w:lang w:bidi="hi-IN"/>
        </w:rPr>
      </w:pPr>
      <w:r w:rsidRPr="00D050E9">
        <w:rPr>
          <w:noProof/>
          <w:lang w:eastAsia="sl-SI"/>
        </w:rPr>
        <w:drawing>
          <wp:inline distT="0" distB="0" distL="0" distR="0" wp14:anchorId="72188378" wp14:editId="31787C05">
            <wp:extent cx="5852160" cy="26289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2290A" w:rsidRDefault="0052290A" w:rsidP="00DE64D4">
      <w:pPr>
        <w:spacing w:after="0" w:line="276" w:lineRule="auto"/>
        <w:rPr>
          <w:rFonts w:asciiTheme="minorHAnsi" w:hAnsiTheme="minorHAnsi"/>
        </w:rPr>
      </w:pPr>
    </w:p>
    <w:p w:rsidR="008A1F5D" w:rsidRPr="00D050E9" w:rsidRDefault="008A1F5D" w:rsidP="00DE64D4">
      <w:pPr>
        <w:spacing w:after="0" w:line="276" w:lineRule="auto"/>
        <w:rPr>
          <w:rFonts w:asciiTheme="minorHAnsi" w:hAnsiTheme="minorHAnsi"/>
        </w:rPr>
      </w:pPr>
      <w:r w:rsidRPr="00D050E9">
        <w:rPr>
          <w:rFonts w:asciiTheme="minorHAnsi" w:hAnsiTheme="minorHAnsi"/>
        </w:rPr>
        <w:t>Pomoči se dodeljujejo za dva glavna namena: za spodbujanje filmske in avdiovizualne dejavn</w:t>
      </w:r>
      <w:r w:rsidR="004D4924" w:rsidRPr="00D050E9">
        <w:rPr>
          <w:rFonts w:asciiTheme="minorHAnsi" w:hAnsiTheme="minorHAnsi"/>
        </w:rPr>
        <w:t>osti (skoraj dve tretjini, 63 %</w:t>
      </w:r>
      <w:r w:rsidRPr="00D050E9">
        <w:rPr>
          <w:rFonts w:asciiTheme="minorHAnsi" w:hAnsiTheme="minorHAnsi"/>
        </w:rPr>
        <w:t xml:space="preserve">) ter za spodbujanje </w:t>
      </w:r>
      <w:r w:rsidR="00ED63A3" w:rsidRPr="00D050E9">
        <w:rPr>
          <w:rFonts w:asciiTheme="minorHAnsi" w:hAnsiTheme="minorHAnsi"/>
        </w:rPr>
        <w:t xml:space="preserve">kulture </w:t>
      </w:r>
      <w:r w:rsidRPr="00D050E9">
        <w:rPr>
          <w:rFonts w:asciiTheme="minorHAnsi" w:hAnsiTheme="minorHAnsi"/>
        </w:rPr>
        <w:t>(dobra tretjina, 37 %</w:t>
      </w:r>
      <w:r w:rsidR="004D4924" w:rsidRPr="00D050E9">
        <w:rPr>
          <w:rFonts w:asciiTheme="minorHAnsi" w:hAnsiTheme="minorHAnsi"/>
        </w:rPr>
        <w:t>)</w:t>
      </w:r>
      <w:r w:rsidRPr="00D050E9">
        <w:rPr>
          <w:rFonts w:asciiTheme="minorHAnsi" w:hAnsiTheme="minorHAnsi"/>
        </w:rPr>
        <w:t xml:space="preserve">.  </w:t>
      </w:r>
      <w:r w:rsidR="00E678E0" w:rsidRPr="00D050E9">
        <w:rPr>
          <w:rFonts w:asciiTheme="minorHAnsi" w:hAnsiTheme="minorHAnsi"/>
        </w:rPr>
        <w:t>Obseg pomoči in razmerje</w:t>
      </w:r>
      <w:r w:rsidRPr="00D050E9">
        <w:rPr>
          <w:rFonts w:asciiTheme="minorHAnsi" w:hAnsiTheme="minorHAnsi"/>
        </w:rPr>
        <w:t xml:space="preserve"> med posameznimi nameni se v zadnjih treh letih niso bistveno spremenila. </w:t>
      </w:r>
    </w:p>
    <w:p w:rsidR="00070A29" w:rsidRPr="00D050E9" w:rsidRDefault="00070A29" w:rsidP="00DE64D4">
      <w:pPr>
        <w:spacing w:after="0" w:line="276" w:lineRule="auto"/>
        <w:rPr>
          <w:rFonts w:asciiTheme="minorHAnsi" w:hAnsiTheme="minorHAnsi"/>
        </w:rPr>
      </w:pPr>
    </w:p>
    <w:p w:rsidR="00E678E0" w:rsidRPr="00D050E9" w:rsidRDefault="00070A29" w:rsidP="00070A29">
      <w:pPr>
        <w:pStyle w:val="Caption"/>
        <w:rPr>
          <w:color w:val="auto"/>
        </w:rPr>
      </w:pPr>
      <w:bookmarkStart w:id="104" w:name="_Toc530654601"/>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17</w:t>
      </w:r>
      <w:r w:rsidRPr="00D050E9">
        <w:rPr>
          <w:color w:val="auto"/>
        </w:rPr>
        <w:fldChar w:fldCharType="end"/>
      </w:r>
      <w:r w:rsidR="00E678E0" w:rsidRPr="00D050E9">
        <w:rPr>
          <w:color w:val="auto"/>
        </w:rPr>
        <w:t xml:space="preserve">: </w:t>
      </w:r>
      <w:r w:rsidRPr="00D050E9">
        <w:rPr>
          <w:color w:val="auto"/>
        </w:rPr>
        <w:t xml:space="preserve">Državne </w:t>
      </w:r>
      <w:r w:rsidR="00E678E0" w:rsidRPr="00D050E9">
        <w:rPr>
          <w:color w:val="auto"/>
        </w:rPr>
        <w:t>pomoči za kulturo in avdiovizualno dejavnost po namenih pomoči 2015–2017</w:t>
      </w:r>
      <w:bookmarkEnd w:id="104"/>
    </w:p>
    <w:p w:rsidR="00070A29" w:rsidRPr="00D050E9" w:rsidRDefault="00070A29" w:rsidP="00070A29">
      <w:pPr>
        <w:spacing w:after="0"/>
        <w:rPr>
          <w:lang w:bidi="hi-IN"/>
        </w:rPr>
      </w:pPr>
    </w:p>
    <w:tbl>
      <w:tblPr>
        <w:tblStyle w:val="LightGrid-Accent5"/>
        <w:tblW w:w="0" w:type="auto"/>
        <w:tblLook w:val="04A0" w:firstRow="1" w:lastRow="0" w:firstColumn="1" w:lastColumn="0" w:noHBand="0" w:noVBand="1"/>
      </w:tblPr>
      <w:tblGrid>
        <w:gridCol w:w="257"/>
        <w:gridCol w:w="2402"/>
        <w:gridCol w:w="1180"/>
        <w:gridCol w:w="1372"/>
        <w:gridCol w:w="1276"/>
        <w:gridCol w:w="1061"/>
        <w:gridCol w:w="759"/>
        <w:gridCol w:w="1001"/>
      </w:tblGrid>
      <w:tr w:rsidR="00E678E0" w:rsidRPr="00D050E9" w:rsidTr="00E678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9" w:type="dxa"/>
            <w:gridSpan w:val="2"/>
            <w:hideMark/>
          </w:tcPr>
          <w:p w:rsidR="00E678E0" w:rsidRPr="00D050E9" w:rsidRDefault="00E678E0" w:rsidP="00E678E0">
            <w:pPr>
              <w:jc w:val="center"/>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Nameni pomoči</w:t>
            </w:r>
          </w:p>
        </w:tc>
        <w:tc>
          <w:tcPr>
            <w:tcW w:w="1180" w:type="dxa"/>
            <w:hideMark/>
          </w:tcPr>
          <w:p w:rsidR="00E678E0" w:rsidRPr="00D050E9" w:rsidRDefault="00E678E0" w:rsidP="00E67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w:t>
            </w:r>
          </w:p>
        </w:tc>
        <w:tc>
          <w:tcPr>
            <w:tcW w:w="1372" w:type="dxa"/>
            <w:hideMark/>
          </w:tcPr>
          <w:p w:rsidR="00E678E0" w:rsidRPr="00D050E9" w:rsidRDefault="00E678E0" w:rsidP="00E67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2016</w:t>
            </w:r>
          </w:p>
        </w:tc>
        <w:tc>
          <w:tcPr>
            <w:tcW w:w="1276" w:type="dxa"/>
            <w:hideMark/>
          </w:tcPr>
          <w:p w:rsidR="00E678E0" w:rsidRPr="00D050E9" w:rsidRDefault="00E678E0" w:rsidP="00E67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w:t>
            </w:r>
          </w:p>
        </w:tc>
        <w:tc>
          <w:tcPr>
            <w:tcW w:w="1061" w:type="dxa"/>
            <w:hideMark/>
          </w:tcPr>
          <w:p w:rsidR="00E678E0" w:rsidRPr="00D050E9" w:rsidRDefault="00E678E0" w:rsidP="00E67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Razlika</w:t>
            </w:r>
          </w:p>
        </w:tc>
        <w:tc>
          <w:tcPr>
            <w:tcW w:w="0" w:type="auto"/>
            <w:hideMark/>
          </w:tcPr>
          <w:p w:rsidR="00E678E0" w:rsidRPr="00D050E9" w:rsidRDefault="00E678E0" w:rsidP="00E67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Deleži</w:t>
            </w:r>
            <w:r w:rsidRPr="00D050E9">
              <w:rPr>
                <w:rFonts w:ascii="Calibri" w:eastAsia="Times New Roman" w:hAnsi="Calibri" w:cs="Arial"/>
                <w:color w:val="000000"/>
                <w:sz w:val="18"/>
                <w:szCs w:val="18"/>
                <w:lang w:eastAsia="sl-SI"/>
              </w:rPr>
              <w:br/>
              <w:t>2017</w:t>
            </w:r>
          </w:p>
        </w:tc>
        <w:tc>
          <w:tcPr>
            <w:tcW w:w="0" w:type="auto"/>
            <w:hideMark/>
          </w:tcPr>
          <w:p w:rsidR="00E678E0" w:rsidRPr="00D050E9" w:rsidRDefault="00E678E0" w:rsidP="00E678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Deleži</w:t>
            </w:r>
            <w:r w:rsidRPr="00D050E9">
              <w:rPr>
                <w:rFonts w:ascii="Calibri" w:eastAsia="Times New Roman" w:hAnsi="Calibri" w:cs="Arial"/>
                <w:color w:val="000000"/>
                <w:sz w:val="18"/>
                <w:szCs w:val="18"/>
                <w:lang w:eastAsia="sl-SI"/>
              </w:rPr>
              <w:br/>
              <w:t>2015-2017</w:t>
            </w:r>
          </w:p>
        </w:tc>
      </w:tr>
      <w:tr w:rsidR="00E678E0" w:rsidRPr="00D050E9" w:rsidTr="00E678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9" w:type="dxa"/>
            <w:gridSpan w:val="2"/>
            <w:hideMark/>
          </w:tcPr>
          <w:p w:rsidR="00E678E0" w:rsidRPr="00D050E9" w:rsidRDefault="00E678E0" w:rsidP="00E678E0">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Pomoč za avdiovizualna sektor</w:t>
            </w:r>
          </w:p>
        </w:tc>
        <w:tc>
          <w:tcPr>
            <w:tcW w:w="1180"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6.366.611,36</w:t>
            </w:r>
          </w:p>
        </w:tc>
        <w:tc>
          <w:tcPr>
            <w:tcW w:w="1372"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6.551.704,50</w:t>
            </w:r>
          </w:p>
        </w:tc>
        <w:tc>
          <w:tcPr>
            <w:tcW w:w="1276"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6.546.994,69</w:t>
            </w:r>
          </w:p>
        </w:tc>
        <w:tc>
          <w:tcPr>
            <w:tcW w:w="1061"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-4.709,81</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63,3%</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63,8%</w:t>
            </w:r>
          </w:p>
        </w:tc>
      </w:tr>
      <w:tr w:rsidR="00E678E0" w:rsidRPr="00D050E9" w:rsidTr="00E678E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E678E0" w:rsidRPr="00D050E9" w:rsidRDefault="00E678E0" w:rsidP="00E678E0">
            <w:pPr>
              <w:jc w:val="center"/>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2402" w:type="dxa"/>
            <w:hideMark/>
          </w:tcPr>
          <w:p w:rsidR="00E678E0" w:rsidRPr="00D050E9" w:rsidRDefault="00E678E0" w:rsidP="00E678E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Filmska dejavnost</w:t>
            </w:r>
          </w:p>
        </w:tc>
        <w:tc>
          <w:tcPr>
            <w:tcW w:w="1180"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3.820.534,50</w:t>
            </w:r>
          </w:p>
        </w:tc>
        <w:tc>
          <w:tcPr>
            <w:tcW w:w="1372"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4.003.248,41</w:t>
            </w:r>
          </w:p>
        </w:tc>
        <w:tc>
          <w:tcPr>
            <w:tcW w:w="1276"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4.041.014,64</w:t>
            </w:r>
          </w:p>
        </w:tc>
        <w:tc>
          <w:tcPr>
            <w:tcW w:w="1061"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37.766,23</w:t>
            </w:r>
          </w:p>
        </w:tc>
        <w:tc>
          <w:tcPr>
            <w:tcW w:w="0" w:type="auto"/>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39,1%</w:t>
            </w:r>
          </w:p>
        </w:tc>
        <w:tc>
          <w:tcPr>
            <w:tcW w:w="0" w:type="auto"/>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38,9%</w:t>
            </w:r>
          </w:p>
        </w:tc>
      </w:tr>
      <w:tr w:rsidR="00E678E0" w:rsidRPr="00D050E9" w:rsidTr="00E678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E678E0" w:rsidRPr="00D050E9" w:rsidRDefault="00E678E0" w:rsidP="00E678E0">
            <w:pPr>
              <w:jc w:val="left"/>
              <w:rPr>
                <w:rFonts w:ascii="Calibri" w:eastAsia="Times New Roman" w:hAnsi="Calibri" w:cs="Arial"/>
                <w:color w:val="000000"/>
                <w:sz w:val="18"/>
                <w:szCs w:val="18"/>
                <w:lang w:eastAsia="sl-SI"/>
              </w:rPr>
            </w:pPr>
          </w:p>
        </w:tc>
        <w:tc>
          <w:tcPr>
            <w:tcW w:w="2402" w:type="dxa"/>
            <w:hideMark/>
          </w:tcPr>
          <w:p w:rsidR="00E678E0" w:rsidRPr="00D050E9" w:rsidRDefault="00E678E0" w:rsidP="00E678E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Ustvarjanje medijskih programov</w:t>
            </w:r>
          </w:p>
        </w:tc>
        <w:tc>
          <w:tcPr>
            <w:tcW w:w="1180"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1.919.358,86</w:t>
            </w:r>
          </w:p>
        </w:tc>
        <w:tc>
          <w:tcPr>
            <w:tcW w:w="1372"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1.920.738,09</w:t>
            </w:r>
          </w:p>
        </w:tc>
        <w:tc>
          <w:tcPr>
            <w:tcW w:w="1276"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1.910.598,05</w:t>
            </w:r>
          </w:p>
        </w:tc>
        <w:tc>
          <w:tcPr>
            <w:tcW w:w="1061"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-10.140,04</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18,5%</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18,8%</w:t>
            </w:r>
          </w:p>
        </w:tc>
      </w:tr>
      <w:tr w:rsidR="00E678E0" w:rsidRPr="00D050E9" w:rsidTr="00E678E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E678E0" w:rsidRPr="00D050E9" w:rsidRDefault="00E678E0" w:rsidP="00E678E0">
            <w:pPr>
              <w:jc w:val="left"/>
              <w:rPr>
                <w:rFonts w:ascii="Calibri" w:eastAsia="Times New Roman" w:hAnsi="Calibri" w:cs="Arial"/>
                <w:color w:val="000000"/>
                <w:sz w:val="18"/>
                <w:szCs w:val="18"/>
                <w:lang w:eastAsia="sl-SI"/>
              </w:rPr>
            </w:pPr>
          </w:p>
        </w:tc>
        <w:tc>
          <w:tcPr>
            <w:tcW w:w="2402" w:type="dxa"/>
            <w:hideMark/>
          </w:tcPr>
          <w:p w:rsidR="00E678E0" w:rsidRPr="00D050E9" w:rsidRDefault="00E678E0" w:rsidP="00E678E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Projekti za AV medije</w:t>
            </w:r>
          </w:p>
        </w:tc>
        <w:tc>
          <w:tcPr>
            <w:tcW w:w="1180"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626.718,00</w:t>
            </w:r>
          </w:p>
        </w:tc>
        <w:tc>
          <w:tcPr>
            <w:tcW w:w="1372"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627.718,00</w:t>
            </w:r>
          </w:p>
        </w:tc>
        <w:tc>
          <w:tcPr>
            <w:tcW w:w="1276"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595.382,00</w:t>
            </w:r>
          </w:p>
        </w:tc>
        <w:tc>
          <w:tcPr>
            <w:tcW w:w="1061"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-32.336,00</w:t>
            </w:r>
          </w:p>
        </w:tc>
        <w:tc>
          <w:tcPr>
            <w:tcW w:w="0" w:type="auto"/>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5,8%</w:t>
            </w:r>
          </w:p>
        </w:tc>
        <w:tc>
          <w:tcPr>
            <w:tcW w:w="0" w:type="auto"/>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6,1%</w:t>
            </w:r>
          </w:p>
        </w:tc>
      </w:tr>
      <w:tr w:rsidR="00E678E0" w:rsidRPr="00D050E9" w:rsidTr="00E678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9" w:type="dxa"/>
            <w:gridSpan w:val="2"/>
            <w:hideMark/>
          </w:tcPr>
          <w:p w:rsidR="00E678E0" w:rsidRPr="00D050E9" w:rsidRDefault="00E678E0" w:rsidP="00E678E0">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Spodbujanje kulture</w:t>
            </w:r>
          </w:p>
        </w:tc>
        <w:tc>
          <w:tcPr>
            <w:tcW w:w="1180"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3.517.229,00</w:t>
            </w:r>
          </w:p>
        </w:tc>
        <w:tc>
          <w:tcPr>
            <w:tcW w:w="1372"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3.760.046,60</w:t>
            </w:r>
          </w:p>
        </w:tc>
        <w:tc>
          <w:tcPr>
            <w:tcW w:w="1276"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3.789.169,09</w:t>
            </w:r>
          </w:p>
        </w:tc>
        <w:tc>
          <w:tcPr>
            <w:tcW w:w="1061"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29.122,49</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36,7%</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36,2%</w:t>
            </w:r>
          </w:p>
        </w:tc>
      </w:tr>
      <w:tr w:rsidR="00E678E0" w:rsidRPr="00D050E9" w:rsidTr="00E678E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E678E0" w:rsidRPr="00D050E9" w:rsidRDefault="00E678E0" w:rsidP="00E678E0">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 </w:t>
            </w:r>
          </w:p>
        </w:tc>
        <w:tc>
          <w:tcPr>
            <w:tcW w:w="2402" w:type="dxa"/>
            <w:hideMark/>
          </w:tcPr>
          <w:p w:rsidR="00E678E0" w:rsidRPr="00D050E9" w:rsidRDefault="00E678E0" w:rsidP="00E678E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Založniška dejavnost</w:t>
            </w:r>
          </w:p>
        </w:tc>
        <w:tc>
          <w:tcPr>
            <w:tcW w:w="1180"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3.517.229,00</w:t>
            </w:r>
          </w:p>
        </w:tc>
        <w:tc>
          <w:tcPr>
            <w:tcW w:w="1372"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3.760.046,60</w:t>
            </w:r>
          </w:p>
        </w:tc>
        <w:tc>
          <w:tcPr>
            <w:tcW w:w="1276"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3.789.169,09</w:t>
            </w:r>
          </w:p>
        </w:tc>
        <w:tc>
          <w:tcPr>
            <w:tcW w:w="1061" w:type="dxa"/>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29.122,49</w:t>
            </w:r>
          </w:p>
        </w:tc>
        <w:tc>
          <w:tcPr>
            <w:tcW w:w="0" w:type="auto"/>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36,7%</w:t>
            </w:r>
          </w:p>
        </w:tc>
        <w:tc>
          <w:tcPr>
            <w:tcW w:w="0" w:type="auto"/>
            <w:hideMark/>
          </w:tcPr>
          <w:p w:rsidR="00E678E0" w:rsidRPr="00D050E9" w:rsidRDefault="00E678E0" w:rsidP="00E678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color w:val="000000"/>
                <w:sz w:val="18"/>
                <w:szCs w:val="18"/>
                <w:lang w:eastAsia="sl-SI"/>
              </w:rPr>
            </w:pPr>
            <w:r w:rsidRPr="00D050E9">
              <w:rPr>
                <w:rFonts w:ascii="Calibri" w:eastAsia="Times New Roman" w:hAnsi="Calibri" w:cs="Arial"/>
                <w:bCs/>
                <w:color w:val="000000"/>
                <w:sz w:val="18"/>
                <w:szCs w:val="18"/>
                <w:lang w:eastAsia="sl-SI"/>
              </w:rPr>
              <w:t>36,2%</w:t>
            </w:r>
          </w:p>
        </w:tc>
      </w:tr>
      <w:tr w:rsidR="00E678E0" w:rsidRPr="00D050E9" w:rsidTr="00E678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59" w:type="dxa"/>
            <w:gridSpan w:val="2"/>
            <w:hideMark/>
          </w:tcPr>
          <w:p w:rsidR="00E678E0" w:rsidRPr="00D050E9" w:rsidRDefault="00E678E0" w:rsidP="00E678E0">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xml:space="preserve">Kultura in AV sektor skupaj </w:t>
            </w:r>
          </w:p>
        </w:tc>
        <w:tc>
          <w:tcPr>
            <w:tcW w:w="1180"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9.883.840,36</w:t>
            </w:r>
          </w:p>
        </w:tc>
        <w:tc>
          <w:tcPr>
            <w:tcW w:w="1372"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10.311.751,10</w:t>
            </w:r>
          </w:p>
        </w:tc>
        <w:tc>
          <w:tcPr>
            <w:tcW w:w="1276"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10.336.163,78 </w:t>
            </w:r>
          </w:p>
        </w:tc>
        <w:tc>
          <w:tcPr>
            <w:tcW w:w="1061" w:type="dxa"/>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24.412,68</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xml:space="preserve">100,0% </w:t>
            </w:r>
          </w:p>
        </w:tc>
        <w:tc>
          <w:tcPr>
            <w:tcW w:w="0" w:type="auto"/>
            <w:hideMark/>
          </w:tcPr>
          <w:p w:rsidR="00E678E0" w:rsidRPr="00D050E9" w:rsidRDefault="00E678E0" w:rsidP="00E678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100,0%</w:t>
            </w:r>
          </w:p>
        </w:tc>
      </w:tr>
    </w:tbl>
    <w:p w:rsidR="002F606A" w:rsidRDefault="002F606A" w:rsidP="00E678E0">
      <w:pPr>
        <w:spacing w:after="0" w:line="276" w:lineRule="auto"/>
        <w:rPr>
          <w:rFonts w:asciiTheme="minorHAnsi" w:hAnsiTheme="minorHAnsi"/>
        </w:rPr>
      </w:pPr>
    </w:p>
    <w:p w:rsidR="00E678E0" w:rsidRPr="00D050E9" w:rsidRDefault="004D4924" w:rsidP="00E678E0">
      <w:pPr>
        <w:spacing w:after="0" w:line="276" w:lineRule="auto"/>
        <w:rPr>
          <w:rFonts w:asciiTheme="minorHAnsi" w:hAnsiTheme="minorHAnsi"/>
          <w:b/>
        </w:rPr>
      </w:pPr>
      <w:r w:rsidRPr="00D050E9">
        <w:rPr>
          <w:rFonts w:asciiTheme="minorHAnsi" w:hAnsiTheme="minorHAnsi"/>
        </w:rPr>
        <w:t>Za spodbujanje</w:t>
      </w:r>
      <w:r w:rsidRPr="00D050E9">
        <w:rPr>
          <w:rFonts w:asciiTheme="minorHAnsi" w:hAnsiTheme="minorHAnsi"/>
          <w:b/>
        </w:rPr>
        <w:t xml:space="preserve"> filmske in avdiovizualne produkcije</w:t>
      </w:r>
      <w:r w:rsidRPr="00D050E9">
        <w:rPr>
          <w:rFonts w:asciiTheme="minorHAnsi" w:hAnsiTheme="minorHAnsi"/>
        </w:rPr>
        <w:t xml:space="preserve"> je bilo v letu 2017 namenjenih 4 mio EUR ali o</w:t>
      </w:r>
      <w:r w:rsidR="00E678E0" w:rsidRPr="00D050E9">
        <w:rPr>
          <w:rFonts w:asciiTheme="minorHAnsi" w:hAnsiTheme="minorHAnsi"/>
        </w:rPr>
        <w:t>kol</w:t>
      </w:r>
      <w:r w:rsidRPr="00D050E9">
        <w:rPr>
          <w:rFonts w:asciiTheme="minorHAnsi" w:hAnsiTheme="minorHAnsi"/>
        </w:rPr>
        <w:t>i 40 %. S</w:t>
      </w:r>
      <w:r w:rsidR="00E678E0" w:rsidRPr="00D050E9">
        <w:rPr>
          <w:rFonts w:asciiTheme="minorHAnsi" w:hAnsiTheme="minorHAnsi"/>
        </w:rPr>
        <w:t xml:space="preserve">laba petina (19 %) ali 1,91 mio EUR za </w:t>
      </w:r>
      <w:r w:rsidR="00E678E0" w:rsidRPr="00D050E9">
        <w:rPr>
          <w:rFonts w:asciiTheme="minorHAnsi" w:hAnsiTheme="minorHAnsi"/>
          <w:b/>
        </w:rPr>
        <w:t>ustvarjanje medijskih programov</w:t>
      </w:r>
      <w:r w:rsidR="00E678E0" w:rsidRPr="00D050E9">
        <w:rPr>
          <w:rFonts w:asciiTheme="minorHAnsi" w:hAnsiTheme="minorHAnsi"/>
        </w:rPr>
        <w:t xml:space="preserve">, okoli 6 % pomoči ali 0,6 mio EUR pa je bilo izplačanih za </w:t>
      </w:r>
      <w:r w:rsidR="00E678E0" w:rsidRPr="00D050E9">
        <w:rPr>
          <w:rFonts w:asciiTheme="minorHAnsi" w:hAnsiTheme="minorHAnsi"/>
          <w:b/>
        </w:rPr>
        <w:t xml:space="preserve">projekte avdiovizualnih del, namenjenih za predvajanje v medijih. </w:t>
      </w:r>
    </w:p>
    <w:p w:rsidR="00326A03" w:rsidRPr="00D050E9" w:rsidRDefault="00326A03" w:rsidP="00E678E0">
      <w:pPr>
        <w:spacing w:after="0" w:line="276" w:lineRule="auto"/>
        <w:rPr>
          <w:rFonts w:asciiTheme="minorHAnsi" w:hAnsiTheme="minorHAnsi"/>
        </w:rPr>
      </w:pPr>
    </w:p>
    <w:p w:rsidR="004D4924" w:rsidRPr="00D050E9" w:rsidRDefault="004D4924" w:rsidP="00E678E0">
      <w:pPr>
        <w:spacing w:line="276" w:lineRule="auto"/>
        <w:rPr>
          <w:rFonts w:asciiTheme="minorHAnsi" w:hAnsiTheme="minorHAnsi"/>
        </w:rPr>
      </w:pPr>
      <w:r w:rsidRPr="00E116E8">
        <w:rPr>
          <w:rFonts w:asciiTheme="minorHAnsi" w:hAnsiTheme="minorHAnsi"/>
        </w:rPr>
        <w:lastRenderedPageBreak/>
        <w:t xml:space="preserve">Za spodbujanje založniške dejavnosti </w:t>
      </w:r>
      <w:r w:rsidR="00E678E0" w:rsidRPr="00E116E8">
        <w:rPr>
          <w:rFonts w:asciiTheme="minorHAnsi" w:hAnsiTheme="minorHAnsi"/>
        </w:rPr>
        <w:t>(podpore za izdaj</w:t>
      </w:r>
      <w:r w:rsidR="00C35DC1" w:rsidRPr="00E116E8">
        <w:rPr>
          <w:rFonts w:asciiTheme="minorHAnsi" w:hAnsiTheme="minorHAnsi"/>
        </w:rPr>
        <w:t>a</w:t>
      </w:r>
      <w:r w:rsidR="00E678E0" w:rsidRPr="00E116E8">
        <w:rPr>
          <w:rFonts w:asciiTheme="minorHAnsi" w:hAnsiTheme="minorHAnsi"/>
        </w:rPr>
        <w:t>n</w:t>
      </w:r>
      <w:r w:rsidR="00C35DC1" w:rsidRPr="00E116E8">
        <w:rPr>
          <w:rFonts w:asciiTheme="minorHAnsi" w:hAnsiTheme="minorHAnsi"/>
        </w:rPr>
        <w:t>j</w:t>
      </w:r>
      <w:r w:rsidR="00E678E0" w:rsidRPr="00E116E8">
        <w:rPr>
          <w:rFonts w:asciiTheme="minorHAnsi" w:hAnsiTheme="minorHAnsi"/>
        </w:rPr>
        <w:t>e knjig in revij, razvijanje bralne kulture, organiziranje literarnih dogodkov, spodbude za knjigarniške mreže, štipendije za avtorje in prevode)</w:t>
      </w:r>
      <w:r w:rsidRPr="00E116E8">
        <w:rPr>
          <w:rFonts w:asciiTheme="minorHAnsi" w:hAnsiTheme="minorHAnsi"/>
        </w:rPr>
        <w:t xml:space="preserve"> je</w:t>
      </w:r>
      <w:r w:rsidRPr="00D050E9">
        <w:rPr>
          <w:rFonts w:asciiTheme="minorHAnsi" w:hAnsiTheme="minorHAnsi"/>
        </w:rPr>
        <w:t xml:space="preserve"> bilo v letu 2017 izplačanih 3,79 mio EUR ali 37 % pomoči za kulturo in avdio</w:t>
      </w:r>
      <w:r w:rsidR="002F73B1" w:rsidRPr="00D050E9">
        <w:rPr>
          <w:rFonts w:asciiTheme="minorHAnsi" w:hAnsiTheme="minorHAnsi"/>
        </w:rPr>
        <w:t>vizualno dejavno</w:t>
      </w:r>
      <w:r w:rsidRPr="00D050E9">
        <w:rPr>
          <w:rFonts w:asciiTheme="minorHAnsi" w:hAnsiTheme="minorHAnsi"/>
        </w:rPr>
        <w:t xml:space="preserve">st. </w:t>
      </w:r>
    </w:p>
    <w:p w:rsidR="00010B65" w:rsidRPr="00D050E9" w:rsidRDefault="00070A29" w:rsidP="00070A29">
      <w:pPr>
        <w:pStyle w:val="Caption"/>
        <w:rPr>
          <w:color w:val="auto"/>
        </w:rPr>
      </w:pPr>
      <w:bookmarkStart w:id="105" w:name="_Toc530654661"/>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46</w:t>
      </w:r>
      <w:r w:rsidRPr="00D050E9">
        <w:rPr>
          <w:color w:val="auto"/>
        </w:rPr>
        <w:fldChar w:fldCharType="end"/>
      </w:r>
      <w:r w:rsidR="00010B65" w:rsidRPr="00D050E9">
        <w:rPr>
          <w:color w:val="auto"/>
        </w:rPr>
        <w:t xml:space="preserve">: </w:t>
      </w:r>
      <w:r w:rsidRPr="00D050E9">
        <w:rPr>
          <w:color w:val="auto"/>
        </w:rPr>
        <w:t>Državne p</w:t>
      </w:r>
      <w:r w:rsidR="00010B65" w:rsidRPr="00D050E9">
        <w:rPr>
          <w:color w:val="auto"/>
        </w:rPr>
        <w:t>omoči za kulturo in avdiovizualni sektor po namenih, 2015</w:t>
      </w:r>
      <w:r w:rsidRPr="00D050E9">
        <w:rPr>
          <w:color w:val="auto"/>
        </w:rPr>
        <w:t>–</w:t>
      </w:r>
      <w:r w:rsidR="00010B65" w:rsidRPr="00D050E9">
        <w:rPr>
          <w:color w:val="auto"/>
        </w:rPr>
        <w:t>2017</w:t>
      </w:r>
      <w:bookmarkEnd w:id="105"/>
    </w:p>
    <w:p w:rsidR="00010B65" w:rsidRPr="00D050E9" w:rsidRDefault="00010B65">
      <w:pPr>
        <w:spacing w:line="276" w:lineRule="auto"/>
        <w:jc w:val="left"/>
        <w:rPr>
          <w:rFonts w:asciiTheme="minorHAnsi" w:hAnsiTheme="minorHAnsi"/>
          <w:b/>
          <w:color w:val="5F497A" w:themeColor="accent4" w:themeShade="BF"/>
        </w:rPr>
      </w:pPr>
      <w:r w:rsidRPr="00D050E9">
        <w:rPr>
          <w:noProof/>
          <w:lang w:eastAsia="sl-SI"/>
        </w:rPr>
        <w:drawing>
          <wp:inline distT="0" distB="0" distL="0" distR="0" wp14:anchorId="4BAB1528" wp14:editId="7D5783DB">
            <wp:extent cx="5471160" cy="242316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D4924" w:rsidRPr="00D050E9" w:rsidRDefault="004D4924" w:rsidP="004D4924">
      <w:pPr>
        <w:spacing w:line="276" w:lineRule="auto"/>
        <w:rPr>
          <w:rFonts w:asciiTheme="minorHAnsi" w:hAnsiTheme="minorHAnsi"/>
        </w:rPr>
      </w:pPr>
      <w:r w:rsidRPr="00D050E9">
        <w:rPr>
          <w:rFonts w:asciiTheme="minorHAnsi" w:hAnsiTheme="minorHAnsi"/>
        </w:rPr>
        <w:t>Največji prejemniki za kulturo in avdiovizualno dejavnost</w:t>
      </w:r>
      <w:r w:rsidR="00070A29" w:rsidRPr="00D050E9">
        <w:rPr>
          <w:rFonts w:asciiTheme="minorHAnsi" w:hAnsiTheme="minorHAnsi"/>
        </w:rPr>
        <w:t xml:space="preserve"> v obdobju 2015–2017 so bili:</w:t>
      </w:r>
    </w:p>
    <w:tbl>
      <w:tblPr>
        <w:tblStyle w:val="LightShading-Accent4"/>
        <w:tblW w:w="5000" w:type="pct"/>
        <w:tblLook w:val="04A0" w:firstRow="1" w:lastRow="0" w:firstColumn="1" w:lastColumn="0" w:noHBand="0" w:noVBand="1"/>
      </w:tblPr>
      <w:tblGrid>
        <w:gridCol w:w="3703"/>
        <w:gridCol w:w="1034"/>
        <w:gridCol w:w="1087"/>
        <w:gridCol w:w="1192"/>
        <w:gridCol w:w="1192"/>
        <w:gridCol w:w="1192"/>
      </w:tblGrid>
      <w:tr w:rsidR="00326A03" w:rsidRPr="00D050E9" w:rsidTr="00326A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Prejemnik pomoči</w:t>
            </w:r>
          </w:p>
        </w:tc>
        <w:tc>
          <w:tcPr>
            <w:tcW w:w="550" w:type="pct"/>
            <w:hideMark/>
          </w:tcPr>
          <w:p w:rsidR="00326A03" w:rsidRPr="00D050E9" w:rsidRDefault="00326A03" w:rsidP="00326A03">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 </w:t>
            </w:r>
          </w:p>
        </w:tc>
        <w:tc>
          <w:tcPr>
            <w:tcW w:w="578" w:type="pct"/>
            <w:hideMark/>
          </w:tcPr>
          <w:p w:rsidR="00326A03" w:rsidRPr="00D050E9" w:rsidRDefault="00326A03" w:rsidP="00326A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2015</w:t>
            </w:r>
          </w:p>
        </w:tc>
        <w:tc>
          <w:tcPr>
            <w:tcW w:w="634" w:type="pct"/>
            <w:hideMark/>
          </w:tcPr>
          <w:p w:rsidR="00326A03" w:rsidRPr="00D050E9" w:rsidRDefault="00326A03" w:rsidP="00326A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2016</w:t>
            </w:r>
          </w:p>
        </w:tc>
        <w:tc>
          <w:tcPr>
            <w:tcW w:w="634" w:type="pct"/>
            <w:hideMark/>
          </w:tcPr>
          <w:p w:rsidR="00326A03" w:rsidRPr="00D050E9" w:rsidRDefault="00326A03" w:rsidP="00326A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2017</w:t>
            </w:r>
          </w:p>
        </w:tc>
        <w:tc>
          <w:tcPr>
            <w:tcW w:w="634" w:type="pct"/>
            <w:hideMark/>
          </w:tcPr>
          <w:p w:rsidR="00326A03" w:rsidRPr="00D050E9" w:rsidRDefault="00326A03" w:rsidP="00326A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color w:val="auto"/>
                <w:sz w:val="18"/>
                <w:szCs w:val="18"/>
                <w:lang w:eastAsia="sl-SI"/>
              </w:rPr>
            </w:pPr>
            <w:r w:rsidRPr="00D050E9">
              <w:rPr>
                <w:rFonts w:ascii="Calibri" w:eastAsia="Times New Roman" w:hAnsi="Calibri" w:cs="Arial"/>
                <w:b w:val="0"/>
                <w:color w:val="auto"/>
                <w:sz w:val="18"/>
                <w:szCs w:val="18"/>
                <w:lang w:eastAsia="sl-SI"/>
              </w:rPr>
              <w:t>Skupaj</w:t>
            </w:r>
          </w:p>
        </w:tc>
      </w:tr>
      <w:tr w:rsidR="00326A03" w:rsidRPr="00D050E9" w:rsidTr="00326A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VERTIGO zavod za kulturne dejavnosti, Ljubljana</w:t>
            </w:r>
          </w:p>
        </w:tc>
        <w:tc>
          <w:tcPr>
            <w:tcW w:w="550" w:type="pct"/>
            <w:hideMark/>
          </w:tcPr>
          <w:p w:rsidR="00326A03" w:rsidRPr="00D050E9" w:rsidRDefault="00326A03" w:rsidP="00326A0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384.684,80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464.501,38</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629.107,57</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1.478.293,75</w:t>
            </w:r>
          </w:p>
        </w:tc>
      </w:tr>
      <w:tr w:rsidR="00326A03" w:rsidRPr="00D050E9" w:rsidTr="00326A03">
        <w:trPr>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PERFO produkcija in storitve d.o.o.</w:t>
            </w:r>
          </w:p>
        </w:tc>
        <w:tc>
          <w:tcPr>
            <w:tcW w:w="550" w:type="pct"/>
            <w:hideMark/>
          </w:tcPr>
          <w:p w:rsidR="00326A03" w:rsidRPr="00D050E9" w:rsidRDefault="00326A03" w:rsidP="00326A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485.641,34</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423.480,75</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425.433,79</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1.334.555,88</w:t>
            </w:r>
          </w:p>
        </w:tc>
      </w:tr>
      <w:tr w:rsidR="00326A03" w:rsidRPr="00D050E9" w:rsidTr="00326A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Beletrina, zavod za založniško dejavnost</w:t>
            </w:r>
          </w:p>
        </w:tc>
        <w:tc>
          <w:tcPr>
            <w:tcW w:w="550" w:type="pct"/>
            <w:hideMark/>
          </w:tcPr>
          <w:p w:rsidR="00326A03" w:rsidRPr="00D050E9" w:rsidRDefault="00326A03" w:rsidP="00326A0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340.251,40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423.381,73</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421.554,33</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1.185.187,46</w:t>
            </w:r>
          </w:p>
        </w:tc>
      </w:tr>
      <w:tr w:rsidR="00326A03" w:rsidRPr="00D050E9" w:rsidTr="00326A03">
        <w:trPr>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STARA GARA Zavod za kulturne dejavnosti, Ljubljana</w:t>
            </w:r>
          </w:p>
        </w:tc>
        <w:tc>
          <w:tcPr>
            <w:tcW w:w="550" w:type="pct"/>
            <w:hideMark/>
          </w:tcPr>
          <w:p w:rsidR="00326A03" w:rsidRPr="00D050E9" w:rsidRDefault="00326A03" w:rsidP="00326A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487.316,25</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190.855,00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487.772,70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1.165.943,95</w:t>
            </w:r>
          </w:p>
        </w:tc>
      </w:tr>
      <w:tr w:rsidR="00326A03" w:rsidRPr="00D050E9" w:rsidTr="00326A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DRUŠTVO SLOVENSKIH PISATELJEV</w:t>
            </w:r>
          </w:p>
        </w:tc>
        <w:tc>
          <w:tcPr>
            <w:tcW w:w="550" w:type="pct"/>
            <w:hideMark/>
          </w:tcPr>
          <w:p w:rsidR="00326A03" w:rsidRPr="00D050E9" w:rsidRDefault="00326A03" w:rsidP="00326A0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396.327,00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458.526,80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234.040,00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1.088.893,80</w:t>
            </w:r>
          </w:p>
        </w:tc>
      </w:tr>
      <w:tr w:rsidR="00326A03" w:rsidRPr="00D050E9" w:rsidTr="00326A03">
        <w:trPr>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GUSTAV FILM produkcija in storitve d.o.o.</w:t>
            </w:r>
          </w:p>
        </w:tc>
        <w:tc>
          <w:tcPr>
            <w:tcW w:w="550" w:type="pct"/>
            <w:hideMark/>
          </w:tcPr>
          <w:p w:rsidR="00326A03" w:rsidRPr="00D050E9" w:rsidRDefault="00326A03" w:rsidP="00326A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309.042,00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206.625,00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258.064,21</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773.731,21</w:t>
            </w:r>
          </w:p>
        </w:tc>
      </w:tr>
      <w:tr w:rsidR="00326A03" w:rsidRPr="00D050E9" w:rsidTr="00326A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NUKLEUS FILM, FILMSKA PRODUKCIJA, D.O.O.</w:t>
            </w:r>
          </w:p>
        </w:tc>
        <w:tc>
          <w:tcPr>
            <w:tcW w:w="550" w:type="pct"/>
            <w:hideMark/>
          </w:tcPr>
          <w:p w:rsidR="00326A03" w:rsidRPr="00D050E9" w:rsidRDefault="00326A03" w:rsidP="00326A0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204.250,00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431.659,13</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131.854,00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767.763,13</w:t>
            </w:r>
          </w:p>
        </w:tc>
      </w:tr>
      <w:tr w:rsidR="00326A03" w:rsidRPr="00D050E9" w:rsidTr="00326A03">
        <w:trPr>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MLADINSKA KNJIGA ZALOŽBA d.d.</w:t>
            </w:r>
          </w:p>
        </w:tc>
        <w:tc>
          <w:tcPr>
            <w:tcW w:w="550" w:type="pct"/>
            <w:hideMark/>
          </w:tcPr>
          <w:p w:rsidR="00326A03" w:rsidRPr="00D050E9" w:rsidRDefault="00326A03" w:rsidP="00326A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171.100,00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222.500,00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227.850,00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621.450,00</w:t>
            </w:r>
          </w:p>
        </w:tc>
      </w:tr>
      <w:tr w:rsidR="00326A03" w:rsidRPr="00D050E9" w:rsidTr="00326A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LITERARNO - UMETNIŠKO DRUŠTVO LITERATURA</w:t>
            </w:r>
          </w:p>
        </w:tc>
        <w:tc>
          <w:tcPr>
            <w:tcW w:w="550" w:type="pct"/>
            <w:hideMark/>
          </w:tcPr>
          <w:p w:rsidR="00326A03" w:rsidRPr="00D050E9" w:rsidRDefault="00326A03" w:rsidP="00326A03">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202.852,62</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157.628,65</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211.360,00</w:t>
            </w:r>
          </w:p>
        </w:tc>
        <w:tc>
          <w:tcPr>
            <w:tcW w:w="634" w:type="pct"/>
            <w:hideMark/>
          </w:tcPr>
          <w:p w:rsidR="00326A03" w:rsidRPr="00D050E9" w:rsidRDefault="00326A03" w:rsidP="00326A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571.841,27</w:t>
            </w:r>
          </w:p>
        </w:tc>
      </w:tr>
      <w:tr w:rsidR="00326A03" w:rsidRPr="00D050E9" w:rsidTr="00326A03">
        <w:trPr>
          <w:trHeight w:val="20"/>
        </w:trPr>
        <w:tc>
          <w:tcPr>
            <w:cnfStyle w:val="001000000000" w:firstRow="0" w:lastRow="0" w:firstColumn="1" w:lastColumn="0" w:oddVBand="0" w:evenVBand="0" w:oddHBand="0" w:evenHBand="0" w:firstRowFirstColumn="0" w:firstRowLastColumn="0" w:lastRowFirstColumn="0" w:lastRowLastColumn="0"/>
            <w:tcW w:w="1968" w:type="pct"/>
            <w:hideMark/>
          </w:tcPr>
          <w:p w:rsidR="00326A03" w:rsidRPr="00D050E9" w:rsidRDefault="00326A03" w:rsidP="00326A03">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A.A.C. PRODUCTIONS, filmska in video produkcija, d.o.o.</w:t>
            </w:r>
          </w:p>
        </w:tc>
        <w:tc>
          <w:tcPr>
            <w:tcW w:w="550" w:type="pct"/>
            <w:hideMark/>
          </w:tcPr>
          <w:p w:rsidR="00326A03" w:rsidRPr="00D050E9" w:rsidRDefault="00326A03" w:rsidP="00326A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578"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385.000,00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164.882,85</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15.977,50</w:t>
            </w:r>
          </w:p>
        </w:tc>
        <w:tc>
          <w:tcPr>
            <w:tcW w:w="634" w:type="pct"/>
            <w:hideMark/>
          </w:tcPr>
          <w:p w:rsidR="00326A03" w:rsidRPr="00D050E9" w:rsidRDefault="00326A03" w:rsidP="00326A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565.860,35</w:t>
            </w:r>
          </w:p>
        </w:tc>
      </w:tr>
    </w:tbl>
    <w:p w:rsidR="00BF5714" w:rsidRPr="00D050E9" w:rsidRDefault="00BF5714" w:rsidP="00070A29">
      <w:pPr>
        <w:spacing w:after="0" w:line="276" w:lineRule="auto"/>
        <w:jc w:val="left"/>
        <w:rPr>
          <w:rFonts w:asciiTheme="minorHAnsi" w:hAnsiTheme="minorHAnsi"/>
          <w:b/>
          <w:color w:val="5F497A" w:themeColor="accent4" w:themeShade="BF"/>
        </w:rPr>
      </w:pPr>
    </w:p>
    <w:p w:rsidR="00BF5714" w:rsidRDefault="00BF5714" w:rsidP="00BF5714">
      <w:pPr>
        <w:spacing w:line="276" w:lineRule="auto"/>
        <w:rPr>
          <w:rFonts w:asciiTheme="minorHAnsi" w:hAnsiTheme="minorHAnsi"/>
        </w:rPr>
      </w:pPr>
      <w:r w:rsidRPr="00D050E9">
        <w:rPr>
          <w:rFonts w:asciiTheme="minorHAnsi" w:hAnsiTheme="minorHAnsi"/>
        </w:rPr>
        <w:t>V letu</w:t>
      </w:r>
      <w:r w:rsidR="00910111" w:rsidRPr="00D050E9">
        <w:rPr>
          <w:rFonts w:asciiTheme="minorHAnsi" w:hAnsiTheme="minorHAnsi"/>
        </w:rPr>
        <w:t xml:space="preserve"> 2017 je pomoči za kulturo in avdiovizualno</w:t>
      </w:r>
      <w:r w:rsidRPr="00D050E9">
        <w:rPr>
          <w:rFonts w:asciiTheme="minorHAnsi" w:hAnsiTheme="minorHAnsi"/>
        </w:rPr>
        <w:t xml:space="preserve"> dejavnost prejelo 308 upravičencev, kar je 97 ali  okoli 50 % več kot v letu 2016. Več je bilo zlasti prejemnikov pomoči za založniško dejavnost (+89 prejemnikov). Pri enakem skupnem obsegu pomoči to pomeni, da se je povprečna pomoč na prejemnika </w:t>
      </w:r>
      <w:r w:rsidR="002E493A" w:rsidRPr="00D050E9">
        <w:rPr>
          <w:rFonts w:asciiTheme="minorHAnsi" w:hAnsiTheme="minorHAnsi"/>
        </w:rPr>
        <w:t xml:space="preserve">zmanjšala na </w:t>
      </w:r>
      <w:r w:rsidR="00CB0B11" w:rsidRPr="00D050E9">
        <w:rPr>
          <w:rFonts w:asciiTheme="minorHAnsi" w:hAnsiTheme="minorHAnsi"/>
        </w:rPr>
        <w:t>33 tisoč EUR (49</w:t>
      </w:r>
      <w:r w:rsidRPr="00D050E9">
        <w:rPr>
          <w:rFonts w:asciiTheme="minorHAnsi" w:hAnsiTheme="minorHAnsi"/>
        </w:rPr>
        <w:t xml:space="preserve"> tisoč v letu 2016), povprečna višina pomoči v Sloveniji v 2017 za vse pomoči je bila</w:t>
      </w:r>
      <w:r w:rsidR="00CB0B11" w:rsidRPr="00D050E9">
        <w:rPr>
          <w:rFonts w:asciiTheme="minorHAnsi" w:hAnsiTheme="minorHAnsi"/>
        </w:rPr>
        <w:t xml:space="preserve"> </w:t>
      </w:r>
      <w:r w:rsidR="007228D8" w:rsidRPr="00D050E9">
        <w:rPr>
          <w:rFonts w:asciiTheme="minorHAnsi" w:hAnsiTheme="minorHAnsi"/>
        </w:rPr>
        <w:t xml:space="preserve">slabih </w:t>
      </w:r>
      <w:r w:rsidR="00CB0B11" w:rsidRPr="00D050E9">
        <w:rPr>
          <w:rFonts w:asciiTheme="minorHAnsi" w:hAnsiTheme="minorHAnsi"/>
        </w:rPr>
        <w:t>6</w:t>
      </w:r>
      <w:r w:rsidR="007228D8" w:rsidRPr="00D050E9">
        <w:rPr>
          <w:rFonts w:asciiTheme="minorHAnsi" w:hAnsiTheme="minorHAnsi"/>
        </w:rPr>
        <w:t>1</w:t>
      </w:r>
      <w:r w:rsidRPr="00D050E9">
        <w:rPr>
          <w:rFonts w:asciiTheme="minorHAnsi" w:hAnsiTheme="minorHAnsi"/>
        </w:rPr>
        <w:t xml:space="preserve"> tisoč EUR. </w:t>
      </w:r>
    </w:p>
    <w:p w:rsidR="002F606A" w:rsidRDefault="002F606A" w:rsidP="00B23C93">
      <w:pPr>
        <w:pStyle w:val="Heading2"/>
        <w:ind w:left="578" w:hanging="578"/>
      </w:pPr>
      <w:bookmarkStart w:id="106" w:name="_Toc528594659"/>
    </w:p>
    <w:p w:rsidR="007B2E67" w:rsidRPr="00D050E9" w:rsidRDefault="00D943BF" w:rsidP="00B23C93">
      <w:pPr>
        <w:pStyle w:val="Heading2"/>
        <w:ind w:left="578" w:hanging="578"/>
      </w:pPr>
      <w:bookmarkStart w:id="107" w:name="_Toc530654555"/>
      <w:r w:rsidRPr="00D050E9">
        <w:t>4</w:t>
      </w:r>
      <w:r w:rsidR="007B2E67" w:rsidRPr="00D050E9">
        <w:t>.7 USPOSABLJANJE</w:t>
      </w:r>
      <w:bookmarkEnd w:id="106"/>
      <w:bookmarkEnd w:id="107"/>
    </w:p>
    <w:p w:rsidR="00CB410F" w:rsidRDefault="00CB410F" w:rsidP="00CB410F">
      <w:pPr>
        <w:spacing w:after="0" w:line="276" w:lineRule="auto"/>
        <w:rPr>
          <w:rFonts w:asciiTheme="minorHAnsi" w:hAnsiTheme="minorHAnsi"/>
        </w:rPr>
      </w:pPr>
    </w:p>
    <w:p w:rsidR="00070A29" w:rsidRPr="00D050E9" w:rsidRDefault="00135B14" w:rsidP="007B2E67">
      <w:pPr>
        <w:spacing w:line="276" w:lineRule="auto"/>
        <w:rPr>
          <w:rFonts w:asciiTheme="minorHAnsi" w:hAnsiTheme="minorHAnsi"/>
        </w:rPr>
      </w:pPr>
      <w:r w:rsidRPr="00D050E9">
        <w:rPr>
          <w:rFonts w:asciiTheme="minorHAnsi" w:hAnsiTheme="minorHAnsi"/>
        </w:rPr>
        <w:t xml:space="preserve">V letu 2017 je bilo za usposabljanje izplačanih 0,69 mio EUR pomoči, kar je 0,2 % vseh pomoči. Po daljšem obdobju zmanjševanja teh pomoči, ki je trajalo od </w:t>
      </w:r>
      <w:r w:rsidR="002E493A" w:rsidRPr="00D050E9">
        <w:rPr>
          <w:rFonts w:asciiTheme="minorHAnsi" w:hAnsiTheme="minorHAnsi"/>
        </w:rPr>
        <w:t xml:space="preserve">leta </w:t>
      </w:r>
      <w:r w:rsidRPr="00D050E9">
        <w:rPr>
          <w:rFonts w:asciiTheme="minorHAnsi" w:hAnsiTheme="minorHAnsi"/>
        </w:rPr>
        <w:t xml:space="preserve">2012, so se v lanskem letu te pomoči povečale za skoraj 600 tisoč in dosegle raven kot so jo imele v letu 2015. </w:t>
      </w:r>
      <w:r w:rsidR="002E493A" w:rsidRPr="00D050E9">
        <w:rPr>
          <w:rFonts w:asciiTheme="minorHAnsi" w:hAnsiTheme="minorHAnsi"/>
        </w:rPr>
        <w:t xml:space="preserve">Kljub temu so še </w:t>
      </w:r>
      <w:r w:rsidR="00E25DBE" w:rsidRPr="00D050E9">
        <w:rPr>
          <w:rFonts w:asciiTheme="minorHAnsi" w:hAnsiTheme="minorHAnsi"/>
        </w:rPr>
        <w:t>vedno precej nižje kot so bile v letih 2012–2014.</w:t>
      </w:r>
    </w:p>
    <w:p w:rsidR="00070A29" w:rsidRPr="00D050E9" w:rsidRDefault="00070A29" w:rsidP="00070A29">
      <w:pPr>
        <w:pStyle w:val="Caption"/>
        <w:spacing w:line="360" w:lineRule="auto"/>
        <w:rPr>
          <w:color w:val="auto"/>
        </w:rPr>
      </w:pPr>
      <w:bookmarkStart w:id="108" w:name="_Toc530654662"/>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47</w:t>
      </w:r>
      <w:r w:rsidRPr="00D050E9">
        <w:rPr>
          <w:color w:val="auto"/>
        </w:rPr>
        <w:fldChar w:fldCharType="end"/>
      </w:r>
      <w:r w:rsidRPr="00D050E9">
        <w:rPr>
          <w:color w:val="auto"/>
        </w:rPr>
        <w:t>: Državne pomoči za usposabljanje v mio EUR in kot % vseh pomoči, 2008–2017</w:t>
      </w:r>
      <w:bookmarkEnd w:id="108"/>
    </w:p>
    <w:p w:rsidR="0005102F" w:rsidRPr="00D050E9" w:rsidRDefault="00135B14" w:rsidP="008A45CF">
      <w:pPr>
        <w:spacing w:line="276" w:lineRule="auto"/>
        <w:rPr>
          <w:rFonts w:asciiTheme="minorHAnsi" w:hAnsiTheme="minorHAnsi"/>
        </w:rPr>
      </w:pPr>
      <w:r w:rsidRPr="00D050E9">
        <w:rPr>
          <w:noProof/>
          <w:color w:val="E36C0A" w:themeColor="accent6" w:themeShade="BF"/>
          <w:lang w:eastAsia="sl-SI"/>
        </w:rPr>
        <w:drawing>
          <wp:inline distT="0" distB="0" distL="0" distR="0" wp14:anchorId="216A7115" wp14:editId="0B80E429">
            <wp:extent cx="5638800" cy="2567940"/>
            <wp:effectExtent l="0" t="0" r="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A45CF" w:rsidRPr="00D050E9" w:rsidRDefault="00070A29" w:rsidP="008A45CF">
      <w:pPr>
        <w:spacing w:line="276" w:lineRule="auto"/>
        <w:rPr>
          <w:rFonts w:asciiTheme="minorHAnsi" w:hAnsiTheme="minorHAnsi"/>
        </w:rPr>
      </w:pPr>
      <w:r w:rsidRPr="00D050E9">
        <w:rPr>
          <w:rFonts w:asciiTheme="minorHAnsi" w:hAnsiTheme="minorHAnsi"/>
        </w:rPr>
        <w:t xml:space="preserve">K povečanju pomoči za usposabljanje so največ prispevala </w:t>
      </w:r>
      <w:r w:rsidR="002E493A" w:rsidRPr="00D050E9">
        <w:rPr>
          <w:rFonts w:asciiTheme="minorHAnsi" w:hAnsiTheme="minorHAnsi"/>
        </w:rPr>
        <w:t xml:space="preserve">prva izplačila </w:t>
      </w:r>
      <w:r w:rsidR="00F77C69" w:rsidRPr="00D050E9">
        <w:rPr>
          <w:rFonts w:asciiTheme="minorHAnsi" w:hAnsiTheme="minorHAnsi"/>
        </w:rPr>
        <w:t>po novih shemi</w:t>
      </w:r>
      <w:r w:rsidR="002E493A" w:rsidRPr="00D050E9">
        <w:rPr>
          <w:rFonts w:asciiTheme="minorHAnsi" w:hAnsiTheme="minorHAnsi"/>
        </w:rPr>
        <w:t xml:space="preserve"> za usposabljanje</w:t>
      </w:r>
      <w:r w:rsidR="00F77C69" w:rsidRPr="00D050E9">
        <w:rPr>
          <w:rFonts w:asciiTheme="minorHAnsi" w:hAnsiTheme="minorHAnsi"/>
        </w:rPr>
        <w:t xml:space="preserve"> Ministrstva</w:t>
      </w:r>
      <w:r w:rsidR="00135B14" w:rsidRPr="00D050E9">
        <w:rPr>
          <w:rFonts w:asciiTheme="minorHAnsi" w:hAnsiTheme="minorHAnsi"/>
        </w:rPr>
        <w:t xml:space="preserve"> za </w:t>
      </w:r>
      <w:r w:rsidR="00F77C69" w:rsidRPr="00D050E9">
        <w:rPr>
          <w:rFonts w:asciiTheme="minorHAnsi" w:hAnsiTheme="minorHAnsi"/>
        </w:rPr>
        <w:t>delo, družino in socialne zadeve</w:t>
      </w:r>
      <w:r w:rsidR="00DE167A" w:rsidRPr="00D050E9">
        <w:rPr>
          <w:rFonts w:asciiTheme="minorHAnsi" w:hAnsiTheme="minorHAnsi"/>
        </w:rPr>
        <w:t xml:space="preserve"> (v letu 2016 omejeno ministrstvo </w:t>
      </w:r>
      <w:r w:rsidR="00A418E1" w:rsidRPr="00D050E9">
        <w:rPr>
          <w:rFonts w:asciiTheme="minorHAnsi" w:hAnsiTheme="minorHAnsi"/>
        </w:rPr>
        <w:t xml:space="preserve">državnih </w:t>
      </w:r>
      <w:r w:rsidR="00DE167A" w:rsidRPr="00D050E9">
        <w:rPr>
          <w:rFonts w:asciiTheme="minorHAnsi" w:hAnsiTheme="minorHAnsi"/>
        </w:rPr>
        <w:t>pomoči</w:t>
      </w:r>
      <w:r w:rsidR="00A418E1" w:rsidRPr="00D050E9">
        <w:rPr>
          <w:rFonts w:asciiTheme="minorHAnsi" w:hAnsiTheme="minorHAnsi"/>
        </w:rPr>
        <w:t xml:space="preserve"> </w:t>
      </w:r>
      <w:r w:rsidR="00DE167A" w:rsidRPr="00D050E9">
        <w:rPr>
          <w:rFonts w:asciiTheme="minorHAnsi" w:hAnsiTheme="minorHAnsi"/>
        </w:rPr>
        <w:t>za ta namen ni izplačevalo)</w:t>
      </w:r>
      <w:r w:rsidR="00B517D6" w:rsidRPr="00D050E9">
        <w:rPr>
          <w:rFonts w:asciiTheme="minorHAnsi" w:hAnsiTheme="minorHAnsi"/>
        </w:rPr>
        <w:t xml:space="preserve">. </w:t>
      </w:r>
      <w:r w:rsidR="00F77C69" w:rsidRPr="00D050E9">
        <w:rPr>
          <w:rFonts w:asciiTheme="minorHAnsi" w:hAnsiTheme="minorHAnsi"/>
        </w:rPr>
        <w:t xml:space="preserve">Namenjene so bile </w:t>
      </w:r>
      <w:r w:rsidR="00B517D6" w:rsidRPr="00D050E9">
        <w:rPr>
          <w:rFonts w:asciiTheme="minorHAnsi" w:hAnsiTheme="minorHAnsi"/>
        </w:rPr>
        <w:t>za usposabljanje zaposlenih v podjetj</w:t>
      </w:r>
      <w:r w:rsidR="00C74B91" w:rsidRPr="00D050E9">
        <w:rPr>
          <w:rFonts w:asciiTheme="minorHAnsi" w:hAnsiTheme="minorHAnsi"/>
        </w:rPr>
        <w:t>ih</w:t>
      </w:r>
      <w:r w:rsidR="002E493A" w:rsidRPr="00D050E9">
        <w:rPr>
          <w:rFonts w:asciiTheme="minorHAnsi" w:hAnsiTheme="minorHAnsi"/>
        </w:rPr>
        <w:t>, ki se združujejo v</w:t>
      </w:r>
      <w:r w:rsidR="00B517D6" w:rsidRPr="00D050E9">
        <w:rPr>
          <w:rFonts w:asciiTheme="minorHAnsi" w:hAnsiTheme="minorHAnsi"/>
        </w:rPr>
        <w:t xml:space="preserve"> partnerstva določene panoge (</w:t>
      </w:r>
      <w:r w:rsidR="00B517D6" w:rsidRPr="00D050E9">
        <w:rPr>
          <w:rFonts w:asciiTheme="minorHAnsi" w:hAnsiTheme="minorHAnsi"/>
          <w:b/>
        </w:rPr>
        <w:t>kompetenčni centri</w:t>
      </w:r>
      <w:r w:rsidR="00B517D6" w:rsidRPr="00D050E9">
        <w:rPr>
          <w:rFonts w:asciiTheme="minorHAnsi" w:hAnsiTheme="minorHAnsi"/>
        </w:rPr>
        <w:t>)</w:t>
      </w:r>
      <w:r w:rsidR="002E493A" w:rsidRPr="00D050E9">
        <w:rPr>
          <w:rFonts w:asciiTheme="minorHAnsi" w:hAnsiTheme="minorHAnsi"/>
        </w:rPr>
        <w:t>. Ti centri</w:t>
      </w:r>
      <w:r w:rsidR="00F77C69" w:rsidRPr="00D050E9">
        <w:rPr>
          <w:rFonts w:asciiTheme="minorHAnsi" w:hAnsiTheme="minorHAnsi"/>
        </w:rPr>
        <w:t xml:space="preserve"> spodbujajo kroženje</w:t>
      </w:r>
      <w:r w:rsidR="00B517D6" w:rsidRPr="00D050E9">
        <w:rPr>
          <w:rFonts w:asciiTheme="minorHAnsi" w:hAnsiTheme="minorHAnsi"/>
        </w:rPr>
        <w:t xml:space="preserve"> znanja zaposlenih, sodelovanje pri razvoju</w:t>
      </w:r>
      <w:r w:rsidR="00DE167A" w:rsidRPr="00D050E9">
        <w:rPr>
          <w:rFonts w:asciiTheme="minorHAnsi" w:hAnsiTheme="minorHAnsi"/>
        </w:rPr>
        <w:t xml:space="preserve"> kadrov in prenos d</w:t>
      </w:r>
      <w:r w:rsidR="00B517D6" w:rsidRPr="00D050E9">
        <w:rPr>
          <w:rFonts w:asciiTheme="minorHAnsi" w:hAnsiTheme="minorHAnsi"/>
        </w:rPr>
        <w:t xml:space="preserve">obrih praks. </w:t>
      </w:r>
      <w:r w:rsidR="00F77C69" w:rsidRPr="00D050E9">
        <w:rPr>
          <w:rFonts w:asciiTheme="minorHAnsi" w:hAnsiTheme="minorHAnsi"/>
        </w:rPr>
        <w:t xml:space="preserve">Skupaj je bilo za ta namen izplačanih </w:t>
      </w:r>
      <w:r w:rsidR="00140F4C" w:rsidRPr="00D050E9">
        <w:rPr>
          <w:rFonts w:asciiTheme="minorHAnsi" w:hAnsiTheme="minorHAnsi"/>
        </w:rPr>
        <w:t>589 tisoč EUR</w:t>
      </w:r>
      <w:r w:rsidR="007F4205" w:rsidRPr="00D050E9">
        <w:rPr>
          <w:rFonts w:asciiTheme="minorHAnsi" w:hAnsiTheme="minorHAnsi"/>
        </w:rPr>
        <w:t xml:space="preserve"> ali </w:t>
      </w:r>
      <w:r w:rsidR="007F4205" w:rsidRPr="00D050E9">
        <w:rPr>
          <w:rFonts w:asciiTheme="minorHAnsi" w:hAnsiTheme="minorHAnsi"/>
          <w:b/>
        </w:rPr>
        <w:t>85 %</w:t>
      </w:r>
      <w:r w:rsidR="007F4205" w:rsidRPr="00D050E9">
        <w:rPr>
          <w:rFonts w:asciiTheme="minorHAnsi" w:hAnsiTheme="minorHAnsi"/>
        </w:rPr>
        <w:t xml:space="preserve"> vseh pomoči za usposabljanje</w:t>
      </w:r>
      <w:r w:rsidR="002E493A" w:rsidRPr="00D050E9">
        <w:rPr>
          <w:rFonts w:asciiTheme="minorHAnsi" w:hAnsiTheme="minorHAnsi"/>
        </w:rPr>
        <w:t xml:space="preserve"> v letu 2017</w:t>
      </w:r>
      <w:r w:rsidR="00140F4C" w:rsidRPr="00D050E9">
        <w:rPr>
          <w:rFonts w:asciiTheme="minorHAnsi" w:hAnsiTheme="minorHAnsi"/>
        </w:rPr>
        <w:t>. Program je sofinanciran iz s</w:t>
      </w:r>
      <w:r w:rsidR="00F77C69" w:rsidRPr="00D050E9">
        <w:rPr>
          <w:rFonts w:asciiTheme="minorHAnsi" w:hAnsiTheme="minorHAnsi"/>
        </w:rPr>
        <w:t>redstev Evropskega socialne sklada</w:t>
      </w:r>
      <w:r w:rsidR="00140F4C" w:rsidRPr="00D050E9">
        <w:rPr>
          <w:rFonts w:asciiTheme="minorHAnsi" w:hAnsiTheme="minorHAnsi"/>
        </w:rPr>
        <w:t>, p</w:t>
      </w:r>
      <w:r w:rsidR="00F77C69" w:rsidRPr="00D050E9">
        <w:rPr>
          <w:rFonts w:asciiTheme="minorHAnsi" w:hAnsiTheme="minorHAnsi"/>
        </w:rPr>
        <w:t>omoč</w:t>
      </w:r>
      <w:r w:rsidR="00140F4C" w:rsidRPr="00D050E9">
        <w:rPr>
          <w:rFonts w:asciiTheme="minorHAnsi" w:hAnsiTheme="minorHAnsi"/>
        </w:rPr>
        <w:t>i pa</w:t>
      </w:r>
      <w:r w:rsidR="00F77C69" w:rsidRPr="00D050E9">
        <w:rPr>
          <w:rFonts w:asciiTheme="minorHAnsi" w:hAnsiTheme="minorHAnsi"/>
        </w:rPr>
        <w:t xml:space="preserve"> izplačuje Javni štipendijski, razvojni, invalidski in preživninski sklad RS. </w:t>
      </w:r>
    </w:p>
    <w:p w:rsidR="00124F1C" w:rsidRDefault="00BC045F" w:rsidP="008A45CF">
      <w:pPr>
        <w:spacing w:line="276" w:lineRule="auto"/>
        <w:rPr>
          <w:rFonts w:asciiTheme="minorHAnsi" w:hAnsiTheme="minorHAnsi"/>
        </w:rPr>
      </w:pPr>
      <w:r w:rsidRPr="00D050E9">
        <w:rPr>
          <w:rFonts w:asciiTheme="minorHAnsi" w:hAnsiTheme="minorHAnsi"/>
        </w:rPr>
        <w:t>Državne p</w:t>
      </w:r>
      <w:r w:rsidR="00F77C69" w:rsidRPr="00D050E9">
        <w:rPr>
          <w:rFonts w:asciiTheme="minorHAnsi" w:hAnsiTheme="minorHAnsi"/>
        </w:rPr>
        <w:t>omoč</w:t>
      </w:r>
      <w:r w:rsidR="002E493A" w:rsidRPr="00D050E9">
        <w:rPr>
          <w:rFonts w:asciiTheme="minorHAnsi" w:hAnsiTheme="minorHAnsi"/>
        </w:rPr>
        <w:t>i</w:t>
      </w:r>
      <w:r w:rsidR="00F77C69" w:rsidRPr="00D050E9">
        <w:rPr>
          <w:rFonts w:asciiTheme="minorHAnsi" w:hAnsiTheme="minorHAnsi"/>
        </w:rPr>
        <w:t xml:space="preserve"> za u</w:t>
      </w:r>
      <w:r w:rsidR="00140F4C" w:rsidRPr="00D050E9">
        <w:rPr>
          <w:rFonts w:asciiTheme="minorHAnsi" w:hAnsiTheme="minorHAnsi"/>
        </w:rPr>
        <w:t xml:space="preserve">sposabljanje dodeljuje </w:t>
      </w:r>
      <w:r w:rsidR="002E493A" w:rsidRPr="00D050E9">
        <w:rPr>
          <w:rFonts w:asciiTheme="minorHAnsi" w:hAnsiTheme="minorHAnsi"/>
        </w:rPr>
        <w:t>tudi</w:t>
      </w:r>
      <w:r w:rsidR="00F77C69" w:rsidRPr="00D050E9">
        <w:rPr>
          <w:rFonts w:asciiTheme="minorHAnsi" w:hAnsiTheme="minorHAnsi"/>
        </w:rPr>
        <w:t xml:space="preserve"> Ministrstvo za gospodarski razvoj in tehnologijo</w:t>
      </w:r>
      <w:r w:rsidR="00124F1C" w:rsidRPr="00D050E9">
        <w:rPr>
          <w:rFonts w:asciiTheme="minorHAnsi" w:hAnsiTheme="minorHAnsi"/>
        </w:rPr>
        <w:t xml:space="preserve"> preko</w:t>
      </w:r>
      <w:r w:rsidR="00140F4C" w:rsidRPr="00D050E9">
        <w:rPr>
          <w:rFonts w:asciiTheme="minorHAnsi" w:hAnsiTheme="minorHAnsi"/>
        </w:rPr>
        <w:t xml:space="preserve"> </w:t>
      </w:r>
      <w:r w:rsidR="00124F1C" w:rsidRPr="00D050E9">
        <w:rPr>
          <w:rFonts w:asciiTheme="minorHAnsi" w:hAnsiTheme="minorHAnsi"/>
        </w:rPr>
        <w:t xml:space="preserve">Javne </w:t>
      </w:r>
      <w:r w:rsidR="00140F4C" w:rsidRPr="00D050E9">
        <w:rPr>
          <w:rFonts w:asciiTheme="minorHAnsi" w:hAnsiTheme="minorHAnsi"/>
        </w:rPr>
        <w:t>agencije</w:t>
      </w:r>
      <w:r w:rsidR="00124F1C" w:rsidRPr="00D050E9">
        <w:rPr>
          <w:rFonts w:asciiTheme="minorHAnsi" w:hAnsiTheme="minorHAnsi"/>
        </w:rPr>
        <w:t xml:space="preserve"> SPIRIT</w:t>
      </w:r>
      <w:r w:rsidR="007F4205" w:rsidRPr="00D050E9">
        <w:rPr>
          <w:rFonts w:asciiTheme="minorHAnsi" w:hAnsiTheme="minorHAnsi"/>
        </w:rPr>
        <w:t xml:space="preserve">. V </w:t>
      </w:r>
      <w:r w:rsidR="00F77C69" w:rsidRPr="00D050E9">
        <w:rPr>
          <w:rFonts w:asciiTheme="minorHAnsi" w:hAnsiTheme="minorHAnsi"/>
        </w:rPr>
        <w:t xml:space="preserve">letu 2017 </w:t>
      </w:r>
      <w:r w:rsidR="00140F4C" w:rsidRPr="00D050E9">
        <w:rPr>
          <w:rFonts w:asciiTheme="minorHAnsi" w:hAnsiTheme="minorHAnsi"/>
        </w:rPr>
        <w:t xml:space="preserve">je bilo izplačanih za 105 tisoč </w:t>
      </w:r>
      <w:r w:rsidR="002E493A" w:rsidRPr="00D050E9">
        <w:rPr>
          <w:rFonts w:asciiTheme="minorHAnsi" w:hAnsiTheme="minorHAnsi"/>
        </w:rPr>
        <w:t xml:space="preserve">EUR </w:t>
      </w:r>
      <w:r w:rsidR="00C74B91" w:rsidRPr="00D050E9">
        <w:rPr>
          <w:rFonts w:asciiTheme="minorHAnsi" w:hAnsiTheme="minorHAnsi"/>
        </w:rPr>
        <w:t xml:space="preserve">pomoči </w:t>
      </w:r>
      <w:r w:rsidR="007F4205" w:rsidRPr="00D050E9">
        <w:rPr>
          <w:rFonts w:asciiTheme="minorHAnsi" w:hAnsiTheme="minorHAnsi"/>
        </w:rPr>
        <w:t>(</w:t>
      </w:r>
      <w:r w:rsidR="007F4205" w:rsidRPr="00D050E9">
        <w:rPr>
          <w:rFonts w:asciiTheme="minorHAnsi" w:hAnsiTheme="minorHAnsi"/>
          <w:b/>
        </w:rPr>
        <w:t>15 %</w:t>
      </w:r>
      <w:r w:rsidR="007F4205" w:rsidRPr="00D050E9">
        <w:rPr>
          <w:rFonts w:asciiTheme="minorHAnsi" w:hAnsiTheme="minorHAnsi"/>
        </w:rPr>
        <w:t xml:space="preserve"> pomoči za usposabljanje)</w:t>
      </w:r>
      <w:r w:rsidR="00140F4C" w:rsidRPr="00D050E9">
        <w:rPr>
          <w:rFonts w:asciiTheme="minorHAnsi" w:hAnsiTheme="minorHAnsi"/>
        </w:rPr>
        <w:t xml:space="preserve">, </w:t>
      </w:r>
      <w:r w:rsidR="007F4205" w:rsidRPr="00D050E9">
        <w:rPr>
          <w:rFonts w:asciiTheme="minorHAnsi" w:hAnsiTheme="minorHAnsi"/>
        </w:rPr>
        <w:t xml:space="preserve">Pomoči so bile </w:t>
      </w:r>
      <w:r w:rsidR="00F77C69" w:rsidRPr="00D050E9">
        <w:rPr>
          <w:rFonts w:asciiTheme="minorHAnsi" w:hAnsiTheme="minorHAnsi"/>
        </w:rPr>
        <w:t xml:space="preserve">pretežno namenjene za </w:t>
      </w:r>
      <w:r w:rsidR="00F77C69" w:rsidRPr="00D050E9">
        <w:rPr>
          <w:rFonts w:asciiTheme="minorHAnsi" w:hAnsiTheme="minorHAnsi"/>
          <w:b/>
        </w:rPr>
        <w:t>izobraževanje in usposabljanje za</w:t>
      </w:r>
      <w:r w:rsidR="00140F4C" w:rsidRPr="00D050E9">
        <w:rPr>
          <w:rFonts w:asciiTheme="minorHAnsi" w:hAnsiTheme="minorHAnsi"/>
          <w:b/>
        </w:rPr>
        <w:t xml:space="preserve"> mednarodno </w:t>
      </w:r>
      <w:r w:rsidR="00140F4C" w:rsidRPr="00E116E8">
        <w:rPr>
          <w:rFonts w:asciiTheme="minorHAnsi" w:hAnsiTheme="minorHAnsi"/>
          <w:b/>
        </w:rPr>
        <w:t>poslovanje podjetij</w:t>
      </w:r>
      <w:r w:rsidR="00140F4C" w:rsidRPr="00E116E8">
        <w:rPr>
          <w:rFonts w:asciiTheme="minorHAnsi" w:hAnsiTheme="minorHAnsi"/>
        </w:rPr>
        <w:t xml:space="preserve">. </w:t>
      </w:r>
      <w:r w:rsidR="00124F1C" w:rsidRPr="00E116E8">
        <w:rPr>
          <w:rFonts w:asciiTheme="minorHAnsi" w:hAnsiTheme="minorHAnsi"/>
        </w:rPr>
        <w:t xml:space="preserve">Vse pomoči </w:t>
      </w:r>
      <w:r w:rsidR="00A27E9A" w:rsidRPr="00E116E8">
        <w:rPr>
          <w:rFonts w:asciiTheme="minorHAnsi" w:hAnsiTheme="minorHAnsi"/>
        </w:rPr>
        <w:t xml:space="preserve">so </w:t>
      </w:r>
      <w:r w:rsidR="00124F1C" w:rsidRPr="00E116E8">
        <w:rPr>
          <w:rFonts w:asciiTheme="minorHAnsi" w:hAnsiTheme="minorHAnsi"/>
        </w:rPr>
        <w:t xml:space="preserve">bile izplačane kot </w:t>
      </w:r>
      <w:r w:rsidR="000E662C" w:rsidRPr="00E116E8">
        <w:rPr>
          <w:rFonts w:asciiTheme="minorHAnsi" w:hAnsiTheme="minorHAnsi"/>
        </w:rPr>
        <w:t>subvencije.</w:t>
      </w:r>
      <w:r w:rsidR="000E662C" w:rsidRPr="00D050E9">
        <w:rPr>
          <w:rFonts w:asciiTheme="minorHAnsi" w:hAnsiTheme="minorHAnsi"/>
        </w:rPr>
        <w:t xml:space="preserve">  </w:t>
      </w:r>
    </w:p>
    <w:p w:rsidR="00F77C69" w:rsidRPr="00D050E9" w:rsidRDefault="00070A29" w:rsidP="00070A29">
      <w:pPr>
        <w:pStyle w:val="Caption"/>
        <w:rPr>
          <w:color w:val="auto"/>
        </w:rPr>
      </w:pPr>
      <w:bookmarkStart w:id="109" w:name="_Toc530654602"/>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18</w:t>
      </w:r>
      <w:r w:rsidRPr="00D050E9">
        <w:rPr>
          <w:color w:val="auto"/>
        </w:rPr>
        <w:fldChar w:fldCharType="end"/>
      </w:r>
      <w:r w:rsidR="00DE167A" w:rsidRPr="00D050E9">
        <w:rPr>
          <w:color w:val="auto"/>
        </w:rPr>
        <w:t>: Državne pomoči za usposabljanje po shemah in priglasiteljih, 2015–2017</w:t>
      </w:r>
      <w:bookmarkEnd w:id="109"/>
    </w:p>
    <w:p w:rsidR="0005102F" w:rsidRPr="00D050E9" w:rsidRDefault="0005102F" w:rsidP="001417F9">
      <w:pPr>
        <w:spacing w:after="0"/>
        <w:rPr>
          <w:lang w:bidi="hi-IN"/>
        </w:rPr>
      </w:pPr>
    </w:p>
    <w:tbl>
      <w:tblPr>
        <w:tblStyle w:val="LightGrid-Accent5"/>
        <w:tblW w:w="0" w:type="auto"/>
        <w:tblLook w:val="04A0" w:firstRow="1" w:lastRow="0" w:firstColumn="1" w:lastColumn="0" w:noHBand="0" w:noVBand="1"/>
      </w:tblPr>
      <w:tblGrid>
        <w:gridCol w:w="1698"/>
        <w:gridCol w:w="1862"/>
        <w:gridCol w:w="1041"/>
        <w:gridCol w:w="1041"/>
        <w:gridCol w:w="1041"/>
        <w:gridCol w:w="725"/>
        <w:gridCol w:w="1223"/>
        <w:gridCol w:w="769"/>
      </w:tblGrid>
      <w:tr w:rsidR="00F77C69" w:rsidRPr="00D050E9" w:rsidTr="000E66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77C69" w:rsidRPr="00D050E9" w:rsidRDefault="00F77C69" w:rsidP="00F77C69">
            <w:pPr>
              <w:jc w:val="center"/>
              <w:rPr>
                <w:rFonts w:ascii="Calibri" w:eastAsia="Times New Roman" w:hAnsi="Calibri" w:cs="Arial"/>
                <w:sz w:val="18"/>
                <w:szCs w:val="18"/>
                <w:lang w:eastAsia="sl-SI"/>
              </w:rPr>
            </w:pPr>
            <w:r w:rsidRPr="00D050E9">
              <w:rPr>
                <w:rFonts w:ascii="Calibri" w:eastAsia="Times New Roman" w:hAnsi="Calibri" w:cs="Arial"/>
                <w:sz w:val="18"/>
                <w:szCs w:val="18"/>
                <w:lang w:eastAsia="sl-SI"/>
              </w:rPr>
              <w:t>Naziv</w:t>
            </w:r>
          </w:p>
        </w:tc>
        <w:tc>
          <w:tcPr>
            <w:tcW w:w="0" w:type="auto"/>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Priglasitelj</w:t>
            </w:r>
          </w:p>
        </w:tc>
        <w:tc>
          <w:tcPr>
            <w:tcW w:w="0" w:type="auto"/>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2015</w:t>
            </w:r>
          </w:p>
        </w:tc>
        <w:tc>
          <w:tcPr>
            <w:tcW w:w="0" w:type="auto"/>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2016</w:t>
            </w:r>
          </w:p>
        </w:tc>
        <w:tc>
          <w:tcPr>
            <w:tcW w:w="0" w:type="auto"/>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2017</w:t>
            </w:r>
          </w:p>
        </w:tc>
        <w:tc>
          <w:tcPr>
            <w:tcW w:w="0" w:type="auto"/>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Deleži 2017</w:t>
            </w:r>
          </w:p>
        </w:tc>
        <w:tc>
          <w:tcPr>
            <w:tcW w:w="1223" w:type="dxa"/>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Skupaj 2015-2017</w:t>
            </w:r>
          </w:p>
        </w:tc>
        <w:tc>
          <w:tcPr>
            <w:tcW w:w="769" w:type="dxa"/>
            <w:vAlign w:val="center"/>
            <w:hideMark/>
          </w:tcPr>
          <w:p w:rsidR="00F77C69" w:rsidRPr="00D050E9" w:rsidRDefault="00F77C69" w:rsidP="00F77C6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8"/>
                <w:szCs w:val="18"/>
                <w:lang w:eastAsia="sl-SI"/>
              </w:rPr>
            </w:pPr>
            <w:r w:rsidRPr="00D050E9">
              <w:rPr>
                <w:rFonts w:ascii="Calibri" w:eastAsia="Times New Roman" w:hAnsi="Calibri" w:cs="Arial"/>
                <w:sz w:val="18"/>
                <w:szCs w:val="18"/>
                <w:lang w:eastAsia="sl-SI"/>
              </w:rPr>
              <w:t>Deleži 2015-2017</w:t>
            </w:r>
          </w:p>
        </w:tc>
      </w:tr>
      <w:tr w:rsidR="00F77C69" w:rsidRPr="00D050E9" w:rsidTr="000E6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F77C69" w:rsidRPr="00D050E9" w:rsidRDefault="00F77C69" w:rsidP="00F77C69">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Programi za usposabljanje</w:t>
            </w:r>
          </w:p>
        </w:tc>
        <w:tc>
          <w:tcPr>
            <w:tcW w:w="0" w:type="auto"/>
            <w:hideMark/>
          </w:tcPr>
          <w:p w:rsidR="00F77C69" w:rsidRPr="00D050E9" w:rsidRDefault="00F77C69" w:rsidP="00F77C69">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MINISTRSTVO ZA DELO, DRUŽINO, SOCIALNE ZADEVE IN ENAKE MOŽNOSTI</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577.381,97</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589.196,75</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w:t>
            </w:r>
          </w:p>
        </w:tc>
        <w:tc>
          <w:tcPr>
            <w:tcW w:w="1223" w:type="dxa"/>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1.166.578,72</w:t>
            </w:r>
          </w:p>
        </w:tc>
        <w:tc>
          <w:tcPr>
            <w:tcW w:w="769" w:type="dxa"/>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w:t>
            </w:r>
          </w:p>
        </w:tc>
      </w:tr>
      <w:tr w:rsidR="00F77C69" w:rsidRPr="00D050E9" w:rsidTr="000E662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F77C69" w:rsidRPr="00D050E9" w:rsidRDefault="00F77C69" w:rsidP="00F77C69">
            <w:pPr>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Program izvajanja finančnih spodbud MGRT - usposabljanje</w:t>
            </w:r>
          </w:p>
        </w:tc>
        <w:tc>
          <w:tcPr>
            <w:tcW w:w="0" w:type="auto"/>
            <w:hideMark/>
          </w:tcPr>
          <w:p w:rsidR="00F77C69" w:rsidRPr="00D050E9" w:rsidRDefault="00F77C69" w:rsidP="00F77C69">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MINISTRSTVO ZA GOSPODARSKI RAZVOJ IN TEHNOLOGIJO</w:t>
            </w:r>
          </w:p>
        </w:tc>
        <w:tc>
          <w:tcPr>
            <w:tcW w:w="0" w:type="auto"/>
            <w:hideMark/>
          </w:tcPr>
          <w:p w:rsidR="00F77C69" w:rsidRPr="00D050E9" w:rsidRDefault="00F77C69" w:rsidP="00F77C6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95.891,64</w:t>
            </w:r>
          </w:p>
        </w:tc>
        <w:tc>
          <w:tcPr>
            <w:tcW w:w="0" w:type="auto"/>
            <w:hideMark/>
          </w:tcPr>
          <w:p w:rsidR="00F77C69" w:rsidRPr="00D050E9" w:rsidRDefault="00F77C69" w:rsidP="00F77C6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102.999,91</w:t>
            </w:r>
          </w:p>
        </w:tc>
        <w:tc>
          <w:tcPr>
            <w:tcW w:w="0" w:type="auto"/>
            <w:hideMark/>
          </w:tcPr>
          <w:p w:rsidR="00F77C69" w:rsidRPr="00D050E9" w:rsidRDefault="00F77C69" w:rsidP="00F77C6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105.000,00</w:t>
            </w:r>
          </w:p>
        </w:tc>
        <w:tc>
          <w:tcPr>
            <w:tcW w:w="0" w:type="auto"/>
            <w:hideMark/>
          </w:tcPr>
          <w:p w:rsidR="00F77C69" w:rsidRPr="00D050E9" w:rsidRDefault="00F77C69" w:rsidP="00F77C6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w:t>
            </w:r>
          </w:p>
        </w:tc>
        <w:tc>
          <w:tcPr>
            <w:tcW w:w="1223" w:type="dxa"/>
            <w:hideMark/>
          </w:tcPr>
          <w:p w:rsidR="00F77C69" w:rsidRPr="00D050E9" w:rsidRDefault="00F77C69" w:rsidP="00F77C6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303.891,55</w:t>
            </w:r>
          </w:p>
        </w:tc>
        <w:tc>
          <w:tcPr>
            <w:tcW w:w="769" w:type="dxa"/>
            <w:hideMark/>
          </w:tcPr>
          <w:p w:rsidR="00F77C69" w:rsidRPr="00D050E9" w:rsidRDefault="00F77C69" w:rsidP="00F77C6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w:t>
            </w:r>
          </w:p>
        </w:tc>
      </w:tr>
      <w:tr w:rsidR="00F77C69" w:rsidRPr="00D050E9" w:rsidTr="000E6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77C69" w:rsidRPr="00D050E9" w:rsidRDefault="00F77C69" w:rsidP="00F77C69">
            <w:pPr>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r w:rsidR="008717D2" w:rsidRPr="00D050E9">
              <w:rPr>
                <w:rFonts w:ascii="Calibri" w:eastAsia="Times New Roman" w:hAnsi="Calibri" w:cs="Arial"/>
                <w:sz w:val="18"/>
                <w:szCs w:val="18"/>
                <w:lang w:eastAsia="sl-SI"/>
              </w:rPr>
              <w:t>SKUPAJ</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673.273,61</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102.999,91</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xml:space="preserve">694.196,75 </w:t>
            </w:r>
          </w:p>
        </w:tc>
        <w:tc>
          <w:tcPr>
            <w:tcW w:w="0" w:type="auto"/>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xml:space="preserve">100% </w:t>
            </w:r>
          </w:p>
        </w:tc>
        <w:tc>
          <w:tcPr>
            <w:tcW w:w="1223" w:type="dxa"/>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sz w:val="18"/>
                <w:szCs w:val="18"/>
                <w:lang w:eastAsia="sl-SI"/>
              </w:rPr>
            </w:pPr>
            <w:r w:rsidRPr="00D050E9">
              <w:rPr>
                <w:rFonts w:ascii="Calibri" w:eastAsia="Times New Roman" w:hAnsi="Calibri" w:cs="Arial"/>
                <w:b/>
                <w:color w:val="000000"/>
                <w:sz w:val="18"/>
                <w:szCs w:val="18"/>
                <w:lang w:eastAsia="sl-SI"/>
              </w:rPr>
              <w:t xml:space="preserve">1.470.470,27 </w:t>
            </w:r>
          </w:p>
        </w:tc>
        <w:tc>
          <w:tcPr>
            <w:tcW w:w="769" w:type="dxa"/>
            <w:hideMark/>
          </w:tcPr>
          <w:p w:rsidR="00F77C69" w:rsidRPr="00D050E9" w:rsidRDefault="00F77C69" w:rsidP="00F77C6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xml:space="preserve">100% </w:t>
            </w:r>
          </w:p>
        </w:tc>
      </w:tr>
    </w:tbl>
    <w:p w:rsidR="00E82A71" w:rsidRDefault="00E82A71" w:rsidP="00E82A71">
      <w:pPr>
        <w:spacing w:line="276" w:lineRule="auto"/>
        <w:ind w:firstLine="708"/>
        <w:rPr>
          <w:rFonts w:asciiTheme="minorHAnsi" w:hAnsiTheme="minorHAnsi"/>
        </w:rPr>
      </w:pPr>
    </w:p>
    <w:p w:rsidR="002F606A" w:rsidRDefault="002F606A" w:rsidP="00E82A71">
      <w:pPr>
        <w:spacing w:line="276" w:lineRule="auto"/>
        <w:ind w:firstLine="708"/>
        <w:rPr>
          <w:rFonts w:asciiTheme="minorHAnsi" w:hAnsiTheme="minorHAnsi"/>
        </w:rPr>
      </w:pPr>
    </w:p>
    <w:p w:rsidR="002F606A" w:rsidRPr="00D050E9" w:rsidRDefault="002F606A" w:rsidP="00E82A71">
      <w:pPr>
        <w:spacing w:line="276" w:lineRule="auto"/>
        <w:ind w:firstLine="708"/>
        <w:rPr>
          <w:rFonts w:asciiTheme="minorHAnsi" w:hAnsiTheme="minorHAnsi"/>
        </w:rPr>
      </w:pPr>
    </w:p>
    <w:p w:rsidR="002E493A" w:rsidRDefault="002E493A" w:rsidP="001417F9">
      <w:pPr>
        <w:spacing w:after="0" w:line="276" w:lineRule="auto"/>
        <w:rPr>
          <w:rFonts w:asciiTheme="minorHAnsi" w:hAnsiTheme="minorHAnsi"/>
        </w:rPr>
      </w:pPr>
      <w:r w:rsidRPr="00D050E9">
        <w:rPr>
          <w:rFonts w:asciiTheme="minorHAnsi" w:hAnsiTheme="minorHAnsi"/>
        </w:rPr>
        <w:t>Največji prej</w:t>
      </w:r>
      <w:r w:rsidR="0005102F" w:rsidRPr="00D050E9">
        <w:rPr>
          <w:rFonts w:asciiTheme="minorHAnsi" w:hAnsiTheme="minorHAnsi"/>
        </w:rPr>
        <w:t xml:space="preserve">emniki pomoči za usposabljanje v obdobju </w:t>
      </w:r>
      <w:r w:rsidRPr="00D050E9">
        <w:rPr>
          <w:rFonts w:asciiTheme="minorHAnsi" w:hAnsiTheme="minorHAnsi"/>
        </w:rPr>
        <w:t>2015–2017</w:t>
      </w:r>
      <w:r w:rsidR="0005102F" w:rsidRPr="00D050E9">
        <w:rPr>
          <w:rFonts w:asciiTheme="minorHAnsi" w:hAnsiTheme="minorHAnsi"/>
        </w:rPr>
        <w:t xml:space="preserve"> so bili:</w:t>
      </w:r>
    </w:p>
    <w:tbl>
      <w:tblPr>
        <w:tblStyle w:val="LightShading-Accent4"/>
        <w:tblW w:w="0" w:type="auto"/>
        <w:tblLook w:val="04A0" w:firstRow="1" w:lastRow="0" w:firstColumn="1" w:lastColumn="0" w:noHBand="0" w:noVBand="1"/>
      </w:tblPr>
      <w:tblGrid>
        <w:gridCol w:w="5778"/>
        <w:gridCol w:w="1039"/>
        <w:gridCol w:w="581"/>
        <w:gridCol w:w="945"/>
        <w:gridCol w:w="945"/>
      </w:tblGrid>
      <w:tr w:rsidR="00E25DBE" w:rsidRPr="00D050E9" w:rsidTr="0005102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Prejemnik pomoči</w:t>
            </w:r>
          </w:p>
        </w:tc>
        <w:tc>
          <w:tcPr>
            <w:tcW w:w="1039" w:type="dxa"/>
            <w:hideMark/>
          </w:tcPr>
          <w:p w:rsidR="00E25DBE" w:rsidRPr="00D050E9" w:rsidRDefault="00E25DBE" w:rsidP="00FF7F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w:t>
            </w:r>
          </w:p>
        </w:tc>
        <w:tc>
          <w:tcPr>
            <w:tcW w:w="581" w:type="dxa"/>
            <w:hideMark/>
          </w:tcPr>
          <w:p w:rsidR="00E25DBE" w:rsidRPr="00D050E9" w:rsidRDefault="00E25DBE" w:rsidP="00FF7F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2016</w:t>
            </w:r>
          </w:p>
        </w:tc>
        <w:tc>
          <w:tcPr>
            <w:tcW w:w="0" w:type="auto"/>
            <w:hideMark/>
          </w:tcPr>
          <w:p w:rsidR="00E25DBE" w:rsidRPr="00D050E9" w:rsidRDefault="00E25DBE" w:rsidP="00FF7F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w:t>
            </w:r>
          </w:p>
        </w:tc>
        <w:tc>
          <w:tcPr>
            <w:tcW w:w="0" w:type="auto"/>
            <w:hideMark/>
          </w:tcPr>
          <w:p w:rsidR="00E25DBE" w:rsidRPr="00D050E9" w:rsidRDefault="00E25DBE" w:rsidP="00FF7F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w:t>
            </w:r>
          </w:p>
        </w:tc>
      </w:tr>
      <w:tr w:rsidR="00346F19" w:rsidRPr="00D050E9" w:rsidTr="000510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MLADINSKA KNJIGA ZALOŽBA d.d.</w:t>
            </w:r>
          </w:p>
        </w:tc>
        <w:tc>
          <w:tcPr>
            <w:tcW w:w="1039" w:type="dxa"/>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38.850,51</w:t>
            </w: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38.850,51</w:t>
            </w:r>
          </w:p>
        </w:tc>
      </w:tr>
      <w:tr w:rsidR="00E25DBE" w:rsidRPr="00D050E9" w:rsidTr="0005102F">
        <w:trPr>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ISKRATEL, telekomunikacijski sistemi, d.o.o., Kranj</w:t>
            </w:r>
          </w:p>
        </w:tc>
        <w:tc>
          <w:tcPr>
            <w:tcW w:w="1039" w:type="dxa"/>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29.232,00</w:t>
            </w: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8.771,41</w:t>
            </w: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38.003,41</w:t>
            </w:r>
          </w:p>
        </w:tc>
      </w:tr>
      <w:tr w:rsidR="00346F19" w:rsidRPr="00D050E9" w:rsidTr="000510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STEKLARNA ROGAŠKA d.o.o.</w:t>
            </w:r>
          </w:p>
        </w:tc>
        <w:tc>
          <w:tcPr>
            <w:tcW w:w="1039" w:type="dxa"/>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29.999,90</w:t>
            </w: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29.999,90</w:t>
            </w:r>
          </w:p>
        </w:tc>
      </w:tr>
      <w:tr w:rsidR="00E25DBE" w:rsidRPr="00D050E9" w:rsidTr="0005102F">
        <w:trPr>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LUKA KOPER, pristaniški in logistični sistem, delniška družba</w:t>
            </w:r>
          </w:p>
        </w:tc>
        <w:tc>
          <w:tcPr>
            <w:tcW w:w="1039" w:type="dxa"/>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27.803,02</w:t>
            </w: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27.803,02</w:t>
            </w:r>
          </w:p>
        </w:tc>
      </w:tr>
      <w:tr w:rsidR="00346F19" w:rsidRPr="00D050E9" w:rsidTr="000510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Paloma, higienski papirji, d.d.</w:t>
            </w:r>
          </w:p>
        </w:tc>
        <w:tc>
          <w:tcPr>
            <w:tcW w:w="1039" w:type="dxa"/>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25.578,00</w:t>
            </w: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25.578,00</w:t>
            </w:r>
          </w:p>
        </w:tc>
      </w:tr>
      <w:tr w:rsidR="00E25DBE" w:rsidRPr="00D050E9" w:rsidTr="0005102F">
        <w:trPr>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ebm-papst Slovenija proizvodnja elektromotorjev, d.o.o.</w:t>
            </w:r>
          </w:p>
        </w:tc>
        <w:tc>
          <w:tcPr>
            <w:tcW w:w="1039" w:type="dxa"/>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22.837,50</w:t>
            </w: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22.837,50</w:t>
            </w:r>
          </w:p>
        </w:tc>
      </w:tr>
      <w:tr w:rsidR="00346F19" w:rsidRPr="00D050E9" w:rsidTr="000510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DRI upravljanje investicij, Družba za razvoj infrastrukture, d.o.o.</w:t>
            </w:r>
          </w:p>
        </w:tc>
        <w:tc>
          <w:tcPr>
            <w:tcW w:w="1039" w:type="dxa"/>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20.629,07</w:t>
            </w: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20.629,07</w:t>
            </w:r>
          </w:p>
        </w:tc>
      </w:tr>
      <w:tr w:rsidR="00E25DBE" w:rsidRPr="00D050E9" w:rsidTr="0005102F">
        <w:trPr>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AKUSTIKA GROUP, družba za gospodarsko razvojno in organizacijsko upravljanje podjetij, d.o.o.</w:t>
            </w:r>
          </w:p>
        </w:tc>
        <w:tc>
          <w:tcPr>
            <w:tcW w:w="1039" w:type="dxa"/>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19.720,00</w:t>
            </w: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19.720,00</w:t>
            </w:r>
          </w:p>
        </w:tc>
      </w:tr>
      <w:tr w:rsidR="00346F19" w:rsidRPr="00D050E9" w:rsidTr="000510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TRGOŠPAR-P trgovsko-proizvodno podjetje d.o.o.</w:t>
            </w:r>
          </w:p>
        </w:tc>
        <w:tc>
          <w:tcPr>
            <w:tcW w:w="1039" w:type="dxa"/>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19.600,00</w:t>
            </w: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19.600,00</w:t>
            </w:r>
          </w:p>
        </w:tc>
      </w:tr>
      <w:tr w:rsidR="00E25DBE" w:rsidRPr="00D050E9" w:rsidTr="0005102F">
        <w:trPr>
          <w:trHeight w:val="283"/>
        </w:trPr>
        <w:tc>
          <w:tcPr>
            <w:cnfStyle w:val="001000000000" w:firstRow="0" w:lastRow="0" w:firstColumn="1" w:lastColumn="0" w:oddVBand="0" w:evenVBand="0" w:oddHBand="0" w:evenHBand="0" w:firstRowFirstColumn="0" w:firstRowLastColumn="0" w:lastRowFirstColumn="0" w:lastRowLastColumn="0"/>
            <w:tcW w:w="5778" w:type="dxa"/>
            <w:hideMark/>
          </w:tcPr>
          <w:p w:rsidR="00E25DBE" w:rsidRPr="00D050E9" w:rsidRDefault="00E25DBE" w:rsidP="00E25DBE">
            <w:pPr>
              <w:jc w:val="left"/>
              <w:rPr>
                <w:rFonts w:ascii="Calibri" w:eastAsia="Times New Roman" w:hAnsi="Calibri" w:cs="Arial"/>
                <w:color w:val="auto"/>
                <w:sz w:val="18"/>
                <w:szCs w:val="18"/>
                <w:lang w:eastAsia="sl-SI"/>
              </w:rPr>
            </w:pPr>
            <w:r w:rsidRPr="00D050E9">
              <w:rPr>
                <w:rFonts w:ascii="Calibri" w:eastAsia="Times New Roman" w:hAnsi="Calibri" w:cs="Arial"/>
                <w:color w:val="auto"/>
                <w:sz w:val="18"/>
                <w:szCs w:val="18"/>
                <w:lang w:eastAsia="sl-SI"/>
              </w:rPr>
              <w:t>SIBO G. Razvoj in proizvodnja embalaže, d.o.o. v angleškem jeziku: SIBO GROUP Packaging Development and Production LTD</w:t>
            </w:r>
          </w:p>
        </w:tc>
        <w:tc>
          <w:tcPr>
            <w:tcW w:w="1039" w:type="dxa"/>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19.307,68</w:t>
            </w: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p>
        </w:tc>
        <w:tc>
          <w:tcPr>
            <w:tcW w:w="0" w:type="auto"/>
            <w:hideMark/>
          </w:tcPr>
          <w:p w:rsidR="00E25DBE" w:rsidRPr="00D050E9" w:rsidRDefault="00E25DBE" w:rsidP="00FF7F3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19.307,68</w:t>
            </w:r>
          </w:p>
        </w:tc>
      </w:tr>
    </w:tbl>
    <w:p w:rsidR="00124F1C" w:rsidRPr="00D050E9" w:rsidRDefault="00124F1C" w:rsidP="0005102F">
      <w:pPr>
        <w:spacing w:after="0" w:line="276" w:lineRule="auto"/>
        <w:rPr>
          <w:rFonts w:asciiTheme="minorHAnsi" w:hAnsiTheme="minorHAnsi"/>
          <w:b/>
          <w:color w:val="5F497A" w:themeColor="accent4" w:themeShade="BF"/>
        </w:rPr>
      </w:pPr>
    </w:p>
    <w:p w:rsidR="00346F19" w:rsidRPr="00D050E9" w:rsidRDefault="00346F19" w:rsidP="007B2E67">
      <w:pPr>
        <w:spacing w:line="276" w:lineRule="auto"/>
        <w:rPr>
          <w:rFonts w:asciiTheme="minorHAnsi" w:hAnsiTheme="minorHAnsi"/>
        </w:rPr>
      </w:pPr>
      <w:r w:rsidRPr="00D050E9">
        <w:rPr>
          <w:rFonts w:asciiTheme="minorHAnsi" w:hAnsiTheme="minorHAnsi"/>
        </w:rPr>
        <w:t>V letu 2017 je pomoč</w:t>
      </w:r>
      <w:r w:rsidR="0005102F" w:rsidRPr="00D050E9">
        <w:rPr>
          <w:rFonts w:asciiTheme="minorHAnsi" w:hAnsiTheme="minorHAnsi"/>
        </w:rPr>
        <w:t xml:space="preserve"> za usposabljanje</w:t>
      </w:r>
      <w:r w:rsidRPr="00D050E9">
        <w:rPr>
          <w:rFonts w:asciiTheme="minorHAnsi" w:hAnsiTheme="minorHAnsi"/>
        </w:rPr>
        <w:t xml:space="preserve"> prejelo 178 upravičencev (v letu 2016 le 12, v letu 2015 pa 91 upravičencev), povprečna pomoč</w:t>
      </w:r>
      <w:r w:rsidR="002E493A" w:rsidRPr="00D050E9">
        <w:rPr>
          <w:rFonts w:asciiTheme="minorHAnsi" w:hAnsiTheme="minorHAnsi"/>
        </w:rPr>
        <w:t xml:space="preserve"> na upravičenca </w:t>
      </w:r>
      <w:r w:rsidRPr="00D050E9">
        <w:rPr>
          <w:rFonts w:asciiTheme="minorHAnsi" w:hAnsiTheme="minorHAnsi"/>
        </w:rPr>
        <w:t>se je glede na leto 2016 prepolovila, znašala je slabe 4</w:t>
      </w:r>
      <w:r w:rsidR="00A05F9F" w:rsidRPr="00D050E9">
        <w:rPr>
          <w:rFonts w:asciiTheme="minorHAnsi" w:hAnsiTheme="minorHAnsi"/>
        </w:rPr>
        <w:t xml:space="preserve">.000 </w:t>
      </w:r>
      <w:r w:rsidRPr="00D050E9">
        <w:rPr>
          <w:rFonts w:asciiTheme="minorHAnsi" w:hAnsiTheme="minorHAnsi"/>
        </w:rPr>
        <w:t>EUR</w:t>
      </w:r>
      <w:r w:rsidR="0070242D" w:rsidRPr="00D050E9">
        <w:rPr>
          <w:rFonts w:asciiTheme="minorHAnsi" w:hAnsiTheme="minorHAnsi"/>
        </w:rPr>
        <w:t xml:space="preserve"> (7.923 EUR v letu 2016), 124 upravičencev </w:t>
      </w:r>
      <w:r w:rsidR="007228D8" w:rsidRPr="00D050E9">
        <w:rPr>
          <w:rFonts w:asciiTheme="minorHAnsi" w:hAnsiTheme="minorHAnsi"/>
        </w:rPr>
        <w:t xml:space="preserve">je v letu 2017 </w:t>
      </w:r>
      <w:r w:rsidR="0070242D" w:rsidRPr="00D050E9">
        <w:rPr>
          <w:rFonts w:asciiTheme="minorHAnsi" w:hAnsiTheme="minorHAnsi"/>
        </w:rPr>
        <w:t>prejelo manj kot 5</w:t>
      </w:r>
      <w:r w:rsidR="00A05F9F" w:rsidRPr="00D050E9">
        <w:rPr>
          <w:rFonts w:asciiTheme="minorHAnsi" w:hAnsiTheme="minorHAnsi"/>
        </w:rPr>
        <w:t>.</w:t>
      </w:r>
      <w:r w:rsidR="0070242D" w:rsidRPr="00D050E9">
        <w:rPr>
          <w:rFonts w:asciiTheme="minorHAnsi" w:hAnsiTheme="minorHAnsi"/>
        </w:rPr>
        <w:t xml:space="preserve">000 EUR pomoči. </w:t>
      </w:r>
    </w:p>
    <w:p w:rsidR="00CB10B6" w:rsidRPr="00D050E9" w:rsidRDefault="00CB10B6" w:rsidP="00CB10B6">
      <w:pPr>
        <w:spacing w:line="276" w:lineRule="auto"/>
        <w:rPr>
          <w:rFonts w:asciiTheme="minorHAnsi" w:hAnsiTheme="minorHAnsi"/>
        </w:rPr>
      </w:pPr>
      <w:r w:rsidRPr="00D050E9">
        <w:rPr>
          <w:rFonts w:asciiTheme="minorHAnsi" w:hAnsiTheme="minorHAnsi"/>
        </w:rPr>
        <w:t xml:space="preserve">Večina spodbud za usposabljanje se dodeljuje tudi v obliki </w:t>
      </w:r>
      <w:r w:rsidR="009B30E1" w:rsidRPr="009B30E1">
        <w:rPr>
          <w:rFonts w:asciiTheme="minorHAnsi" w:hAnsiTheme="minorHAnsi"/>
          <w:i/>
        </w:rPr>
        <w:t>de minimis</w:t>
      </w:r>
      <w:r w:rsidRPr="00D050E9">
        <w:rPr>
          <w:rFonts w:asciiTheme="minorHAnsi" w:hAnsiTheme="minorHAnsi"/>
        </w:rPr>
        <w:t xml:space="preserve"> pomoči tj. kot pomoči do 200.000 EUR v obdobju treh let (glej poglavje 5). V letu 2017 je bilo kar 80 % vseh spodbud za usposabljanje (70 % 2015–2017) ali 2,62 mio EUR dodeljenih v tej obliki. </w:t>
      </w:r>
    </w:p>
    <w:p w:rsidR="0005102F" w:rsidRPr="00D050E9" w:rsidRDefault="0005102F" w:rsidP="00B9182A">
      <w:pPr>
        <w:pStyle w:val="Heading3"/>
      </w:pPr>
    </w:p>
    <w:p w:rsidR="007B2E67" w:rsidRPr="00D050E9" w:rsidRDefault="007B2E67" w:rsidP="003F2F56">
      <w:pPr>
        <w:pStyle w:val="Heading2"/>
      </w:pPr>
      <w:bookmarkStart w:id="110" w:name="_Toc528594660"/>
      <w:bookmarkStart w:id="111" w:name="_Toc530654556"/>
      <w:r w:rsidRPr="00D050E9">
        <w:t>4.8 TRANSPORT</w:t>
      </w:r>
      <w:bookmarkEnd w:id="110"/>
      <w:bookmarkEnd w:id="111"/>
      <w:r w:rsidRPr="00D050E9">
        <w:t xml:space="preserve"> </w:t>
      </w:r>
    </w:p>
    <w:p w:rsidR="0005102F" w:rsidRPr="00D050E9" w:rsidRDefault="0005102F" w:rsidP="0005102F">
      <w:pPr>
        <w:spacing w:after="0" w:line="276" w:lineRule="auto"/>
        <w:rPr>
          <w:rFonts w:asciiTheme="minorHAnsi" w:hAnsiTheme="minorHAnsi"/>
        </w:rPr>
      </w:pPr>
    </w:p>
    <w:p w:rsidR="00FE3CBD" w:rsidRPr="00D050E9" w:rsidRDefault="00FE3CBD" w:rsidP="007B2E67">
      <w:pPr>
        <w:spacing w:line="276" w:lineRule="auto"/>
        <w:rPr>
          <w:rFonts w:asciiTheme="minorHAnsi" w:hAnsiTheme="minorHAnsi"/>
        </w:rPr>
      </w:pPr>
      <w:r w:rsidRPr="00D050E9">
        <w:rPr>
          <w:rFonts w:asciiTheme="minorHAnsi" w:hAnsiTheme="minorHAnsi"/>
        </w:rPr>
        <w:t>Za pomoči v transportnem sektorju je bilo v letu 2017 izplačanih 4</w:t>
      </w:r>
      <w:r w:rsidR="00F13F11" w:rsidRPr="00D050E9">
        <w:rPr>
          <w:rFonts w:asciiTheme="minorHAnsi" w:hAnsiTheme="minorHAnsi"/>
        </w:rPr>
        <w:t>6,27</w:t>
      </w:r>
      <w:r w:rsidRPr="00D050E9">
        <w:rPr>
          <w:rFonts w:asciiTheme="minorHAnsi" w:hAnsiTheme="minorHAnsi"/>
        </w:rPr>
        <w:t xml:space="preserve"> mio EUR, kar je</w:t>
      </w:r>
      <w:r w:rsidR="00B75570" w:rsidRPr="00D050E9">
        <w:rPr>
          <w:rFonts w:asciiTheme="minorHAnsi" w:hAnsiTheme="minorHAnsi"/>
        </w:rPr>
        <w:t xml:space="preserve"> dobre</w:t>
      </w:r>
      <w:r w:rsidR="00F13F11" w:rsidRPr="00D050E9">
        <w:rPr>
          <w:rFonts w:asciiTheme="minorHAnsi" w:hAnsiTheme="minorHAnsi"/>
        </w:rPr>
        <w:t xml:space="preserve"> 3 mio EUR več kot v letu 2016. P</w:t>
      </w:r>
      <w:r w:rsidRPr="00D050E9">
        <w:rPr>
          <w:rFonts w:asciiTheme="minorHAnsi" w:hAnsiTheme="minorHAnsi"/>
        </w:rPr>
        <w:t>omoči za</w:t>
      </w:r>
      <w:r w:rsidR="00F13F11" w:rsidRPr="00D050E9">
        <w:rPr>
          <w:rFonts w:asciiTheme="minorHAnsi" w:hAnsiTheme="minorHAnsi"/>
        </w:rPr>
        <w:t xml:space="preserve"> transport so predstavljale 10,8</w:t>
      </w:r>
      <w:r w:rsidRPr="00D050E9">
        <w:rPr>
          <w:rFonts w:asciiTheme="minorHAnsi" w:hAnsiTheme="minorHAnsi"/>
        </w:rPr>
        <w:t xml:space="preserve"> % vseh pomoči (11,5 % v letu 2016). </w:t>
      </w:r>
    </w:p>
    <w:p w:rsidR="00FE3CBD" w:rsidRPr="00D050E9" w:rsidRDefault="00CB10B6" w:rsidP="00CB10B6">
      <w:pPr>
        <w:pStyle w:val="Caption"/>
        <w:rPr>
          <w:color w:val="auto"/>
        </w:rPr>
      </w:pPr>
      <w:bookmarkStart w:id="112" w:name="_Toc530654663"/>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48</w:t>
      </w:r>
      <w:r w:rsidRPr="00D050E9">
        <w:rPr>
          <w:color w:val="auto"/>
        </w:rPr>
        <w:fldChar w:fldCharType="end"/>
      </w:r>
      <w:r w:rsidR="00FE3CBD" w:rsidRPr="00D050E9">
        <w:rPr>
          <w:color w:val="auto"/>
        </w:rPr>
        <w:t>: Državne pomoči transportnemu sektorju, 2008–2017, v mio EUR in kot % vseh pomoči</w:t>
      </w:r>
      <w:bookmarkEnd w:id="112"/>
    </w:p>
    <w:p w:rsidR="00971C14" w:rsidRPr="00D050E9" w:rsidRDefault="00971C14" w:rsidP="001417F9">
      <w:pPr>
        <w:spacing w:after="0" w:line="276" w:lineRule="auto"/>
        <w:rPr>
          <w:rFonts w:asciiTheme="minorHAnsi" w:hAnsiTheme="minorHAnsi"/>
          <w:b/>
          <w:color w:val="5F497A" w:themeColor="accent4" w:themeShade="BF"/>
        </w:rPr>
      </w:pPr>
      <w:r w:rsidRPr="00D050E9">
        <w:rPr>
          <w:rFonts w:asciiTheme="minorHAnsi" w:hAnsiTheme="minorHAnsi"/>
          <w:noProof/>
          <w:lang w:eastAsia="sl-SI"/>
        </w:rPr>
        <w:drawing>
          <wp:inline distT="0" distB="0" distL="0" distR="0" wp14:anchorId="6ABDAED7" wp14:editId="09E965EB">
            <wp:extent cx="5768340" cy="2903220"/>
            <wp:effectExtent l="0" t="0" r="381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2681F" w:rsidRPr="00D050E9" w:rsidRDefault="00A2681F" w:rsidP="00A2681F">
      <w:pPr>
        <w:spacing w:line="276" w:lineRule="auto"/>
        <w:rPr>
          <w:rFonts w:asciiTheme="minorHAnsi" w:hAnsiTheme="minorHAnsi"/>
          <w:noProof/>
          <w:lang w:eastAsia="sl-SI"/>
        </w:rPr>
      </w:pPr>
      <w:r w:rsidRPr="00D050E9">
        <w:rPr>
          <w:rFonts w:asciiTheme="minorHAnsi" w:hAnsiTheme="minorHAnsi"/>
          <w:noProof/>
          <w:lang w:eastAsia="sl-SI"/>
        </w:rPr>
        <w:t>Večina pomoči za transportni sektor</w:t>
      </w:r>
      <w:r w:rsidR="00F13F11" w:rsidRPr="00D050E9">
        <w:rPr>
          <w:rFonts w:asciiTheme="minorHAnsi" w:hAnsiTheme="minorHAnsi"/>
          <w:noProof/>
          <w:lang w:eastAsia="sl-SI"/>
        </w:rPr>
        <w:t xml:space="preserve">, 99 % </w:t>
      </w:r>
      <w:r w:rsidR="00B75570" w:rsidRPr="00D050E9">
        <w:rPr>
          <w:rFonts w:asciiTheme="minorHAnsi" w:hAnsiTheme="minorHAnsi"/>
          <w:noProof/>
          <w:lang w:eastAsia="sl-SI"/>
        </w:rPr>
        <w:t xml:space="preserve">teh </w:t>
      </w:r>
      <w:r w:rsidR="00F13F11" w:rsidRPr="00D050E9">
        <w:rPr>
          <w:rFonts w:asciiTheme="minorHAnsi" w:hAnsiTheme="minorHAnsi"/>
          <w:noProof/>
          <w:lang w:eastAsia="sl-SI"/>
        </w:rPr>
        <w:t xml:space="preserve">pomoči v letu 2017 in celotna pomoč za tranport v letih 2015 in 2016, je bila namenjena </w:t>
      </w:r>
      <w:r w:rsidRPr="00D050E9">
        <w:rPr>
          <w:rFonts w:asciiTheme="minorHAnsi" w:hAnsiTheme="minorHAnsi"/>
          <w:b/>
          <w:noProof/>
          <w:lang w:eastAsia="sl-SI"/>
        </w:rPr>
        <w:t>železniškemu prometu</w:t>
      </w:r>
      <w:r w:rsidR="00B75570" w:rsidRPr="00D050E9">
        <w:rPr>
          <w:rFonts w:asciiTheme="minorHAnsi" w:hAnsiTheme="minorHAnsi"/>
          <w:b/>
          <w:noProof/>
          <w:lang w:eastAsia="sl-SI"/>
        </w:rPr>
        <w:t xml:space="preserve">. </w:t>
      </w:r>
      <w:r w:rsidR="00B75570" w:rsidRPr="00D050E9">
        <w:rPr>
          <w:rFonts w:asciiTheme="minorHAnsi" w:hAnsiTheme="minorHAnsi"/>
          <w:noProof/>
          <w:lang w:eastAsia="sl-SI"/>
        </w:rPr>
        <w:t>Izplačevala se je</w:t>
      </w:r>
      <w:r w:rsidRPr="00D050E9">
        <w:rPr>
          <w:rFonts w:asciiTheme="minorHAnsi" w:hAnsiTheme="minorHAnsi"/>
          <w:noProof/>
          <w:lang w:eastAsia="sl-SI"/>
        </w:rPr>
        <w:t xml:space="preserve"> v obliki nadomestila za izvajanje gospodarske javne službe prevoza potnikov v železniškem prometu. Prejemnik pomoči so S</w:t>
      </w:r>
      <w:r w:rsidR="007A60FB">
        <w:rPr>
          <w:rFonts w:asciiTheme="minorHAnsi" w:hAnsiTheme="minorHAnsi"/>
          <w:noProof/>
          <w:lang w:eastAsia="sl-SI"/>
        </w:rPr>
        <w:t>Ž</w:t>
      </w:r>
      <w:r w:rsidRPr="00D050E9">
        <w:rPr>
          <w:rFonts w:asciiTheme="minorHAnsi" w:hAnsiTheme="minorHAnsi"/>
          <w:noProof/>
          <w:lang w:eastAsia="sl-SI"/>
        </w:rPr>
        <w:t xml:space="preserve"> – potniški promet, d.o.o., ki so poobla</w:t>
      </w:r>
      <w:r w:rsidR="00F13F11" w:rsidRPr="00D050E9">
        <w:rPr>
          <w:rFonts w:asciiTheme="minorHAnsi" w:hAnsiTheme="minorHAnsi"/>
          <w:noProof/>
          <w:lang w:eastAsia="sl-SI"/>
        </w:rPr>
        <w:t>ščene za izvajanje obvezne gospod</w:t>
      </w:r>
      <w:r w:rsidRPr="00D050E9">
        <w:rPr>
          <w:rFonts w:asciiTheme="minorHAnsi" w:hAnsiTheme="minorHAnsi"/>
          <w:noProof/>
          <w:lang w:eastAsia="sl-SI"/>
        </w:rPr>
        <w:t>arske javne službe, pomoč pa prejemajo za pokrivanje dela stroškov opravljanja soritev notranjega železniškega prometa po veljavnem voznem redu in tarifni obvezn</w:t>
      </w:r>
      <w:r w:rsidR="0081061C">
        <w:rPr>
          <w:rFonts w:asciiTheme="minorHAnsi" w:hAnsiTheme="minorHAnsi"/>
          <w:noProof/>
          <w:lang w:eastAsia="sl-SI"/>
        </w:rPr>
        <w:t>osti glede na število opravljeni</w:t>
      </w:r>
      <w:r w:rsidRPr="00D050E9">
        <w:rPr>
          <w:rFonts w:asciiTheme="minorHAnsi" w:hAnsiTheme="minorHAnsi"/>
          <w:noProof/>
          <w:lang w:eastAsia="sl-SI"/>
        </w:rPr>
        <w:t>h vlakovnih kilometrov v notranjem železniškem prometu. V letu 2017 je bilo izplačanih 45,66 mio EUR</w:t>
      </w:r>
      <w:r w:rsidR="00FE3CBD" w:rsidRPr="00D050E9">
        <w:rPr>
          <w:rFonts w:asciiTheme="minorHAnsi" w:hAnsiTheme="minorHAnsi"/>
          <w:noProof/>
          <w:lang w:eastAsia="sl-SI"/>
        </w:rPr>
        <w:t xml:space="preserve"> </w:t>
      </w:r>
      <w:r w:rsidR="00F13F11" w:rsidRPr="00D050E9">
        <w:rPr>
          <w:rFonts w:asciiTheme="minorHAnsi" w:hAnsiTheme="minorHAnsi"/>
          <w:noProof/>
          <w:lang w:eastAsia="sl-SI"/>
        </w:rPr>
        <w:t xml:space="preserve">nadomestil </w:t>
      </w:r>
      <w:r w:rsidR="00FE3CBD" w:rsidRPr="00D050E9">
        <w:rPr>
          <w:rFonts w:asciiTheme="minorHAnsi" w:hAnsiTheme="minorHAnsi"/>
          <w:noProof/>
          <w:lang w:eastAsia="sl-SI"/>
        </w:rPr>
        <w:t xml:space="preserve">(+2,5 mio EUR glede na leto 2016), </w:t>
      </w:r>
      <w:r w:rsidR="00F13F11" w:rsidRPr="00D050E9">
        <w:rPr>
          <w:rFonts w:asciiTheme="minorHAnsi" w:hAnsiTheme="minorHAnsi"/>
          <w:noProof/>
          <w:lang w:eastAsia="sl-SI"/>
        </w:rPr>
        <w:t>ki so predstavljala</w:t>
      </w:r>
      <w:r w:rsidRPr="00D050E9">
        <w:rPr>
          <w:rFonts w:asciiTheme="minorHAnsi" w:hAnsiTheme="minorHAnsi"/>
          <w:noProof/>
          <w:lang w:eastAsia="sl-SI"/>
        </w:rPr>
        <w:t xml:space="preserve"> 10,7 % vseh pomoči. </w:t>
      </w:r>
    </w:p>
    <w:p w:rsidR="00CB10B6" w:rsidRPr="00D050E9" w:rsidRDefault="00CB10B6" w:rsidP="00CB10B6">
      <w:pPr>
        <w:pStyle w:val="Caption"/>
        <w:rPr>
          <w:color w:val="auto"/>
        </w:rPr>
      </w:pPr>
      <w:bookmarkStart w:id="113" w:name="_Toc530654603"/>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19</w:t>
      </w:r>
      <w:r w:rsidRPr="00D050E9">
        <w:rPr>
          <w:color w:val="auto"/>
        </w:rPr>
        <w:fldChar w:fldCharType="end"/>
      </w:r>
      <w:r w:rsidRPr="00D050E9">
        <w:rPr>
          <w:color w:val="auto"/>
        </w:rPr>
        <w:t>: Državne pomoči za transport po shemah in prejemnikih</w:t>
      </w:r>
      <w:bookmarkEnd w:id="113"/>
    </w:p>
    <w:p w:rsidR="00CB10B6" w:rsidRPr="00D050E9" w:rsidRDefault="00CB10B6" w:rsidP="00CB10B6">
      <w:pPr>
        <w:spacing w:after="0"/>
        <w:rPr>
          <w:lang w:bidi="hi-IN"/>
        </w:rPr>
      </w:pPr>
    </w:p>
    <w:tbl>
      <w:tblPr>
        <w:tblStyle w:val="LightGrid-Accent5"/>
        <w:tblW w:w="5000" w:type="pct"/>
        <w:tblLook w:val="04A0" w:firstRow="1" w:lastRow="0" w:firstColumn="1" w:lastColumn="0" w:noHBand="0" w:noVBand="1"/>
      </w:tblPr>
      <w:tblGrid>
        <w:gridCol w:w="949"/>
        <w:gridCol w:w="1455"/>
        <w:gridCol w:w="1434"/>
        <w:gridCol w:w="1228"/>
        <w:gridCol w:w="1228"/>
        <w:gridCol w:w="1228"/>
        <w:gridCol w:w="1141"/>
        <w:gridCol w:w="737"/>
      </w:tblGrid>
      <w:tr w:rsidR="006D4180" w:rsidRPr="00D050E9" w:rsidTr="00F13F1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5" w:type="pct"/>
            <w:hideMark/>
          </w:tcPr>
          <w:p w:rsidR="006D4180" w:rsidRPr="00D050E9" w:rsidRDefault="006D4180" w:rsidP="006D4180">
            <w:pPr>
              <w:jc w:val="left"/>
              <w:rPr>
                <w:rFonts w:ascii="Calibri" w:eastAsia="Times New Roman" w:hAnsi="Calibri" w:cs="Arial"/>
                <w:sz w:val="17"/>
                <w:szCs w:val="17"/>
                <w:lang w:eastAsia="sl-SI"/>
              </w:rPr>
            </w:pPr>
            <w:r w:rsidRPr="00D050E9">
              <w:rPr>
                <w:rFonts w:ascii="Calibri" w:eastAsia="Times New Roman" w:hAnsi="Calibri" w:cs="Arial"/>
                <w:sz w:val="17"/>
                <w:szCs w:val="17"/>
                <w:lang w:eastAsia="sl-SI"/>
              </w:rPr>
              <w:t>Kategorija</w:t>
            </w:r>
          </w:p>
        </w:tc>
        <w:tc>
          <w:tcPr>
            <w:tcW w:w="774"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Shema</w:t>
            </w:r>
          </w:p>
        </w:tc>
        <w:tc>
          <w:tcPr>
            <w:tcW w:w="763"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Prejemnik pomoči</w:t>
            </w:r>
          </w:p>
        </w:tc>
        <w:tc>
          <w:tcPr>
            <w:tcW w:w="653"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2015</w:t>
            </w:r>
          </w:p>
        </w:tc>
        <w:tc>
          <w:tcPr>
            <w:tcW w:w="653"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2016</w:t>
            </w:r>
          </w:p>
        </w:tc>
        <w:tc>
          <w:tcPr>
            <w:tcW w:w="653"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2017</w:t>
            </w:r>
          </w:p>
        </w:tc>
        <w:tc>
          <w:tcPr>
            <w:tcW w:w="607"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xml:space="preserve">Razlika </w:t>
            </w:r>
          </w:p>
        </w:tc>
        <w:tc>
          <w:tcPr>
            <w:tcW w:w="392" w:type="pct"/>
            <w:hideMark/>
          </w:tcPr>
          <w:p w:rsidR="006D4180" w:rsidRPr="00D050E9" w:rsidRDefault="006D4180" w:rsidP="006D418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Delež 2017</w:t>
            </w:r>
          </w:p>
        </w:tc>
      </w:tr>
      <w:tr w:rsidR="006D4180" w:rsidRPr="00D050E9" w:rsidTr="00F13F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5" w:type="pct"/>
            <w:hideMark/>
          </w:tcPr>
          <w:p w:rsidR="006D4180" w:rsidRPr="00D050E9" w:rsidRDefault="006D4180" w:rsidP="006D4180">
            <w:pPr>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Transport kopenski</w:t>
            </w:r>
          </w:p>
        </w:tc>
        <w:tc>
          <w:tcPr>
            <w:tcW w:w="774" w:type="pct"/>
            <w:hideMark/>
          </w:tcPr>
          <w:p w:rsidR="006D4180" w:rsidRPr="00D050E9" w:rsidRDefault="006D4180" w:rsidP="007A60FB">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Nadomestilo za prevoze potnikov v železniškem prometu</w:t>
            </w:r>
          </w:p>
        </w:tc>
        <w:tc>
          <w:tcPr>
            <w:tcW w:w="763" w:type="pct"/>
            <w:hideMark/>
          </w:tcPr>
          <w:p w:rsidR="006D4180" w:rsidRPr="00D050E9" w:rsidRDefault="006D4180" w:rsidP="006D418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Slovenske železnice, d.o.o.</w:t>
            </w:r>
          </w:p>
        </w:tc>
        <w:tc>
          <w:tcPr>
            <w:tcW w:w="653"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52.652.492,19</w:t>
            </w:r>
          </w:p>
        </w:tc>
        <w:tc>
          <w:tcPr>
            <w:tcW w:w="653"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43.101.325,37</w:t>
            </w:r>
          </w:p>
        </w:tc>
        <w:tc>
          <w:tcPr>
            <w:tcW w:w="653"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45.662.099,98</w:t>
            </w:r>
          </w:p>
        </w:tc>
        <w:tc>
          <w:tcPr>
            <w:tcW w:w="607"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2.560.774,61</w:t>
            </w:r>
          </w:p>
        </w:tc>
        <w:tc>
          <w:tcPr>
            <w:tcW w:w="392"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98,7%</w:t>
            </w:r>
          </w:p>
        </w:tc>
      </w:tr>
      <w:tr w:rsidR="006D4180" w:rsidRPr="00D050E9" w:rsidTr="00F13F1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5" w:type="pct"/>
            <w:hideMark/>
          </w:tcPr>
          <w:p w:rsidR="006D4180" w:rsidRPr="00D050E9" w:rsidRDefault="006D4180" w:rsidP="006D4180">
            <w:pPr>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Transport morski</w:t>
            </w:r>
          </w:p>
        </w:tc>
        <w:tc>
          <w:tcPr>
            <w:tcW w:w="774" w:type="pct"/>
            <w:hideMark/>
          </w:tcPr>
          <w:p w:rsidR="006D4180" w:rsidRPr="00D050E9" w:rsidRDefault="006D4180" w:rsidP="006D418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Davek na tonažo</w:t>
            </w:r>
          </w:p>
        </w:tc>
        <w:tc>
          <w:tcPr>
            <w:tcW w:w="763" w:type="pct"/>
            <w:hideMark/>
          </w:tcPr>
          <w:p w:rsidR="006D4180" w:rsidRPr="00D050E9" w:rsidRDefault="006D4180" w:rsidP="006D418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LUCIJA SHIPPING COMPANY LIMITED</w:t>
            </w:r>
          </w:p>
        </w:tc>
        <w:tc>
          <w:tcPr>
            <w:tcW w:w="653"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3"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3"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2.086,36</w:t>
            </w:r>
          </w:p>
        </w:tc>
        <w:tc>
          <w:tcPr>
            <w:tcW w:w="607"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2.086,36</w:t>
            </w:r>
          </w:p>
        </w:tc>
        <w:tc>
          <w:tcPr>
            <w:tcW w:w="392"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0,0%</w:t>
            </w:r>
          </w:p>
        </w:tc>
      </w:tr>
      <w:tr w:rsidR="006D4180" w:rsidRPr="00D050E9" w:rsidTr="00F13F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5" w:type="pct"/>
            <w:hideMark/>
          </w:tcPr>
          <w:p w:rsidR="006D4180" w:rsidRPr="00D050E9" w:rsidRDefault="006D4180" w:rsidP="006D4180">
            <w:pPr>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Transport zračni</w:t>
            </w:r>
          </w:p>
        </w:tc>
        <w:tc>
          <w:tcPr>
            <w:tcW w:w="774" w:type="pct"/>
            <w:hideMark/>
          </w:tcPr>
          <w:p w:rsidR="006D4180" w:rsidRPr="00D050E9" w:rsidRDefault="006D4180" w:rsidP="006D418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Pomoč za tekoče poslovanje letališčem državnega pomena</w:t>
            </w:r>
          </w:p>
        </w:tc>
        <w:tc>
          <w:tcPr>
            <w:tcW w:w="763" w:type="pct"/>
            <w:hideMark/>
          </w:tcPr>
          <w:p w:rsidR="006D4180" w:rsidRPr="00D050E9" w:rsidRDefault="006D4180" w:rsidP="006D418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AERODROM PORTOROŽ, d.o.o.</w:t>
            </w:r>
          </w:p>
        </w:tc>
        <w:tc>
          <w:tcPr>
            <w:tcW w:w="653"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3"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3"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605.388,00</w:t>
            </w:r>
          </w:p>
        </w:tc>
        <w:tc>
          <w:tcPr>
            <w:tcW w:w="607"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605.388,00</w:t>
            </w:r>
          </w:p>
        </w:tc>
        <w:tc>
          <w:tcPr>
            <w:tcW w:w="392" w:type="pct"/>
            <w:vAlign w:val="center"/>
            <w:hideMark/>
          </w:tcPr>
          <w:p w:rsidR="006D4180" w:rsidRPr="00D050E9" w:rsidRDefault="006D4180" w:rsidP="006D418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w:t>
            </w:r>
          </w:p>
        </w:tc>
      </w:tr>
      <w:tr w:rsidR="006D4180" w:rsidRPr="00D050E9" w:rsidTr="00F13F1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2" w:type="pct"/>
            <w:gridSpan w:val="3"/>
            <w:hideMark/>
          </w:tcPr>
          <w:p w:rsidR="006D4180" w:rsidRPr="00D050E9" w:rsidRDefault="006D4180" w:rsidP="006D4180">
            <w:pPr>
              <w:jc w:val="left"/>
              <w:rPr>
                <w:rFonts w:ascii="Calibri" w:eastAsia="Times New Roman" w:hAnsi="Calibri" w:cs="Arial"/>
                <w:sz w:val="17"/>
                <w:szCs w:val="17"/>
                <w:lang w:eastAsia="sl-SI"/>
              </w:rPr>
            </w:pPr>
            <w:r w:rsidRPr="00D050E9">
              <w:rPr>
                <w:rFonts w:ascii="Calibri" w:eastAsia="Times New Roman" w:hAnsi="Calibri" w:cs="Arial"/>
                <w:sz w:val="17"/>
                <w:szCs w:val="17"/>
                <w:lang w:eastAsia="sl-SI"/>
              </w:rPr>
              <w:t xml:space="preserve">Skupaj transport </w:t>
            </w:r>
          </w:p>
        </w:tc>
        <w:tc>
          <w:tcPr>
            <w:tcW w:w="653"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52.652.492,19</w:t>
            </w:r>
          </w:p>
        </w:tc>
        <w:tc>
          <w:tcPr>
            <w:tcW w:w="653"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43.101.325,37</w:t>
            </w:r>
          </w:p>
        </w:tc>
        <w:tc>
          <w:tcPr>
            <w:tcW w:w="653"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 xml:space="preserve">46.269.574,34 </w:t>
            </w:r>
          </w:p>
        </w:tc>
        <w:tc>
          <w:tcPr>
            <w:tcW w:w="607"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17"/>
                <w:szCs w:val="17"/>
                <w:lang w:eastAsia="sl-SI"/>
              </w:rPr>
            </w:pPr>
            <w:r w:rsidRPr="00D050E9">
              <w:rPr>
                <w:rFonts w:ascii="Calibri" w:eastAsia="Times New Roman" w:hAnsi="Calibri" w:cs="Arial"/>
                <w:b/>
                <w:sz w:val="17"/>
                <w:szCs w:val="17"/>
                <w:lang w:eastAsia="sl-SI"/>
              </w:rPr>
              <w:t xml:space="preserve">3.168.248,97 </w:t>
            </w:r>
          </w:p>
        </w:tc>
        <w:tc>
          <w:tcPr>
            <w:tcW w:w="392" w:type="pct"/>
            <w:vAlign w:val="center"/>
            <w:hideMark/>
          </w:tcPr>
          <w:p w:rsidR="006D4180" w:rsidRPr="00D050E9" w:rsidRDefault="006D4180" w:rsidP="006D418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sz w:val="17"/>
                <w:szCs w:val="17"/>
                <w:lang w:eastAsia="sl-SI"/>
              </w:rPr>
            </w:pPr>
            <w:r w:rsidRPr="00D050E9">
              <w:rPr>
                <w:rFonts w:ascii="Calibri" w:eastAsia="Times New Roman" w:hAnsi="Calibri" w:cs="Arial"/>
                <w:b/>
                <w:sz w:val="17"/>
                <w:szCs w:val="17"/>
                <w:lang w:eastAsia="sl-SI"/>
              </w:rPr>
              <w:t xml:space="preserve">100,0% </w:t>
            </w:r>
          </w:p>
        </w:tc>
      </w:tr>
    </w:tbl>
    <w:p w:rsidR="00CB410F" w:rsidRDefault="00CB410F" w:rsidP="00CB410F">
      <w:pPr>
        <w:spacing w:after="0" w:line="276" w:lineRule="auto"/>
        <w:rPr>
          <w:rFonts w:asciiTheme="minorHAnsi" w:hAnsiTheme="minorHAnsi"/>
          <w:noProof/>
          <w:lang w:eastAsia="sl-SI"/>
        </w:rPr>
      </w:pPr>
    </w:p>
    <w:p w:rsidR="00695713" w:rsidRPr="00D050E9" w:rsidRDefault="00B4613F" w:rsidP="00A2681F">
      <w:pPr>
        <w:spacing w:line="276" w:lineRule="auto"/>
        <w:rPr>
          <w:rFonts w:asciiTheme="minorHAnsi" w:hAnsiTheme="minorHAnsi"/>
          <w:noProof/>
          <w:lang w:eastAsia="sl-SI"/>
        </w:rPr>
      </w:pPr>
      <w:r w:rsidRPr="00D050E9">
        <w:rPr>
          <w:rFonts w:asciiTheme="minorHAnsi" w:hAnsiTheme="minorHAnsi"/>
          <w:noProof/>
          <w:lang w:eastAsia="sl-SI"/>
        </w:rPr>
        <w:t>V letu 2017</w:t>
      </w:r>
      <w:r w:rsidR="00B11EDB" w:rsidRPr="00D050E9">
        <w:rPr>
          <w:rFonts w:asciiTheme="minorHAnsi" w:hAnsiTheme="minorHAnsi"/>
          <w:noProof/>
          <w:lang w:eastAsia="sl-SI"/>
        </w:rPr>
        <w:t xml:space="preserve"> so</w:t>
      </w:r>
      <w:r w:rsidRPr="00D050E9">
        <w:rPr>
          <w:rFonts w:asciiTheme="minorHAnsi" w:hAnsiTheme="minorHAnsi"/>
          <w:noProof/>
          <w:lang w:eastAsia="sl-SI"/>
        </w:rPr>
        <w:t xml:space="preserve"> bile i</w:t>
      </w:r>
      <w:r w:rsidR="00A2681F" w:rsidRPr="00D050E9">
        <w:rPr>
          <w:rFonts w:asciiTheme="minorHAnsi" w:hAnsiTheme="minorHAnsi"/>
          <w:noProof/>
          <w:lang w:eastAsia="sl-SI"/>
        </w:rPr>
        <w:t xml:space="preserve">zplačane </w:t>
      </w:r>
      <w:r w:rsidRPr="00D050E9">
        <w:rPr>
          <w:rFonts w:asciiTheme="minorHAnsi" w:hAnsiTheme="minorHAnsi"/>
          <w:noProof/>
          <w:lang w:eastAsia="sl-SI"/>
        </w:rPr>
        <w:t xml:space="preserve">še </w:t>
      </w:r>
      <w:r w:rsidR="00A2681F" w:rsidRPr="00D050E9">
        <w:rPr>
          <w:rFonts w:asciiTheme="minorHAnsi" w:hAnsiTheme="minorHAnsi"/>
          <w:noProof/>
          <w:lang w:eastAsia="sl-SI"/>
        </w:rPr>
        <w:t xml:space="preserve">državne pomoči </w:t>
      </w:r>
      <w:r w:rsidR="00B11EDB" w:rsidRPr="00D050E9">
        <w:rPr>
          <w:rFonts w:asciiTheme="minorHAnsi" w:hAnsiTheme="minorHAnsi"/>
          <w:noProof/>
          <w:lang w:eastAsia="sl-SI"/>
        </w:rPr>
        <w:t xml:space="preserve">za </w:t>
      </w:r>
      <w:r w:rsidR="00B11EDB" w:rsidRPr="00D050E9">
        <w:rPr>
          <w:rFonts w:asciiTheme="minorHAnsi" w:hAnsiTheme="minorHAnsi"/>
          <w:b/>
          <w:noProof/>
          <w:lang w:eastAsia="sl-SI"/>
        </w:rPr>
        <w:t>zračni promet</w:t>
      </w:r>
      <w:r w:rsidR="00C86A0A" w:rsidRPr="00D050E9">
        <w:rPr>
          <w:rFonts w:asciiTheme="minorHAnsi" w:hAnsiTheme="minorHAnsi"/>
          <w:noProof/>
          <w:lang w:eastAsia="sl-SI"/>
        </w:rPr>
        <w:t xml:space="preserve"> na osnovi nove sheme Ministrstva za infastukturo </w:t>
      </w:r>
      <w:r w:rsidRPr="00D050E9">
        <w:rPr>
          <w:rFonts w:asciiTheme="minorHAnsi" w:hAnsiTheme="minorHAnsi"/>
          <w:noProof/>
          <w:lang w:eastAsia="sl-SI"/>
        </w:rPr>
        <w:t xml:space="preserve">za </w:t>
      </w:r>
      <w:r w:rsidR="00B11EDB" w:rsidRPr="00D050E9">
        <w:rPr>
          <w:rFonts w:asciiTheme="minorHAnsi" w:hAnsiTheme="minorHAnsi"/>
          <w:noProof/>
          <w:lang w:eastAsia="sl-SI"/>
        </w:rPr>
        <w:t xml:space="preserve">obratovanje </w:t>
      </w:r>
      <w:r w:rsidR="002E493A" w:rsidRPr="00D050E9">
        <w:rPr>
          <w:rFonts w:asciiTheme="minorHAnsi" w:hAnsiTheme="minorHAnsi"/>
          <w:noProof/>
          <w:lang w:eastAsia="sl-SI"/>
        </w:rPr>
        <w:t xml:space="preserve">regionalnih </w:t>
      </w:r>
      <w:r w:rsidR="00B11EDB" w:rsidRPr="00D050E9">
        <w:rPr>
          <w:rFonts w:asciiTheme="minorHAnsi" w:hAnsiTheme="minorHAnsi"/>
          <w:noProof/>
          <w:lang w:eastAsia="sl-SI"/>
        </w:rPr>
        <w:t xml:space="preserve">letališč državnega pomena, </w:t>
      </w:r>
      <w:r w:rsidR="00695713" w:rsidRPr="00D050E9">
        <w:rPr>
          <w:rFonts w:asciiTheme="minorHAnsi" w:hAnsiTheme="minorHAnsi"/>
          <w:noProof/>
          <w:lang w:eastAsia="sl-SI"/>
        </w:rPr>
        <w:t xml:space="preserve">namenjenih za mednarodni zračni promet, </w:t>
      </w:r>
      <w:r w:rsidR="00B11EDB" w:rsidRPr="00D050E9">
        <w:rPr>
          <w:rFonts w:asciiTheme="minorHAnsi" w:hAnsiTheme="minorHAnsi"/>
          <w:noProof/>
          <w:lang w:eastAsia="sl-SI"/>
        </w:rPr>
        <w:t>ki imajo manj kot 200.000 potnikov letno. Pomoč</w:t>
      </w:r>
      <w:r w:rsidR="00695713" w:rsidRPr="00D050E9">
        <w:rPr>
          <w:rFonts w:asciiTheme="minorHAnsi" w:hAnsiTheme="minorHAnsi"/>
          <w:noProof/>
          <w:lang w:eastAsia="sl-SI"/>
        </w:rPr>
        <w:t xml:space="preserve"> v viš</w:t>
      </w:r>
      <w:r w:rsidR="00D050E9" w:rsidRPr="00D050E9">
        <w:rPr>
          <w:rFonts w:asciiTheme="minorHAnsi" w:hAnsiTheme="minorHAnsi"/>
          <w:noProof/>
          <w:lang w:eastAsia="sl-SI"/>
        </w:rPr>
        <w:t>i</w:t>
      </w:r>
      <w:r w:rsidR="00695713" w:rsidRPr="00D050E9">
        <w:rPr>
          <w:rFonts w:asciiTheme="minorHAnsi" w:hAnsiTheme="minorHAnsi"/>
          <w:noProof/>
          <w:lang w:eastAsia="sl-SI"/>
        </w:rPr>
        <w:t>ni 605 ti</w:t>
      </w:r>
      <w:r w:rsidR="002F73B1" w:rsidRPr="00D050E9">
        <w:rPr>
          <w:rFonts w:asciiTheme="minorHAnsi" w:hAnsiTheme="minorHAnsi"/>
          <w:noProof/>
          <w:lang w:eastAsia="sl-SI"/>
        </w:rPr>
        <w:t>s</w:t>
      </w:r>
      <w:r w:rsidR="00695713" w:rsidRPr="00D050E9">
        <w:rPr>
          <w:rFonts w:asciiTheme="minorHAnsi" w:hAnsiTheme="minorHAnsi"/>
          <w:noProof/>
          <w:lang w:eastAsia="sl-SI"/>
        </w:rPr>
        <w:t>oč EUR</w:t>
      </w:r>
      <w:r w:rsidR="008B3498" w:rsidRPr="00D050E9">
        <w:rPr>
          <w:rFonts w:asciiTheme="minorHAnsi" w:hAnsiTheme="minorHAnsi"/>
          <w:noProof/>
          <w:lang w:eastAsia="sl-SI"/>
        </w:rPr>
        <w:t xml:space="preserve"> (0,1 % vseh pomoči</w:t>
      </w:r>
      <w:r w:rsidR="00B43ADE">
        <w:rPr>
          <w:rFonts w:asciiTheme="minorHAnsi" w:hAnsiTheme="minorHAnsi"/>
          <w:noProof/>
          <w:lang w:eastAsia="sl-SI"/>
        </w:rPr>
        <w:t xml:space="preserve"> </w:t>
      </w:r>
      <w:r w:rsidR="008B3498" w:rsidRPr="00D050E9">
        <w:rPr>
          <w:rFonts w:asciiTheme="minorHAnsi" w:hAnsiTheme="minorHAnsi"/>
          <w:noProof/>
          <w:lang w:eastAsia="sl-SI"/>
        </w:rPr>
        <w:t>v letu 2017)</w:t>
      </w:r>
      <w:r w:rsidR="00B11EDB" w:rsidRPr="00D050E9">
        <w:rPr>
          <w:rFonts w:asciiTheme="minorHAnsi" w:hAnsiTheme="minorHAnsi"/>
          <w:noProof/>
          <w:lang w:eastAsia="sl-SI"/>
        </w:rPr>
        <w:t xml:space="preserve"> je </w:t>
      </w:r>
      <w:r w:rsidR="00695713" w:rsidRPr="00D050E9">
        <w:rPr>
          <w:rFonts w:asciiTheme="minorHAnsi" w:hAnsiTheme="minorHAnsi"/>
          <w:noProof/>
          <w:lang w:eastAsia="sl-SI"/>
        </w:rPr>
        <w:t xml:space="preserve">bila izplačane enemu prejemniku, </w:t>
      </w:r>
      <w:r w:rsidR="00B11EDB" w:rsidRPr="00D050E9">
        <w:rPr>
          <w:rFonts w:asciiTheme="minorHAnsi" w:hAnsiTheme="minorHAnsi"/>
          <w:noProof/>
          <w:lang w:eastAsia="sl-SI"/>
        </w:rPr>
        <w:t>prej</w:t>
      </w:r>
      <w:r w:rsidR="00695713" w:rsidRPr="00D050E9">
        <w:rPr>
          <w:rFonts w:asciiTheme="minorHAnsi" w:hAnsiTheme="minorHAnsi"/>
          <w:noProof/>
          <w:lang w:eastAsia="sl-SI"/>
        </w:rPr>
        <w:t>e</w:t>
      </w:r>
      <w:r w:rsidR="00B11EDB" w:rsidRPr="00D050E9">
        <w:rPr>
          <w:rFonts w:asciiTheme="minorHAnsi" w:hAnsiTheme="minorHAnsi"/>
          <w:noProof/>
          <w:lang w:eastAsia="sl-SI"/>
        </w:rPr>
        <w:t>l</w:t>
      </w:r>
      <w:r w:rsidR="00695713" w:rsidRPr="00D050E9">
        <w:rPr>
          <w:rFonts w:asciiTheme="minorHAnsi" w:hAnsiTheme="minorHAnsi"/>
          <w:noProof/>
          <w:lang w:eastAsia="sl-SI"/>
        </w:rPr>
        <w:t xml:space="preserve">o jo je podjetje Aerodrom Portorož d.o.o. Pomoč je bila </w:t>
      </w:r>
      <w:r w:rsidR="00B11EDB" w:rsidRPr="00D050E9">
        <w:rPr>
          <w:rFonts w:asciiTheme="minorHAnsi" w:hAnsiTheme="minorHAnsi"/>
          <w:noProof/>
          <w:lang w:eastAsia="sl-SI"/>
        </w:rPr>
        <w:t>namenjena za pokrivanje stroškov tekočega poslovanja letališča, nastalih zaradi obveznosti izvajan</w:t>
      </w:r>
      <w:r w:rsidR="00695713" w:rsidRPr="00D050E9">
        <w:rPr>
          <w:rFonts w:asciiTheme="minorHAnsi" w:hAnsiTheme="minorHAnsi"/>
          <w:noProof/>
          <w:lang w:eastAsia="sl-SI"/>
        </w:rPr>
        <w:t xml:space="preserve">ja obveznih letalskih služb, v skladu z zakonom, ki ureja letalstvo.  </w:t>
      </w:r>
    </w:p>
    <w:p w:rsidR="00C86A0A" w:rsidRPr="00D050E9" w:rsidRDefault="00C86A0A" w:rsidP="00A2681F">
      <w:pPr>
        <w:spacing w:line="276" w:lineRule="auto"/>
        <w:rPr>
          <w:rFonts w:asciiTheme="minorHAnsi" w:hAnsiTheme="minorHAnsi"/>
          <w:noProof/>
          <w:lang w:eastAsia="sl-SI"/>
        </w:rPr>
      </w:pPr>
      <w:r w:rsidRPr="00D050E9">
        <w:rPr>
          <w:rFonts w:asciiTheme="minorHAnsi" w:hAnsiTheme="minorHAnsi"/>
          <w:noProof/>
          <w:lang w:eastAsia="sl-SI"/>
        </w:rPr>
        <w:t xml:space="preserve">Shema pomoči za </w:t>
      </w:r>
      <w:r w:rsidRPr="00D050E9">
        <w:rPr>
          <w:rFonts w:asciiTheme="minorHAnsi" w:hAnsiTheme="minorHAnsi"/>
          <w:b/>
          <w:noProof/>
          <w:lang w:eastAsia="sl-SI"/>
        </w:rPr>
        <w:t>morski transport</w:t>
      </w:r>
      <w:r w:rsidRPr="00D050E9">
        <w:rPr>
          <w:rFonts w:asciiTheme="minorHAnsi" w:hAnsiTheme="minorHAnsi"/>
          <w:noProof/>
          <w:lang w:eastAsia="sl-SI"/>
        </w:rPr>
        <w:t xml:space="preserve"> v obliki davka na tonažo se izteka. V letu 2017 je bilo obračun</w:t>
      </w:r>
      <w:r w:rsidR="00E116E8">
        <w:rPr>
          <w:rFonts w:asciiTheme="minorHAnsi" w:hAnsiTheme="minorHAnsi"/>
          <w:noProof/>
          <w:lang w:eastAsia="sl-SI"/>
        </w:rPr>
        <w:t>anih</w:t>
      </w:r>
      <w:r w:rsidRPr="00D050E9">
        <w:rPr>
          <w:rFonts w:asciiTheme="minorHAnsi" w:hAnsiTheme="minorHAnsi"/>
          <w:noProof/>
          <w:lang w:eastAsia="sl-SI"/>
        </w:rPr>
        <w:t xml:space="preserve"> le še </w:t>
      </w:r>
      <w:r w:rsidR="00E116E8">
        <w:rPr>
          <w:rFonts w:asciiTheme="minorHAnsi" w:hAnsiTheme="minorHAnsi"/>
          <w:noProof/>
          <w:lang w:eastAsia="sl-SI"/>
        </w:rPr>
        <w:t xml:space="preserve">okoli </w:t>
      </w:r>
      <w:r w:rsidRPr="00D050E9">
        <w:rPr>
          <w:rFonts w:asciiTheme="minorHAnsi" w:hAnsiTheme="minorHAnsi"/>
          <w:noProof/>
          <w:lang w:eastAsia="sl-SI"/>
        </w:rPr>
        <w:t>2</w:t>
      </w:r>
      <w:r w:rsidR="00B75570" w:rsidRPr="00D050E9">
        <w:rPr>
          <w:rFonts w:asciiTheme="minorHAnsi" w:hAnsiTheme="minorHAnsi"/>
          <w:noProof/>
          <w:lang w:eastAsia="sl-SI"/>
        </w:rPr>
        <w:t>.</w:t>
      </w:r>
      <w:r w:rsidRPr="00D050E9">
        <w:rPr>
          <w:rFonts w:asciiTheme="minorHAnsi" w:hAnsiTheme="minorHAnsi"/>
          <w:noProof/>
          <w:lang w:eastAsia="sl-SI"/>
        </w:rPr>
        <w:t>000 EUR pomoči iz tega naslova</w:t>
      </w:r>
      <w:r w:rsidR="00037F4E" w:rsidRPr="00D050E9">
        <w:rPr>
          <w:rStyle w:val="FootnoteReference"/>
          <w:rFonts w:asciiTheme="minorHAnsi" w:hAnsiTheme="minorHAnsi"/>
          <w:noProof/>
          <w:lang w:eastAsia="sl-SI"/>
        </w:rPr>
        <w:footnoteReference w:id="20"/>
      </w:r>
      <w:r w:rsidR="00E116E8">
        <w:rPr>
          <w:rFonts w:asciiTheme="minorHAnsi" w:hAnsiTheme="minorHAnsi"/>
          <w:noProof/>
          <w:lang w:eastAsia="sl-SI"/>
        </w:rPr>
        <w:t xml:space="preserve">. </w:t>
      </w:r>
      <w:r w:rsidR="00E116E8" w:rsidRPr="00E116E8">
        <w:rPr>
          <w:rFonts w:asciiTheme="minorHAnsi" w:hAnsiTheme="minorHAnsi"/>
          <w:noProof/>
          <w:lang w:eastAsia="sl-SI"/>
        </w:rPr>
        <w:t xml:space="preserve">V pripravi </w:t>
      </w:r>
      <w:r w:rsidR="000B2899" w:rsidRPr="00E116E8">
        <w:rPr>
          <w:rFonts w:asciiTheme="minorHAnsi" w:hAnsiTheme="minorHAnsi"/>
          <w:noProof/>
          <w:lang w:eastAsia="sl-SI"/>
        </w:rPr>
        <w:t>je nova shema za naslednje 10 letno obdobje</w:t>
      </w:r>
      <w:r w:rsidR="00037F4E" w:rsidRPr="00D050E9">
        <w:rPr>
          <w:rFonts w:asciiTheme="minorHAnsi" w:hAnsiTheme="minorHAnsi"/>
          <w:noProof/>
          <w:lang w:eastAsia="sl-SI"/>
        </w:rPr>
        <w:t xml:space="preserve">. </w:t>
      </w:r>
    </w:p>
    <w:p w:rsidR="00CB410F" w:rsidRDefault="00CB410F" w:rsidP="001417F9">
      <w:pPr>
        <w:spacing w:after="0" w:line="276" w:lineRule="auto"/>
        <w:jc w:val="left"/>
      </w:pPr>
      <w:bookmarkStart w:id="114" w:name="_Toc528594661"/>
    </w:p>
    <w:p w:rsidR="00430D6B" w:rsidRPr="00D050E9" w:rsidRDefault="00430D6B" w:rsidP="00CB410F">
      <w:pPr>
        <w:pStyle w:val="Heading2"/>
      </w:pPr>
      <w:bookmarkStart w:id="115" w:name="_Toc530654557"/>
      <w:r w:rsidRPr="00D050E9">
        <w:t>4.9 PREMOGOVNIŠTVO</w:t>
      </w:r>
      <w:bookmarkEnd w:id="114"/>
      <w:bookmarkEnd w:id="115"/>
    </w:p>
    <w:p w:rsidR="00CB10B6" w:rsidRPr="00D050E9" w:rsidRDefault="00CB10B6" w:rsidP="00CB10B6">
      <w:pPr>
        <w:spacing w:after="0"/>
      </w:pPr>
    </w:p>
    <w:p w:rsidR="006E6C79" w:rsidRPr="00D050E9" w:rsidRDefault="00B75570" w:rsidP="006E6C79">
      <w:pPr>
        <w:spacing w:line="276" w:lineRule="auto"/>
        <w:rPr>
          <w:rFonts w:asciiTheme="minorHAnsi" w:hAnsiTheme="minorHAnsi"/>
        </w:rPr>
      </w:pPr>
      <w:r w:rsidRPr="00D050E9">
        <w:rPr>
          <w:rFonts w:asciiTheme="minorHAnsi" w:hAnsiTheme="minorHAnsi"/>
        </w:rPr>
        <w:t>Pomoči za premogovništvo</w:t>
      </w:r>
      <w:r w:rsidR="00B51D71" w:rsidRPr="00D050E9">
        <w:rPr>
          <w:rFonts w:asciiTheme="minorHAnsi" w:hAnsiTheme="minorHAnsi"/>
        </w:rPr>
        <w:t xml:space="preserve"> </w:t>
      </w:r>
      <w:r w:rsidRPr="00D050E9">
        <w:rPr>
          <w:rFonts w:asciiTheme="minorHAnsi" w:hAnsiTheme="minorHAnsi"/>
        </w:rPr>
        <w:t xml:space="preserve">so v letu 2017 znašale 15,75 mio EUR, kar je za dobro četrtino več kot v letu 2016 (+3,28 mio EUR). Predstavljale so 3,7 % vseh pomoči v letu 2017 (3,3 % v letu 2016). </w:t>
      </w:r>
      <w:r w:rsidR="006E6C79" w:rsidRPr="00D050E9">
        <w:rPr>
          <w:rFonts w:asciiTheme="minorHAnsi" w:hAnsiTheme="minorHAnsi"/>
        </w:rPr>
        <w:t xml:space="preserve">V zadnjih treh letih so se pomoči za premogovništvo </w:t>
      </w:r>
      <w:r w:rsidR="00B51D71" w:rsidRPr="00D050E9">
        <w:rPr>
          <w:rFonts w:asciiTheme="minorHAnsi" w:hAnsiTheme="minorHAnsi"/>
        </w:rPr>
        <w:t xml:space="preserve">oz. zapiranje nekonkurenčnih rudnikov </w:t>
      </w:r>
      <w:r w:rsidR="006E6C79" w:rsidRPr="00D050E9">
        <w:rPr>
          <w:rFonts w:asciiTheme="minorHAnsi" w:hAnsiTheme="minorHAnsi"/>
        </w:rPr>
        <w:t>povečale in se</w:t>
      </w:r>
      <w:r w:rsidR="00B51D71" w:rsidRPr="00D050E9">
        <w:rPr>
          <w:rFonts w:asciiTheme="minorHAnsi" w:hAnsiTheme="minorHAnsi"/>
        </w:rPr>
        <w:t xml:space="preserve"> približale </w:t>
      </w:r>
      <w:r w:rsidR="000D6745" w:rsidRPr="00D050E9">
        <w:rPr>
          <w:rFonts w:asciiTheme="minorHAnsi" w:hAnsiTheme="minorHAnsi"/>
        </w:rPr>
        <w:t xml:space="preserve">vrednostim iz obdobja </w:t>
      </w:r>
      <w:r w:rsidR="006E6C79" w:rsidRPr="00D050E9">
        <w:rPr>
          <w:rFonts w:asciiTheme="minorHAnsi" w:hAnsiTheme="minorHAnsi"/>
        </w:rPr>
        <w:t xml:space="preserve"> 2006–2009, ko so bile te pomoči največje (povprečno 16 – 17 mio EUR letno). </w:t>
      </w:r>
    </w:p>
    <w:p w:rsidR="00680209" w:rsidRDefault="00CB10B6" w:rsidP="00CB10B6">
      <w:pPr>
        <w:pStyle w:val="Caption"/>
        <w:rPr>
          <w:color w:val="auto"/>
        </w:rPr>
      </w:pPr>
      <w:bookmarkStart w:id="116" w:name="_Toc530654664"/>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49</w:t>
      </w:r>
      <w:r w:rsidRPr="00D050E9">
        <w:rPr>
          <w:color w:val="auto"/>
        </w:rPr>
        <w:fldChar w:fldCharType="end"/>
      </w:r>
      <w:r w:rsidR="00B75570" w:rsidRPr="00D050E9">
        <w:rPr>
          <w:color w:val="auto"/>
        </w:rPr>
        <w:t>: Dr</w:t>
      </w:r>
      <w:r w:rsidRPr="00D050E9">
        <w:rPr>
          <w:color w:val="auto"/>
        </w:rPr>
        <w:t xml:space="preserve">žavne pomoči za premogovništvo v mio EUR in kot % </w:t>
      </w:r>
      <w:r w:rsidR="00B75570" w:rsidRPr="00D050E9">
        <w:rPr>
          <w:color w:val="auto"/>
        </w:rPr>
        <w:t>vseh pomoči</w:t>
      </w:r>
      <w:r w:rsidRPr="00D050E9">
        <w:rPr>
          <w:color w:val="auto"/>
        </w:rPr>
        <w:t>, 2008–2017</w:t>
      </w:r>
      <w:bookmarkEnd w:id="116"/>
    </w:p>
    <w:p w:rsidR="002F606A" w:rsidRPr="002F606A" w:rsidRDefault="002F606A" w:rsidP="002F606A">
      <w:pPr>
        <w:spacing w:after="0"/>
        <w:rPr>
          <w:lang w:bidi="hi-IN"/>
        </w:rPr>
      </w:pPr>
    </w:p>
    <w:p w:rsidR="00680209" w:rsidRPr="00D050E9" w:rsidRDefault="00680209" w:rsidP="007B2E67">
      <w:pPr>
        <w:spacing w:line="276" w:lineRule="auto"/>
        <w:rPr>
          <w:rFonts w:asciiTheme="minorHAnsi" w:hAnsiTheme="minorHAnsi"/>
          <w:b/>
          <w:color w:val="5F497A" w:themeColor="accent4" w:themeShade="BF"/>
        </w:rPr>
      </w:pPr>
      <w:r w:rsidRPr="00D050E9">
        <w:rPr>
          <w:noProof/>
          <w:lang w:eastAsia="sl-SI"/>
        </w:rPr>
        <w:drawing>
          <wp:inline distT="0" distB="0" distL="0" distR="0" wp14:anchorId="59F7ACDB" wp14:editId="0DAF2826">
            <wp:extent cx="5730240" cy="2865120"/>
            <wp:effectExtent l="0" t="0" r="381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E6C79" w:rsidRPr="00D050E9" w:rsidRDefault="006E6C79" w:rsidP="006E6C79">
      <w:pPr>
        <w:spacing w:line="276" w:lineRule="auto"/>
        <w:rPr>
          <w:rFonts w:asciiTheme="minorHAnsi" w:hAnsiTheme="minorHAnsi"/>
        </w:rPr>
      </w:pPr>
      <w:r w:rsidRPr="00D050E9">
        <w:rPr>
          <w:rFonts w:asciiTheme="minorHAnsi" w:hAnsiTheme="minorHAnsi"/>
        </w:rPr>
        <w:t>Pomoči so bile namenjene za kritje izrednih stroškov, nastalih zaradi zapiranja Rudnika Trbovlje - Hrastnik, d.o.o. (v nadaljevanju: RTH), in sicer za zapiralna dela, sanacijo površin in prezaposlovanje rudarjev.</w:t>
      </w:r>
    </w:p>
    <w:p w:rsidR="002541A2" w:rsidRDefault="000D6745" w:rsidP="00E979BC">
      <w:pPr>
        <w:spacing w:line="276" w:lineRule="auto"/>
        <w:rPr>
          <w:rFonts w:asciiTheme="minorHAnsi" w:hAnsiTheme="minorHAnsi"/>
        </w:rPr>
      </w:pPr>
      <w:r w:rsidRPr="00D050E9">
        <w:rPr>
          <w:rFonts w:asciiTheme="minorHAnsi" w:hAnsiTheme="minorHAnsi"/>
        </w:rPr>
        <w:t>Največji prejemnik pomoči je Rudnik Trbovlje-Hrastnik, ki je v letu 2017 prejel</w:t>
      </w:r>
      <w:r w:rsidR="00480EA2" w:rsidRPr="00D050E9">
        <w:rPr>
          <w:rFonts w:asciiTheme="minorHAnsi" w:hAnsiTheme="minorHAnsi"/>
        </w:rPr>
        <w:t xml:space="preserve"> 15,54 mio EUR</w:t>
      </w:r>
      <w:r w:rsidR="00984E11" w:rsidRPr="00D050E9">
        <w:rPr>
          <w:rFonts w:asciiTheme="minorHAnsi" w:hAnsiTheme="minorHAnsi"/>
        </w:rPr>
        <w:t xml:space="preserve"> pomoči</w:t>
      </w:r>
      <w:r w:rsidR="00E979BC" w:rsidRPr="00D050E9">
        <w:rPr>
          <w:rFonts w:asciiTheme="minorHAnsi" w:hAnsiTheme="minorHAnsi"/>
        </w:rPr>
        <w:t xml:space="preserve"> ali </w:t>
      </w:r>
      <w:r w:rsidR="00984E11" w:rsidRPr="00D050E9">
        <w:rPr>
          <w:rFonts w:asciiTheme="minorHAnsi" w:hAnsiTheme="minorHAnsi"/>
        </w:rPr>
        <w:t xml:space="preserve">3,53 mio EUR več kot v letu 2016, </w:t>
      </w:r>
      <w:r w:rsidR="00E979BC" w:rsidRPr="00D050E9">
        <w:rPr>
          <w:rFonts w:asciiTheme="minorHAnsi" w:hAnsiTheme="minorHAnsi"/>
        </w:rPr>
        <w:t xml:space="preserve">kar je predstavljalo </w:t>
      </w:r>
      <w:r w:rsidR="00480EA2" w:rsidRPr="00D050E9">
        <w:rPr>
          <w:rFonts w:asciiTheme="minorHAnsi" w:hAnsiTheme="minorHAnsi"/>
        </w:rPr>
        <w:t xml:space="preserve">98,7 % pomoči za premogovništvo (94 % </w:t>
      </w:r>
      <w:r w:rsidR="00E979BC" w:rsidRPr="00D050E9">
        <w:rPr>
          <w:rFonts w:asciiTheme="minorHAnsi" w:hAnsiTheme="minorHAnsi"/>
        </w:rPr>
        <w:t xml:space="preserve">teh </w:t>
      </w:r>
      <w:r w:rsidR="00480EA2" w:rsidRPr="00D050E9">
        <w:rPr>
          <w:rFonts w:asciiTheme="minorHAnsi" w:hAnsiTheme="minorHAnsi"/>
        </w:rPr>
        <w:t xml:space="preserve">pomoči v </w:t>
      </w:r>
      <w:r w:rsidR="00F474CF" w:rsidRPr="00F474CF">
        <w:rPr>
          <w:rFonts w:asciiTheme="minorHAnsi" w:hAnsiTheme="minorHAnsi"/>
          <w:i/>
        </w:rPr>
        <w:t>2015–2017</w:t>
      </w:r>
      <w:r w:rsidR="00480EA2" w:rsidRPr="00D050E9">
        <w:rPr>
          <w:rFonts w:asciiTheme="minorHAnsi" w:hAnsiTheme="minorHAnsi"/>
        </w:rPr>
        <w:t xml:space="preserve">). </w:t>
      </w:r>
    </w:p>
    <w:p w:rsidR="00CB10B6" w:rsidRPr="00D050E9" w:rsidRDefault="00CB10B6" w:rsidP="00CB10B6">
      <w:pPr>
        <w:pStyle w:val="Caption"/>
        <w:rPr>
          <w:color w:val="auto"/>
        </w:rPr>
      </w:pPr>
      <w:bookmarkStart w:id="117" w:name="_Toc530654604"/>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20</w:t>
      </w:r>
      <w:r w:rsidRPr="00D050E9">
        <w:rPr>
          <w:color w:val="auto"/>
        </w:rPr>
        <w:fldChar w:fldCharType="end"/>
      </w:r>
      <w:r w:rsidRPr="00D050E9">
        <w:rPr>
          <w:color w:val="auto"/>
        </w:rPr>
        <w:t>: Prejemniki pomoči za premogovništvo, 2015–2017</w:t>
      </w:r>
      <w:bookmarkEnd w:id="117"/>
    </w:p>
    <w:p w:rsidR="00CB10B6" w:rsidRPr="00D050E9" w:rsidRDefault="00CB10B6" w:rsidP="00CB10B6">
      <w:pPr>
        <w:spacing w:after="0"/>
        <w:rPr>
          <w:lang w:bidi="hi-IN"/>
        </w:rPr>
      </w:pPr>
    </w:p>
    <w:tbl>
      <w:tblPr>
        <w:tblStyle w:val="LightGrid-Accent5"/>
        <w:tblW w:w="5039" w:type="pct"/>
        <w:tblLayout w:type="fixed"/>
        <w:tblLook w:val="04A0" w:firstRow="1" w:lastRow="0" w:firstColumn="1" w:lastColumn="0" w:noHBand="0" w:noVBand="1"/>
      </w:tblPr>
      <w:tblGrid>
        <w:gridCol w:w="2404"/>
        <w:gridCol w:w="1321"/>
        <w:gridCol w:w="1303"/>
        <w:gridCol w:w="1302"/>
        <w:gridCol w:w="1298"/>
        <w:gridCol w:w="803"/>
        <w:gridCol w:w="1042"/>
      </w:tblGrid>
      <w:tr w:rsidR="002541A2" w:rsidRPr="00D050E9" w:rsidTr="009C0537">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69" w:type="pct"/>
            <w:noWrap/>
            <w:hideMark/>
          </w:tcPr>
          <w:p w:rsidR="002541A2" w:rsidRPr="00D050E9" w:rsidRDefault="002541A2" w:rsidP="002541A2">
            <w:pPr>
              <w:jc w:val="left"/>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 xml:space="preserve">Prejemniki pomoči </w:t>
            </w:r>
          </w:p>
        </w:tc>
        <w:tc>
          <w:tcPr>
            <w:tcW w:w="697" w:type="pct"/>
            <w:hideMark/>
          </w:tcPr>
          <w:p w:rsidR="002541A2" w:rsidRPr="00D050E9" w:rsidRDefault="002541A2" w:rsidP="002541A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2015</w:t>
            </w:r>
          </w:p>
        </w:tc>
        <w:tc>
          <w:tcPr>
            <w:tcW w:w="688" w:type="pct"/>
            <w:hideMark/>
          </w:tcPr>
          <w:p w:rsidR="002541A2" w:rsidRPr="00D050E9" w:rsidRDefault="002541A2" w:rsidP="002541A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2016</w:t>
            </w:r>
          </w:p>
        </w:tc>
        <w:tc>
          <w:tcPr>
            <w:tcW w:w="687" w:type="pct"/>
            <w:hideMark/>
          </w:tcPr>
          <w:p w:rsidR="002541A2" w:rsidRPr="00D050E9" w:rsidRDefault="002541A2" w:rsidP="002541A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2017</w:t>
            </w:r>
          </w:p>
        </w:tc>
        <w:tc>
          <w:tcPr>
            <w:tcW w:w="685" w:type="pct"/>
            <w:hideMark/>
          </w:tcPr>
          <w:p w:rsidR="002541A2" w:rsidRPr="00D050E9" w:rsidRDefault="002541A2" w:rsidP="002541A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Skupaj 2015-2017</w:t>
            </w:r>
          </w:p>
        </w:tc>
        <w:tc>
          <w:tcPr>
            <w:tcW w:w="424" w:type="pct"/>
            <w:noWrap/>
            <w:hideMark/>
          </w:tcPr>
          <w:p w:rsidR="002541A2" w:rsidRPr="00D050E9" w:rsidRDefault="002541A2" w:rsidP="002541A2">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Delež 2017</w:t>
            </w:r>
          </w:p>
        </w:tc>
        <w:tc>
          <w:tcPr>
            <w:tcW w:w="550" w:type="pct"/>
            <w:noWrap/>
            <w:hideMark/>
          </w:tcPr>
          <w:p w:rsidR="002541A2" w:rsidRPr="00D050E9" w:rsidRDefault="002541A2" w:rsidP="002541A2">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deleži 2015-2017</w:t>
            </w:r>
          </w:p>
        </w:tc>
      </w:tr>
      <w:tr w:rsidR="002541A2" w:rsidRPr="00D050E9" w:rsidTr="009C0537">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69" w:type="pct"/>
            <w:hideMark/>
          </w:tcPr>
          <w:p w:rsidR="002541A2" w:rsidRPr="00D050E9" w:rsidRDefault="002541A2" w:rsidP="002541A2">
            <w:pPr>
              <w:jc w:val="left"/>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RTH, Rudnik Trbovlje-Hrastnik d.o.o.</w:t>
            </w:r>
          </w:p>
        </w:tc>
        <w:tc>
          <w:tcPr>
            <w:tcW w:w="697"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3.617.783,12</w:t>
            </w:r>
          </w:p>
        </w:tc>
        <w:tc>
          <w:tcPr>
            <w:tcW w:w="688"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12.015.769,28</w:t>
            </w:r>
          </w:p>
        </w:tc>
        <w:tc>
          <w:tcPr>
            <w:tcW w:w="687"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15.543.237,65</w:t>
            </w:r>
          </w:p>
        </w:tc>
        <w:tc>
          <w:tcPr>
            <w:tcW w:w="685"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31.176.790,05</w:t>
            </w:r>
          </w:p>
        </w:tc>
        <w:tc>
          <w:tcPr>
            <w:tcW w:w="424"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98,7%</w:t>
            </w:r>
          </w:p>
        </w:tc>
        <w:tc>
          <w:tcPr>
            <w:tcW w:w="550"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94,3%</w:t>
            </w:r>
          </w:p>
        </w:tc>
      </w:tr>
      <w:tr w:rsidR="002541A2" w:rsidRPr="00D050E9" w:rsidTr="009C0537">
        <w:trPr>
          <w:cnfStyle w:val="000000010000" w:firstRow="0" w:lastRow="0" w:firstColumn="0" w:lastColumn="0" w:oddVBand="0" w:evenVBand="0" w:oddHBand="0" w:evenHBand="1"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69" w:type="pct"/>
            <w:noWrap/>
            <w:hideMark/>
          </w:tcPr>
          <w:p w:rsidR="002541A2" w:rsidRPr="00D050E9" w:rsidRDefault="002541A2" w:rsidP="002541A2">
            <w:pPr>
              <w:jc w:val="left"/>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Ostali prejemniki pomoči za premogovništvo</w:t>
            </w:r>
          </w:p>
        </w:tc>
        <w:tc>
          <w:tcPr>
            <w:tcW w:w="697" w:type="pct"/>
            <w:noWrap/>
            <w:hideMark/>
          </w:tcPr>
          <w:p w:rsidR="002541A2" w:rsidRPr="00D050E9" w:rsidRDefault="002541A2" w:rsidP="002541A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1.222.115,40</w:t>
            </w:r>
          </w:p>
        </w:tc>
        <w:tc>
          <w:tcPr>
            <w:tcW w:w="688" w:type="pct"/>
            <w:noWrap/>
            <w:hideMark/>
          </w:tcPr>
          <w:p w:rsidR="002541A2" w:rsidRPr="00D050E9" w:rsidRDefault="002541A2" w:rsidP="002541A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459.040,00</w:t>
            </w:r>
          </w:p>
        </w:tc>
        <w:tc>
          <w:tcPr>
            <w:tcW w:w="687" w:type="pct"/>
            <w:noWrap/>
            <w:hideMark/>
          </w:tcPr>
          <w:p w:rsidR="002541A2" w:rsidRPr="00D050E9" w:rsidRDefault="002541A2" w:rsidP="002541A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206.568,00</w:t>
            </w:r>
          </w:p>
        </w:tc>
        <w:tc>
          <w:tcPr>
            <w:tcW w:w="685" w:type="pct"/>
            <w:noWrap/>
            <w:hideMark/>
          </w:tcPr>
          <w:p w:rsidR="002541A2" w:rsidRPr="00D050E9" w:rsidRDefault="002541A2" w:rsidP="002541A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1.887.723,40</w:t>
            </w:r>
          </w:p>
        </w:tc>
        <w:tc>
          <w:tcPr>
            <w:tcW w:w="424" w:type="pct"/>
            <w:noWrap/>
            <w:hideMark/>
          </w:tcPr>
          <w:p w:rsidR="002541A2" w:rsidRPr="00D050E9" w:rsidRDefault="002541A2" w:rsidP="002541A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1,3%</w:t>
            </w:r>
          </w:p>
        </w:tc>
        <w:tc>
          <w:tcPr>
            <w:tcW w:w="550" w:type="pct"/>
            <w:noWrap/>
            <w:hideMark/>
          </w:tcPr>
          <w:p w:rsidR="002541A2" w:rsidRPr="00D050E9" w:rsidRDefault="002541A2" w:rsidP="002541A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5,7%</w:t>
            </w:r>
          </w:p>
        </w:tc>
      </w:tr>
      <w:tr w:rsidR="002541A2" w:rsidRPr="00D050E9" w:rsidTr="009C0537">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69" w:type="pct"/>
            <w:noWrap/>
            <w:hideMark/>
          </w:tcPr>
          <w:p w:rsidR="002541A2" w:rsidRPr="00D050E9" w:rsidRDefault="002541A2" w:rsidP="002541A2">
            <w:pPr>
              <w:jc w:val="left"/>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Skupaj pomoč za premogovništvo</w:t>
            </w:r>
          </w:p>
        </w:tc>
        <w:tc>
          <w:tcPr>
            <w:tcW w:w="697" w:type="pct"/>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6"/>
                <w:lang w:eastAsia="sl-SI"/>
              </w:rPr>
            </w:pPr>
            <w:r w:rsidRPr="00D050E9">
              <w:rPr>
                <w:rFonts w:ascii="Calibri" w:eastAsia="Times New Roman" w:hAnsi="Calibri" w:cs="Arial"/>
                <w:b/>
                <w:bCs/>
                <w:color w:val="000000"/>
                <w:sz w:val="18"/>
                <w:szCs w:val="16"/>
                <w:lang w:eastAsia="sl-SI"/>
              </w:rPr>
              <w:t>4.839.898,52</w:t>
            </w:r>
          </w:p>
        </w:tc>
        <w:tc>
          <w:tcPr>
            <w:tcW w:w="688" w:type="pct"/>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6"/>
                <w:lang w:eastAsia="sl-SI"/>
              </w:rPr>
            </w:pPr>
            <w:r w:rsidRPr="00D050E9">
              <w:rPr>
                <w:rFonts w:ascii="Calibri" w:eastAsia="Times New Roman" w:hAnsi="Calibri" w:cs="Arial"/>
                <w:b/>
                <w:bCs/>
                <w:color w:val="000000"/>
                <w:sz w:val="18"/>
                <w:szCs w:val="16"/>
                <w:lang w:eastAsia="sl-SI"/>
              </w:rPr>
              <w:t>12.474.809,28</w:t>
            </w:r>
          </w:p>
        </w:tc>
        <w:tc>
          <w:tcPr>
            <w:tcW w:w="687" w:type="pct"/>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8"/>
                <w:szCs w:val="16"/>
                <w:lang w:eastAsia="sl-SI"/>
              </w:rPr>
            </w:pPr>
            <w:r w:rsidRPr="00D050E9">
              <w:rPr>
                <w:rFonts w:ascii="Calibri" w:eastAsia="Times New Roman" w:hAnsi="Calibri" w:cs="Arial"/>
                <w:b/>
                <w:bCs/>
                <w:color w:val="000000"/>
                <w:sz w:val="18"/>
                <w:szCs w:val="16"/>
                <w:lang w:eastAsia="sl-SI"/>
              </w:rPr>
              <w:t xml:space="preserve">15.749.805,65 </w:t>
            </w:r>
          </w:p>
        </w:tc>
        <w:tc>
          <w:tcPr>
            <w:tcW w:w="685" w:type="pct"/>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 xml:space="preserve">33.064.513,45 </w:t>
            </w:r>
          </w:p>
        </w:tc>
        <w:tc>
          <w:tcPr>
            <w:tcW w:w="424"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100,0%</w:t>
            </w:r>
          </w:p>
        </w:tc>
        <w:tc>
          <w:tcPr>
            <w:tcW w:w="550" w:type="pct"/>
            <w:noWrap/>
            <w:hideMark/>
          </w:tcPr>
          <w:p w:rsidR="002541A2" w:rsidRPr="00D050E9" w:rsidRDefault="002541A2" w:rsidP="002541A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100,0%</w:t>
            </w:r>
          </w:p>
        </w:tc>
      </w:tr>
    </w:tbl>
    <w:p w:rsidR="002541A2" w:rsidRPr="00D050E9" w:rsidRDefault="002541A2" w:rsidP="005440AF">
      <w:pPr>
        <w:spacing w:after="0" w:line="276" w:lineRule="auto"/>
        <w:rPr>
          <w:rFonts w:asciiTheme="minorHAnsi" w:hAnsiTheme="minorHAnsi"/>
        </w:rPr>
      </w:pPr>
    </w:p>
    <w:p w:rsidR="007C21D6" w:rsidRPr="00D050E9" w:rsidRDefault="00480EA2" w:rsidP="00E979BC">
      <w:pPr>
        <w:spacing w:line="276" w:lineRule="auto"/>
        <w:rPr>
          <w:rFonts w:asciiTheme="minorHAnsi" w:hAnsiTheme="minorHAnsi"/>
        </w:rPr>
      </w:pPr>
      <w:r w:rsidRPr="00D050E9">
        <w:rPr>
          <w:rFonts w:asciiTheme="minorHAnsi" w:hAnsiTheme="minorHAnsi"/>
        </w:rPr>
        <w:t>Razliko so prejela podjetja,</w:t>
      </w:r>
      <w:r w:rsidRPr="00D050E9">
        <w:t xml:space="preserve"> </w:t>
      </w:r>
      <w:r w:rsidRPr="00D050E9">
        <w:rPr>
          <w:rFonts w:asciiTheme="minorHAnsi" w:hAnsiTheme="minorHAnsi"/>
        </w:rPr>
        <w:t>ki so zaposlila presežne delavce in presežni delavci rudnika, ki so se  samozaposlili. V letu 2017 so ti</w:t>
      </w:r>
      <w:r w:rsidR="00984E11" w:rsidRPr="00D050E9">
        <w:rPr>
          <w:rFonts w:asciiTheme="minorHAnsi" w:hAnsiTheme="minorHAnsi"/>
        </w:rPr>
        <w:t xml:space="preserve"> prejemniki, skupaj jih je bilo 9,</w:t>
      </w:r>
      <w:r w:rsidRPr="00D050E9">
        <w:rPr>
          <w:rFonts w:asciiTheme="minorHAnsi" w:hAnsiTheme="minorHAnsi"/>
        </w:rPr>
        <w:t xml:space="preserve"> prejeli </w:t>
      </w:r>
      <w:r w:rsidR="00984E11" w:rsidRPr="00D050E9">
        <w:rPr>
          <w:rFonts w:asciiTheme="minorHAnsi" w:hAnsiTheme="minorHAnsi"/>
        </w:rPr>
        <w:t xml:space="preserve">0,2 mio EUR </w:t>
      </w:r>
      <w:r w:rsidRPr="00D050E9">
        <w:rPr>
          <w:rFonts w:asciiTheme="minorHAnsi" w:hAnsiTheme="minorHAnsi"/>
        </w:rPr>
        <w:t>ali 1,3 % vseh pomoči za premogovništvo</w:t>
      </w:r>
      <w:r w:rsidR="00984E11" w:rsidRPr="00D050E9">
        <w:rPr>
          <w:rFonts w:asciiTheme="minorHAnsi" w:hAnsiTheme="minorHAnsi"/>
        </w:rPr>
        <w:t xml:space="preserve">, kar je manj kot v povprečju zadnjih treh let, ko je bilo za to skupaj izplačanih 1,9 mio EUR </w:t>
      </w:r>
      <w:r w:rsidR="00984E11" w:rsidRPr="00E116E8">
        <w:rPr>
          <w:rFonts w:asciiTheme="minorHAnsi" w:hAnsiTheme="minorHAnsi"/>
        </w:rPr>
        <w:t xml:space="preserve">ali </w:t>
      </w:r>
      <w:r w:rsidR="000B2899" w:rsidRPr="00E116E8">
        <w:rPr>
          <w:rFonts w:asciiTheme="minorHAnsi" w:hAnsiTheme="minorHAnsi"/>
        </w:rPr>
        <w:t>po</w:t>
      </w:r>
      <w:r w:rsidR="001D40C1" w:rsidRPr="00E116E8">
        <w:rPr>
          <w:rFonts w:asciiTheme="minorHAnsi" w:hAnsiTheme="minorHAnsi"/>
        </w:rPr>
        <w:t>v</w:t>
      </w:r>
      <w:r w:rsidR="000B2899" w:rsidRPr="00E116E8">
        <w:rPr>
          <w:rFonts w:asciiTheme="minorHAnsi" w:hAnsiTheme="minorHAnsi"/>
        </w:rPr>
        <w:t>prečno</w:t>
      </w:r>
      <w:r w:rsidR="000B2899" w:rsidRPr="00D050E9">
        <w:rPr>
          <w:rFonts w:asciiTheme="minorHAnsi" w:hAnsiTheme="minorHAnsi"/>
        </w:rPr>
        <w:t xml:space="preserve"> letno </w:t>
      </w:r>
      <w:r w:rsidR="00984E11" w:rsidRPr="00D050E9">
        <w:rPr>
          <w:rFonts w:asciiTheme="minorHAnsi" w:hAnsiTheme="minorHAnsi"/>
        </w:rPr>
        <w:t>0,6</w:t>
      </w:r>
      <w:r w:rsidR="00C079AA" w:rsidRPr="00D050E9">
        <w:rPr>
          <w:rFonts w:asciiTheme="minorHAnsi" w:hAnsiTheme="minorHAnsi"/>
        </w:rPr>
        <w:t xml:space="preserve"> mio EUR (slabih 6</w:t>
      </w:r>
      <w:r w:rsidRPr="00D050E9">
        <w:rPr>
          <w:rFonts w:asciiTheme="minorHAnsi" w:hAnsiTheme="minorHAnsi"/>
        </w:rPr>
        <w:t xml:space="preserve"> %</w:t>
      </w:r>
      <w:r w:rsidR="00984E11" w:rsidRPr="00D050E9">
        <w:rPr>
          <w:rFonts w:asciiTheme="minorHAnsi" w:hAnsiTheme="minorHAnsi"/>
        </w:rPr>
        <w:t xml:space="preserve"> pomoči za premogovništvo v obdobju 2015–2017)</w:t>
      </w:r>
      <w:r w:rsidR="00E979BC" w:rsidRPr="00D050E9">
        <w:rPr>
          <w:rFonts w:asciiTheme="minorHAnsi" w:hAnsiTheme="minorHAnsi"/>
        </w:rPr>
        <w:t xml:space="preserve">. </w:t>
      </w:r>
      <w:r w:rsidR="00984E11" w:rsidRPr="00D050E9">
        <w:rPr>
          <w:rFonts w:asciiTheme="minorHAnsi" w:hAnsiTheme="minorHAnsi"/>
        </w:rPr>
        <w:t>Pomoč za</w:t>
      </w:r>
      <w:r w:rsidR="009D0071" w:rsidRPr="00D050E9">
        <w:rPr>
          <w:rFonts w:asciiTheme="minorHAnsi" w:hAnsiTheme="minorHAnsi"/>
        </w:rPr>
        <w:t xml:space="preserve"> zaposlitev presežen</w:t>
      </w:r>
      <w:r w:rsidR="000B2899" w:rsidRPr="00D050E9">
        <w:rPr>
          <w:rFonts w:asciiTheme="minorHAnsi" w:hAnsiTheme="minorHAnsi"/>
        </w:rPr>
        <w:t>ega</w:t>
      </w:r>
      <w:r w:rsidR="009D0071" w:rsidRPr="00D050E9">
        <w:rPr>
          <w:rFonts w:asciiTheme="minorHAnsi" w:hAnsiTheme="minorHAnsi"/>
        </w:rPr>
        <w:t xml:space="preserve"> </w:t>
      </w:r>
      <w:r w:rsidR="000B2899" w:rsidRPr="00D050E9">
        <w:rPr>
          <w:rFonts w:asciiTheme="minorHAnsi" w:hAnsiTheme="minorHAnsi"/>
        </w:rPr>
        <w:t xml:space="preserve">delavca </w:t>
      </w:r>
      <w:r w:rsidR="00984E11" w:rsidRPr="00D050E9">
        <w:rPr>
          <w:rFonts w:asciiTheme="minorHAnsi" w:hAnsiTheme="minorHAnsi"/>
        </w:rPr>
        <w:t xml:space="preserve">znaša 23 tisoč EUR. </w:t>
      </w:r>
    </w:p>
    <w:p w:rsidR="00E979BC" w:rsidRPr="00D050E9" w:rsidRDefault="00E979BC" w:rsidP="00E979BC">
      <w:pPr>
        <w:spacing w:line="276" w:lineRule="auto"/>
        <w:rPr>
          <w:rFonts w:asciiTheme="minorHAnsi" w:hAnsiTheme="minorHAnsi"/>
        </w:rPr>
      </w:pPr>
      <w:r w:rsidRPr="00D050E9">
        <w:rPr>
          <w:rFonts w:asciiTheme="minorHAnsi" w:hAnsiTheme="minorHAnsi"/>
        </w:rPr>
        <w:t xml:space="preserve">Od leta 2001, ko je bila priglašena prva shema pomoči za premogovništvo, je bilo za namen premogovništva izplačanih 210,71 mio EUR. Večina pomoči, 202,93 mio EUR ali 96 % pomoči za premogovništvo, je bila izplačana na osnovi programa zapiranja Rudnika Trbovlje-Hrastnik, od tega je RTH prejel 195,44 mio EUR. </w:t>
      </w:r>
      <w:r w:rsidR="00921089" w:rsidRPr="00D050E9">
        <w:rPr>
          <w:rFonts w:asciiTheme="minorHAnsi" w:hAnsiTheme="minorHAnsi"/>
        </w:rPr>
        <w:t>Razlika je bila namenjena za zapir</w:t>
      </w:r>
      <w:r w:rsidRPr="00D050E9">
        <w:rPr>
          <w:rFonts w:asciiTheme="minorHAnsi" w:hAnsiTheme="minorHAnsi"/>
        </w:rPr>
        <w:t>anje rudnikov Zagorje, Senovo in Kanižarica ter Premogovnika Velenje</w:t>
      </w:r>
      <w:r w:rsidRPr="00D050E9">
        <w:rPr>
          <w:rStyle w:val="FootnoteReference"/>
          <w:rFonts w:asciiTheme="minorHAnsi" w:hAnsiTheme="minorHAnsi"/>
        </w:rPr>
        <w:footnoteReference w:id="21"/>
      </w:r>
      <w:r w:rsidRPr="00D050E9">
        <w:rPr>
          <w:rFonts w:asciiTheme="minorHAnsi" w:hAnsiTheme="minorHAnsi"/>
        </w:rPr>
        <w:t xml:space="preserve">. </w:t>
      </w:r>
    </w:p>
    <w:p w:rsidR="00CB10B6" w:rsidRPr="00D050E9" w:rsidRDefault="00CB10B6" w:rsidP="00B9182A">
      <w:pPr>
        <w:pStyle w:val="Heading3"/>
      </w:pPr>
    </w:p>
    <w:p w:rsidR="00430D6B" w:rsidRPr="00D050E9" w:rsidRDefault="00430D6B" w:rsidP="003F2F56">
      <w:pPr>
        <w:pStyle w:val="Heading2"/>
      </w:pPr>
      <w:bookmarkStart w:id="118" w:name="_Toc528594662"/>
      <w:bookmarkStart w:id="119" w:name="_Toc530654558"/>
      <w:r w:rsidRPr="00D050E9">
        <w:t>4.10</w:t>
      </w:r>
      <w:r w:rsidR="0031078A" w:rsidRPr="00D050E9">
        <w:t xml:space="preserve"> REŠEVANJE IN PRESTRUKTURIRANJE</w:t>
      </w:r>
      <w:bookmarkEnd w:id="118"/>
      <w:bookmarkEnd w:id="119"/>
    </w:p>
    <w:p w:rsidR="00CB10B6" w:rsidRPr="00D050E9" w:rsidRDefault="00CB10B6" w:rsidP="00CB10B6">
      <w:pPr>
        <w:spacing w:after="0"/>
      </w:pPr>
    </w:p>
    <w:p w:rsidR="006C5763" w:rsidRPr="00D050E9" w:rsidRDefault="0031078A" w:rsidP="007B2E67">
      <w:pPr>
        <w:spacing w:line="276" w:lineRule="auto"/>
        <w:rPr>
          <w:rFonts w:asciiTheme="minorHAnsi" w:hAnsiTheme="minorHAnsi"/>
        </w:rPr>
      </w:pPr>
      <w:r w:rsidRPr="00D050E9">
        <w:rPr>
          <w:rFonts w:asciiTheme="minorHAnsi" w:hAnsiTheme="minorHAnsi"/>
        </w:rPr>
        <w:t xml:space="preserve">V letu 2017 je bila izplačana </w:t>
      </w:r>
      <w:r w:rsidR="00424319" w:rsidRPr="00D050E9">
        <w:rPr>
          <w:rFonts w:asciiTheme="minorHAnsi" w:hAnsiTheme="minorHAnsi"/>
        </w:rPr>
        <w:t xml:space="preserve">le ena </w:t>
      </w:r>
      <w:r w:rsidRPr="00D050E9">
        <w:rPr>
          <w:rFonts w:asciiTheme="minorHAnsi" w:hAnsiTheme="minorHAnsi"/>
        </w:rPr>
        <w:t xml:space="preserve">pomoč za reševanje </w:t>
      </w:r>
      <w:r w:rsidR="00424319" w:rsidRPr="00D050E9">
        <w:rPr>
          <w:rFonts w:asciiTheme="minorHAnsi" w:hAnsiTheme="minorHAnsi"/>
        </w:rPr>
        <w:t xml:space="preserve">in prestrukturiranje </w:t>
      </w:r>
      <w:r w:rsidRPr="00D050E9">
        <w:rPr>
          <w:rFonts w:asciiTheme="minorHAnsi" w:hAnsiTheme="minorHAnsi"/>
        </w:rPr>
        <w:t>v višini 54 tisoč EUR, medtem ko</w:t>
      </w:r>
      <w:r w:rsidR="000B2899" w:rsidRPr="00D050E9">
        <w:rPr>
          <w:rFonts w:asciiTheme="minorHAnsi" w:hAnsiTheme="minorHAnsi"/>
        </w:rPr>
        <w:t xml:space="preserve"> </w:t>
      </w:r>
      <w:r w:rsidRPr="00D050E9">
        <w:rPr>
          <w:rFonts w:asciiTheme="minorHAnsi" w:hAnsiTheme="minorHAnsi"/>
        </w:rPr>
        <w:t>se pomoči za prestrukturiranje podjetij v težavah v letu 2017 niso izplačevale. V letu 2016, zla</w:t>
      </w:r>
      <w:r w:rsidR="000166D0" w:rsidRPr="00D050E9">
        <w:rPr>
          <w:rFonts w:asciiTheme="minorHAnsi" w:hAnsiTheme="minorHAnsi"/>
        </w:rPr>
        <w:t>s</w:t>
      </w:r>
      <w:r w:rsidRPr="00D050E9">
        <w:rPr>
          <w:rFonts w:asciiTheme="minorHAnsi" w:hAnsiTheme="minorHAnsi"/>
        </w:rPr>
        <w:t>ti pa v letu 2015</w:t>
      </w:r>
      <w:r w:rsidR="00424319" w:rsidRPr="00D050E9">
        <w:rPr>
          <w:rFonts w:asciiTheme="minorHAnsi" w:hAnsiTheme="minorHAnsi"/>
        </w:rPr>
        <w:t xml:space="preserve">, so bile te pomoči </w:t>
      </w:r>
      <w:r w:rsidRPr="00D050E9">
        <w:rPr>
          <w:rFonts w:asciiTheme="minorHAnsi" w:hAnsiTheme="minorHAnsi"/>
        </w:rPr>
        <w:t xml:space="preserve">bistveno višje (1,3 mio EUR ali 0,4 % vseh pomoči v letu 2016 oz. 102,9 mio EUR ali skoraj 19 % vseh pomoči v letu 2015). Velike spremembe v obsegu teh pomoči niso </w:t>
      </w:r>
      <w:r w:rsidR="006C5763" w:rsidRPr="00D050E9">
        <w:rPr>
          <w:rFonts w:asciiTheme="minorHAnsi" w:hAnsiTheme="minorHAnsi"/>
        </w:rPr>
        <w:t>nekaj neobičajnega, saj gre za pomoči, ki se dodeljujejo izjemoma, običajno na osnovi</w:t>
      </w:r>
      <w:r w:rsidR="00E116E8">
        <w:rPr>
          <w:rFonts w:asciiTheme="minorHAnsi" w:hAnsiTheme="minorHAnsi"/>
        </w:rPr>
        <w:t xml:space="preserve"> individualnih odobritev,</w:t>
      </w:r>
      <w:r w:rsidR="006C5763" w:rsidRPr="00D050E9">
        <w:rPr>
          <w:rFonts w:asciiTheme="minorHAnsi" w:hAnsiTheme="minorHAnsi"/>
        </w:rPr>
        <w:t xml:space="preserve"> ko</w:t>
      </w:r>
      <w:r w:rsidR="00E116E8">
        <w:rPr>
          <w:rFonts w:asciiTheme="minorHAnsi" w:hAnsiTheme="minorHAnsi"/>
        </w:rPr>
        <w:t xml:space="preserve"> pride</w:t>
      </w:r>
      <w:r w:rsidR="006C5763" w:rsidRPr="00D050E9">
        <w:rPr>
          <w:rFonts w:asciiTheme="minorHAnsi" w:hAnsiTheme="minorHAnsi"/>
        </w:rPr>
        <w:t xml:space="preserve"> do večjih kriz v gospodarstvu oz. težav </w:t>
      </w:r>
      <w:r w:rsidR="000B2899" w:rsidRPr="00D050E9">
        <w:rPr>
          <w:rFonts w:asciiTheme="minorHAnsi" w:hAnsiTheme="minorHAnsi"/>
        </w:rPr>
        <w:t xml:space="preserve">v </w:t>
      </w:r>
      <w:r w:rsidR="006C5763" w:rsidRPr="00D050E9">
        <w:rPr>
          <w:rFonts w:asciiTheme="minorHAnsi" w:hAnsiTheme="minorHAnsi"/>
        </w:rPr>
        <w:t xml:space="preserve">posameznih </w:t>
      </w:r>
      <w:r w:rsidR="00E116E8">
        <w:rPr>
          <w:rFonts w:asciiTheme="minorHAnsi" w:hAnsiTheme="minorHAnsi"/>
        </w:rPr>
        <w:t xml:space="preserve">večjih </w:t>
      </w:r>
      <w:r w:rsidR="006C5763" w:rsidRPr="00D050E9">
        <w:rPr>
          <w:rFonts w:asciiTheme="minorHAnsi" w:hAnsiTheme="minorHAnsi"/>
        </w:rPr>
        <w:t xml:space="preserve">podjetjih. </w:t>
      </w:r>
    </w:p>
    <w:p w:rsidR="0031078A" w:rsidRDefault="0031078A" w:rsidP="007B2E67">
      <w:pPr>
        <w:spacing w:line="276" w:lineRule="auto"/>
        <w:rPr>
          <w:rFonts w:asciiTheme="minorHAnsi" w:hAnsiTheme="minorHAnsi"/>
        </w:rPr>
      </w:pPr>
      <w:r w:rsidRPr="00D050E9">
        <w:rPr>
          <w:rFonts w:asciiTheme="minorHAnsi" w:hAnsiTheme="minorHAnsi"/>
        </w:rPr>
        <w:t>V zadnjih desetih letih je bilo za reševanje podjetij v povprečju namenjenih 4,6 mio EUR</w:t>
      </w:r>
      <w:r w:rsidR="00424319" w:rsidRPr="00D050E9">
        <w:rPr>
          <w:rFonts w:asciiTheme="minorHAnsi" w:hAnsiTheme="minorHAnsi"/>
        </w:rPr>
        <w:t xml:space="preserve"> letno</w:t>
      </w:r>
      <w:r w:rsidRPr="00D050E9">
        <w:rPr>
          <w:rFonts w:asciiTheme="minorHAnsi" w:hAnsiTheme="minorHAnsi"/>
        </w:rPr>
        <w:t>, za prestrukturiranje pa 16,3 mio EUR</w:t>
      </w:r>
      <w:r w:rsidR="00424319" w:rsidRPr="00D050E9">
        <w:rPr>
          <w:rFonts w:asciiTheme="minorHAnsi" w:hAnsiTheme="minorHAnsi"/>
        </w:rPr>
        <w:t xml:space="preserve"> letno</w:t>
      </w:r>
      <w:r w:rsidRPr="00D050E9">
        <w:rPr>
          <w:rFonts w:asciiTheme="minorHAnsi" w:hAnsiTheme="minorHAnsi"/>
        </w:rPr>
        <w:t xml:space="preserve">. V povprečju so te pomoči predstavljale 4,4 % vseh pomoči v zadnjih desetih letih. </w:t>
      </w:r>
    </w:p>
    <w:p w:rsidR="00024A69" w:rsidRPr="00D050E9" w:rsidRDefault="00CB10B6" w:rsidP="00CB10B6">
      <w:pPr>
        <w:pStyle w:val="Caption"/>
        <w:rPr>
          <w:color w:val="auto"/>
        </w:rPr>
      </w:pPr>
      <w:bookmarkStart w:id="120" w:name="_Toc530654665"/>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50</w:t>
      </w:r>
      <w:r w:rsidRPr="00D050E9">
        <w:rPr>
          <w:color w:val="auto"/>
        </w:rPr>
        <w:fldChar w:fldCharType="end"/>
      </w:r>
      <w:r w:rsidR="00024A69" w:rsidRPr="00D050E9">
        <w:rPr>
          <w:color w:val="auto"/>
        </w:rPr>
        <w:t>: Državne pomoči za reševanje in prestrukturiranje, 2008–2017, v mio EUR in kot % vseh pomoči</w:t>
      </w:r>
      <w:bookmarkEnd w:id="120"/>
    </w:p>
    <w:p w:rsidR="00024A69" w:rsidRPr="00D050E9" w:rsidRDefault="00024A69" w:rsidP="007B2E67">
      <w:pPr>
        <w:spacing w:line="276" w:lineRule="auto"/>
        <w:rPr>
          <w:rFonts w:asciiTheme="minorHAnsi" w:hAnsiTheme="minorHAnsi"/>
          <w:b/>
          <w:color w:val="5F497A" w:themeColor="accent4" w:themeShade="BF"/>
        </w:rPr>
      </w:pPr>
      <w:r w:rsidRPr="00D050E9">
        <w:rPr>
          <w:noProof/>
          <w:lang w:eastAsia="sl-SI"/>
        </w:rPr>
        <w:drawing>
          <wp:inline distT="0" distB="0" distL="0" distR="0" wp14:anchorId="13A40470" wp14:editId="164AECDF">
            <wp:extent cx="5760720" cy="272796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1078A" w:rsidRDefault="006C5763" w:rsidP="006C5763">
      <w:pPr>
        <w:spacing w:line="276" w:lineRule="auto"/>
        <w:rPr>
          <w:rFonts w:asciiTheme="minorHAnsi" w:hAnsiTheme="minorHAnsi"/>
        </w:rPr>
      </w:pPr>
      <w:r w:rsidRPr="00D050E9">
        <w:rPr>
          <w:rFonts w:asciiTheme="minorHAnsi" w:hAnsiTheme="minorHAnsi"/>
        </w:rPr>
        <w:t xml:space="preserve">Pomoč za reševanje, izplačana v letu 2017, je prva pomoč, dodeljena na osnovi nove sheme za reševanje </w:t>
      </w:r>
      <w:r w:rsidR="00424319" w:rsidRPr="00D050E9">
        <w:rPr>
          <w:rFonts w:asciiTheme="minorHAnsi" w:hAnsiTheme="minorHAnsi"/>
        </w:rPr>
        <w:t>in prestrukturiranje m</w:t>
      </w:r>
      <w:r w:rsidRPr="00D050E9">
        <w:rPr>
          <w:rFonts w:asciiTheme="minorHAnsi" w:hAnsiTheme="minorHAnsi"/>
        </w:rPr>
        <w:t xml:space="preserve">alih in srednje velikih podjetij v težavah. Shema je začela veljati v letu 2017, pomoči pa bo mogoče dodeljevati do konca leta 2020. </w:t>
      </w:r>
    </w:p>
    <w:p w:rsidR="002F606A" w:rsidRDefault="002F606A" w:rsidP="006C5763">
      <w:pPr>
        <w:spacing w:line="276" w:lineRule="auto"/>
        <w:rPr>
          <w:rFonts w:asciiTheme="minorHAnsi" w:hAnsiTheme="minorHAnsi"/>
        </w:rPr>
      </w:pPr>
    </w:p>
    <w:p w:rsidR="002F606A" w:rsidRPr="00D050E9" w:rsidRDefault="002F606A" w:rsidP="006C5763">
      <w:pPr>
        <w:spacing w:line="276" w:lineRule="auto"/>
        <w:rPr>
          <w:rFonts w:asciiTheme="minorHAnsi" w:hAnsiTheme="minorHAnsi"/>
        </w:rPr>
      </w:pPr>
    </w:p>
    <w:p w:rsidR="0031078A" w:rsidRPr="00D050E9" w:rsidRDefault="00CB10B6" w:rsidP="00CB10B6">
      <w:pPr>
        <w:pStyle w:val="Caption"/>
        <w:rPr>
          <w:color w:val="auto"/>
        </w:rPr>
      </w:pPr>
      <w:bookmarkStart w:id="121" w:name="_Toc530654605"/>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21</w:t>
      </w:r>
      <w:r w:rsidRPr="00D050E9">
        <w:rPr>
          <w:color w:val="auto"/>
        </w:rPr>
        <w:fldChar w:fldCharType="end"/>
      </w:r>
      <w:r w:rsidR="006C5763" w:rsidRPr="00D050E9">
        <w:rPr>
          <w:color w:val="auto"/>
        </w:rPr>
        <w:t>: Državne pomoči za reševanje in prestrukturiranje, 2015–2017, po shemi in prejemnikih</w:t>
      </w:r>
      <w:bookmarkEnd w:id="121"/>
    </w:p>
    <w:p w:rsidR="00CB10B6" w:rsidRPr="00D050E9" w:rsidRDefault="00CB10B6" w:rsidP="00CB10B6">
      <w:pPr>
        <w:spacing w:after="0"/>
        <w:rPr>
          <w:lang w:bidi="hi-IN"/>
        </w:rPr>
      </w:pPr>
    </w:p>
    <w:tbl>
      <w:tblPr>
        <w:tblStyle w:val="LightGrid-Accent5"/>
        <w:tblW w:w="5019" w:type="pct"/>
        <w:tblLook w:val="04A0" w:firstRow="1" w:lastRow="0" w:firstColumn="1" w:lastColumn="0" w:noHBand="0" w:noVBand="1"/>
      </w:tblPr>
      <w:tblGrid>
        <w:gridCol w:w="1435"/>
        <w:gridCol w:w="2243"/>
        <w:gridCol w:w="2412"/>
        <w:gridCol w:w="1304"/>
        <w:gridCol w:w="1130"/>
        <w:gridCol w:w="912"/>
      </w:tblGrid>
      <w:tr w:rsidR="0031078A" w:rsidRPr="00D050E9" w:rsidTr="002F606A">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0" w:type="pct"/>
            <w:hideMark/>
          </w:tcPr>
          <w:p w:rsidR="0031078A" w:rsidRPr="00D050E9" w:rsidRDefault="0031078A" w:rsidP="0031078A">
            <w:pPr>
              <w:jc w:val="left"/>
              <w:rPr>
                <w:rFonts w:ascii="Calibri" w:eastAsia="Times New Roman" w:hAnsi="Calibri" w:cs="Arial"/>
                <w:sz w:val="17"/>
                <w:szCs w:val="17"/>
                <w:lang w:eastAsia="sl-SI"/>
              </w:rPr>
            </w:pPr>
            <w:r w:rsidRPr="00D050E9">
              <w:rPr>
                <w:rFonts w:ascii="Calibri" w:eastAsia="Times New Roman" w:hAnsi="Calibri" w:cs="Arial"/>
                <w:sz w:val="17"/>
                <w:szCs w:val="17"/>
                <w:lang w:eastAsia="sl-SI"/>
              </w:rPr>
              <w:t>Kategorija</w:t>
            </w:r>
          </w:p>
        </w:tc>
        <w:tc>
          <w:tcPr>
            <w:tcW w:w="1188" w:type="pct"/>
            <w:hideMark/>
          </w:tcPr>
          <w:p w:rsidR="0031078A" w:rsidRPr="00D050E9" w:rsidRDefault="0031078A" w:rsidP="0031078A">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Shema oz. individualna  pomoč</w:t>
            </w:r>
          </w:p>
        </w:tc>
        <w:tc>
          <w:tcPr>
            <w:tcW w:w="1278" w:type="pct"/>
            <w:hideMark/>
          </w:tcPr>
          <w:p w:rsidR="0031078A" w:rsidRPr="00D050E9" w:rsidRDefault="0031078A" w:rsidP="0031078A">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Prejemnik pomoči</w:t>
            </w:r>
          </w:p>
        </w:tc>
        <w:tc>
          <w:tcPr>
            <w:tcW w:w="691" w:type="pct"/>
            <w:hideMark/>
          </w:tcPr>
          <w:p w:rsidR="0031078A" w:rsidRPr="00D050E9" w:rsidRDefault="0031078A" w:rsidP="003107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2015</w:t>
            </w:r>
          </w:p>
        </w:tc>
        <w:tc>
          <w:tcPr>
            <w:tcW w:w="599" w:type="pct"/>
            <w:hideMark/>
          </w:tcPr>
          <w:p w:rsidR="0031078A" w:rsidRPr="00D050E9" w:rsidRDefault="0031078A" w:rsidP="003107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2016</w:t>
            </w:r>
          </w:p>
        </w:tc>
        <w:tc>
          <w:tcPr>
            <w:tcW w:w="483" w:type="pct"/>
            <w:hideMark/>
          </w:tcPr>
          <w:p w:rsidR="0031078A" w:rsidRPr="00D050E9" w:rsidRDefault="0031078A" w:rsidP="0031078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2017</w:t>
            </w:r>
          </w:p>
        </w:tc>
      </w:tr>
      <w:tr w:rsidR="0031078A" w:rsidRPr="00D050E9" w:rsidTr="002F606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0" w:type="pct"/>
            <w:hideMark/>
          </w:tcPr>
          <w:p w:rsidR="0031078A" w:rsidRPr="00D050E9" w:rsidRDefault="0031078A" w:rsidP="0031078A">
            <w:pPr>
              <w:jc w:val="left"/>
              <w:rPr>
                <w:rFonts w:ascii="Calibri" w:eastAsia="Times New Roman" w:hAnsi="Calibri" w:cs="Arial"/>
                <w:sz w:val="17"/>
                <w:szCs w:val="17"/>
                <w:lang w:eastAsia="sl-SI"/>
              </w:rPr>
            </w:pPr>
            <w:r w:rsidRPr="00D050E9">
              <w:rPr>
                <w:rFonts w:ascii="Calibri" w:eastAsia="Times New Roman" w:hAnsi="Calibri" w:cs="Arial"/>
                <w:sz w:val="17"/>
                <w:szCs w:val="17"/>
                <w:lang w:eastAsia="sl-SI"/>
              </w:rPr>
              <w:t>Pomoči za reševanje</w:t>
            </w:r>
          </w:p>
        </w:tc>
        <w:tc>
          <w:tcPr>
            <w:tcW w:w="1188" w:type="pct"/>
            <w:hideMark/>
          </w:tcPr>
          <w:p w:rsidR="0031078A" w:rsidRPr="00D050E9" w:rsidRDefault="0031078A" w:rsidP="0031078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Reševanje in prestrukturiranje gospodarskih družb in zadrug v težavah - SME</w:t>
            </w:r>
          </w:p>
        </w:tc>
        <w:tc>
          <w:tcPr>
            <w:tcW w:w="1278" w:type="pct"/>
            <w:hideMark/>
          </w:tcPr>
          <w:p w:rsidR="0031078A" w:rsidRPr="00D050E9" w:rsidRDefault="0031078A" w:rsidP="0031078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ROBOTIKA KOGLER - pakirno paletirni sistemi d.o.o.</w:t>
            </w:r>
          </w:p>
        </w:tc>
        <w:tc>
          <w:tcPr>
            <w:tcW w:w="691"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c>
          <w:tcPr>
            <w:tcW w:w="599"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c>
          <w:tcPr>
            <w:tcW w:w="483"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54.369,00</w:t>
            </w:r>
          </w:p>
        </w:tc>
      </w:tr>
      <w:tr w:rsidR="0031078A" w:rsidRPr="00D050E9" w:rsidTr="002F606A">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0" w:type="pct"/>
            <w:vMerge w:val="restart"/>
            <w:hideMark/>
          </w:tcPr>
          <w:p w:rsidR="0031078A" w:rsidRPr="00D050E9" w:rsidRDefault="0031078A" w:rsidP="0031078A">
            <w:pPr>
              <w:jc w:val="left"/>
              <w:rPr>
                <w:rFonts w:ascii="Calibri" w:eastAsia="Times New Roman" w:hAnsi="Calibri" w:cs="Arial"/>
                <w:sz w:val="17"/>
                <w:szCs w:val="17"/>
                <w:lang w:eastAsia="sl-SI"/>
              </w:rPr>
            </w:pPr>
            <w:r w:rsidRPr="00D050E9">
              <w:rPr>
                <w:rFonts w:ascii="Calibri" w:eastAsia="Times New Roman" w:hAnsi="Calibri" w:cs="Arial"/>
                <w:sz w:val="17"/>
                <w:szCs w:val="17"/>
                <w:lang w:eastAsia="sl-SI"/>
              </w:rPr>
              <w:t>Prestrukturiranje</w:t>
            </w:r>
          </w:p>
        </w:tc>
        <w:tc>
          <w:tcPr>
            <w:tcW w:w="1188" w:type="pct"/>
            <w:hideMark/>
          </w:tcPr>
          <w:p w:rsidR="0031078A" w:rsidRPr="00D050E9" w:rsidRDefault="0031078A" w:rsidP="0031078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Program prestrukturiranja Polzela d.d.</w:t>
            </w:r>
          </w:p>
        </w:tc>
        <w:tc>
          <w:tcPr>
            <w:tcW w:w="1278" w:type="pct"/>
            <w:hideMark/>
          </w:tcPr>
          <w:p w:rsidR="0031078A" w:rsidRPr="00D050E9" w:rsidRDefault="0031078A" w:rsidP="0031078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POLZELA tovarna nogavic d. o. o. - v stečaju</w:t>
            </w:r>
          </w:p>
        </w:tc>
        <w:tc>
          <w:tcPr>
            <w:tcW w:w="691" w:type="pct"/>
            <w:vAlign w:val="center"/>
            <w:hideMark/>
          </w:tcPr>
          <w:p w:rsidR="0031078A" w:rsidRPr="00D050E9" w:rsidRDefault="0031078A" w:rsidP="0031078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922.853,58</w:t>
            </w:r>
          </w:p>
        </w:tc>
        <w:tc>
          <w:tcPr>
            <w:tcW w:w="599" w:type="pct"/>
            <w:vAlign w:val="center"/>
            <w:hideMark/>
          </w:tcPr>
          <w:p w:rsidR="0031078A" w:rsidRPr="00D050E9" w:rsidRDefault="0031078A" w:rsidP="0031078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1.300.000,00</w:t>
            </w:r>
          </w:p>
        </w:tc>
        <w:tc>
          <w:tcPr>
            <w:tcW w:w="483" w:type="pct"/>
            <w:vAlign w:val="center"/>
            <w:hideMark/>
          </w:tcPr>
          <w:p w:rsidR="0031078A" w:rsidRPr="00D050E9" w:rsidRDefault="0031078A" w:rsidP="0031078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r>
      <w:tr w:rsidR="0031078A" w:rsidRPr="00D050E9" w:rsidTr="002F606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0" w:type="pct"/>
            <w:vMerge/>
            <w:hideMark/>
          </w:tcPr>
          <w:p w:rsidR="0031078A" w:rsidRPr="00D050E9" w:rsidRDefault="0031078A" w:rsidP="0031078A">
            <w:pPr>
              <w:jc w:val="left"/>
              <w:rPr>
                <w:rFonts w:ascii="Calibri" w:eastAsia="Times New Roman" w:hAnsi="Calibri" w:cs="Arial"/>
                <w:sz w:val="17"/>
                <w:szCs w:val="17"/>
                <w:lang w:eastAsia="sl-SI"/>
              </w:rPr>
            </w:pPr>
          </w:p>
        </w:tc>
        <w:tc>
          <w:tcPr>
            <w:tcW w:w="1188" w:type="pct"/>
            <w:hideMark/>
          </w:tcPr>
          <w:p w:rsidR="0031078A" w:rsidRPr="00D050E9" w:rsidRDefault="0031078A" w:rsidP="0031078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Program prestrukturiranja MLM d.d.</w:t>
            </w:r>
          </w:p>
        </w:tc>
        <w:tc>
          <w:tcPr>
            <w:tcW w:w="1278" w:type="pct"/>
            <w:hideMark/>
          </w:tcPr>
          <w:p w:rsidR="0031078A" w:rsidRPr="00D050E9" w:rsidRDefault="0031078A" w:rsidP="0031078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MARIBORSKA LIVARNA MARIBOR d.d.</w:t>
            </w:r>
          </w:p>
        </w:tc>
        <w:tc>
          <w:tcPr>
            <w:tcW w:w="691"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5.100.000,00</w:t>
            </w:r>
          </w:p>
        </w:tc>
        <w:tc>
          <w:tcPr>
            <w:tcW w:w="599"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c>
          <w:tcPr>
            <w:tcW w:w="483"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r>
      <w:tr w:rsidR="0031078A" w:rsidRPr="00D050E9" w:rsidTr="002F606A">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60" w:type="pct"/>
            <w:vMerge/>
            <w:hideMark/>
          </w:tcPr>
          <w:p w:rsidR="0031078A" w:rsidRPr="00D050E9" w:rsidRDefault="0031078A" w:rsidP="0031078A">
            <w:pPr>
              <w:jc w:val="left"/>
              <w:rPr>
                <w:rFonts w:ascii="Calibri" w:eastAsia="Times New Roman" w:hAnsi="Calibri" w:cs="Arial"/>
                <w:sz w:val="17"/>
                <w:szCs w:val="17"/>
                <w:lang w:eastAsia="sl-SI"/>
              </w:rPr>
            </w:pPr>
          </w:p>
        </w:tc>
        <w:tc>
          <w:tcPr>
            <w:tcW w:w="1188" w:type="pct"/>
            <w:hideMark/>
          </w:tcPr>
          <w:p w:rsidR="0031078A" w:rsidRPr="00D050E9" w:rsidRDefault="0031078A" w:rsidP="0031078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Program prestrukturiranja Cimos d.d.</w:t>
            </w:r>
          </w:p>
        </w:tc>
        <w:tc>
          <w:tcPr>
            <w:tcW w:w="1278" w:type="pct"/>
            <w:hideMark/>
          </w:tcPr>
          <w:p w:rsidR="0031078A" w:rsidRPr="00D050E9" w:rsidRDefault="0031078A" w:rsidP="0031078A">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CIMOS d.d. AVTOMOBILSKA INDUSTRIJA</w:t>
            </w:r>
          </w:p>
        </w:tc>
        <w:tc>
          <w:tcPr>
            <w:tcW w:w="691" w:type="pct"/>
            <w:vAlign w:val="center"/>
            <w:hideMark/>
          </w:tcPr>
          <w:p w:rsidR="0031078A" w:rsidRPr="00D050E9" w:rsidRDefault="0031078A" w:rsidP="0031078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96.920.808,16</w:t>
            </w:r>
          </w:p>
        </w:tc>
        <w:tc>
          <w:tcPr>
            <w:tcW w:w="599" w:type="pct"/>
            <w:vAlign w:val="center"/>
            <w:hideMark/>
          </w:tcPr>
          <w:p w:rsidR="0031078A" w:rsidRPr="00D050E9" w:rsidRDefault="0031078A" w:rsidP="0031078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c>
          <w:tcPr>
            <w:tcW w:w="483" w:type="pct"/>
            <w:vAlign w:val="center"/>
            <w:hideMark/>
          </w:tcPr>
          <w:p w:rsidR="0031078A" w:rsidRPr="00D050E9" w:rsidRDefault="0031078A" w:rsidP="0031078A">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7"/>
                <w:szCs w:val="17"/>
                <w:lang w:eastAsia="sl-SI"/>
              </w:rPr>
            </w:pPr>
            <w:r w:rsidRPr="00D050E9">
              <w:rPr>
                <w:rFonts w:ascii="Calibri" w:eastAsia="Times New Roman" w:hAnsi="Calibri" w:cs="Arial"/>
                <w:sz w:val="17"/>
                <w:szCs w:val="17"/>
                <w:lang w:eastAsia="sl-SI"/>
              </w:rPr>
              <w:t> </w:t>
            </w:r>
          </w:p>
        </w:tc>
      </w:tr>
      <w:tr w:rsidR="0031078A" w:rsidRPr="00D050E9" w:rsidTr="002F606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26" w:type="pct"/>
            <w:gridSpan w:val="3"/>
            <w:hideMark/>
          </w:tcPr>
          <w:p w:rsidR="0031078A" w:rsidRPr="00D050E9" w:rsidRDefault="0031078A" w:rsidP="0031078A">
            <w:pPr>
              <w:jc w:val="left"/>
              <w:rPr>
                <w:rFonts w:ascii="Calibri" w:eastAsia="Times New Roman" w:hAnsi="Calibri" w:cs="Arial"/>
                <w:sz w:val="17"/>
                <w:szCs w:val="17"/>
                <w:lang w:eastAsia="sl-SI"/>
              </w:rPr>
            </w:pPr>
            <w:r w:rsidRPr="00D050E9">
              <w:rPr>
                <w:rFonts w:ascii="Calibri" w:eastAsia="Times New Roman" w:hAnsi="Calibri" w:cs="Arial"/>
                <w:sz w:val="17"/>
                <w:szCs w:val="17"/>
                <w:lang w:eastAsia="sl-SI"/>
              </w:rPr>
              <w:t>Skupaj reševanje in prestrukturiranje</w:t>
            </w:r>
          </w:p>
        </w:tc>
        <w:tc>
          <w:tcPr>
            <w:tcW w:w="691"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102.943.661,74</w:t>
            </w:r>
          </w:p>
        </w:tc>
        <w:tc>
          <w:tcPr>
            <w:tcW w:w="599"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1.300.000,00</w:t>
            </w:r>
          </w:p>
        </w:tc>
        <w:tc>
          <w:tcPr>
            <w:tcW w:w="483" w:type="pct"/>
            <w:vAlign w:val="center"/>
            <w:hideMark/>
          </w:tcPr>
          <w:p w:rsidR="0031078A" w:rsidRPr="00D050E9" w:rsidRDefault="0031078A" w:rsidP="0031078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 xml:space="preserve">54.369,00 </w:t>
            </w:r>
          </w:p>
        </w:tc>
      </w:tr>
    </w:tbl>
    <w:p w:rsidR="00042FD5" w:rsidRPr="00D050E9" w:rsidRDefault="00042FD5" w:rsidP="00CB10B6">
      <w:pPr>
        <w:spacing w:after="0" w:line="276" w:lineRule="auto"/>
        <w:rPr>
          <w:rFonts w:asciiTheme="minorHAnsi" w:hAnsiTheme="minorHAnsi"/>
        </w:rPr>
      </w:pPr>
    </w:p>
    <w:p w:rsidR="00A31C84" w:rsidRDefault="00A31C84" w:rsidP="00A31C84">
      <w:pPr>
        <w:spacing w:line="276" w:lineRule="auto"/>
        <w:rPr>
          <w:rFonts w:asciiTheme="minorHAnsi" w:hAnsiTheme="minorHAnsi"/>
        </w:rPr>
      </w:pPr>
      <w:r w:rsidRPr="00E116E8">
        <w:rPr>
          <w:rFonts w:asciiTheme="minorHAnsi" w:hAnsiTheme="minorHAnsi"/>
        </w:rPr>
        <w:t xml:space="preserve">Za pomoči za </w:t>
      </w:r>
      <w:r w:rsidR="00C079AA" w:rsidRPr="00E116E8">
        <w:rPr>
          <w:rFonts w:asciiTheme="minorHAnsi" w:hAnsiTheme="minorHAnsi"/>
        </w:rPr>
        <w:t xml:space="preserve">reševanje in prestrukturiranje </w:t>
      </w:r>
      <w:r w:rsidR="00BD7B8F" w:rsidRPr="00E116E8">
        <w:rPr>
          <w:rFonts w:asciiTheme="minorHAnsi" w:hAnsiTheme="minorHAnsi"/>
        </w:rPr>
        <w:t>je značilna pestra uporaba</w:t>
      </w:r>
      <w:r w:rsidRPr="00E116E8">
        <w:rPr>
          <w:rFonts w:asciiTheme="minorHAnsi" w:hAnsiTheme="minorHAnsi"/>
        </w:rPr>
        <w:t xml:space="preserve"> instrumentov pomoči, ki se precej razlikuje po letih, odvisno od narave težav in možnosti, ki so na voljo. V zadnjih desetih</w:t>
      </w:r>
      <w:r w:rsidR="00E45428" w:rsidRPr="00E116E8">
        <w:rPr>
          <w:rFonts w:asciiTheme="minorHAnsi" w:hAnsiTheme="minorHAnsi"/>
        </w:rPr>
        <w:t xml:space="preserve"> letih</w:t>
      </w:r>
      <w:r w:rsidRPr="00E116E8">
        <w:rPr>
          <w:rFonts w:asciiTheme="minorHAnsi" w:hAnsiTheme="minorHAnsi"/>
        </w:rPr>
        <w:t xml:space="preserve"> so se kot oblika pomoči najpogosteje uporabljale kapitalske naložbe (</w:t>
      </w:r>
      <w:r w:rsidR="00C079AA" w:rsidRPr="00E116E8">
        <w:rPr>
          <w:rFonts w:asciiTheme="minorHAnsi" w:hAnsiTheme="minorHAnsi"/>
        </w:rPr>
        <w:t xml:space="preserve">leta </w:t>
      </w:r>
      <w:r w:rsidRPr="00E116E8">
        <w:rPr>
          <w:rFonts w:asciiTheme="minorHAnsi" w:hAnsiTheme="minorHAnsi"/>
        </w:rPr>
        <w:t>2011) oz. konverzija dolga v lastniške deleže (</w:t>
      </w:r>
      <w:r w:rsidR="00C079AA" w:rsidRPr="00E116E8">
        <w:rPr>
          <w:rFonts w:asciiTheme="minorHAnsi" w:hAnsiTheme="minorHAnsi"/>
        </w:rPr>
        <w:t xml:space="preserve">leta </w:t>
      </w:r>
      <w:r w:rsidR="00210DC2" w:rsidRPr="00E116E8">
        <w:rPr>
          <w:rFonts w:asciiTheme="minorHAnsi" w:hAnsiTheme="minorHAnsi"/>
        </w:rPr>
        <w:t>2015). V povprečju je bila</w:t>
      </w:r>
      <w:r w:rsidRPr="00E116E8">
        <w:rPr>
          <w:rFonts w:asciiTheme="minorHAnsi" w:hAnsiTheme="minorHAnsi"/>
        </w:rPr>
        <w:t xml:space="preserve"> na ta način dodeljena skoraj polovica (49 %) vseh pomoči za reševanje in prestrukturiranj</w:t>
      </w:r>
      <w:r w:rsidR="003348C8" w:rsidRPr="00E116E8">
        <w:rPr>
          <w:rFonts w:asciiTheme="minorHAnsi" w:hAnsiTheme="minorHAnsi"/>
        </w:rPr>
        <w:t>e</w:t>
      </w:r>
      <w:r w:rsidRPr="00E116E8">
        <w:rPr>
          <w:rFonts w:asciiTheme="minorHAnsi" w:hAnsiTheme="minorHAnsi"/>
        </w:rPr>
        <w:t xml:space="preserve"> v zadnjih desetih letih. Drugi najbolj uporabljen instrument so</w:t>
      </w:r>
      <w:r w:rsidRPr="00D050E9">
        <w:rPr>
          <w:rFonts w:asciiTheme="minorHAnsi" w:hAnsiTheme="minorHAnsi"/>
        </w:rPr>
        <w:t xml:space="preserve"> bile garancije, v povprečju 19 % vseh pomoči za</w:t>
      </w:r>
      <w:r w:rsidR="00C079AA" w:rsidRPr="00D050E9">
        <w:rPr>
          <w:rFonts w:asciiTheme="minorHAnsi" w:hAnsiTheme="minorHAnsi"/>
        </w:rPr>
        <w:t xml:space="preserve"> reševanje in prestrukturiranje</w:t>
      </w:r>
      <w:r w:rsidRPr="00D050E9">
        <w:rPr>
          <w:rFonts w:asciiTheme="minorHAnsi" w:hAnsiTheme="minorHAnsi"/>
        </w:rPr>
        <w:t xml:space="preserve"> RR v zadnjih </w:t>
      </w:r>
      <w:r w:rsidR="00C079AA" w:rsidRPr="00D050E9">
        <w:rPr>
          <w:rFonts w:asciiTheme="minorHAnsi" w:hAnsiTheme="minorHAnsi"/>
        </w:rPr>
        <w:t xml:space="preserve">desetih </w:t>
      </w:r>
      <w:r w:rsidRPr="00D050E9">
        <w:rPr>
          <w:rFonts w:asciiTheme="minorHAnsi" w:hAnsiTheme="minorHAnsi"/>
        </w:rPr>
        <w:t>letih, predvsem zaradi velikega obsega</w:t>
      </w:r>
      <w:r w:rsidR="00C079AA" w:rsidRPr="00D050E9">
        <w:rPr>
          <w:rFonts w:asciiTheme="minorHAnsi" w:hAnsiTheme="minorHAnsi"/>
        </w:rPr>
        <w:t xml:space="preserve"> pomoči</w:t>
      </w:r>
      <w:r w:rsidRPr="00D050E9">
        <w:rPr>
          <w:rFonts w:asciiTheme="minorHAnsi" w:hAnsiTheme="minorHAnsi"/>
        </w:rPr>
        <w:t xml:space="preserve"> v letu 2013. Najpogosteje (v številu primerov oz. prejemnikov</w:t>
      </w:r>
      <w:r w:rsidR="00C079AA" w:rsidRPr="00D050E9">
        <w:rPr>
          <w:rFonts w:asciiTheme="minorHAnsi" w:hAnsiTheme="minorHAnsi"/>
        </w:rPr>
        <w:t>, v obsegu pa predstavljajo manjši delež</w:t>
      </w:r>
      <w:r w:rsidRPr="00D050E9">
        <w:rPr>
          <w:rFonts w:asciiTheme="minorHAnsi" w:hAnsiTheme="minorHAnsi"/>
        </w:rPr>
        <w:t>) se pomoči dodeljujejo v obliki ugodnega posojila.</w:t>
      </w:r>
      <w:r w:rsidR="00094784" w:rsidRPr="00D050E9">
        <w:rPr>
          <w:rFonts w:asciiTheme="minorHAnsi" w:hAnsiTheme="minorHAnsi"/>
        </w:rPr>
        <w:t xml:space="preserve"> </w:t>
      </w:r>
      <w:r w:rsidRPr="00D050E9">
        <w:rPr>
          <w:rFonts w:asciiTheme="minorHAnsi" w:hAnsiTheme="minorHAnsi"/>
        </w:rPr>
        <w:t xml:space="preserve">Tudi pomoč za reševanje v letu 2017 je bila dodeljena kot ugodno posojilo podjetju v težavah. </w:t>
      </w:r>
    </w:p>
    <w:p w:rsidR="00042FD5" w:rsidRDefault="00CB10B6" w:rsidP="00CB10B6">
      <w:pPr>
        <w:pStyle w:val="Caption"/>
        <w:rPr>
          <w:color w:val="auto"/>
        </w:rPr>
      </w:pPr>
      <w:bookmarkStart w:id="122" w:name="_Toc530654666"/>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51</w:t>
      </w:r>
      <w:r w:rsidRPr="00D050E9">
        <w:rPr>
          <w:color w:val="auto"/>
        </w:rPr>
        <w:fldChar w:fldCharType="end"/>
      </w:r>
      <w:r w:rsidR="00042FD5" w:rsidRPr="00D050E9">
        <w:rPr>
          <w:color w:val="auto"/>
        </w:rPr>
        <w:t>: Državne pomoči za reševanje in prestrukturira</w:t>
      </w:r>
      <w:r w:rsidR="00C079AA" w:rsidRPr="00D050E9">
        <w:rPr>
          <w:color w:val="auto"/>
        </w:rPr>
        <w:t>nje po instrumentih, 2008–2017</w:t>
      </w:r>
      <w:bookmarkEnd w:id="122"/>
    </w:p>
    <w:p w:rsidR="002F606A" w:rsidRPr="002F606A" w:rsidRDefault="002F606A" w:rsidP="002F606A">
      <w:pPr>
        <w:spacing w:after="0"/>
        <w:rPr>
          <w:lang w:bidi="hi-IN"/>
        </w:rPr>
      </w:pPr>
    </w:p>
    <w:p w:rsidR="00A31C84" w:rsidRPr="00D050E9" w:rsidRDefault="00A31C84" w:rsidP="002F606A">
      <w:pPr>
        <w:spacing w:after="0" w:line="276" w:lineRule="auto"/>
        <w:jc w:val="left"/>
        <w:rPr>
          <w:rFonts w:asciiTheme="minorHAnsi" w:hAnsiTheme="minorHAnsi"/>
          <w:color w:val="5F497A" w:themeColor="accent4" w:themeShade="BF"/>
        </w:rPr>
      </w:pPr>
      <w:r w:rsidRPr="00D050E9">
        <w:rPr>
          <w:noProof/>
          <w:color w:val="FFFF00"/>
          <w:lang w:eastAsia="sl-SI"/>
        </w:rPr>
        <w:drawing>
          <wp:inline distT="0" distB="0" distL="0" distR="0" wp14:anchorId="536DD29E" wp14:editId="3735ECA9">
            <wp:extent cx="5829300" cy="2697480"/>
            <wp:effectExtent l="0" t="0" r="0" b="762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F606A" w:rsidRDefault="002F606A" w:rsidP="002F606A">
      <w:pPr>
        <w:pStyle w:val="Heading2"/>
      </w:pPr>
      <w:bookmarkStart w:id="123" w:name="_Toc528594663"/>
    </w:p>
    <w:p w:rsidR="002F606A" w:rsidRDefault="002F606A" w:rsidP="002F606A">
      <w:pPr>
        <w:pStyle w:val="Heading2"/>
      </w:pPr>
    </w:p>
    <w:p w:rsidR="002F606A" w:rsidRDefault="002F606A" w:rsidP="002F606A"/>
    <w:p w:rsidR="002F606A" w:rsidRPr="002F606A" w:rsidRDefault="002F606A" w:rsidP="002F606A"/>
    <w:p w:rsidR="00DF2A5C" w:rsidRPr="00D050E9" w:rsidRDefault="00DF2A5C" w:rsidP="001417F9">
      <w:pPr>
        <w:pStyle w:val="Heading2"/>
      </w:pPr>
      <w:bookmarkStart w:id="124" w:name="_Toc530654559"/>
      <w:r w:rsidRPr="00D050E9">
        <w:t>4.1</w:t>
      </w:r>
      <w:r w:rsidR="006F7269" w:rsidRPr="00D050E9">
        <w:t>1 NARAVNE NESREČE</w:t>
      </w:r>
      <w:bookmarkEnd w:id="123"/>
      <w:bookmarkEnd w:id="124"/>
    </w:p>
    <w:p w:rsidR="00CB10B6" w:rsidRPr="00D050E9" w:rsidRDefault="00CB10B6" w:rsidP="00CB10B6">
      <w:pPr>
        <w:spacing w:after="0"/>
      </w:pPr>
    </w:p>
    <w:p w:rsidR="00B1120D" w:rsidRPr="00D050E9" w:rsidRDefault="00B1120D" w:rsidP="00B1120D">
      <w:pPr>
        <w:spacing w:line="276" w:lineRule="auto"/>
        <w:rPr>
          <w:rFonts w:asciiTheme="minorHAnsi" w:hAnsiTheme="minorHAnsi"/>
        </w:rPr>
      </w:pPr>
      <w:r w:rsidRPr="00D050E9">
        <w:rPr>
          <w:rFonts w:asciiTheme="minorHAnsi" w:hAnsiTheme="minorHAnsi"/>
        </w:rPr>
        <w:t xml:space="preserve">Pomoči za nadomestilo škod zaradi naravnih nesreč se v zadnjih dveh letih, v letu 2016 in 2017 niso izplačevale, v letu 2015 pa je bilo za </w:t>
      </w:r>
      <w:r w:rsidR="000B2899" w:rsidRPr="00D050E9">
        <w:rPr>
          <w:rFonts w:asciiTheme="minorHAnsi" w:hAnsiTheme="minorHAnsi"/>
        </w:rPr>
        <w:t>ta namen</w:t>
      </w:r>
      <w:r w:rsidRPr="00D050E9">
        <w:rPr>
          <w:rFonts w:asciiTheme="minorHAnsi" w:hAnsiTheme="minorHAnsi"/>
        </w:rPr>
        <w:t xml:space="preserve"> izplačanih 1,57 mio EUR oz. 0,3</w:t>
      </w:r>
      <w:r w:rsidR="00F85069" w:rsidRPr="00D050E9">
        <w:rPr>
          <w:rFonts w:asciiTheme="minorHAnsi" w:hAnsiTheme="minorHAnsi"/>
        </w:rPr>
        <w:t> </w:t>
      </w:r>
      <w:r w:rsidRPr="00D050E9">
        <w:rPr>
          <w:rFonts w:asciiTheme="minorHAnsi" w:hAnsiTheme="minorHAnsi"/>
        </w:rPr>
        <w:t>% vseh državnih pomoči v tem letu. V zadnjih desetih letih (200</w:t>
      </w:r>
      <w:r w:rsidR="00736A63" w:rsidRPr="00D050E9">
        <w:rPr>
          <w:rFonts w:asciiTheme="minorHAnsi" w:hAnsiTheme="minorHAnsi"/>
        </w:rPr>
        <w:t>8–2017</w:t>
      </w:r>
      <w:r w:rsidRPr="00D050E9">
        <w:rPr>
          <w:rFonts w:asciiTheme="minorHAnsi" w:hAnsiTheme="minorHAnsi"/>
        </w:rPr>
        <w:t>) je bilo za odpravo posledic naravnih nesreč izplačanih skupaj 33,30 mio EUR, največ leta 2013</w:t>
      </w:r>
      <w:r w:rsidR="00B509E1" w:rsidRPr="00D050E9">
        <w:rPr>
          <w:rFonts w:asciiTheme="minorHAnsi" w:hAnsiTheme="minorHAnsi"/>
        </w:rPr>
        <w:t xml:space="preserve"> (</w:t>
      </w:r>
      <w:r w:rsidRPr="00D050E9">
        <w:rPr>
          <w:rFonts w:asciiTheme="minorHAnsi" w:hAnsiTheme="minorHAnsi"/>
        </w:rPr>
        <w:t>več kot 10 mio EUR</w:t>
      </w:r>
      <w:r w:rsidR="00B509E1" w:rsidRPr="00D050E9">
        <w:rPr>
          <w:rFonts w:asciiTheme="minorHAnsi" w:hAnsiTheme="minorHAnsi"/>
        </w:rPr>
        <w:t>)</w:t>
      </w:r>
      <w:r w:rsidRPr="00D050E9">
        <w:rPr>
          <w:rFonts w:asciiTheme="minorHAnsi" w:hAnsiTheme="minorHAnsi"/>
        </w:rPr>
        <w:t xml:space="preserve"> in leta 2008</w:t>
      </w:r>
      <w:r w:rsidR="00B509E1" w:rsidRPr="00D050E9">
        <w:rPr>
          <w:rFonts w:asciiTheme="minorHAnsi" w:hAnsiTheme="minorHAnsi"/>
        </w:rPr>
        <w:t xml:space="preserve"> (dobrih </w:t>
      </w:r>
      <w:r w:rsidRPr="00D050E9">
        <w:rPr>
          <w:rFonts w:asciiTheme="minorHAnsi" w:hAnsiTheme="minorHAnsi"/>
        </w:rPr>
        <w:t>8 mio EUR</w:t>
      </w:r>
      <w:r w:rsidR="00B509E1" w:rsidRPr="00D050E9">
        <w:rPr>
          <w:rFonts w:asciiTheme="minorHAnsi" w:hAnsiTheme="minorHAnsi"/>
        </w:rPr>
        <w:t>)</w:t>
      </w:r>
      <w:r w:rsidRPr="00D050E9">
        <w:rPr>
          <w:rFonts w:asciiTheme="minorHAnsi" w:hAnsiTheme="minorHAnsi"/>
        </w:rPr>
        <w:t>, kar je predstavljalo 2,5 % vseh državnih pomoči</w:t>
      </w:r>
      <w:r w:rsidRPr="00D050E9">
        <w:rPr>
          <w:rStyle w:val="FootnoteReference"/>
          <w:rFonts w:asciiTheme="minorHAnsi" w:hAnsiTheme="minorHAnsi"/>
        </w:rPr>
        <w:footnoteReference w:id="22"/>
      </w:r>
      <w:r w:rsidRPr="00D050E9">
        <w:rPr>
          <w:rFonts w:asciiTheme="minorHAnsi" w:hAnsiTheme="minorHAnsi"/>
        </w:rPr>
        <w:t xml:space="preserve">. </w:t>
      </w:r>
    </w:p>
    <w:p w:rsidR="00B1120D" w:rsidRPr="00D050E9" w:rsidRDefault="00CB10B6" w:rsidP="00CB10B6">
      <w:pPr>
        <w:pStyle w:val="Caption"/>
        <w:rPr>
          <w:color w:val="auto"/>
        </w:rPr>
      </w:pPr>
      <w:bookmarkStart w:id="125" w:name="_Toc530654667"/>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52</w:t>
      </w:r>
      <w:r w:rsidRPr="00D050E9">
        <w:rPr>
          <w:color w:val="auto"/>
        </w:rPr>
        <w:fldChar w:fldCharType="end"/>
      </w:r>
      <w:r w:rsidRPr="00D050E9">
        <w:rPr>
          <w:color w:val="auto"/>
        </w:rPr>
        <w:t>:</w:t>
      </w:r>
      <w:r w:rsidR="00B1120D" w:rsidRPr="00D050E9">
        <w:rPr>
          <w:color w:val="auto"/>
        </w:rPr>
        <w:t xml:space="preserve"> Pomoči za odpravo posledic naravnih nesreč, 2008–2017, v mio EUR in kot delež vseh pomoči</w:t>
      </w:r>
      <w:bookmarkEnd w:id="125"/>
    </w:p>
    <w:p w:rsidR="00B1120D" w:rsidRPr="00D050E9" w:rsidRDefault="00B1120D" w:rsidP="00B1120D">
      <w:pPr>
        <w:spacing w:line="276" w:lineRule="auto"/>
      </w:pPr>
      <w:r w:rsidRPr="00D050E9">
        <w:rPr>
          <w:noProof/>
          <w:lang w:eastAsia="sl-SI"/>
        </w:rPr>
        <w:drawing>
          <wp:inline distT="0" distB="0" distL="0" distR="0" wp14:anchorId="2AC4F380" wp14:editId="60BE42C0">
            <wp:extent cx="5638800" cy="2621280"/>
            <wp:effectExtent l="0" t="0" r="0" b="762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1120D" w:rsidRPr="00D050E9" w:rsidRDefault="00736A63" w:rsidP="00B1120D">
      <w:pPr>
        <w:spacing w:line="276" w:lineRule="auto"/>
        <w:rPr>
          <w:rFonts w:asciiTheme="minorHAnsi" w:hAnsiTheme="minorHAnsi"/>
        </w:rPr>
      </w:pPr>
      <w:r w:rsidRPr="00D050E9">
        <w:rPr>
          <w:rFonts w:asciiTheme="minorHAnsi" w:hAnsiTheme="minorHAnsi"/>
        </w:rPr>
        <w:t xml:space="preserve">Pomoči so se </w:t>
      </w:r>
      <w:r w:rsidR="00B1120D" w:rsidRPr="00D050E9">
        <w:rPr>
          <w:rFonts w:asciiTheme="minorHAnsi" w:hAnsiTheme="minorHAnsi"/>
        </w:rPr>
        <w:t>izplačevale po shemi Ministrstva za gospodarski razvoj in tehnologijo, katere cilj je dodelitev podpore in nadomestilo škod ob izrednih razmerah, povzročenih zaradi potresa, zemeljskih in snežnih plazov</w:t>
      </w:r>
      <w:r w:rsidR="00F85069" w:rsidRPr="00D050E9">
        <w:rPr>
          <w:rFonts w:asciiTheme="minorHAnsi" w:hAnsiTheme="minorHAnsi"/>
        </w:rPr>
        <w:t xml:space="preserve"> ter poplav. Vse pomoči so bile izplačane kot subvencije. V letu 2015 je p</w:t>
      </w:r>
      <w:r w:rsidR="00B1120D" w:rsidRPr="00D050E9">
        <w:rPr>
          <w:rFonts w:asciiTheme="minorHAnsi" w:hAnsiTheme="minorHAnsi"/>
        </w:rPr>
        <w:t xml:space="preserve">omoč prejelo 44 upravičencev. </w:t>
      </w:r>
      <w:r w:rsidR="000B2899" w:rsidRPr="00D050E9">
        <w:rPr>
          <w:rFonts w:asciiTheme="minorHAnsi" w:hAnsiTheme="minorHAnsi"/>
        </w:rPr>
        <w:t xml:space="preserve">V povprečju je to znašalo </w:t>
      </w:r>
      <w:r w:rsidRPr="00D050E9">
        <w:rPr>
          <w:rFonts w:asciiTheme="minorHAnsi" w:hAnsiTheme="minorHAnsi"/>
        </w:rPr>
        <w:t xml:space="preserve">dobrih </w:t>
      </w:r>
      <w:r w:rsidR="00B1120D" w:rsidRPr="00D050E9">
        <w:rPr>
          <w:rFonts w:asciiTheme="minorHAnsi" w:hAnsiTheme="minorHAnsi"/>
        </w:rPr>
        <w:t>35.5</w:t>
      </w:r>
      <w:r w:rsidRPr="00D050E9">
        <w:rPr>
          <w:rFonts w:asciiTheme="minorHAnsi" w:hAnsiTheme="minorHAnsi"/>
        </w:rPr>
        <w:t>00</w:t>
      </w:r>
      <w:r w:rsidR="00B1120D" w:rsidRPr="00D050E9">
        <w:rPr>
          <w:rFonts w:asciiTheme="minorHAnsi" w:hAnsiTheme="minorHAnsi"/>
        </w:rPr>
        <w:t xml:space="preserve"> EUR.</w:t>
      </w:r>
      <w:r w:rsidR="00B1120D" w:rsidRPr="00D050E9">
        <w:rPr>
          <w:rFonts w:asciiTheme="minorHAnsi" w:hAnsiTheme="minorHAnsi"/>
          <w:b/>
        </w:rPr>
        <w:t xml:space="preserve"> </w:t>
      </w:r>
    </w:p>
    <w:p w:rsidR="00B1120D" w:rsidRPr="00D050E9" w:rsidRDefault="00B1120D" w:rsidP="00042FD5">
      <w:pPr>
        <w:spacing w:after="0" w:line="276" w:lineRule="auto"/>
        <w:rPr>
          <w:rFonts w:asciiTheme="minorHAnsi" w:hAnsiTheme="minorHAnsi"/>
        </w:rPr>
      </w:pPr>
      <w:r w:rsidRPr="00D050E9">
        <w:rPr>
          <w:rFonts w:asciiTheme="minorHAnsi" w:hAnsiTheme="minorHAnsi"/>
        </w:rPr>
        <w:t>Največji prejemniki pomoči za odpravo posledic naravnih nesreč so bili:</w:t>
      </w:r>
    </w:p>
    <w:tbl>
      <w:tblPr>
        <w:tblStyle w:val="LightShading-Accent4"/>
        <w:tblW w:w="5000" w:type="pct"/>
        <w:tblLook w:val="04A0" w:firstRow="1" w:lastRow="0" w:firstColumn="1" w:lastColumn="0" w:noHBand="0" w:noVBand="1"/>
      </w:tblPr>
      <w:tblGrid>
        <w:gridCol w:w="7227"/>
        <w:gridCol w:w="2173"/>
      </w:tblGrid>
      <w:tr w:rsidR="00B1120D" w:rsidRPr="00D050E9" w:rsidTr="00042FD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auto"/>
                <w:sz w:val="18"/>
                <w:szCs w:val="16"/>
                <w:lang w:eastAsia="sl-SI"/>
              </w:rPr>
            </w:pPr>
            <w:r w:rsidRPr="00D050E9">
              <w:rPr>
                <w:rFonts w:ascii="Calibri" w:eastAsia="Times New Roman" w:hAnsi="Calibri" w:cs="Arial"/>
                <w:b w:val="0"/>
                <w:color w:val="auto"/>
                <w:sz w:val="18"/>
                <w:szCs w:val="16"/>
                <w:lang w:eastAsia="sl-SI"/>
              </w:rPr>
              <w:t>Prejemnik pomoči</w:t>
            </w:r>
          </w:p>
        </w:tc>
        <w:tc>
          <w:tcPr>
            <w:tcW w:w="1156" w:type="pct"/>
            <w:hideMark/>
          </w:tcPr>
          <w:p w:rsidR="00B1120D" w:rsidRPr="00D050E9" w:rsidRDefault="00B1120D" w:rsidP="00CA6AD5">
            <w:pPr>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18"/>
                <w:szCs w:val="16"/>
                <w:lang w:eastAsia="sl-SI"/>
              </w:rPr>
            </w:pPr>
            <w:r w:rsidRPr="00D050E9">
              <w:rPr>
                <w:rFonts w:ascii="Calibri" w:eastAsia="Times New Roman" w:hAnsi="Calibri" w:cs="Arial"/>
                <w:color w:val="auto"/>
                <w:sz w:val="18"/>
                <w:szCs w:val="16"/>
                <w:lang w:eastAsia="sl-SI"/>
              </w:rPr>
              <w:t>2015</w:t>
            </w:r>
          </w:p>
        </w:tc>
      </w:tr>
      <w:tr w:rsidR="00B1120D" w:rsidRPr="00D050E9" w:rsidTr="00042F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KARSIA, kmetijska proizvodnja, proizvodnja vin, trgovina, izvoz-uvoz, Dutovlje, d.o.o.</w:t>
            </w:r>
          </w:p>
        </w:tc>
        <w:tc>
          <w:tcPr>
            <w:tcW w:w="1156" w:type="pct"/>
            <w:hideMark/>
          </w:tcPr>
          <w:p w:rsidR="00B1120D" w:rsidRPr="00D050E9" w:rsidRDefault="00B1120D" w:rsidP="00CA6AD5">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327.664,89</w:t>
            </w:r>
          </w:p>
        </w:tc>
      </w:tr>
      <w:tr w:rsidR="00B1120D" w:rsidRPr="00D050E9" w:rsidTr="00042FD5">
        <w:trPr>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POLYCOM predelava plastičnih mas in orodjarstvo Škofja Loka d.o.o.</w:t>
            </w:r>
          </w:p>
        </w:tc>
        <w:tc>
          <w:tcPr>
            <w:tcW w:w="1156" w:type="pct"/>
            <w:hideMark/>
          </w:tcPr>
          <w:p w:rsidR="00B1120D" w:rsidRPr="00D050E9" w:rsidRDefault="00B1120D" w:rsidP="00CA6AD5">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291.960,70</w:t>
            </w:r>
          </w:p>
        </w:tc>
      </w:tr>
      <w:tr w:rsidR="00B1120D" w:rsidRPr="00D050E9" w:rsidTr="00042F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THERMANA D.D., DRUŽBA DOBREGA POČUTJA</w:t>
            </w:r>
          </w:p>
        </w:tc>
        <w:tc>
          <w:tcPr>
            <w:tcW w:w="1156" w:type="pct"/>
            <w:hideMark/>
          </w:tcPr>
          <w:p w:rsidR="00B1120D" w:rsidRPr="00D050E9" w:rsidRDefault="00B1120D" w:rsidP="00CA6AD5">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130.000,00</w:t>
            </w:r>
          </w:p>
        </w:tc>
      </w:tr>
      <w:tr w:rsidR="00B1120D" w:rsidRPr="00D050E9" w:rsidTr="00042FD5">
        <w:trPr>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MINERALKA proizvodnja negorljivih materialov d.o.o.</w:t>
            </w:r>
          </w:p>
        </w:tc>
        <w:tc>
          <w:tcPr>
            <w:tcW w:w="1156" w:type="pct"/>
            <w:hideMark/>
          </w:tcPr>
          <w:p w:rsidR="00B1120D" w:rsidRPr="00D050E9" w:rsidRDefault="00B1120D" w:rsidP="00CA6AD5">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113.230,67</w:t>
            </w:r>
          </w:p>
        </w:tc>
      </w:tr>
      <w:tr w:rsidR="00B1120D" w:rsidRPr="00D050E9" w:rsidTr="00042F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AVC GROUP d.o.o., inženiring za audio in video dejavnost</w:t>
            </w:r>
          </w:p>
        </w:tc>
        <w:tc>
          <w:tcPr>
            <w:tcW w:w="1156" w:type="pct"/>
            <w:hideMark/>
          </w:tcPr>
          <w:p w:rsidR="00B1120D" w:rsidRPr="00D050E9" w:rsidRDefault="00B1120D" w:rsidP="00CA6AD5">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101.844,64</w:t>
            </w:r>
          </w:p>
        </w:tc>
      </w:tr>
      <w:tr w:rsidR="00B1120D" w:rsidRPr="00D050E9" w:rsidTr="00042FD5">
        <w:trPr>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BREST-POHIŠTVO d.o.o. Cerknica, podjetje za proizvodnjo in promet pohištva ter opreme - v stečaju</w:t>
            </w:r>
          </w:p>
        </w:tc>
        <w:tc>
          <w:tcPr>
            <w:tcW w:w="1156" w:type="pct"/>
            <w:hideMark/>
          </w:tcPr>
          <w:p w:rsidR="00B1120D" w:rsidRPr="00D050E9" w:rsidRDefault="00B1120D" w:rsidP="00CA6AD5">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91.459,77</w:t>
            </w:r>
          </w:p>
        </w:tc>
      </w:tr>
      <w:tr w:rsidR="00B1120D" w:rsidRPr="00D050E9" w:rsidTr="00042F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KRMELJ JOŽE S.P. ORODNO KOVAŠTVO IN LESARSTVO</w:t>
            </w:r>
          </w:p>
        </w:tc>
        <w:tc>
          <w:tcPr>
            <w:tcW w:w="1156" w:type="pct"/>
            <w:hideMark/>
          </w:tcPr>
          <w:p w:rsidR="00B1120D" w:rsidRPr="00D050E9" w:rsidRDefault="00B1120D" w:rsidP="00CA6AD5">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41.661,22</w:t>
            </w:r>
          </w:p>
        </w:tc>
      </w:tr>
      <w:tr w:rsidR="00B1120D" w:rsidRPr="00D050E9" w:rsidTr="00042FD5">
        <w:trPr>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PREVOZNIŠTVO - VRTNARSTVO VALNER STANISLAV VALNER S.P.</w:t>
            </w:r>
          </w:p>
        </w:tc>
        <w:tc>
          <w:tcPr>
            <w:tcW w:w="1156" w:type="pct"/>
            <w:hideMark/>
          </w:tcPr>
          <w:p w:rsidR="00B1120D" w:rsidRPr="00D050E9" w:rsidRDefault="00B1120D" w:rsidP="00CA6AD5">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41.157,81</w:t>
            </w:r>
          </w:p>
        </w:tc>
      </w:tr>
      <w:tr w:rsidR="00B1120D" w:rsidRPr="00D050E9" w:rsidTr="00042F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TSE d.o.o., audio video inženiring, Ljubljana</w:t>
            </w:r>
          </w:p>
        </w:tc>
        <w:tc>
          <w:tcPr>
            <w:tcW w:w="1156" w:type="pct"/>
            <w:hideMark/>
          </w:tcPr>
          <w:p w:rsidR="00B1120D" w:rsidRPr="00D050E9" w:rsidRDefault="00B1120D" w:rsidP="00CA6AD5">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36.897,87</w:t>
            </w:r>
          </w:p>
        </w:tc>
      </w:tr>
      <w:tr w:rsidR="00B1120D" w:rsidRPr="00D050E9" w:rsidTr="00042FD5">
        <w:trPr>
          <w:trHeight w:val="20"/>
        </w:trPr>
        <w:tc>
          <w:tcPr>
            <w:cnfStyle w:val="001000000000" w:firstRow="0" w:lastRow="0" w:firstColumn="1" w:lastColumn="0" w:oddVBand="0" w:evenVBand="0" w:oddHBand="0" w:evenHBand="0" w:firstRowFirstColumn="0" w:firstRowLastColumn="0" w:lastRowFirstColumn="0" w:lastRowLastColumn="0"/>
            <w:tcW w:w="3844" w:type="pct"/>
            <w:hideMark/>
          </w:tcPr>
          <w:p w:rsidR="00B1120D" w:rsidRPr="00D050E9" w:rsidRDefault="00B1120D" w:rsidP="00CA6AD5">
            <w:pPr>
              <w:spacing w:line="276" w:lineRule="auto"/>
              <w:rPr>
                <w:rFonts w:ascii="Calibri" w:eastAsia="Times New Roman" w:hAnsi="Calibri" w:cs="Arial"/>
                <w:b w:val="0"/>
                <w:color w:val="000000"/>
                <w:sz w:val="18"/>
                <w:szCs w:val="16"/>
                <w:lang w:eastAsia="sl-SI"/>
              </w:rPr>
            </w:pPr>
            <w:r w:rsidRPr="00D050E9">
              <w:rPr>
                <w:rFonts w:ascii="Calibri" w:eastAsia="Times New Roman" w:hAnsi="Calibri" w:cs="Arial"/>
                <w:b w:val="0"/>
                <w:color w:val="000000"/>
                <w:sz w:val="18"/>
                <w:szCs w:val="16"/>
                <w:lang w:eastAsia="sl-SI"/>
              </w:rPr>
              <w:t>PANI DESIGN proizvodnja, trgovina in storitve d.o.o.</w:t>
            </w:r>
          </w:p>
        </w:tc>
        <w:tc>
          <w:tcPr>
            <w:tcW w:w="1156" w:type="pct"/>
            <w:hideMark/>
          </w:tcPr>
          <w:p w:rsidR="00B1120D" w:rsidRPr="00D050E9" w:rsidRDefault="00B1120D" w:rsidP="00CA6AD5">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6"/>
                <w:lang w:eastAsia="sl-SI"/>
              </w:rPr>
            </w:pPr>
            <w:r w:rsidRPr="00D050E9">
              <w:rPr>
                <w:rFonts w:ascii="Calibri" w:eastAsia="Times New Roman" w:hAnsi="Calibri" w:cs="Arial"/>
                <w:color w:val="000000"/>
                <w:sz w:val="18"/>
                <w:szCs w:val="16"/>
                <w:lang w:eastAsia="sl-SI"/>
              </w:rPr>
              <w:t>32.822,68</w:t>
            </w:r>
          </w:p>
        </w:tc>
      </w:tr>
    </w:tbl>
    <w:p w:rsidR="00430D6B" w:rsidRPr="00D050E9" w:rsidRDefault="00DF2A5C" w:rsidP="003F2F56">
      <w:pPr>
        <w:pStyle w:val="Heading2"/>
      </w:pPr>
      <w:bookmarkStart w:id="126" w:name="_Toc528594664"/>
      <w:bookmarkStart w:id="127" w:name="_Toc530654560"/>
      <w:r w:rsidRPr="00D050E9">
        <w:t>4.12</w:t>
      </w:r>
      <w:r w:rsidR="00430D6B" w:rsidRPr="00D050E9">
        <w:t xml:space="preserve"> KMETIJSTVO IN RIBIŠTVO</w:t>
      </w:r>
      <w:bookmarkEnd w:id="126"/>
      <w:bookmarkEnd w:id="127"/>
    </w:p>
    <w:p w:rsidR="00427E44" w:rsidRPr="00D050E9" w:rsidRDefault="00427E44" w:rsidP="00427E44">
      <w:pPr>
        <w:spacing w:after="0"/>
      </w:pPr>
    </w:p>
    <w:p w:rsidR="00B529BF" w:rsidRPr="00D050E9" w:rsidRDefault="00047D00" w:rsidP="007B2E67">
      <w:pPr>
        <w:spacing w:line="276" w:lineRule="auto"/>
        <w:rPr>
          <w:rFonts w:asciiTheme="minorHAnsi" w:hAnsiTheme="minorHAnsi"/>
        </w:rPr>
      </w:pPr>
      <w:r w:rsidRPr="00D050E9">
        <w:rPr>
          <w:rFonts w:asciiTheme="minorHAnsi" w:hAnsiTheme="minorHAnsi"/>
        </w:rPr>
        <w:t>Za pomoči v kmetijstvu</w:t>
      </w:r>
      <w:r w:rsidR="00B529BF" w:rsidRPr="00D050E9">
        <w:rPr>
          <w:rFonts w:asciiTheme="minorHAnsi" w:hAnsiTheme="minorHAnsi"/>
        </w:rPr>
        <w:t xml:space="preserve"> in ribištvu je bilo v letu </w:t>
      </w:r>
      <w:r w:rsidRPr="00D050E9">
        <w:rPr>
          <w:rFonts w:asciiTheme="minorHAnsi" w:hAnsiTheme="minorHAnsi"/>
        </w:rPr>
        <w:t xml:space="preserve">2017 izplačanih 13,94 mio EUR, kar </w:t>
      </w:r>
      <w:r w:rsidR="00B529BF" w:rsidRPr="00D050E9">
        <w:rPr>
          <w:rFonts w:asciiTheme="minorHAnsi" w:hAnsiTheme="minorHAnsi"/>
        </w:rPr>
        <w:t>je skoraj</w:t>
      </w:r>
      <w:r w:rsidR="00A95B3E" w:rsidRPr="00D050E9">
        <w:rPr>
          <w:rFonts w:asciiTheme="minorHAnsi" w:hAnsiTheme="minorHAnsi"/>
        </w:rPr>
        <w:t xml:space="preserve"> 8 mio EUR več kot v letu 2016. Te pomoči so </w:t>
      </w:r>
      <w:r w:rsidR="00B529BF" w:rsidRPr="00D050E9">
        <w:rPr>
          <w:rFonts w:asciiTheme="minorHAnsi" w:hAnsiTheme="minorHAnsi"/>
        </w:rPr>
        <w:t>predstavljale 3,3 % vseh pomoči v letu 2017 (1,6 % v letu 2016). Vse pomoči so bile izplačane za ukrepe na področju kmetijstva, za katere je bilo namenjenih za 8,41</w:t>
      </w:r>
      <w:r w:rsidR="00EA4631" w:rsidRPr="00D050E9">
        <w:rPr>
          <w:rFonts w:asciiTheme="minorHAnsi" w:hAnsiTheme="minorHAnsi"/>
        </w:rPr>
        <w:t xml:space="preserve"> </w:t>
      </w:r>
      <w:r w:rsidR="00B529BF" w:rsidRPr="00D050E9">
        <w:rPr>
          <w:rFonts w:asciiTheme="minorHAnsi" w:hAnsiTheme="minorHAnsi"/>
        </w:rPr>
        <w:t>mio EUR ali 152</w:t>
      </w:r>
      <w:r w:rsidR="001A1366" w:rsidRPr="00D050E9">
        <w:rPr>
          <w:rFonts w:asciiTheme="minorHAnsi" w:hAnsiTheme="minorHAnsi"/>
        </w:rPr>
        <w:t xml:space="preserve"> </w:t>
      </w:r>
      <w:r w:rsidRPr="00D050E9">
        <w:rPr>
          <w:rFonts w:asciiTheme="minorHAnsi" w:hAnsiTheme="minorHAnsi"/>
        </w:rPr>
        <w:t xml:space="preserve">% </w:t>
      </w:r>
      <w:r w:rsidR="00B529BF" w:rsidRPr="00D050E9">
        <w:rPr>
          <w:rFonts w:asciiTheme="minorHAnsi" w:hAnsiTheme="minorHAnsi"/>
        </w:rPr>
        <w:t xml:space="preserve">več sredstev </w:t>
      </w:r>
      <w:r w:rsidR="001A1366" w:rsidRPr="00D050E9">
        <w:rPr>
          <w:rFonts w:asciiTheme="minorHAnsi" w:hAnsiTheme="minorHAnsi"/>
        </w:rPr>
        <w:t>kot v letu 2016</w:t>
      </w:r>
      <w:r w:rsidR="00B529BF" w:rsidRPr="00D050E9">
        <w:rPr>
          <w:rFonts w:asciiTheme="minorHAnsi" w:hAnsiTheme="minorHAnsi"/>
        </w:rPr>
        <w:t>, medtem ko se p</w:t>
      </w:r>
      <w:r w:rsidR="001A1366" w:rsidRPr="00D050E9">
        <w:rPr>
          <w:rFonts w:asciiTheme="minorHAnsi" w:hAnsiTheme="minorHAnsi"/>
        </w:rPr>
        <w:t xml:space="preserve">omoči </w:t>
      </w:r>
      <w:r w:rsidR="00B529BF" w:rsidRPr="00D050E9">
        <w:rPr>
          <w:rFonts w:asciiTheme="minorHAnsi" w:hAnsiTheme="minorHAnsi"/>
        </w:rPr>
        <w:t xml:space="preserve">za ribištvo </w:t>
      </w:r>
      <w:r w:rsidR="001A1366" w:rsidRPr="00D050E9">
        <w:rPr>
          <w:rFonts w:asciiTheme="minorHAnsi" w:hAnsiTheme="minorHAnsi"/>
        </w:rPr>
        <w:t xml:space="preserve">v letu 2017 niso izplačevale. </w:t>
      </w:r>
    </w:p>
    <w:p w:rsidR="00F12919" w:rsidRPr="00D050E9" w:rsidRDefault="00427E44" w:rsidP="00427E44">
      <w:pPr>
        <w:pStyle w:val="Caption"/>
        <w:rPr>
          <w:color w:val="auto"/>
        </w:rPr>
      </w:pPr>
      <w:bookmarkStart w:id="128" w:name="_Toc530654668"/>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53</w:t>
      </w:r>
      <w:r w:rsidRPr="00D050E9">
        <w:rPr>
          <w:color w:val="auto"/>
        </w:rPr>
        <w:fldChar w:fldCharType="end"/>
      </w:r>
      <w:r w:rsidRPr="00D050E9">
        <w:rPr>
          <w:color w:val="auto"/>
        </w:rPr>
        <w:t xml:space="preserve">: </w:t>
      </w:r>
      <w:r w:rsidR="00F12919" w:rsidRPr="00D050E9">
        <w:rPr>
          <w:color w:val="auto"/>
        </w:rPr>
        <w:t>Državne pomoči za kmetijstvo in ribištvo, 2008–2017, v mio EUR in kot % vseh pomoči</w:t>
      </w:r>
      <w:bookmarkEnd w:id="128"/>
    </w:p>
    <w:p w:rsidR="00F12919" w:rsidRPr="00D050E9" w:rsidRDefault="00F12919" w:rsidP="00F12919">
      <w:pPr>
        <w:spacing w:line="276" w:lineRule="auto"/>
        <w:rPr>
          <w:rFonts w:asciiTheme="minorHAnsi" w:hAnsiTheme="minorHAnsi"/>
          <w:b/>
          <w:color w:val="5F497A" w:themeColor="accent4" w:themeShade="BF"/>
        </w:rPr>
      </w:pPr>
      <w:r w:rsidRPr="00D050E9">
        <w:rPr>
          <w:noProof/>
          <w:lang w:eastAsia="sl-SI"/>
        </w:rPr>
        <w:drawing>
          <wp:inline distT="0" distB="0" distL="0" distR="0" wp14:anchorId="7E13A400" wp14:editId="5287958D">
            <wp:extent cx="5676900" cy="2872740"/>
            <wp:effectExtent l="0" t="0" r="0" b="381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85069" w:rsidRPr="00D050E9" w:rsidRDefault="003A27A5" w:rsidP="004346E1">
      <w:pPr>
        <w:spacing w:line="276" w:lineRule="auto"/>
        <w:rPr>
          <w:rFonts w:asciiTheme="minorHAnsi" w:hAnsiTheme="minorHAnsi"/>
        </w:rPr>
      </w:pPr>
      <w:r w:rsidRPr="00D050E9">
        <w:rPr>
          <w:rFonts w:asciiTheme="minorHAnsi" w:hAnsiTheme="minorHAnsi"/>
        </w:rPr>
        <w:t xml:space="preserve">Po letu 2015 se je obseg pomoči za </w:t>
      </w:r>
      <w:r w:rsidR="00F12919" w:rsidRPr="00D050E9">
        <w:rPr>
          <w:rFonts w:asciiTheme="minorHAnsi" w:hAnsiTheme="minorHAnsi"/>
        </w:rPr>
        <w:t>kmetijstvo in ribištvo</w:t>
      </w:r>
      <w:r w:rsidRPr="00D050E9">
        <w:rPr>
          <w:rFonts w:asciiTheme="minorHAnsi" w:hAnsiTheme="minorHAnsi"/>
        </w:rPr>
        <w:t xml:space="preserve"> občutno znižal </w:t>
      </w:r>
      <w:r w:rsidR="00F12919" w:rsidRPr="00D050E9">
        <w:rPr>
          <w:rFonts w:asciiTheme="minorHAnsi" w:hAnsiTheme="minorHAnsi"/>
        </w:rPr>
        <w:t>(48 mio EUR manj pomoči v letu 2017 kot v letu 2015).</w:t>
      </w:r>
      <w:r w:rsidR="0071407C" w:rsidRPr="00D050E9">
        <w:rPr>
          <w:rFonts w:asciiTheme="minorHAnsi" w:hAnsiTheme="minorHAnsi"/>
        </w:rPr>
        <w:t xml:space="preserve"> Glavni razlog za znižanje je spremenjena </w:t>
      </w:r>
      <w:r w:rsidR="0071407C" w:rsidRPr="00D050E9">
        <w:rPr>
          <w:rFonts w:asciiTheme="minorHAnsi" w:hAnsiTheme="minorHAnsi"/>
          <w:i/>
        </w:rPr>
        <w:t>metodologij</w:t>
      </w:r>
      <w:r w:rsidR="0071407C" w:rsidRPr="00D050E9">
        <w:rPr>
          <w:rFonts w:asciiTheme="minorHAnsi" w:hAnsiTheme="minorHAnsi"/>
        </w:rPr>
        <w:t xml:space="preserve">a zajemanja in poročanja </w:t>
      </w:r>
      <w:r w:rsidR="00AE473F" w:rsidRPr="00D050E9">
        <w:rPr>
          <w:rFonts w:asciiTheme="minorHAnsi" w:hAnsiTheme="minorHAnsi"/>
        </w:rPr>
        <w:t>podatkov o državnih pomočeh</w:t>
      </w:r>
      <w:r w:rsidR="0071407C" w:rsidRPr="00D050E9">
        <w:rPr>
          <w:rFonts w:asciiTheme="minorHAnsi" w:hAnsiTheme="minorHAnsi"/>
        </w:rPr>
        <w:t xml:space="preserve"> </w:t>
      </w:r>
      <w:r w:rsidR="00AE473F" w:rsidRPr="00D050E9">
        <w:rPr>
          <w:rFonts w:asciiTheme="minorHAnsi" w:hAnsiTheme="minorHAnsi"/>
        </w:rPr>
        <w:t>za kmetijstvo in ribištvo</w:t>
      </w:r>
      <w:r w:rsidR="004F08F8" w:rsidRPr="00D050E9">
        <w:rPr>
          <w:rFonts w:asciiTheme="minorHAnsi" w:hAnsiTheme="minorHAnsi"/>
        </w:rPr>
        <w:t xml:space="preserve">, ki je vplivala zlasti na zajem in poročanje o javnih izdatkih za </w:t>
      </w:r>
      <w:r w:rsidR="00AE473F" w:rsidRPr="00D050E9">
        <w:rPr>
          <w:rFonts w:asciiTheme="minorHAnsi" w:hAnsiTheme="minorHAnsi"/>
          <w:i/>
        </w:rPr>
        <w:t>javne službe</w:t>
      </w:r>
      <w:r w:rsidR="00AE473F" w:rsidRPr="00D050E9">
        <w:rPr>
          <w:rFonts w:asciiTheme="minorHAnsi" w:hAnsiTheme="minorHAnsi"/>
          <w:b/>
          <w:i/>
        </w:rPr>
        <w:t xml:space="preserve"> </w:t>
      </w:r>
      <w:r w:rsidR="00AE473F" w:rsidRPr="00D050E9">
        <w:rPr>
          <w:rFonts w:asciiTheme="minorHAnsi" w:hAnsiTheme="minorHAnsi"/>
        </w:rPr>
        <w:t>na področju kmetijstva, ribištva in gozdarstva</w:t>
      </w:r>
      <w:r w:rsidR="004F08F8" w:rsidRPr="00D050E9">
        <w:rPr>
          <w:rFonts w:asciiTheme="minorHAnsi" w:hAnsiTheme="minorHAnsi"/>
        </w:rPr>
        <w:t xml:space="preserve">. Ti izdatki se po </w:t>
      </w:r>
      <w:r w:rsidR="00AE473F" w:rsidRPr="00D050E9">
        <w:rPr>
          <w:rFonts w:asciiTheme="minorHAnsi" w:hAnsiTheme="minorHAnsi"/>
        </w:rPr>
        <w:t>letu 2016</w:t>
      </w:r>
      <w:r w:rsidR="00AE473F" w:rsidRPr="00D050E9">
        <w:rPr>
          <w:rStyle w:val="FootnoteReference"/>
        </w:rPr>
        <w:footnoteReference w:id="23"/>
      </w:r>
      <w:r w:rsidR="00AE473F" w:rsidRPr="00D050E9">
        <w:rPr>
          <w:rStyle w:val="FootnoteReference"/>
        </w:rPr>
        <w:t xml:space="preserve"> </w:t>
      </w:r>
      <w:r w:rsidR="00AE473F" w:rsidRPr="00D050E9">
        <w:rPr>
          <w:rFonts w:asciiTheme="minorHAnsi" w:hAnsiTheme="minorHAnsi"/>
        </w:rPr>
        <w:t xml:space="preserve">ne obravnavajo več kot državne pomoči in </w:t>
      </w:r>
      <w:r w:rsidR="00F85069" w:rsidRPr="00D050E9">
        <w:rPr>
          <w:rFonts w:asciiTheme="minorHAnsi" w:hAnsiTheme="minorHAnsi"/>
        </w:rPr>
        <w:t xml:space="preserve">zato </w:t>
      </w:r>
      <w:r w:rsidR="00AE473F" w:rsidRPr="00D050E9">
        <w:rPr>
          <w:rFonts w:asciiTheme="minorHAnsi" w:hAnsiTheme="minorHAnsi"/>
        </w:rPr>
        <w:t>nis</w:t>
      </w:r>
      <w:r w:rsidR="00F85069" w:rsidRPr="00D050E9">
        <w:rPr>
          <w:rFonts w:asciiTheme="minorHAnsi" w:hAnsiTheme="minorHAnsi"/>
        </w:rPr>
        <w:t xml:space="preserve">o </w:t>
      </w:r>
      <w:r w:rsidR="00AE473F" w:rsidRPr="00D050E9">
        <w:rPr>
          <w:rFonts w:asciiTheme="minorHAnsi" w:hAnsiTheme="minorHAnsi"/>
        </w:rPr>
        <w:t>vključeni v poročilo o državnih pomočeh za leto 2016</w:t>
      </w:r>
      <w:r w:rsidR="004F08F8" w:rsidRPr="00D050E9">
        <w:rPr>
          <w:rFonts w:asciiTheme="minorHAnsi" w:hAnsiTheme="minorHAnsi"/>
        </w:rPr>
        <w:t xml:space="preserve"> in 2017. Če za leto 2015 upoštevamo podatek brez izplačil za javne službe (tako kot </w:t>
      </w:r>
      <w:r w:rsidR="00906DD7" w:rsidRPr="00D050E9">
        <w:rPr>
          <w:rFonts w:asciiTheme="minorHAnsi" w:hAnsiTheme="minorHAnsi"/>
        </w:rPr>
        <w:t xml:space="preserve">že </w:t>
      </w:r>
      <w:r w:rsidR="004F08F8" w:rsidRPr="00D050E9">
        <w:rPr>
          <w:rFonts w:asciiTheme="minorHAnsi" w:hAnsiTheme="minorHAnsi"/>
        </w:rPr>
        <w:t>velja za leti 2016 in 2017), je razlika precej manjša in sicer 3,3 mio EUR manj pomoči v letu 2017 glede na leto 2015.</w:t>
      </w:r>
      <w:r w:rsidR="004346E1" w:rsidRPr="00D050E9">
        <w:rPr>
          <w:rFonts w:asciiTheme="minorHAnsi" w:hAnsiTheme="minorHAnsi"/>
        </w:rPr>
        <w:t xml:space="preserve"> </w:t>
      </w:r>
    </w:p>
    <w:p w:rsidR="00042FD5" w:rsidRPr="00D050E9" w:rsidRDefault="004F08F8" w:rsidP="004346E1">
      <w:pPr>
        <w:spacing w:line="276" w:lineRule="auto"/>
        <w:rPr>
          <w:rFonts w:asciiTheme="minorHAnsi" w:hAnsiTheme="minorHAnsi"/>
        </w:rPr>
      </w:pPr>
      <w:r w:rsidRPr="00D050E9">
        <w:rPr>
          <w:rFonts w:asciiTheme="minorHAnsi" w:hAnsiTheme="minorHAnsi"/>
        </w:rPr>
        <w:t>Druga sprememba se nanaša na javne izdatke za izvajanje ukrepov programa EU za razvoj podeželja in ukrepov Sklada za pomorstvo in ribištvo za obdobje 2014–2020</w:t>
      </w:r>
      <w:r w:rsidR="00F85069" w:rsidRPr="00D050E9">
        <w:rPr>
          <w:rFonts w:asciiTheme="minorHAnsi" w:hAnsiTheme="minorHAnsi"/>
        </w:rPr>
        <w:t>, kjer</w:t>
      </w:r>
      <w:r w:rsidR="00AF1E0A" w:rsidRPr="00D050E9">
        <w:rPr>
          <w:rFonts w:asciiTheme="minorHAnsi" w:hAnsiTheme="minorHAnsi"/>
        </w:rPr>
        <w:t xml:space="preserve"> se</w:t>
      </w:r>
      <w:r w:rsidR="00F85069" w:rsidRPr="00D050E9">
        <w:rPr>
          <w:rFonts w:asciiTheme="minorHAnsi" w:hAnsiTheme="minorHAnsi"/>
        </w:rPr>
        <w:t xml:space="preserve"> javna sredstva</w:t>
      </w:r>
      <w:r w:rsidR="00AF1E0A" w:rsidRPr="00D050E9">
        <w:rPr>
          <w:rFonts w:asciiTheme="minorHAnsi" w:hAnsiTheme="minorHAnsi"/>
        </w:rPr>
        <w:t xml:space="preserve"> </w:t>
      </w:r>
      <w:r w:rsidRPr="00D050E9">
        <w:rPr>
          <w:rFonts w:asciiTheme="minorHAnsi" w:hAnsiTheme="minorHAnsi"/>
        </w:rPr>
        <w:t>obravnavajo kot državna pomoč samo v omejenem obsegu</w:t>
      </w:r>
      <w:r w:rsidRPr="00D050E9">
        <w:rPr>
          <w:rStyle w:val="FootnoteReference"/>
        </w:rPr>
        <w:footnoteReference w:id="24"/>
      </w:r>
      <w:r w:rsidRPr="00D050E9">
        <w:rPr>
          <w:rFonts w:asciiTheme="minorHAnsi" w:hAnsiTheme="minorHAnsi"/>
        </w:rPr>
        <w:t>.</w:t>
      </w:r>
    </w:p>
    <w:p w:rsidR="00906DD7" w:rsidRPr="00D050E9" w:rsidRDefault="006665DD" w:rsidP="006665DD">
      <w:pPr>
        <w:pStyle w:val="Caption"/>
        <w:rPr>
          <w:color w:val="auto"/>
        </w:rPr>
      </w:pPr>
      <w:bookmarkStart w:id="129" w:name="_Toc530654606"/>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22</w:t>
      </w:r>
      <w:r w:rsidRPr="00D050E9">
        <w:rPr>
          <w:color w:val="auto"/>
        </w:rPr>
        <w:fldChar w:fldCharType="end"/>
      </w:r>
      <w:r w:rsidRPr="00D050E9">
        <w:rPr>
          <w:color w:val="auto"/>
        </w:rPr>
        <w:t xml:space="preserve">: </w:t>
      </w:r>
      <w:r w:rsidR="00906DD7" w:rsidRPr="00D050E9">
        <w:rPr>
          <w:color w:val="auto"/>
        </w:rPr>
        <w:t>Državne pomoči na področju kmetijstva in ribištva, 2015–2017</w:t>
      </w:r>
      <w:bookmarkEnd w:id="129"/>
    </w:p>
    <w:p w:rsidR="006665DD" w:rsidRPr="00D050E9" w:rsidRDefault="006665DD" w:rsidP="006665DD">
      <w:pPr>
        <w:spacing w:after="0"/>
        <w:rPr>
          <w:lang w:bidi="hi-IN"/>
        </w:rPr>
      </w:pPr>
    </w:p>
    <w:tbl>
      <w:tblPr>
        <w:tblStyle w:val="LightGrid-Accent5"/>
        <w:tblW w:w="8962" w:type="dxa"/>
        <w:tblLook w:val="04A0" w:firstRow="1" w:lastRow="0" w:firstColumn="1" w:lastColumn="0" w:noHBand="0" w:noVBand="1"/>
      </w:tblPr>
      <w:tblGrid>
        <w:gridCol w:w="2519"/>
        <w:gridCol w:w="1363"/>
        <w:gridCol w:w="1265"/>
        <w:gridCol w:w="1363"/>
        <w:gridCol w:w="1265"/>
        <w:gridCol w:w="1187"/>
      </w:tblGrid>
      <w:tr w:rsidR="00906DD7" w:rsidRPr="00D050E9" w:rsidTr="0067287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noWrap/>
            <w:hideMark/>
          </w:tcPr>
          <w:p w:rsidR="00906DD7" w:rsidRPr="00D050E9" w:rsidRDefault="00906DD7" w:rsidP="0067287D">
            <w:pPr>
              <w:jc w:val="center"/>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Kategorija</w:t>
            </w:r>
          </w:p>
        </w:tc>
        <w:tc>
          <w:tcPr>
            <w:tcW w:w="0" w:type="auto"/>
            <w:hideMark/>
          </w:tcPr>
          <w:p w:rsidR="00906DD7" w:rsidRPr="00D050E9" w:rsidRDefault="00906DD7" w:rsidP="006728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2015</w:t>
            </w:r>
          </w:p>
        </w:tc>
        <w:tc>
          <w:tcPr>
            <w:tcW w:w="0" w:type="auto"/>
            <w:hideMark/>
          </w:tcPr>
          <w:p w:rsidR="00906DD7" w:rsidRPr="00D050E9" w:rsidRDefault="00906DD7" w:rsidP="006728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2016</w:t>
            </w:r>
          </w:p>
        </w:tc>
        <w:tc>
          <w:tcPr>
            <w:tcW w:w="0" w:type="auto"/>
            <w:noWrap/>
            <w:hideMark/>
          </w:tcPr>
          <w:p w:rsidR="00906DD7" w:rsidRPr="00D050E9" w:rsidRDefault="00906DD7" w:rsidP="006728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tc>
        <w:tc>
          <w:tcPr>
            <w:tcW w:w="0" w:type="auto"/>
            <w:hideMark/>
          </w:tcPr>
          <w:p w:rsidR="00906DD7" w:rsidRPr="00D050E9" w:rsidRDefault="00906DD7" w:rsidP="006728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razlika</w:t>
            </w:r>
            <w:r w:rsidRPr="00D050E9">
              <w:rPr>
                <w:rFonts w:ascii="Calibri" w:eastAsia="Times New Roman" w:hAnsi="Calibri" w:cs="Arial"/>
                <w:color w:val="000000"/>
                <w:sz w:val="19"/>
                <w:szCs w:val="19"/>
                <w:lang w:eastAsia="sl-SI"/>
              </w:rPr>
              <w:br/>
              <w:t>2017 - 2016</w:t>
            </w:r>
          </w:p>
        </w:tc>
        <w:tc>
          <w:tcPr>
            <w:tcW w:w="0" w:type="auto"/>
            <w:hideMark/>
          </w:tcPr>
          <w:p w:rsidR="00906DD7" w:rsidRPr="00D050E9" w:rsidRDefault="00906DD7" w:rsidP="006728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sprememba</w:t>
            </w:r>
            <w:r w:rsidRPr="00D050E9">
              <w:rPr>
                <w:rFonts w:ascii="Calibri" w:eastAsia="Times New Roman" w:hAnsi="Calibri" w:cs="Arial"/>
                <w:color w:val="000000"/>
                <w:sz w:val="19"/>
                <w:szCs w:val="19"/>
                <w:lang w:eastAsia="sl-SI"/>
              </w:rPr>
              <w:br/>
              <w:t>2017/2016</w:t>
            </w:r>
          </w:p>
        </w:tc>
      </w:tr>
      <w:tr w:rsidR="00906DD7" w:rsidRPr="00D050E9" w:rsidTr="006728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906DD7" w:rsidRPr="00D050E9" w:rsidRDefault="00906DD7" w:rsidP="0067287D">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KMETIJSTVO</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61.791.847,50</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5.526.964,69</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xml:space="preserve">13.935.634,05 </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xml:space="preserve">8.408.669,36 </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152%</w:t>
            </w:r>
          </w:p>
        </w:tc>
      </w:tr>
      <w:tr w:rsidR="00906DD7" w:rsidRPr="00D050E9" w:rsidTr="0067287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906DD7" w:rsidRPr="00D050E9" w:rsidRDefault="00906DD7" w:rsidP="0067287D">
            <w:pPr>
              <w:jc w:val="left"/>
              <w:rPr>
                <w:rFonts w:ascii="Calibri" w:eastAsia="Times New Roman" w:hAnsi="Calibri" w:cs="Arial"/>
                <w:b w:val="0"/>
                <w:i/>
                <w:iCs/>
                <w:sz w:val="19"/>
                <w:szCs w:val="19"/>
                <w:lang w:eastAsia="sl-SI"/>
              </w:rPr>
            </w:pPr>
            <w:r w:rsidRPr="00D050E9">
              <w:rPr>
                <w:rFonts w:ascii="Calibri" w:eastAsia="Times New Roman" w:hAnsi="Calibri" w:cs="Arial"/>
                <w:b w:val="0"/>
                <w:i/>
                <w:iCs/>
                <w:sz w:val="19"/>
                <w:szCs w:val="19"/>
                <w:lang w:eastAsia="sl-SI"/>
              </w:rPr>
              <w:t xml:space="preserve">brez javnih služb v kmetijstvu </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17.260.474,51</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 </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 </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 </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r>
      <w:tr w:rsidR="00906DD7" w:rsidRPr="00D050E9" w:rsidTr="006728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906DD7" w:rsidRPr="00D050E9" w:rsidRDefault="00906DD7" w:rsidP="0067287D">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RIBIŠTVO</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585.894,55</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465.787,27</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-465.787,27</w:t>
            </w:r>
          </w:p>
        </w:tc>
        <w:tc>
          <w:tcPr>
            <w:tcW w:w="0" w:type="auto"/>
            <w:hideMark/>
          </w:tcPr>
          <w:p w:rsidR="00906DD7" w:rsidRPr="00D050E9" w:rsidRDefault="00906DD7" w:rsidP="006728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-100%</w:t>
            </w:r>
          </w:p>
        </w:tc>
      </w:tr>
      <w:tr w:rsidR="00906DD7" w:rsidRPr="00D050E9" w:rsidTr="0067287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noWrap/>
            <w:hideMark/>
          </w:tcPr>
          <w:p w:rsidR="00906DD7" w:rsidRPr="00D050E9" w:rsidRDefault="00906DD7" w:rsidP="0067287D">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xml:space="preserve">SKUPAJ </w:t>
            </w:r>
          </w:p>
        </w:tc>
        <w:tc>
          <w:tcPr>
            <w:tcW w:w="0" w:type="auto"/>
            <w:noWrap/>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62.377.742,05</w:t>
            </w:r>
          </w:p>
        </w:tc>
        <w:tc>
          <w:tcPr>
            <w:tcW w:w="0" w:type="auto"/>
            <w:noWrap/>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5.992.751,96</w:t>
            </w:r>
          </w:p>
        </w:tc>
        <w:tc>
          <w:tcPr>
            <w:tcW w:w="0" w:type="auto"/>
            <w:noWrap/>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13.935.634,05</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7.942.882,09</w:t>
            </w:r>
          </w:p>
        </w:tc>
        <w:tc>
          <w:tcPr>
            <w:tcW w:w="0" w:type="auto"/>
            <w:hideMark/>
          </w:tcPr>
          <w:p w:rsidR="00906DD7" w:rsidRPr="00D050E9" w:rsidRDefault="00906DD7" w:rsidP="0067287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133%</w:t>
            </w:r>
          </w:p>
        </w:tc>
      </w:tr>
    </w:tbl>
    <w:p w:rsidR="00906DD7" w:rsidRPr="00D050E9" w:rsidRDefault="00906DD7" w:rsidP="00906DD7">
      <w:pPr>
        <w:spacing w:after="0"/>
        <w:rPr>
          <w:rFonts w:asciiTheme="minorHAnsi" w:hAnsiTheme="minorHAnsi"/>
        </w:rPr>
      </w:pPr>
    </w:p>
    <w:p w:rsidR="004346E1" w:rsidRPr="00D050E9" w:rsidRDefault="00906DD7" w:rsidP="004346E1">
      <w:pPr>
        <w:spacing w:line="276" w:lineRule="auto"/>
        <w:rPr>
          <w:rFonts w:asciiTheme="minorHAnsi" w:hAnsiTheme="minorHAnsi"/>
        </w:rPr>
      </w:pPr>
      <w:r w:rsidRPr="00D050E9">
        <w:rPr>
          <w:rFonts w:asciiTheme="minorHAnsi" w:hAnsiTheme="minorHAnsi"/>
        </w:rPr>
        <w:t>Veliko z</w:t>
      </w:r>
      <w:r w:rsidR="004346E1" w:rsidRPr="00D050E9">
        <w:rPr>
          <w:rFonts w:asciiTheme="minorHAnsi" w:hAnsiTheme="minorHAnsi"/>
        </w:rPr>
        <w:t>nižanje državnih pomoči na področju kmetijstva in ribištva</w:t>
      </w:r>
      <w:r w:rsidRPr="00D050E9">
        <w:rPr>
          <w:rFonts w:asciiTheme="minorHAnsi" w:hAnsiTheme="minorHAnsi"/>
        </w:rPr>
        <w:t xml:space="preserve"> v letu 2016 glede na leto 2015</w:t>
      </w:r>
      <w:r w:rsidR="004346E1" w:rsidRPr="00D050E9">
        <w:rPr>
          <w:rFonts w:asciiTheme="minorHAnsi" w:hAnsiTheme="minorHAnsi"/>
        </w:rPr>
        <w:t xml:space="preserve"> ne pomeni, da se je zman</w:t>
      </w:r>
      <w:r w:rsidRPr="00D050E9">
        <w:rPr>
          <w:rFonts w:asciiTheme="minorHAnsi" w:hAnsiTheme="minorHAnsi"/>
        </w:rPr>
        <w:t>jšal obseg javnih izdatkov za ta</w:t>
      </w:r>
      <w:r w:rsidR="004346E1" w:rsidRPr="00D050E9">
        <w:rPr>
          <w:rFonts w:asciiTheme="minorHAnsi" w:hAnsiTheme="minorHAnsi"/>
        </w:rPr>
        <w:t xml:space="preserve"> področja, pač pa da določeni javni izdatki, ki so sicer nastali (in so bili v preteklih letih vključeni v letno poročilo o državnih pomočeh, glej opombi 19. in 20.), skladno s spremenjeno metodologijo niso več obravnavani kot državna pomoč oziroma so kot državna pomoč obravnavani v omejenem obsegu in zato niso zajeti v Poročilu za leto 2016 (ukrepi programa razvoja podeželja, izplačila javnih sredstev za izvajanje javne službe). </w:t>
      </w:r>
    </w:p>
    <w:p w:rsidR="00AF1E0A" w:rsidRDefault="00AF1E0A" w:rsidP="00AF1E0A">
      <w:pPr>
        <w:spacing w:line="276" w:lineRule="auto"/>
        <w:rPr>
          <w:rFonts w:asciiTheme="minorHAnsi" w:hAnsiTheme="minorHAnsi"/>
        </w:rPr>
      </w:pPr>
      <w:r w:rsidRPr="00D050E9">
        <w:rPr>
          <w:rFonts w:asciiTheme="minorHAnsi" w:hAnsiTheme="minorHAnsi"/>
        </w:rPr>
        <w:t>Pomoči za kmetijstvo in ribištvo se namenjajo za</w:t>
      </w:r>
      <w:r w:rsidR="00001705" w:rsidRPr="00D050E9">
        <w:rPr>
          <w:rFonts w:asciiTheme="minorHAnsi" w:hAnsiTheme="minorHAnsi"/>
        </w:rPr>
        <w:t xml:space="preserve"> številne ukrepe</w:t>
      </w:r>
      <w:r w:rsidRPr="00D050E9">
        <w:rPr>
          <w:rFonts w:asciiTheme="minorHAnsi" w:hAnsiTheme="minorHAnsi"/>
        </w:rPr>
        <w:t>, njihova vsebina in struktura pa se je v letu 2017, potem, ko niso več vključeni izdatki za javne službe, hkrati pa so se začeli (v večjem obsegu) izvajati ukrepi iz programa razvoja podeželja 2014–2020 in nacionalni ukrepi na osnovi novih smernic za kmetijstvo, precej spremenila</w:t>
      </w:r>
      <w:r w:rsidR="004346E1" w:rsidRPr="00D050E9">
        <w:rPr>
          <w:rFonts w:asciiTheme="minorHAnsi" w:hAnsiTheme="minorHAnsi"/>
        </w:rPr>
        <w:t>.</w:t>
      </w:r>
    </w:p>
    <w:p w:rsidR="004346E1" w:rsidRPr="00D050E9" w:rsidRDefault="00427E44" w:rsidP="00427E44">
      <w:pPr>
        <w:pStyle w:val="Caption"/>
        <w:rPr>
          <w:color w:val="auto"/>
        </w:rPr>
      </w:pPr>
      <w:bookmarkStart w:id="130" w:name="_Toc530654669"/>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54</w:t>
      </w:r>
      <w:r w:rsidRPr="00D050E9">
        <w:rPr>
          <w:color w:val="auto"/>
        </w:rPr>
        <w:fldChar w:fldCharType="end"/>
      </w:r>
      <w:r w:rsidRPr="00D050E9">
        <w:rPr>
          <w:color w:val="auto"/>
        </w:rPr>
        <w:t xml:space="preserve">: </w:t>
      </w:r>
      <w:r w:rsidR="004346E1" w:rsidRPr="00D050E9">
        <w:rPr>
          <w:color w:val="auto"/>
        </w:rPr>
        <w:t>Državne pomoči za kmetijstvo po namenih za leto 2017</w:t>
      </w:r>
      <w:bookmarkEnd w:id="130"/>
      <w:r w:rsidR="004346E1" w:rsidRPr="00D050E9">
        <w:rPr>
          <w:color w:val="auto"/>
        </w:rPr>
        <w:t xml:space="preserve"> </w:t>
      </w:r>
    </w:p>
    <w:p w:rsidR="004346E1" w:rsidRPr="00D050E9" w:rsidRDefault="004346E1" w:rsidP="004346E1">
      <w:pPr>
        <w:spacing w:line="276" w:lineRule="auto"/>
        <w:jc w:val="left"/>
        <w:rPr>
          <w:rFonts w:asciiTheme="minorHAnsi" w:hAnsiTheme="minorHAnsi"/>
          <w:b/>
          <w:highlight w:val="yellow"/>
        </w:rPr>
      </w:pPr>
      <w:r w:rsidRPr="00D050E9">
        <w:rPr>
          <w:noProof/>
          <w:lang w:eastAsia="sl-SI"/>
        </w:rPr>
        <w:drawing>
          <wp:inline distT="0" distB="0" distL="0" distR="0" wp14:anchorId="36811E4F" wp14:editId="12749F9C">
            <wp:extent cx="5722620" cy="370332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4A0558" w:rsidRPr="00D050E9" w:rsidRDefault="004346E1" w:rsidP="00DB516A">
      <w:pPr>
        <w:tabs>
          <w:tab w:val="left" w:pos="1152"/>
        </w:tabs>
        <w:spacing w:line="276" w:lineRule="auto"/>
        <w:rPr>
          <w:rFonts w:asciiTheme="minorHAnsi" w:hAnsiTheme="minorHAnsi"/>
        </w:rPr>
      </w:pPr>
      <w:r w:rsidRPr="00D050E9">
        <w:rPr>
          <w:rFonts w:asciiTheme="minorHAnsi" w:hAnsiTheme="minorHAnsi"/>
        </w:rPr>
        <w:t xml:space="preserve">V letu 2017 je bila tako četrtina </w:t>
      </w:r>
      <w:r w:rsidR="00694ED9" w:rsidRPr="00D050E9">
        <w:rPr>
          <w:rFonts w:asciiTheme="minorHAnsi" w:hAnsiTheme="minorHAnsi"/>
        </w:rPr>
        <w:t xml:space="preserve">državnih </w:t>
      </w:r>
      <w:r w:rsidRPr="00D050E9">
        <w:rPr>
          <w:rFonts w:asciiTheme="minorHAnsi" w:hAnsiTheme="minorHAnsi"/>
        </w:rPr>
        <w:t xml:space="preserve">pomoči za kmetijstvo ali 3,49 mio EUR namenjena za </w:t>
      </w:r>
      <w:r w:rsidRPr="00D050E9">
        <w:rPr>
          <w:rFonts w:asciiTheme="minorHAnsi" w:hAnsiTheme="minorHAnsi"/>
          <w:b/>
        </w:rPr>
        <w:t>nadomestilo škod</w:t>
      </w:r>
      <w:r w:rsidRPr="00D050E9">
        <w:rPr>
          <w:rFonts w:asciiTheme="minorHAnsi" w:hAnsiTheme="minorHAnsi"/>
        </w:rPr>
        <w:t xml:space="preserve">, ki so jo povzročile naravne nesreče ali izredni dogodki, 17 % pomoči za kmetijstvo ali 2,39 mio EUR je bilo </w:t>
      </w:r>
      <w:r w:rsidRPr="002F606A">
        <w:rPr>
          <w:rFonts w:asciiTheme="minorHAnsi" w:hAnsiTheme="minorHAnsi"/>
        </w:rPr>
        <w:t xml:space="preserve">izplačanih </w:t>
      </w:r>
      <w:r w:rsidR="009C1C49" w:rsidRPr="002F606A">
        <w:rPr>
          <w:rFonts w:asciiTheme="minorHAnsi" w:hAnsiTheme="minorHAnsi"/>
        </w:rPr>
        <w:t xml:space="preserve">za sofinanciranje </w:t>
      </w:r>
      <w:r w:rsidRPr="002F606A">
        <w:rPr>
          <w:rFonts w:asciiTheme="minorHAnsi" w:hAnsiTheme="minorHAnsi"/>
          <w:b/>
        </w:rPr>
        <w:t>zavarovaln</w:t>
      </w:r>
      <w:r w:rsidR="009C1C49" w:rsidRPr="002F606A">
        <w:rPr>
          <w:rFonts w:asciiTheme="minorHAnsi" w:hAnsiTheme="minorHAnsi"/>
          <w:b/>
        </w:rPr>
        <w:t>ih polic</w:t>
      </w:r>
      <w:r w:rsidRPr="002F606A">
        <w:rPr>
          <w:rFonts w:asciiTheme="minorHAnsi" w:hAnsiTheme="minorHAnsi"/>
        </w:rPr>
        <w:t xml:space="preserve"> v primeru naravnih nesreč</w:t>
      </w:r>
      <w:r w:rsidR="00854056" w:rsidRPr="002F606A">
        <w:rPr>
          <w:rFonts w:asciiTheme="minorHAnsi" w:hAnsiTheme="minorHAnsi"/>
        </w:rPr>
        <w:t xml:space="preserve">, neugodnih vremenskih razmer, ki jih enačimo z naravnimi nesrečami ali izrednih </w:t>
      </w:r>
      <w:r w:rsidRPr="002F606A">
        <w:rPr>
          <w:rFonts w:asciiTheme="minorHAnsi" w:hAnsiTheme="minorHAnsi"/>
        </w:rPr>
        <w:t>dogodkov (11 % pomoči v 2015–2017).</w:t>
      </w:r>
      <w:r w:rsidRPr="00D050E9">
        <w:rPr>
          <w:rFonts w:asciiTheme="minorHAnsi" w:hAnsiTheme="minorHAnsi"/>
        </w:rPr>
        <w:t xml:space="preserve"> </w:t>
      </w:r>
    </w:p>
    <w:p w:rsidR="00694ED9" w:rsidRPr="00D050E9" w:rsidRDefault="004346E1" w:rsidP="00DB516A">
      <w:pPr>
        <w:tabs>
          <w:tab w:val="left" w:pos="1152"/>
        </w:tabs>
        <w:spacing w:line="276" w:lineRule="auto"/>
        <w:rPr>
          <w:rFonts w:asciiTheme="minorHAnsi" w:hAnsiTheme="minorHAnsi"/>
        </w:rPr>
      </w:pPr>
      <w:r w:rsidRPr="00D050E9">
        <w:rPr>
          <w:rFonts w:asciiTheme="minorHAnsi" w:hAnsiTheme="minorHAnsi"/>
        </w:rPr>
        <w:t xml:space="preserve">Nekaj manj kot četrtina pomoči, 24 % ali 2,24 mio EUR, so predstavljale </w:t>
      </w:r>
      <w:r w:rsidRPr="00D050E9">
        <w:rPr>
          <w:rFonts w:asciiTheme="minorHAnsi" w:hAnsiTheme="minorHAnsi"/>
          <w:b/>
        </w:rPr>
        <w:t>spodbude za investicije v kmetijska gospodarstva</w:t>
      </w:r>
      <w:r w:rsidRPr="00D050E9">
        <w:rPr>
          <w:rFonts w:asciiTheme="minorHAnsi" w:hAnsiTheme="minorHAnsi"/>
        </w:rPr>
        <w:t xml:space="preserve"> (17 % v 2015–2017), enak obseg, 24 % pomoči za kmetijstvo je bil namenjen za različne ukrepe na področju </w:t>
      </w:r>
      <w:r w:rsidRPr="00D050E9">
        <w:rPr>
          <w:rFonts w:asciiTheme="minorHAnsi" w:hAnsiTheme="minorHAnsi"/>
          <w:b/>
        </w:rPr>
        <w:t>gozdarskega sektorja</w:t>
      </w:r>
      <w:r w:rsidRPr="00D050E9">
        <w:rPr>
          <w:rFonts w:asciiTheme="minorHAnsi" w:hAnsiTheme="minorHAnsi"/>
        </w:rPr>
        <w:t xml:space="preserve"> (le dobre 4</w:t>
      </w:r>
      <w:r w:rsidR="00694ED9" w:rsidRPr="00D050E9">
        <w:rPr>
          <w:rFonts w:asciiTheme="minorHAnsi" w:hAnsiTheme="minorHAnsi"/>
        </w:rPr>
        <w:t xml:space="preserve"> % pomoči v obdobju 2015–2017). </w:t>
      </w:r>
    </w:p>
    <w:p w:rsidR="004346E1" w:rsidRPr="00D050E9" w:rsidRDefault="00694ED9" w:rsidP="00DB516A">
      <w:pPr>
        <w:tabs>
          <w:tab w:val="left" w:pos="1152"/>
        </w:tabs>
        <w:spacing w:line="276" w:lineRule="auto"/>
        <w:rPr>
          <w:rFonts w:asciiTheme="minorHAnsi" w:hAnsiTheme="minorHAnsi"/>
        </w:rPr>
      </w:pPr>
      <w:r w:rsidRPr="00D050E9">
        <w:rPr>
          <w:rFonts w:asciiTheme="minorHAnsi" w:hAnsiTheme="minorHAnsi"/>
        </w:rPr>
        <w:t xml:space="preserve">Ostale pomoči v kmetijstvu so bile namenjene za </w:t>
      </w:r>
      <w:r w:rsidR="004346E1" w:rsidRPr="00D050E9">
        <w:rPr>
          <w:rFonts w:asciiTheme="minorHAnsi" w:hAnsiTheme="minorHAnsi"/>
        </w:rPr>
        <w:t>informiranje in promocijsko dejavnost, prenos znanj in usposabljanja ter raziskave in razvoj v kmetijskem sektorju,  varstvo okolja ter predelavo kmetijskih proizvodov v nekmetijske.</w:t>
      </w:r>
    </w:p>
    <w:p w:rsidR="00DB516A" w:rsidRPr="00D050E9" w:rsidRDefault="00DB516A" w:rsidP="00DB516A">
      <w:pPr>
        <w:spacing w:line="276" w:lineRule="auto"/>
        <w:rPr>
          <w:rFonts w:asciiTheme="minorHAnsi" w:hAnsiTheme="minorHAnsi"/>
        </w:rPr>
      </w:pPr>
      <w:r w:rsidRPr="00D050E9">
        <w:rPr>
          <w:rFonts w:asciiTheme="minorHAnsi" w:hAnsiTheme="minorHAnsi"/>
        </w:rPr>
        <w:t xml:space="preserve">Za </w:t>
      </w:r>
      <w:r w:rsidRPr="00D050E9">
        <w:rPr>
          <w:rFonts w:asciiTheme="minorHAnsi" w:hAnsiTheme="minorHAnsi"/>
          <w:b/>
        </w:rPr>
        <w:t>ribištvo</w:t>
      </w:r>
      <w:r w:rsidRPr="00D050E9">
        <w:rPr>
          <w:rFonts w:asciiTheme="minorHAnsi" w:hAnsiTheme="minorHAnsi"/>
        </w:rPr>
        <w:t xml:space="preserve"> je bilo </w:t>
      </w:r>
      <w:r w:rsidR="00214122" w:rsidRPr="00D050E9">
        <w:rPr>
          <w:rFonts w:asciiTheme="minorHAnsi" w:hAnsiTheme="minorHAnsi"/>
        </w:rPr>
        <w:t>v obdobju 2015–2017</w:t>
      </w:r>
      <w:r w:rsidR="00BC4284" w:rsidRPr="00D050E9">
        <w:rPr>
          <w:rFonts w:asciiTheme="minorHAnsi" w:hAnsiTheme="minorHAnsi"/>
        </w:rPr>
        <w:t xml:space="preserve"> </w:t>
      </w:r>
      <w:r w:rsidRPr="00D050E9">
        <w:rPr>
          <w:rFonts w:asciiTheme="minorHAnsi" w:hAnsiTheme="minorHAnsi"/>
        </w:rPr>
        <w:t>namenjenih 1,3 % vseh pomoči, od tega 44 % za pomoč pri predelavi in trženju</w:t>
      </w:r>
      <w:r w:rsidR="00EC796E" w:rsidRPr="00D050E9">
        <w:rPr>
          <w:rFonts w:asciiTheme="minorHAnsi" w:hAnsiTheme="minorHAnsi"/>
        </w:rPr>
        <w:t xml:space="preserve">, </w:t>
      </w:r>
      <w:r w:rsidRPr="00D050E9">
        <w:rPr>
          <w:rFonts w:asciiTheme="minorHAnsi" w:hAnsiTheme="minorHAnsi"/>
        </w:rPr>
        <w:t xml:space="preserve">slabih 40 % </w:t>
      </w:r>
      <w:r w:rsidR="00EC796E" w:rsidRPr="00D050E9">
        <w:rPr>
          <w:rFonts w:asciiTheme="minorHAnsi" w:hAnsiTheme="minorHAnsi"/>
        </w:rPr>
        <w:t xml:space="preserve">pa </w:t>
      </w:r>
      <w:r w:rsidRPr="00D050E9">
        <w:rPr>
          <w:rFonts w:asciiTheme="minorHAnsi" w:hAnsiTheme="minorHAnsi"/>
        </w:rPr>
        <w:t xml:space="preserve">za varstvo in razvoj ribjih virov in obalnih voda. V letu 2017 pomoči za ribištvo niso bile izplačane. </w:t>
      </w:r>
    </w:p>
    <w:p w:rsidR="00694ED9" w:rsidRPr="00D050E9" w:rsidRDefault="00694ED9" w:rsidP="00694ED9">
      <w:pPr>
        <w:spacing w:line="276" w:lineRule="auto"/>
        <w:rPr>
          <w:rFonts w:asciiTheme="minorHAnsi" w:hAnsiTheme="minorHAnsi"/>
        </w:rPr>
      </w:pPr>
      <w:r w:rsidRPr="00D050E9">
        <w:rPr>
          <w:rFonts w:asciiTheme="minorHAnsi" w:hAnsiTheme="minorHAnsi"/>
        </w:rPr>
        <w:t>Pomoči za kmetijstvo se dodeljujejo tako poslovnim subjektom, ki so registrirani kot podjetja</w:t>
      </w:r>
      <w:r w:rsidR="00C14706">
        <w:rPr>
          <w:rFonts w:asciiTheme="minorHAnsi" w:hAnsiTheme="minorHAnsi"/>
        </w:rPr>
        <w:t>,</w:t>
      </w:r>
      <w:r w:rsidRPr="00D050E9">
        <w:rPr>
          <w:rFonts w:asciiTheme="minorHAnsi" w:hAnsiTheme="minorHAnsi"/>
        </w:rPr>
        <w:t xml:space="preserve"> kot subjektom, ki so vpisani v r</w:t>
      </w:r>
      <w:r w:rsidR="0053350A" w:rsidRPr="00D050E9">
        <w:rPr>
          <w:rFonts w:asciiTheme="minorHAnsi" w:hAnsiTheme="minorHAnsi"/>
        </w:rPr>
        <w:t>egister kmetijskih gospodarstev</w:t>
      </w:r>
      <w:r w:rsidRPr="00D050E9">
        <w:rPr>
          <w:rFonts w:asciiTheme="minorHAnsi" w:hAnsiTheme="minorHAnsi"/>
        </w:rPr>
        <w:t xml:space="preserve">. V letu 2017 je pomoč za kmetijstvo prejelo 101 podjetje (v letu 2016 60 podjetij) in 9.091 kmetijskih gospodarstev (7.481 v letu 2016). </w:t>
      </w:r>
    </w:p>
    <w:p w:rsidR="00694ED9" w:rsidRPr="00D050E9" w:rsidRDefault="00694ED9" w:rsidP="00694ED9">
      <w:pPr>
        <w:spacing w:after="120" w:line="276" w:lineRule="auto"/>
        <w:jc w:val="left"/>
        <w:rPr>
          <w:rFonts w:asciiTheme="minorHAnsi" w:hAnsiTheme="minorHAnsi"/>
        </w:rPr>
      </w:pPr>
      <w:r w:rsidRPr="00D050E9">
        <w:rPr>
          <w:rFonts w:asciiTheme="minorHAnsi" w:hAnsiTheme="minorHAnsi"/>
        </w:rPr>
        <w:t>Največji prejemniki pomoči za kmetijstvo (</w:t>
      </w:r>
      <w:r w:rsidR="0053350A" w:rsidRPr="00D050E9">
        <w:rPr>
          <w:rFonts w:asciiTheme="minorHAnsi" w:hAnsiTheme="minorHAnsi"/>
        </w:rPr>
        <w:t>p</w:t>
      </w:r>
      <w:r w:rsidRPr="00D050E9">
        <w:rPr>
          <w:rFonts w:asciiTheme="minorHAnsi" w:hAnsiTheme="minorHAnsi"/>
        </w:rPr>
        <w:t>odjetja</w:t>
      </w:r>
      <w:r w:rsidR="0053350A" w:rsidRPr="00D050E9">
        <w:rPr>
          <w:rFonts w:asciiTheme="minorHAnsi" w:hAnsiTheme="minorHAnsi"/>
        </w:rPr>
        <w:t xml:space="preserve"> in kmetijska gospodarstva</w:t>
      </w:r>
      <w:r w:rsidRPr="00D050E9">
        <w:rPr>
          <w:rFonts w:asciiTheme="minorHAnsi" w:hAnsiTheme="minorHAnsi"/>
        </w:rPr>
        <w:t xml:space="preserve">) v </w:t>
      </w:r>
      <w:r w:rsidR="0053350A" w:rsidRPr="00D050E9">
        <w:rPr>
          <w:rFonts w:asciiTheme="minorHAnsi" w:hAnsiTheme="minorHAnsi"/>
        </w:rPr>
        <w:t>letih 2016</w:t>
      </w:r>
      <w:r w:rsidRPr="00D050E9">
        <w:rPr>
          <w:rFonts w:asciiTheme="minorHAnsi" w:hAnsiTheme="minorHAnsi"/>
        </w:rPr>
        <w:t>–2017 so bili:</w:t>
      </w:r>
    </w:p>
    <w:tbl>
      <w:tblPr>
        <w:tblStyle w:val="LightShading-Accent4"/>
        <w:tblW w:w="5000" w:type="pct"/>
        <w:tblLook w:val="04A0" w:firstRow="1" w:lastRow="0" w:firstColumn="1" w:lastColumn="0" w:noHBand="0" w:noVBand="1"/>
      </w:tblPr>
      <w:tblGrid>
        <w:gridCol w:w="1193"/>
        <w:gridCol w:w="348"/>
        <w:gridCol w:w="3890"/>
        <w:gridCol w:w="1243"/>
        <w:gridCol w:w="1363"/>
        <w:gridCol w:w="1363"/>
      </w:tblGrid>
      <w:tr w:rsidR="0053350A" w:rsidRPr="00D050E9" w:rsidTr="005335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0" w:type="pct"/>
            <w:gridSpan w:val="2"/>
            <w:hideMark/>
          </w:tcPr>
          <w:p w:rsidR="0053350A" w:rsidRPr="00D050E9" w:rsidRDefault="0053350A" w:rsidP="0053350A">
            <w:pPr>
              <w:jc w:val="left"/>
              <w:rPr>
                <w:rFonts w:asciiTheme="minorHAnsi" w:eastAsia="Times New Roman" w:hAnsiTheme="minorHAnsi" w:cs="Arial"/>
                <w:b w:val="0"/>
                <w:color w:val="auto"/>
                <w:sz w:val="18"/>
                <w:szCs w:val="18"/>
                <w:lang w:eastAsia="sl-SI"/>
              </w:rPr>
            </w:pPr>
            <w:r w:rsidRPr="00D050E9">
              <w:rPr>
                <w:rFonts w:asciiTheme="minorHAnsi" w:eastAsia="Times New Roman" w:hAnsiTheme="minorHAnsi" w:cs="Arial"/>
                <w:b w:val="0"/>
                <w:color w:val="auto"/>
                <w:sz w:val="18"/>
                <w:szCs w:val="18"/>
                <w:lang w:eastAsia="sl-SI"/>
              </w:rPr>
              <w:t xml:space="preserve">Matična številka / štev. KMG </w:t>
            </w:r>
          </w:p>
        </w:tc>
        <w:tc>
          <w:tcPr>
            <w:tcW w:w="2068" w:type="pct"/>
            <w:hideMark/>
          </w:tcPr>
          <w:p w:rsidR="0053350A" w:rsidRPr="00D050E9" w:rsidRDefault="0053350A" w:rsidP="0053350A">
            <w:pPr>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sz w:val="18"/>
                <w:szCs w:val="18"/>
                <w:lang w:eastAsia="sl-SI"/>
              </w:rPr>
            </w:pPr>
            <w:r w:rsidRPr="00D050E9">
              <w:rPr>
                <w:rFonts w:asciiTheme="minorHAnsi" w:eastAsia="Times New Roman" w:hAnsiTheme="minorHAnsi" w:cs="Arial"/>
                <w:b w:val="0"/>
                <w:color w:val="auto"/>
                <w:sz w:val="18"/>
                <w:szCs w:val="18"/>
                <w:lang w:eastAsia="sl-SI"/>
              </w:rPr>
              <w:t>Prejemnik pomoči</w:t>
            </w:r>
          </w:p>
        </w:tc>
        <w:tc>
          <w:tcPr>
            <w:tcW w:w="661" w:type="pct"/>
            <w:hideMark/>
          </w:tcPr>
          <w:p w:rsidR="0053350A" w:rsidRPr="00D050E9" w:rsidRDefault="0053350A" w:rsidP="0053350A">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sz w:val="18"/>
                <w:szCs w:val="18"/>
                <w:lang w:eastAsia="sl-SI"/>
              </w:rPr>
            </w:pPr>
            <w:r w:rsidRPr="00D050E9">
              <w:rPr>
                <w:rFonts w:asciiTheme="minorHAnsi" w:eastAsia="Times New Roman" w:hAnsiTheme="minorHAnsi" w:cs="Arial"/>
                <w:b w:val="0"/>
                <w:color w:val="auto"/>
                <w:sz w:val="18"/>
                <w:szCs w:val="18"/>
                <w:lang w:eastAsia="sl-SI"/>
              </w:rPr>
              <w:t>2016</w:t>
            </w:r>
          </w:p>
        </w:tc>
        <w:tc>
          <w:tcPr>
            <w:tcW w:w="725" w:type="pct"/>
            <w:hideMark/>
          </w:tcPr>
          <w:p w:rsidR="0053350A" w:rsidRPr="00D050E9" w:rsidRDefault="0053350A" w:rsidP="0053350A">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sz w:val="18"/>
                <w:szCs w:val="18"/>
                <w:lang w:eastAsia="sl-SI"/>
              </w:rPr>
            </w:pPr>
            <w:r w:rsidRPr="00D050E9">
              <w:rPr>
                <w:rFonts w:asciiTheme="minorHAnsi" w:eastAsia="Times New Roman" w:hAnsiTheme="minorHAnsi" w:cs="Arial"/>
                <w:b w:val="0"/>
                <w:color w:val="auto"/>
                <w:sz w:val="18"/>
                <w:szCs w:val="18"/>
                <w:lang w:eastAsia="sl-SI"/>
              </w:rPr>
              <w:t>2017</w:t>
            </w:r>
          </w:p>
        </w:tc>
        <w:tc>
          <w:tcPr>
            <w:tcW w:w="725" w:type="pct"/>
            <w:hideMark/>
          </w:tcPr>
          <w:p w:rsidR="0053350A" w:rsidRPr="00D050E9" w:rsidRDefault="0053350A" w:rsidP="0053350A">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auto"/>
                <w:sz w:val="18"/>
                <w:szCs w:val="18"/>
                <w:lang w:eastAsia="sl-SI"/>
              </w:rPr>
            </w:pPr>
            <w:r w:rsidRPr="00D050E9">
              <w:rPr>
                <w:rFonts w:asciiTheme="minorHAnsi" w:eastAsia="Times New Roman" w:hAnsiTheme="minorHAnsi" w:cs="Arial"/>
                <w:b w:val="0"/>
                <w:color w:val="auto"/>
                <w:sz w:val="18"/>
                <w:szCs w:val="18"/>
                <w:lang w:eastAsia="sl-SI"/>
              </w:rPr>
              <w:t>Skupaj</w:t>
            </w:r>
          </w:p>
        </w:tc>
      </w:tr>
      <w:tr w:rsidR="0053350A"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1585142000</w:t>
            </w:r>
          </w:p>
        </w:tc>
        <w:tc>
          <w:tcPr>
            <w:tcW w:w="2254" w:type="pct"/>
            <w:gridSpan w:val="2"/>
            <w:hideMark/>
          </w:tcPr>
          <w:p w:rsidR="0053350A" w:rsidRPr="00D050E9" w:rsidRDefault="0053350A" w:rsidP="0053350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FUTURA DDB, oglaševalska agencija d.o.o.</w:t>
            </w:r>
          </w:p>
        </w:tc>
        <w:tc>
          <w:tcPr>
            <w:tcW w:w="661"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418.032,79</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727.722,02</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1.145.754,81</w:t>
            </w:r>
          </w:p>
        </w:tc>
      </w:tr>
      <w:tr w:rsidR="0053350A" w:rsidRPr="00D050E9" w:rsidTr="0053350A">
        <w:trPr>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100.347.052</w:t>
            </w:r>
          </w:p>
        </w:tc>
        <w:tc>
          <w:tcPr>
            <w:tcW w:w="2254" w:type="pct"/>
            <w:gridSpan w:val="2"/>
            <w:hideMark/>
          </w:tcPr>
          <w:p w:rsidR="0053350A" w:rsidRPr="00D050E9" w:rsidRDefault="0053350A" w:rsidP="0053350A">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EVROSAD D.O.O. KRŠKO</w:t>
            </w:r>
          </w:p>
        </w:tc>
        <w:tc>
          <w:tcPr>
            <w:tcW w:w="661"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102.436,87</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603.392,23</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705.829,10</w:t>
            </w:r>
          </w:p>
        </w:tc>
      </w:tr>
      <w:tr w:rsidR="0053350A"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5922020000</w:t>
            </w:r>
          </w:p>
        </w:tc>
        <w:tc>
          <w:tcPr>
            <w:tcW w:w="2254" w:type="pct"/>
            <w:gridSpan w:val="2"/>
            <w:hideMark/>
          </w:tcPr>
          <w:p w:rsidR="0053350A" w:rsidRPr="00D050E9" w:rsidRDefault="0053350A" w:rsidP="0053350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AVSEC, proizvodnja, trgovina in prevozništvo, d.o.o. Pivka</w:t>
            </w:r>
          </w:p>
        </w:tc>
        <w:tc>
          <w:tcPr>
            <w:tcW w:w="661"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691.247,25</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 </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691.247,25</w:t>
            </w:r>
          </w:p>
        </w:tc>
      </w:tr>
      <w:tr w:rsidR="0053350A" w:rsidRPr="00D050E9" w:rsidTr="0053350A">
        <w:trPr>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100.937.142</w:t>
            </w:r>
          </w:p>
        </w:tc>
        <w:tc>
          <w:tcPr>
            <w:tcW w:w="2254" w:type="pct"/>
            <w:gridSpan w:val="2"/>
            <w:hideMark/>
          </w:tcPr>
          <w:p w:rsidR="0053350A" w:rsidRPr="00D050E9" w:rsidRDefault="0053350A" w:rsidP="0053350A">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SADJARSTVO ORMOŽ D.O.O.</w:t>
            </w:r>
          </w:p>
        </w:tc>
        <w:tc>
          <w:tcPr>
            <w:tcW w:w="661"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54.032,55</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300.728,61</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354.761,16</w:t>
            </w:r>
          </w:p>
        </w:tc>
      </w:tr>
      <w:tr w:rsidR="0053350A"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100.347.893</w:t>
            </w:r>
          </w:p>
        </w:tc>
        <w:tc>
          <w:tcPr>
            <w:tcW w:w="2254" w:type="pct"/>
            <w:gridSpan w:val="2"/>
            <w:hideMark/>
          </w:tcPr>
          <w:p w:rsidR="0053350A" w:rsidRPr="00D050E9" w:rsidRDefault="0053350A" w:rsidP="0053350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SADJARSTVO BLANCA, D.O.O.</w:t>
            </w:r>
          </w:p>
        </w:tc>
        <w:tc>
          <w:tcPr>
            <w:tcW w:w="661"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60.461,39</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293.959,13</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354.420,52</w:t>
            </w:r>
          </w:p>
        </w:tc>
      </w:tr>
      <w:tr w:rsidR="0053350A" w:rsidRPr="00D050E9" w:rsidTr="0053350A">
        <w:trPr>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5786380000</w:t>
            </w:r>
          </w:p>
        </w:tc>
        <w:tc>
          <w:tcPr>
            <w:tcW w:w="2254" w:type="pct"/>
            <w:gridSpan w:val="2"/>
            <w:hideMark/>
          </w:tcPr>
          <w:p w:rsidR="0053350A" w:rsidRPr="00D050E9" w:rsidRDefault="0053350A" w:rsidP="0053350A">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Zavod za gozdove Slovenije</w:t>
            </w:r>
          </w:p>
        </w:tc>
        <w:tc>
          <w:tcPr>
            <w:tcW w:w="661"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8.373,83</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249.568,48</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257.942,31</w:t>
            </w:r>
          </w:p>
        </w:tc>
      </w:tr>
      <w:tr w:rsidR="0053350A"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1882805000</w:t>
            </w:r>
          </w:p>
        </w:tc>
        <w:tc>
          <w:tcPr>
            <w:tcW w:w="2254" w:type="pct"/>
            <w:gridSpan w:val="2"/>
            <w:hideMark/>
          </w:tcPr>
          <w:p w:rsidR="0053350A" w:rsidRPr="00D050E9" w:rsidRDefault="0053350A" w:rsidP="0053350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EKOSISTEMI družba za ekološke projekte, zbiranje in predelavo odpadkov, d.o.o.</w:t>
            </w:r>
          </w:p>
        </w:tc>
        <w:tc>
          <w:tcPr>
            <w:tcW w:w="661"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255.533,40</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 </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255.533,40</w:t>
            </w:r>
          </w:p>
        </w:tc>
      </w:tr>
      <w:tr w:rsidR="0053350A" w:rsidRPr="00D050E9" w:rsidTr="0053350A">
        <w:trPr>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100.294.485</w:t>
            </w:r>
          </w:p>
        </w:tc>
        <w:tc>
          <w:tcPr>
            <w:tcW w:w="2254" w:type="pct"/>
            <w:gridSpan w:val="2"/>
            <w:hideMark/>
          </w:tcPr>
          <w:p w:rsidR="0053350A" w:rsidRPr="00D050E9" w:rsidRDefault="0053350A" w:rsidP="0053350A">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MIROSAN, D.O.O.</w:t>
            </w:r>
          </w:p>
        </w:tc>
        <w:tc>
          <w:tcPr>
            <w:tcW w:w="661"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 </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211.921,85</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211.921,85</w:t>
            </w:r>
          </w:p>
        </w:tc>
      </w:tr>
      <w:tr w:rsidR="0053350A"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100.247.118</w:t>
            </w:r>
          </w:p>
        </w:tc>
        <w:tc>
          <w:tcPr>
            <w:tcW w:w="2254" w:type="pct"/>
            <w:gridSpan w:val="2"/>
            <w:hideMark/>
          </w:tcPr>
          <w:p w:rsidR="0053350A" w:rsidRPr="00D050E9" w:rsidRDefault="0053350A" w:rsidP="0053350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BRANKO</w:t>
            </w:r>
          </w:p>
        </w:tc>
        <w:tc>
          <w:tcPr>
            <w:tcW w:w="661"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16.495,43</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167.064,42</w:t>
            </w:r>
          </w:p>
        </w:tc>
        <w:tc>
          <w:tcPr>
            <w:tcW w:w="725" w:type="pct"/>
            <w:hideMark/>
          </w:tcPr>
          <w:p w:rsidR="0053350A" w:rsidRPr="00D050E9" w:rsidRDefault="0053350A" w:rsidP="0053350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183.559,85</w:t>
            </w:r>
          </w:p>
        </w:tc>
      </w:tr>
      <w:tr w:rsidR="0053350A" w:rsidRPr="00D050E9" w:rsidTr="0053350A">
        <w:trPr>
          <w:trHeight w:val="20"/>
        </w:trPr>
        <w:tc>
          <w:tcPr>
            <w:cnfStyle w:val="001000000000" w:firstRow="0" w:lastRow="0" w:firstColumn="1" w:lastColumn="0" w:oddVBand="0" w:evenVBand="0" w:oddHBand="0" w:evenHBand="0" w:firstRowFirstColumn="0" w:firstRowLastColumn="0" w:lastRowFirstColumn="0" w:lastRowLastColumn="0"/>
            <w:tcW w:w="635" w:type="pct"/>
            <w:hideMark/>
          </w:tcPr>
          <w:p w:rsidR="0053350A" w:rsidRPr="00D050E9" w:rsidRDefault="0053350A" w:rsidP="000B0D12">
            <w:pPr>
              <w:rPr>
                <w:rFonts w:asciiTheme="minorHAnsi" w:eastAsia="Times New Roman" w:hAnsiTheme="minorHAnsi" w:cs="Arial"/>
                <w:b w:val="0"/>
                <w:color w:val="000000"/>
                <w:sz w:val="18"/>
                <w:szCs w:val="18"/>
                <w:lang w:eastAsia="sl-SI"/>
              </w:rPr>
            </w:pPr>
            <w:r w:rsidRPr="00D050E9">
              <w:rPr>
                <w:rFonts w:asciiTheme="minorHAnsi" w:eastAsia="Times New Roman" w:hAnsiTheme="minorHAnsi" w:cs="Arial"/>
                <w:b w:val="0"/>
                <w:color w:val="000000"/>
                <w:sz w:val="18"/>
                <w:szCs w:val="18"/>
                <w:lang w:eastAsia="sl-SI"/>
              </w:rPr>
              <w:t>1953559000</w:t>
            </w:r>
          </w:p>
        </w:tc>
        <w:tc>
          <w:tcPr>
            <w:tcW w:w="2254" w:type="pct"/>
            <w:gridSpan w:val="2"/>
            <w:hideMark/>
          </w:tcPr>
          <w:p w:rsidR="0053350A" w:rsidRPr="00D050E9" w:rsidRDefault="0053350A" w:rsidP="0053350A">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PROSUB podvodni servis d.o.o.</w:t>
            </w:r>
          </w:p>
        </w:tc>
        <w:tc>
          <w:tcPr>
            <w:tcW w:w="661"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152.955,74</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 </w:t>
            </w:r>
          </w:p>
        </w:tc>
        <w:tc>
          <w:tcPr>
            <w:tcW w:w="725" w:type="pct"/>
            <w:hideMark/>
          </w:tcPr>
          <w:p w:rsidR="0053350A" w:rsidRPr="00D050E9" w:rsidRDefault="0053350A" w:rsidP="0053350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152.955,74</w:t>
            </w:r>
          </w:p>
        </w:tc>
      </w:tr>
    </w:tbl>
    <w:p w:rsidR="000B0D12" w:rsidRPr="00D050E9" w:rsidRDefault="000B0D12" w:rsidP="000B0D12">
      <w:pPr>
        <w:spacing w:after="0" w:line="276" w:lineRule="auto"/>
        <w:rPr>
          <w:rFonts w:asciiTheme="minorHAnsi" w:hAnsiTheme="minorHAnsi"/>
        </w:rPr>
      </w:pPr>
    </w:p>
    <w:p w:rsidR="006F7A57" w:rsidRPr="00D050E9" w:rsidRDefault="00DB516A" w:rsidP="00A64077">
      <w:pPr>
        <w:spacing w:line="276" w:lineRule="auto"/>
        <w:rPr>
          <w:rFonts w:asciiTheme="minorHAnsi" w:hAnsiTheme="minorHAnsi"/>
        </w:rPr>
      </w:pPr>
      <w:r w:rsidRPr="00D050E9">
        <w:rPr>
          <w:rFonts w:asciiTheme="minorHAnsi" w:hAnsiTheme="minorHAnsi"/>
        </w:rPr>
        <w:t>Povprečni znesek pomoči na</w:t>
      </w:r>
      <w:r w:rsidR="00A64077" w:rsidRPr="00D050E9">
        <w:rPr>
          <w:rFonts w:asciiTheme="minorHAnsi" w:hAnsiTheme="minorHAnsi"/>
        </w:rPr>
        <w:t xml:space="preserve"> </w:t>
      </w:r>
      <w:r w:rsidR="003E0B22" w:rsidRPr="00D050E9">
        <w:rPr>
          <w:rFonts w:asciiTheme="minorHAnsi" w:hAnsiTheme="minorHAnsi"/>
        </w:rPr>
        <w:t>podjetje je v letu 2017 znaša</w:t>
      </w:r>
      <w:r w:rsidR="00001705" w:rsidRPr="00D050E9">
        <w:rPr>
          <w:rFonts w:asciiTheme="minorHAnsi" w:hAnsiTheme="minorHAnsi"/>
        </w:rPr>
        <w:t>l</w:t>
      </w:r>
      <w:r w:rsidR="003E0B22" w:rsidRPr="00D050E9">
        <w:rPr>
          <w:rFonts w:asciiTheme="minorHAnsi" w:hAnsiTheme="minorHAnsi"/>
        </w:rPr>
        <w:t xml:space="preserve"> 23.350 </w:t>
      </w:r>
      <w:r w:rsidR="00A64077" w:rsidRPr="00D050E9">
        <w:rPr>
          <w:rFonts w:asciiTheme="minorHAnsi" w:hAnsiTheme="minorHAnsi"/>
        </w:rPr>
        <w:t xml:space="preserve">EUR, kar je </w:t>
      </w:r>
      <w:r w:rsidR="003E0B22" w:rsidRPr="00D050E9">
        <w:rPr>
          <w:rFonts w:asciiTheme="minorHAnsi" w:hAnsiTheme="minorHAnsi"/>
        </w:rPr>
        <w:t xml:space="preserve">skoraj enkrat več kot </w:t>
      </w:r>
      <w:r w:rsidR="00A64077" w:rsidRPr="00D050E9">
        <w:rPr>
          <w:rFonts w:asciiTheme="minorHAnsi" w:hAnsiTheme="minorHAnsi"/>
        </w:rPr>
        <w:t>v letu 2016 (</w:t>
      </w:r>
      <w:r w:rsidR="003E0B22" w:rsidRPr="00D050E9">
        <w:rPr>
          <w:rFonts w:asciiTheme="minorHAnsi" w:hAnsiTheme="minorHAnsi"/>
        </w:rPr>
        <w:t>10.262 EUR</w:t>
      </w:r>
      <w:r w:rsidR="00001705" w:rsidRPr="00D050E9">
        <w:rPr>
          <w:rFonts w:asciiTheme="minorHAnsi" w:hAnsiTheme="minorHAnsi"/>
        </w:rPr>
        <w:t xml:space="preserve">). </w:t>
      </w:r>
      <w:r w:rsidR="006F7A57" w:rsidRPr="00D050E9">
        <w:rPr>
          <w:rFonts w:asciiTheme="minorHAnsi" w:hAnsiTheme="minorHAnsi"/>
        </w:rPr>
        <w:t xml:space="preserve">Kmetijska gospodarstva so v letu 2017 v povprečju prejela 1.273 EUR, kar je sicer enkrat več kot v letu 2016 (616 EUR na kmetijsko gospodarstvo).  </w:t>
      </w:r>
    </w:p>
    <w:p w:rsidR="001C11AA" w:rsidRPr="00D050E9" w:rsidRDefault="006F7A57" w:rsidP="0053350A">
      <w:pPr>
        <w:spacing w:line="276" w:lineRule="auto"/>
        <w:rPr>
          <w:rFonts w:asciiTheme="minorHAnsi" w:hAnsiTheme="minorHAnsi"/>
          <w:b/>
          <w:color w:val="5F497A" w:themeColor="accent4" w:themeShade="BF"/>
          <w:sz w:val="24"/>
        </w:rPr>
      </w:pPr>
      <w:r w:rsidRPr="00D050E9">
        <w:rPr>
          <w:rFonts w:asciiTheme="minorHAnsi" w:hAnsiTheme="minorHAnsi"/>
        </w:rPr>
        <w:t>Za državne pomoči za kmetijstvo je značilna velika razdrobljenost pomoči z velikim številom prejemnikov</w:t>
      </w:r>
      <w:r w:rsidR="00DE7929">
        <w:rPr>
          <w:rFonts w:asciiTheme="minorHAnsi" w:hAnsiTheme="minorHAnsi"/>
        </w:rPr>
        <w:t xml:space="preserve"> </w:t>
      </w:r>
      <w:r w:rsidRPr="00D050E9">
        <w:rPr>
          <w:rFonts w:asciiTheme="minorHAnsi" w:hAnsiTheme="minorHAnsi"/>
        </w:rPr>
        <w:t>rela</w:t>
      </w:r>
      <w:r w:rsidR="00DE7929">
        <w:rPr>
          <w:rFonts w:asciiTheme="minorHAnsi" w:hAnsiTheme="minorHAnsi"/>
        </w:rPr>
        <w:t>tivno majhni</w:t>
      </w:r>
      <w:r w:rsidR="006D1EFC">
        <w:rPr>
          <w:rFonts w:asciiTheme="minorHAnsi" w:hAnsiTheme="minorHAnsi"/>
        </w:rPr>
        <w:t xml:space="preserve">h </w:t>
      </w:r>
      <w:r w:rsidR="00DE7929">
        <w:rPr>
          <w:rFonts w:asciiTheme="minorHAnsi" w:hAnsiTheme="minorHAnsi"/>
        </w:rPr>
        <w:t>znesk</w:t>
      </w:r>
      <w:r w:rsidR="006D1EFC">
        <w:rPr>
          <w:rFonts w:asciiTheme="minorHAnsi" w:hAnsiTheme="minorHAnsi"/>
        </w:rPr>
        <w:t xml:space="preserve">ov </w:t>
      </w:r>
      <w:r w:rsidRPr="00D050E9">
        <w:rPr>
          <w:rFonts w:asciiTheme="minorHAnsi" w:hAnsiTheme="minorHAnsi"/>
        </w:rPr>
        <w:t xml:space="preserve">pomoči. To velja zlasti za pomoči, ki se izplačujejo </w:t>
      </w:r>
      <w:r w:rsidR="006D1EFC" w:rsidRPr="002F606A">
        <w:rPr>
          <w:rFonts w:asciiTheme="minorHAnsi" w:hAnsiTheme="minorHAnsi"/>
        </w:rPr>
        <w:t>fizičnim osebam – kmetje. V</w:t>
      </w:r>
      <w:r w:rsidRPr="002F606A">
        <w:rPr>
          <w:rFonts w:asciiTheme="minorHAnsi" w:hAnsiTheme="minorHAnsi"/>
        </w:rPr>
        <w:t xml:space="preserve"> letu 2017 je 63 % ali 5.771 od 9091 kmetijskih gospodarstev prejelo</w:t>
      </w:r>
      <w:r w:rsidR="00694ED9" w:rsidRPr="002F606A">
        <w:rPr>
          <w:rFonts w:asciiTheme="minorHAnsi" w:hAnsiTheme="minorHAnsi"/>
        </w:rPr>
        <w:t xml:space="preserve"> pomoč do 500 EUR, 75 % ali 6.833,</w:t>
      </w:r>
      <w:r w:rsidRPr="002F606A">
        <w:rPr>
          <w:rFonts w:asciiTheme="minorHAnsi" w:hAnsiTheme="minorHAnsi"/>
        </w:rPr>
        <w:t xml:space="preserve"> kmetijskih gospodarstev je prejelo manj kot 1.000 EUR pomoči.</w:t>
      </w:r>
      <w:r w:rsidR="001C11AA" w:rsidRPr="00D050E9">
        <w:rPr>
          <w:rFonts w:asciiTheme="minorHAnsi" w:hAnsiTheme="minorHAnsi"/>
          <w:b/>
          <w:color w:val="5F497A" w:themeColor="accent4" w:themeShade="BF"/>
          <w:sz w:val="24"/>
        </w:rPr>
        <w:br w:type="page"/>
      </w:r>
    </w:p>
    <w:p w:rsidR="00FC6691" w:rsidRPr="00D050E9" w:rsidRDefault="00FC6691" w:rsidP="00C93FA7">
      <w:pPr>
        <w:pStyle w:val="Heading1"/>
        <w:numPr>
          <w:ilvl w:val="0"/>
          <w:numId w:val="16"/>
        </w:numPr>
      </w:pPr>
      <w:bookmarkStart w:id="131" w:name="_Toc530654561"/>
      <w:r w:rsidRPr="00D050E9">
        <w:t>DE MINIMIS</w:t>
      </w:r>
      <w:bookmarkEnd w:id="131"/>
      <w:r w:rsidRPr="00D050E9">
        <w:t xml:space="preserve"> </w:t>
      </w:r>
    </w:p>
    <w:p w:rsidR="006665DD" w:rsidRPr="00D050E9" w:rsidRDefault="006665DD" w:rsidP="006665DD">
      <w:pPr>
        <w:pStyle w:val="Naslov1"/>
        <w:ind w:left="357" w:firstLine="0"/>
      </w:pPr>
    </w:p>
    <w:p w:rsidR="0053350A" w:rsidRPr="00D050E9" w:rsidRDefault="009B30E1" w:rsidP="0053350A">
      <w:pPr>
        <w:spacing w:line="276" w:lineRule="auto"/>
        <w:rPr>
          <w:rFonts w:asciiTheme="minorHAnsi" w:hAnsiTheme="minorHAnsi"/>
        </w:rPr>
      </w:pPr>
      <w:r w:rsidRPr="009B30E1">
        <w:rPr>
          <w:rFonts w:asciiTheme="minorHAnsi" w:hAnsiTheme="minorHAnsi"/>
          <w:i/>
        </w:rPr>
        <w:t>De minimis</w:t>
      </w:r>
      <w:r w:rsidR="0053350A" w:rsidRPr="00D050E9">
        <w:rPr>
          <w:rStyle w:val="FootnoteReference"/>
          <w:rFonts w:asciiTheme="minorHAnsi" w:hAnsiTheme="minorHAnsi"/>
        </w:rPr>
        <w:footnoteReference w:id="25"/>
      </w:r>
      <w:r w:rsidR="0053350A" w:rsidRPr="00D050E9">
        <w:rPr>
          <w:rFonts w:asciiTheme="minorHAnsi" w:hAnsiTheme="minorHAnsi"/>
        </w:rPr>
        <w:t xml:space="preserve"> pomoči pomenijo pomoči </w:t>
      </w:r>
      <w:r w:rsidR="00F53129" w:rsidRPr="00D050E9">
        <w:rPr>
          <w:rFonts w:asciiTheme="minorHAnsi" w:hAnsiTheme="minorHAnsi"/>
        </w:rPr>
        <w:t>na posameznega prejemnika</w:t>
      </w:r>
      <w:r w:rsidR="00A065EF">
        <w:rPr>
          <w:rFonts w:asciiTheme="minorHAnsi" w:hAnsiTheme="minorHAnsi"/>
        </w:rPr>
        <w:t xml:space="preserve"> </w:t>
      </w:r>
      <w:r w:rsidR="0053350A" w:rsidRPr="00D050E9">
        <w:rPr>
          <w:rFonts w:asciiTheme="minorHAnsi" w:hAnsiTheme="minorHAnsi"/>
        </w:rPr>
        <w:t xml:space="preserve">v višini do 200.000 EUR v obdobju treh proračunskih let, za katere velja, da zaradi omejene višine načeloma ne izkrivljajo konkurence in ne vplivajo na trgovino med državami članicami. Te pomoči zato ne predstavljajo državne pomoči po 107. členu PDEU. </w:t>
      </w:r>
    </w:p>
    <w:p w:rsidR="00E01CF8" w:rsidRPr="00D050E9" w:rsidRDefault="006D6DE2" w:rsidP="00E01CF8">
      <w:pPr>
        <w:spacing w:line="276" w:lineRule="auto"/>
        <w:rPr>
          <w:rFonts w:asciiTheme="minorHAnsi" w:hAnsiTheme="minorHAnsi"/>
        </w:rPr>
      </w:pPr>
      <w:r w:rsidRPr="00D050E9">
        <w:rPr>
          <w:rFonts w:asciiTheme="minorHAnsi" w:hAnsiTheme="minorHAnsi"/>
        </w:rPr>
        <w:t xml:space="preserve">V letu 2017 je bilo izplačanih </w:t>
      </w:r>
      <w:r w:rsidRPr="00D050E9">
        <w:rPr>
          <w:rFonts w:asciiTheme="minorHAnsi" w:hAnsiTheme="minorHAnsi"/>
          <w:b/>
        </w:rPr>
        <w:t>82,63 mio EUR</w:t>
      </w:r>
      <w:r w:rsidRPr="00D050E9">
        <w:rPr>
          <w:rFonts w:asciiTheme="minorHAnsi" w:hAnsiTheme="minorHAnsi"/>
        </w:rPr>
        <w:t xml:space="preserve"> pomoči</w:t>
      </w:r>
      <w:r w:rsidR="00784F1D" w:rsidRPr="00D050E9">
        <w:rPr>
          <w:rFonts w:asciiTheme="minorHAnsi" w:hAnsiTheme="minorHAnsi"/>
        </w:rPr>
        <w:t xml:space="preserve">, ki so bile dodeljene </w:t>
      </w:r>
      <w:r w:rsidRPr="00D050E9">
        <w:rPr>
          <w:rFonts w:asciiTheme="minorHAnsi" w:hAnsiTheme="minorHAnsi"/>
        </w:rPr>
        <w:t xml:space="preserve">po pravilu </w:t>
      </w:r>
      <w:r w:rsidR="009B30E1" w:rsidRPr="009B30E1">
        <w:rPr>
          <w:rFonts w:asciiTheme="minorHAnsi" w:hAnsiTheme="minorHAnsi"/>
          <w:i/>
        </w:rPr>
        <w:t>de minimis</w:t>
      </w:r>
      <w:r w:rsidR="00E01CF8" w:rsidRPr="00D050E9">
        <w:rPr>
          <w:rFonts w:asciiTheme="minorHAnsi" w:hAnsiTheme="minorHAnsi"/>
        </w:rPr>
        <w:t xml:space="preserve">, kar je za 2,1 mio EUR ali 2,5 % manj kot v letu 2016. </w:t>
      </w:r>
      <w:r w:rsidR="00E01CF8" w:rsidRPr="00D050E9">
        <w:rPr>
          <w:rFonts w:asciiTheme="minorHAnsi" w:hAnsiTheme="minorHAnsi"/>
          <w:i/>
        </w:rPr>
        <w:t>De minimis</w:t>
      </w:r>
      <w:r w:rsidR="00E01CF8" w:rsidRPr="00D050E9">
        <w:rPr>
          <w:rFonts w:asciiTheme="minorHAnsi" w:hAnsiTheme="minorHAnsi"/>
        </w:rPr>
        <w:t xml:space="preserve"> pomoči so v letu 2017 predsta</w:t>
      </w:r>
      <w:r w:rsidR="00F20507" w:rsidRPr="00D050E9">
        <w:rPr>
          <w:rFonts w:asciiTheme="minorHAnsi" w:hAnsiTheme="minorHAnsi"/>
        </w:rPr>
        <w:t xml:space="preserve">vljale dobrih </w:t>
      </w:r>
      <w:r w:rsidR="00F20507" w:rsidRPr="00D050E9">
        <w:rPr>
          <w:rFonts w:asciiTheme="minorHAnsi" w:hAnsiTheme="minorHAnsi"/>
          <w:b/>
        </w:rPr>
        <w:t>16 % vseh pomoči</w:t>
      </w:r>
      <w:r w:rsidR="00F20507" w:rsidRPr="00D050E9">
        <w:rPr>
          <w:rFonts w:asciiTheme="minorHAnsi" w:hAnsiTheme="minorHAnsi"/>
        </w:rPr>
        <w:t xml:space="preserve"> - </w:t>
      </w:r>
      <w:r w:rsidR="00E01CF8" w:rsidRPr="00D050E9">
        <w:rPr>
          <w:rFonts w:asciiTheme="minorHAnsi" w:hAnsiTheme="minorHAnsi"/>
        </w:rPr>
        <w:t>državn</w:t>
      </w:r>
      <w:r w:rsidR="00F20507" w:rsidRPr="00D050E9">
        <w:rPr>
          <w:rFonts w:asciiTheme="minorHAnsi" w:hAnsiTheme="minorHAnsi"/>
        </w:rPr>
        <w:t xml:space="preserve">e in </w:t>
      </w:r>
      <w:r w:rsidR="009B30E1" w:rsidRPr="009B30E1">
        <w:rPr>
          <w:rFonts w:asciiTheme="minorHAnsi" w:hAnsiTheme="minorHAnsi"/>
          <w:i/>
        </w:rPr>
        <w:t>de minimis</w:t>
      </w:r>
      <w:r w:rsidR="00F20507" w:rsidRPr="00D050E9">
        <w:rPr>
          <w:rFonts w:asciiTheme="minorHAnsi" w:hAnsiTheme="minorHAnsi"/>
        </w:rPr>
        <w:t xml:space="preserve"> pomoči skupaj (18 % v letu 2016). </w:t>
      </w:r>
    </w:p>
    <w:p w:rsidR="006D6DE2" w:rsidRPr="00D050E9" w:rsidRDefault="006665DD" w:rsidP="006665DD">
      <w:pPr>
        <w:pStyle w:val="Caption"/>
        <w:rPr>
          <w:color w:val="auto"/>
        </w:rPr>
      </w:pPr>
      <w:bookmarkStart w:id="132" w:name="_Toc530654607"/>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23</w:t>
      </w:r>
      <w:r w:rsidRPr="00D050E9">
        <w:rPr>
          <w:color w:val="auto"/>
        </w:rPr>
        <w:fldChar w:fldCharType="end"/>
      </w:r>
      <w:r w:rsidRPr="00D050E9">
        <w:rPr>
          <w:color w:val="auto"/>
        </w:rPr>
        <w:t xml:space="preserve">: </w:t>
      </w:r>
      <w:r w:rsidR="009B30E1" w:rsidRPr="009B30E1">
        <w:rPr>
          <w:i/>
          <w:color w:val="auto"/>
        </w:rPr>
        <w:t>De minimis</w:t>
      </w:r>
      <w:r w:rsidR="00E01CF8" w:rsidRPr="00D050E9">
        <w:rPr>
          <w:color w:val="auto"/>
        </w:rPr>
        <w:t xml:space="preserve"> pomoči v letih 2015–2017 v primerjavi z državnimi pomočmi</w:t>
      </w:r>
      <w:bookmarkEnd w:id="132"/>
    </w:p>
    <w:p w:rsidR="006665DD" w:rsidRPr="00D050E9" w:rsidRDefault="006665DD" w:rsidP="006665DD">
      <w:pPr>
        <w:spacing w:after="0"/>
        <w:rPr>
          <w:lang w:bidi="hi-IN"/>
        </w:rPr>
      </w:pPr>
    </w:p>
    <w:tbl>
      <w:tblPr>
        <w:tblStyle w:val="LightGrid-Accent5"/>
        <w:tblW w:w="5000" w:type="pct"/>
        <w:tblLook w:val="04A0" w:firstRow="1" w:lastRow="0" w:firstColumn="1" w:lastColumn="0" w:noHBand="0" w:noVBand="1"/>
      </w:tblPr>
      <w:tblGrid>
        <w:gridCol w:w="3844"/>
        <w:gridCol w:w="1147"/>
        <w:gridCol w:w="1002"/>
        <w:gridCol w:w="1002"/>
        <w:gridCol w:w="1149"/>
        <w:gridCol w:w="1256"/>
      </w:tblGrid>
      <w:tr w:rsidR="00E00F99" w:rsidRPr="00D050E9" w:rsidTr="005335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pct"/>
            <w:noWrap/>
            <w:hideMark/>
          </w:tcPr>
          <w:p w:rsidR="00D14838" w:rsidRPr="00D050E9" w:rsidRDefault="00D14838" w:rsidP="00962AA3">
            <w:pPr>
              <w:jc w:val="center"/>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v mio EUR</w:t>
            </w:r>
          </w:p>
        </w:tc>
        <w:tc>
          <w:tcPr>
            <w:tcW w:w="610" w:type="pct"/>
            <w:hideMark/>
          </w:tcPr>
          <w:p w:rsidR="00D14838" w:rsidRPr="00D050E9" w:rsidRDefault="00D14838" w:rsidP="00962A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2015</w:t>
            </w:r>
          </w:p>
        </w:tc>
        <w:tc>
          <w:tcPr>
            <w:tcW w:w="533" w:type="pct"/>
            <w:hideMark/>
          </w:tcPr>
          <w:p w:rsidR="00D14838" w:rsidRPr="00D050E9" w:rsidRDefault="00D14838" w:rsidP="00962A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2016</w:t>
            </w:r>
          </w:p>
        </w:tc>
        <w:tc>
          <w:tcPr>
            <w:tcW w:w="533" w:type="pct"/>
            <w:hideMark/>
          </w:tcPr>
          <w:p w:rsidR="00D14838" w:rsidRPr="00D050E9" w:rsidRDefault="00D14838" w:rsidP="00962A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tc>
        <w:tc>
          <w:tcPr>
            <w:tcW w:w="611" w:type="pct"/>
            <w:hideMark/>
          </w:tcPr>
          <w:p w:rsidR="00D14838" w:rsidRPr="00D050E9" w:rsidRDefault="00E00F99" w:rsidP="00962A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xml:space="preserve">razlika </w:t>
            </w:r>
            <w:r w:rsidR="00D14838" w:rsidRPr="00D050E9">
              <w:rPr>
                <w:rFonts w:ascii="Calibri" w:eastAsia="Times New Roman" w:hAnsi="Calibri" w:cs="Arial"/>
                <w:color w:val="000000"/>
                <w:sz w:val="19"/>
                <w:szCs w:val="19"/>
                <w:lang w:eastAsia="sl-SI"/>
              </w:rPr>
              <w:t>2017</w:t>
            </w:r>
            <w:r w:rsidR="006D6DE2" w:rsidRPr="00D050E9">
              <w:rPr>
                <w:rFonts w:ascii="Calibri" w:eastAsia="Times New Roman" w:hAnsi="Calibri" w:cs="Arial"/>
                <w:color w:val="000000"/>
                <w:sz w:val="19"/>
                <w:szCs w:val="19"/>
                <w:lang w:eastAsia="sl-SI"/>
              </w:rPr>
              <w:t>–</w:t>
            </w:r>
            <w:r w:rsidR="00D14838" w:rsidRPr="00D050E9">
              <w:rPr>
                <w:rFonts w:ascii="Calibri" w:eastAsia="Times New Roman" w:hAnsi="Calibri" w:cs="Arial"/>
                <w:color w:val="000000"/>
                <w:sz w:val="19"/>
                <w:szCs w:val="19"/>
                <w:lang w:eastAsia="sl-SI"/>
              </w:rPr>
              <w:t>2016</w:t>
            </w:r>
            <w:r w:rsidR="006D6DE2" w:rsidRPr="00D050E9">
              <w:rPr>
                <w:rFonts w:ascii="Calibri" w:eastAsia="Times New Roman" w:hAnsi="Calibri" w:cs="Arial"/>
                <w:color w:val="000000"/>
                <w:sz w:val="19"/>
                <w:szCs w:val="19"/>
                <w:lang w:eastAsia="sl-SI"/>
              </w:rPr>
              <w:t xml:space="preserve"> </w:t>
            </w:r>
          </w:p>
        </w:tc>
        <w:tc>
          <w:tcPr>
            <w:tcW w:w="668" w:type="pct"/>
            <w:hideMark/>
          </w:tcPr>
          <w:p w:rsidR="00D14838" w:rsidRPr="00D050E9" w:rsidRDefault="00D14838" w:rsidP="00962A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sprememba</w:t>
            </w:r>
            <w:r w:rsidRPr="00D050E9">
              <w:rPr>
                <w:rFonts w:ascii="Calibri" w:eastAsia="Times New Roman" w:hAnsi="Calibri" w:cs="Arial"/>
                <w:color w:val="000000"/>
                <w:sz w:val="19"/>
                <w:szCs w:val="19"/>
                <w:lang w:eastAsia="sl-SI"/>
              </w:rPr>
              <w:br/>
              <w:t>2017/2016</w:t>
            </w:r>
            <w:r w:rsidR="006D6DE2" w:rsidRPr="00D050E9">
              <w:rPr>
                <w:rFonts w:ascii="Calibri" w:eastAsia="Times New Roman" w:hAnsi="Calibri" w:cs="Arial"/>
                <w:color w:val="000000"/>
                <w:sz w:val="19"/>
                <w:szCs w:val="19"/>
                <w:lang w:eastAsia="sl-SI"/>
              </w:rPr>
              <w:t>, v %</w:t>
            </w:r>
          </w:p>
        </w:tc>
      </w:tr>
      <w:tr w:rsidR="00E00F99"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pct"/>
            <w:hideMark/>
          </w:tcPr>
          <w:p w:rsidR="00D14838" w:rsidRPr="00D050E9" w:rsidRDefault="00D14838" w:rsidP="00962AA3">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 xml:space="preserve">De minimis pomoči </w:t>
            </w:r>
          </w:p>
        </w:tc>
        <w:tc>
          <w:tcPr>
            <w:tcW w:w="610"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9"/>
                <w:szCs w:val="19"/>
                <w:lang w:eastAsia="sl-SI"/>
              </w:rPr>
            </w:pPr>
            <w:r w:rsidRPr="00D050E9">
              <w:rPr>
                <w:rFonts w:ascii="Calibri" w:eastAsia="Times New Roman" w:hAnsi="Calibri" w:cs="Arial"/>
                <w:b/>
                <w:sz w:val="19"/>
                <w:szCs w:val="19"/>
                <w:lang w:eastAsia="sl-SI"/>
              </w:rPr>
              <w:t>33,69</w:t>
            </w:r>
          </w:p>
        </w:tc>
        <w:tc>
          <w:tcPr>
            <w:tcW w:w="533"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9"/>
                <w:szCs w:val="19"/>
                <w:lang w:eastAsia="sl-SI"/>
              </w:rPr>
            </w:pPr>
            <w:r w:rsidRPr="00D050E9">
              <w:rPr>
                <w:rFonts w:ascii="Calibri" w:eastAsia="Times New Roman" w:hAnsi="Calibri" w:cs="Arial"/>
                <w:b/>
                <w:sz w:val="19"/>
                <w:szCs w:val="19"/>
                <w:lang w:eastAsia="sl-SI"/>
              </w:rPr>
              <w:t>84,73</w:t>
            </w:r>
          </w:p>
        </w:tc>
        <w:tc>
          <w:tcPr>
            <w:tcW w:w="533"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9"/>
                <w:szCs w:val="19"/>
                <w:lang w:eastAsia="sl-SI"/>
              </w:rPr>
            </w:pPr>
            <w:r w:rsidRPr="00D050E9">
              <w:rPr>
                <w:rFonts w:ascii="Calibri" w:eastAsia="Times New Roman" w:hAnsi="Calibri" w:cs="Arial"/>
                <w:b/>
                <w:sz w:val="19"/>
                <w:szCs w:val="19"/>
                <w:lang w:eastAsia="sl-SI"/>
              </w:rPr>
              <w:t xml:space="preserve">82,63 </w:t>
            </w:r>
          </w:p>
        </w:tc>
        <w:tc>
          <w:tcPr>
            <w:tcW w:w="611"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9"/>
                <w:szCs w:val="19"/>
                <w:lang w:eastAsia="sl-SI"/>
              </w:rPr>
            </w:pPr>
            <w:r w:rsidRPr="00D050E9">
              <w:rPr>
                <w:rFonts w:ascii="Calibri" w:eastAsia="Times New Roman" w:hAnsi="Calibri" w:cs="Arial"/>
                <w:b/>
                <w:sz w:val="19"/>
                <w:szCs w:val="19"/>
                <w:lang w:eastAsia="sl-SI"/>
              </w:rPr>
              <w:t>-2,10</w:t>
            </w:r>
          </w:p>
        </w:tc>
        <w:tc>
          <w:tcPr>
            <w:tcW w:w="668"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19"/>
                <w:szCs w:val="19"/>
                <w:lang w:eastAsia="sl-SI"/>
              </w:rPr>
            </w:pPr>
            <w:r w:rsidRPr="00D050E9">
              <w:rPr>
                <w:rFonts w:ascii="Calibri" w:eastAsia="Times New Roman" w:hAnsi="Calibri" w:cs="Arial"/>
                <w:b/>
                <w:sz w:val="19"/>
                <w:szCs w:val="19"/>
                <w:lang w:eastAsia="sl-SI"/>
              </w:rPr>
              <w:t>-2,5%</w:t>
            </w:r>
          </w:p>
        </w:tc>
      </w:tr>
      <w:tr w:rsidR="00E00F99" w:rsidRPr="00D050E9" w:rsidTr="0053350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pct"/>
            <w:noWrap/>
            <w:hideMark/>
          </w:tcPr>
          <w:p w:rsidR="00D14838" w:rsidRPr="00D050E9" w:rsidRDefault="00D14838" w:rsidP="00962AA3">
            <w:pPr>
              <w:jc w:val="left"/>
              <w:rPr>
                <w:rFonts w:ascii="Calibri" w:eastAsia="Times New Roman" w:hAnsi="Calibri" w:cs="Arial"/>
                <w:b w:val="0"/>
                <w:sz w:val="19"/>
                <w:szCs w:val="19"/>
                <w:lang w:eastAsia="sl-SI"/>
              </w:rPr>
            </w:pPr>
            <w:r w:rsidRPr="00D050E9">
              <w:rPr>
                <w:rFonts w:ascii="Calibri" w:eastAsia="Times New Roman" w:hAnsi="Calibri" w:cs="Arial"/>
                <w:b w:val="0"/>
                <w:sz w:val="19"/>
                <w:szCs w:val="19"/>
                <w:lang w:eastAsia="sl-SI"/>
              </w:rPr>
              <w:t>Državne pomoči</w:t>
            </w:r>
          </w:p>
        </w:tc>
        <w:tc>
          <w:tcPr>
            <w:tcW w:w="610"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553,32</w:t>
            </w:r>
          </w:p>
        </w:tc>
        <w:tc>
          <w:tcPr>
            <w:tcW w:w="533"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375,03</w:t>
            </w:r>
          </w:p>
        </w:tc>
        <w:tc>
          <w:tcPr>
            <w:tcW w:w="533"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427,18</w:t>
            </w:r>
          </w:p>
        </w:tc>
        <w:tc>
          <w:tcPr>
            <w:tcW w:w="611"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52,15</w:t>
            </w:r>
          </w:p>
        </w:tc>
        <w:tc>
          <w:tcPr>
            <w:tcW w:w="668"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13,9%</w:t>
            </w:r>
          </w:p>
        </w:tc>
      </w:tr>
      <w:tr w:rsidR="00E00F99" w:rsidRPr="00D050E9" w:rsidTr="005335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pct"/>
            <w:hideMark/>
          </w:tcPr>
          <w:p w:rsidR="00D14838" w:rsidRPr="00D050E9" w:rsidRDefault="00D14838" w:rsidP="00962AA3">
            <w:pPr>
              <w:jc w:val="left"/>
              <w:rPr>
                <w:rFonts w:ascii="Calibri" w:eastAsia="Times New Roman" w:hAnsi="Calibri" w:cs="Arial"/>
                <w:b w:val="0"/>
                <w:sz w:val="19"/>
                <w:szCs w:val="19"/>
                <w:lang w:eastAsia="sl-SI"/>
              </w:rPr>
            </w:pPr>
            <w:r w:rsidRPr="00D050E9">
              <w:rPr>
                <w:rFonts w:ascii="Calibri" w:eastAsia="Times New Roman" w:hAnsi="Calibri" w:cs="Arial"/>
                <w:b w:val="0"/>
                <w:sz w:val="19"/>
                <w:szCs w:val="19"/>
                <w:lang w:eastAsia="sl-SI"/>
              </w:rPr>
              <w:t xml:space="preserve">Skupaj državne in </w:t>
            </w:r>
            <w:r w:rsidR="009B30E1" w:rsidRPr="009B30E1">
              <w:rPr>
                <w:rFonts w:ascii="Calibri" w:eastAsia="Times New Roman" w:hAnsi="Calibri" w:cs="Arial"/>
                <w:b w:val="0"/>
                <w:i/>
                <w:sz w:val="19"/>
                <w:szCs w:val="19"/>
                <w:lang w:eastAsia="sl-SI"/>
              </w:rPr>
              <w:t>de minimis</w:t>
            </w:r>
            <w:r w:rsidRPr="00D050E9">
              <w:rPr>
                <w:rFonts w:ascii="Calibri" w:eastAsia="Times New Roman" w:hAnsi="Calibri" w:cs="Arial"/>
                <w:b w:val="0"/>
                <w:sz w:val="19"/>
                <w:szCs w:val="19"/>
                <w:lang w:eastAsia="sl-SI"/>
              </w:rPr>
              <w:t xml:space="preserve"> pomoči</w:t>
            </w:r>
          </w:p>
        </w:tc>
        <w:tc>
          <w:tcPr>
            <w:tcW w:w="610"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D050E9">
              <w:rPr>
                <w:rFonts w:ascii="Calibri" w:eastAsia="Times New Roman" w:hAnsi="Calibri" w:cs="Arial"/>
                <w:bCs/>
                <w:sz w:val="19"/>
                <w:szCs w:val="19"/>
                <w:lang w:eastAsia="sl-SI"/>
              </w:rPr>
              <w:t>587,01</w:t>
            </w:r>
          </w:p>
        </w:tc>
        <w:tc>
          <w:tcPr>
            <w:tcW w:w="533"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D050E9">
              <w:rPr>
                <w:rFonts w:ascii="Calibri" w:eastAsia="Times New Roman" w:hAnsi="Calibri" w:cs="Arial"/>
                <w:bCs/>
                <w:sz w:val="19"/>
                <w:szCs w:val="19"/>
                <w:lang w:eastAsia="sl-SI"/>
              </w:rPr>
              <w:t>459,76</w:t>
            </w:r>
          </w:p>
        </w:tc>
        <w:tc>
          <w:tcPr>
            <w:tcW w:w="533"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19"/>
                <w:szCs w:val="19"/>
                <w:lang w:eastAsia="sl-SI"/>
              </w:rPr>
            </w:pPr>
            <w:r w:rsidRPr="00D050E9">
              <w:rPr>
                <w:rFonts w:ascii="Calibri" w:eastAsia="Times New Roman" w:hAnsi="Calibri" w:cs="Arial"/>
                <w:bCs/>
                <w:sz w:val="19"/>
                <w:szCs w:val="19"/>
                <w:lang w:eastAsia="sl-SI"/>
              </w:rPr>
              <w:t>509,81</w:t>
            </w:r>
          </w:p>
        </w:tc>
        <w:tc>
          <w:tcPr>
            <w:tcW w:w="611"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50,05</w:t>
            </w:r>
          </w:p>
        </w:tc>
        <w:tc>
          <w:tcPr>
            <w:tcW w:w="668" w:type="pct"/>
            <w:hideMark/>
          </w:tcPr>
          <w:p w:rsidR="00D14838" w:rsidRPr="00D050E9" w:rsidRDefault="00D14838" w:rsidP="00962A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10,9%</w:t>
            </w:r>
          </w:p>
        </w:tc>
      </w:tr>
      <w:tr w:rsidR="00E00F99" w:rsidRPr="00D050E9" w:rsidTr="0053350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pct"/>
            <w:hideMark/>
          </w:tcPr>
          <w:p w:rsidR="00D14838" w:rsidRPr="00D050E9" w:rsidRDefault="00D14838" w:rsidP="00962AA3">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de minimis pomoči v % vseh pomoči (državne in de minimis skupaj)</w:t>
            </w:r>
          </w:p>
        </w:tc>
        <w:tc>
          <w:tcPr>
            <w:tcW w:w="610" w:type="pct"/>
            <w:noWrap/>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color w:val="000000"/>
                <w:sz w:val="19"/>
                <w:szCs w:val="19"/>
                <w:lang w:eastAsia="sl-SI"/>
              </w:rPr>
            </w:pPr>
            <w:r w:rsidRPr="00D050E9">
              <w:rPr>
                <w:rFonts w:ascii="Calibri" w:eastAsia="Times New Roman" w:hAnsi="Calibri" w:cs="Arial"/>
                <w:b/>
                <w:color w:val="000000"/>
                <w:sz w:val="19"/>
                <w:szCs w:val="19"/>
                <w:lang w:eastAsia="sl-SI"/>
              </w:rPr>
              <w:t>5,7%</w:t>
            </w:r>
          </w:p>
        </w:tc>
        <w:tc>
          <w:tcPr>
            <w:tcW w:w="533" w:type="pct"/>
            <w:noWrap/>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color w:val="000000"/>
                <w:sz w:val="19"/>
                <w:szCs w:val="19"/>
                <w:lang w:eastAsia="sl-SI"/>
              </w:rPr>
            </w:pPr>
            <w:r w:rsidRPr="00D050E9">
              <w:rPr>
                <w:rFonts w:ascii="Calibri" w:eastAsia="Times New Roman" w:hAnsi="Calibri" w:cs="Arial"/>
                <w:b/>
                <w:color w:val="000000"/>
                <w:sz w:val="19"/>
                <w:szCs w:val="19"/>
                <w:lang w:eastAsia="sl-SI"/>
              </w:rPr>
              <w:t>18,4%</w:t>
            </w:r>
          </w:p>
        </w:tc>
        <w:tc>
          <w:tcPr>
            <w:tcW w:w="533" w:type="pct"/>
            <w:noWrap/>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color w:val="000000"/>
                <w:sz w:val="19"/>
                <w:szCs w:val="19"/>
                <w:lang w:eastAsia="sl-SI"/>
              </w:rPr>
            </w:pPr>
            <w:r w:rsidRPr="00D050E9">
              <w:rPr>
                <w:rFonts w:ascii="Calibri" w:eastAsia="Times New Roman" w:hAnsi="Calibri" w:cs="Arial"/>
                <w:b/>
                <w:color w:val="000000"/>
                <w:sz w:val="19"/>
                <w:szCs w:val="19"/>
                <w:lang w:eastAsia="sl-SI"/>
              </w:rPr>
              <w:t>16,2%</w:t>
            </w:r>
          </w:p>
        </w:tc>
        <w:tc>
          <w:tcPr>
            <w:tcW w:w="611"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 </w:t>
            </w:r>
          </w:p>
        </w:tc>
        <w:tc>
          <w:tcPr>
            <w:tcW w:w="668" w:type="pct"/>
            <w:hideMark/>
          </w:tcPr>
          <w:p w:rsidR="00D14838" w:rsidRPr="00D050E9" w:rsidRDefault="00D14838" w:rsidP="00962A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 </w:t>
            </w:r>
          </w:p>
        </w:tc>
      </w:tr>
    </w:tbl>
    <w:p w:rsidR="00962AA3" w:rsidRPr="00D050E9" w:rsidRDefault="00962AA3" w:rsidP="00962AA3">
      <w:pPr>
        <w:spacing w:after="0" w:line="276" w:lineRule="auto"/>
        <w:rPr>
          <w:rFonts w:asciiTheme="minorHAnsi" w:hAnsiTheme="minorHAnsi"/>
        </w:rPr>
      </w:pPr>
    </w:p>
    <w:p w:rsidR="00D82F9B" w:rsidRDefault="006665DD" w:rsidP="006665DD">
      <w:pPr>
        <w:pStyle w:val="Caption"/>
        <w:rPr>
          <w:color w:val="auto"/>
        </w:rPr>
      </w:pPr>
      <w:bookmarkStart w:id="133" w:name="_Toc530654670"/>
      <w:r w:rsidRPr="00D050E9">
        <w:rPr>
          <w:color w:val="auto"/>
        </w:rPr>
        <w:t xml:space="preserve">Slika </w:t>
      </w:r>
      <w:r w:rsidR="00B9052B" w:rsidRPr="00D050E9">
        <w:rPr>
          <w:color w:val="auto"/>
        </w:rPr>
        <w:fldChar w:fldCharType="begin"/>
      </w:r>
      <w:r w:rsidR="00B9052B" w:rsidRPr="00D050E9">
        <w:rPr>
          <w:color w:val="auto"/>
        </w:rPr>
        <w:instrText xml:space="preserve"> SEQ Slika \* ARABIC </w:instrText>
      </w:r>
      <w:r w:rsidR="00B9052B" w:rsidRPr="00D050E9">
        <w:rPr>
          <w:color w:val="auto"/>
        </w:rPr>
        <w:fldChar w:fldCharType="separate"/>
      </w:r>
      <w:r w:rsidR="00745204">
        <w:rPr>
          <w:noProof/>
          <w:color w:val="auto"/>
        </w:rPr>
        <w:t>55</w:t>
      </w:r>
      <w:r w:rsidR="00B9052B" w:rsidRPr="00D050E9">
        <w:rPr>
          <w:noProof/>
          <w:color w:val="auto"/>
        </w:rPr>
        <w:fldChar w:fldCharType="end"/>
      </w:r>
      <w:r w:rsidRPr="00D050E9">
        <w:rPr>
          <w:color w:val="auto"/>
        </w:rPr>
        <w:t xml:space="preserve">: </w:t>
      </w:r>
      <w:r w:rsidR="009B30E1" w:rsidRPr="009B30E1">
        <w:rPr>
          <w:i/>
          <w:color w:val="auto"/>
        </w:rPr>
        <w:t>De minimis</w:t>
      </w:r>
      <w:r w:rsidR="00AB7F3B" w:rsidRPr="00D050E9">
        <w:rPr>
          <w:color w:val="auto"/>
        </w:rPr>
        <w:t xml:space="preserve"> pomoči v mio EUR kot delež vseh pomoči (državne in </w:t>
      </w:r>
      <w:r w:rsidR="009B30E1" w:rsidRPr="009B30E1">
        <w:rPr>
          <w:i/>
          <w:color w:val="auto"/>
        </w:rPr>
        <w:t>de minimis</w:t>
      </w:r>
      <w:r w:rsidR="00AB7F3B" w:rsidRPr="00D050E9">
        <w:rPr>
          <w:color w:val="auto"/>
        </w:rPr>
        <w:t xml:space="preserve"> skupaj), 2008–2017</w:t>
      </w:r>
      <w:bookmarkEnd w:id="133"/>
    </w:p>
    <w:p w:rsidR="00AB7F3B" w:rsidRPr="00D050E9" w:rsidRDefault="00042FD5" w:rsidP="006665DD">
      <w:pPr>
        <w:pStyle w:val="Caption"/>
      </w:pPr>
      <w:r w:rsidRPr="00D050E9">
        <w:rPr>
          <w:noProof/>
          <w:color w:val="00B0F0"/>
          <w:lang w:eastAsia="sl-SI" w:bidi="ar-SA"/>
        </w:rPr>
        <w:drawing>
          <wp:inline distT="0" distB="0" distL="0" distR="0" wp14:anchorId="1F1BCE29" wp14:editId="08C0AE00">
            <wp:extent cx="5661660" cy="276606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5419B" w:rsidRPr="00D050E9" w:rsidRDefault="00D5419B" w:rsidP="00D5419B">
      <w:pPr>
        <w:spacing w:after="0" w:line="276" w:lineRule="auto"/>
        <w:rPr>
          <w:rFonts w:asciiTheme="minorHAnsi" w:hAnsiTheme="minorHAnsi"/>
        </w:rPr>
      </w:pPr>
    </w:p>
    <w:p w:rsidR="00D5419B" w:rsidRPr="00D050E9" w:rsidRDefault="00D5419B" w:rsidP="00D5419B">
      <w:pPr>
        <w:spacing w:after="0" w:line="276" w:lineRule="auto"/>
        <w:rPr>
          <w:rFonts w:asciiTheme="minorHAnsi" w:hAnsiTheme="minorHAnsi"/>
        </w:rPr>
      </w:pPr>
      <w:r w:rsidRPr="00D050E9">
        <w:rPr>
          <w:rFonts w:asciiTheme="minorHAnsi" w:hAnsiTheme="minorHAnsi"/>
        </w:rPr>
        <w:t xml:space="preserve">Dajalci pomoči uporabljalo pravilo </w:t>
      </w:r>
      <w:r w:rsidRPr="00D050E9">
        <w:rPr>
          <w:rFonts w:asciiTheme="minorHAnsi" w:hAnsiTheme="minorHAnsi"/>
          <w:i/>
        </w:rPr>
        <w:t xml:space="preserve">de minimis </w:t>
      </w:r>
      <w:r w:rsidRPr="00D050E9">
        <w:rPr>
          <w:rFonts w:asciiTheme="minorHAnsi" w:hAnsiTheme="minorHAnsi"/>
        </w:rPr>
        <w:t xml:space="preserve">takrat, ko gre za majhne zneske pomoči in/ali se pomoč dodeljuje pod pogoji, ki niso (v celoti) skladni s pravili o dodeljevanju državnih pomoči po skupinskih izjemah. Prednost </w:t>
      </w:r>
      <w:r w:rsidRPr="00D050E9">
        <w:rPr>
          <w:rFonts w:asciiTheme="minorHAnsi" w:hAnsiTheme="minorHAnsi"/>
          <w:i/>
        </w:rPr>
        <w:t xml:space="preserve">de minimis </w:t>
      </w:r>
      <w:r w:rsidRPr="00D050E9">
        <w:rPr>
          <w:rFonts w:asciiTheme="minorHAnsi" w:hAnsiTheme="minorHAnsi"/>
        </w:rPr>
        <w:t>pomoči je, da imajo manj stroge pogoje dodeljevanja v smislu upravičenih stroškov, stopenj intenzivnosti ipd. Slabost teh pomoči</w:t>
      </w:r>
      <w:r w:rsidR="00F53129" w:rsidRPr="00D050E9">
        <w:rPr>
          <w:rFonts w:asciiTheme="minorHAnsi" w:hAnsiTheme="minorHAnsi"/>
        </w:rPr>
        <w:t xml:space="preserve"> pa</w:t>
      </w:r>
      <w:r w:rsidRPr="00D050E9">
        <w:rPr>
          <w:rFonts w:asciiTheme="minorHAnsi" w:hAnsiTheme="minorHAnsi"/>
        </w:rPr>
        <w:t xml:space="preserve"> je, da lahko prejemniki mejo </w:t>
      </w:r>
      <w:r w:rsidRPr="00D050E9">
        <w:rPr>
          <w:rFonts w:asciiTheme="minorHAnsi" w:hAnsiTheme="minorHAnsi"/>
          <w:i/>
        </w:rPr>
        <w:t xml:space="preserve">de minimis </w:t>
      </w:r>
      <w:r w:rsidRPr="00D050E9">
        <w:rPr>
          <w:rFonts w:asciiTheme="minorHAnsi" w:hAnsiTheme="minorHAnsi"/>
        </w:rPr>
        <w:t xml:space="preserve">pomoči hitro presežejo. Rešitev je v oblikovanju shem pomoči, ki so skladne s pravili dodeljevanja državnih pomoči po skupinskih izjemah. </w:t>
      </w:r>
    </w:p>
    <w:p w:rsidR="00D5419B" w:rsidRPr="00D050E9" w:rsidRDefault="00D5419B" w:rsidP="00D5419B">
      <w:pPr>
        <w:spacing w:after="0" w:line="276" w:lineRule="auto"/>
        <w:rPr>
          <w:rFonts w:asciiTheme="minorHAnsi" w:hAnsiTheme="minorHAnsi"/>
        </w:rPr>
      </w:pPr>
    </w:p>
    <w:p w:rsidR="00D85960" w:rsidRPr="00D050E9" w:rsidRDefault="00E01CF8" w:rsidP="00D5419B">
      <w:pPr>
        <w:spacing w:after="0" w:line="276" w:lineRule="auto"/>
        <w:rPr>
          <w:rFonts w:asciiTheme="minorHAnsi" w:hAnsiTheme="minorHAnsi"/>
        </w:rPr>
      </w:pPr>
      <w:r w:rsidRPr="006D1EFC">
        <w:rPr>
          <w:rFonts w:asciiTheme="minorHAnsi" w:hAnsiTheme="minorHAnsi"/>
        </w:rPr>
        <w:t xml:space="preserve">Največ </w:t>
      </w:r>
      <w:r w:rsidR="009B30E1" w:rsidRPr="006D1EFC">
        <w:rPr>
          <w:rFonts w:asciiTheme="minorHAnsi" w:hAnsiTheme="minorHAnsi"/>
          <w:i/>
        </w:rPr>
        <w:t>de minimis</w:t>
      </w:r>
      <w:r w:rsidRPr="006D1EFC">
        <w:rPr>
          <w:rFonts w:asciiTheme="minorHAnsi" w:hAnsiTheme="minorHAnsi"/>
        </w:rPr>
        <w:t xml:space="preserve"> pomoč</w:t>
      </w:r>
      <w:r w:rsidR="003661B4" w:rsidRPr="006D1EFC">
        <w:rPr>
          <w:rFonts w:asciiTheme="minorHAnsi" w:hAnsiTheme="minorHAnsi"/>
        </w:rPr>
        <w:t>i</w:t>
      </w:r>
      <w:r w:rsidRPr="006D1EFC">
        <w:rPr>
          <w:rFonts w:asciiTheme="minorHAnsi" w:hAnsiTheme="minorHAnsi"/>
        </w:rPr>
        <w:t xml:space="preserve"> </w:t>
      </w:r>
      <w:r w:rsidR="00F20507" w:rsidRPr="006D1EFC">
        <w:rPr>
          <w:rFonts w:asciiTheme="minorHAnsi" w:hAnsiTheme="minorHAnsi"/>
        </w:rPr>
        <w:t xml:space="preserve">je bilo namenjenih </w:t>
      </w:r>
      <w:r w:rsidR="00AC4E91" w:rsidRPr="006D1EFC">
        <w:rPr>
          <w:rFonts w:asciiTheme="minorHAnsi" w:hAnsiTheme="minorHAnsi"/>
        </w:rPr>
        <w:t xml:space="preserve">za spodbujanje </w:t>
      </w:r>
      <w:r w:rsidR="00AC4E91" w:rsidRPr="006D1EFC">
        <w:rPr>
          <w:rFonts w:asciiTheme="minorHAnsi" w:hAnsiTheme="minorHAnsi"/>
          <w:b/>
        </w:rPr>
        <w:t>zaposlovanja</w:t>
      </w:r>
      <w:r w:rsidR="008D464F" w:rsidRPr="006D1EFC">
        <w:rPr>
          <w:rFonts w:asciiTheme="minorHAnsi" w:hAnsiTheme="minorHAnsi"/>
          <w:b/>
        </w:rPr>
        <w:t xml:space="preserve"> </w:t>
      </w:r>
      <w:r w:rsidRPr="006D1EFC">
        <w:rPr>
          <w:rFonts w:asciiTheme="minorHAnsi" w:hAnsiTheme="minorHAnsi"/>
          <w:b/>
        </w:rPr>
        <w:t>prikrajšanih delavcev</w:t>
      </w:r>
      <w:r w:rsidR="00D5419B" w:rsidRPr="00D050E9">
        <w:rPr>
          <w:rFonts w:asciiTheme="minorHAnsi" w:hAnsiTheme="minorHAnsi"/>
          <w:b/>
        </w:rPr>
        <w:t xml:space="preserve"> </w:t>
      </w:r>
      <w:r w:rsidR="00D5419B" w:rsidRPr="00D050E9">
        <w:rPr>
          <w:rFonts w:asciiTheme="minorHAnsi" w:hAnsiTheme="minorHAnsi"/>
        </w:rPr>
        <w:t>(ohranjanje zaposlitev)</w:t>
      </w:r>
      <w:r w:rsidRPr="00D050E9">
        <w:rPr>
          <w:rFonts w:asciiTheme="minorHAnsi" w:hAnsiTheme="minorHAnsi"/>
        </w:rPr>
        <w:t xml:space="preserve">, 30,80 mio EUR ali </w:t>
      </w:r>
      <w:r w:rsidRPr="00D050E9">
        <w:rPr>
          <w:rFonts w:asciiTheme="minorHAnsi" w:hAnsiTheme="minorHAnsi"/>
          <w:b/>
        </w:rPr>
        <w:t>37 %</w:t>
      </w:r>
      <w:r w:rsidR="00F20507" w:rsidRPr="00D050E9">
        <w:rPr>
          <w:rFonts w:asciiTheme="minorHAnsi" w:hAnsiTheme="minorHAnsi"/>
        </w:rPr>
        <w:t xml:space="preserve"> vseh </w:t>
      </w:r>
      <w:r w:rsidR="009B30E1" w:rsidRPr="009B30E1">
        <w:rPr>
          <w:rFonts w:asciiTheme="minorHAnsi" w:hAnsiTheme="minorHAnsi"/>
          <w:i/>
        </w:rPr>
        <w:t>de minimis</w:t>
      </w:r>
      <w:r w:rsidR="00F20507" w:rsidRPr="00D050E9">
        <w:rPr>
          <w:rFonts w:asciiTheme="minorHAnsi" w:hAnsiTheme="minorHAnsi"/>
        </w:rPr>
        <w:t xml:space="preserve"> pomoči. V letu 2017 so se te pomoči sicer najbolj znižale - </w:t>
      </w:r>
      <w:r w:rsidRPr="00D050E9">
        <w:rPr>
          <w:rFonts w:asciiTheme="minorHAnsi" w:hAnsiTheme="minorHAnsi"/>
        </w:rPr>
        <w:t xml:space="preserve"> bilo jih je za skoraj 13 mio EUR manj kot leta 2016</w:t>
      </w:r>
      <w:r w:rsidR="00AC4E91" w:rsidRPr="00D050E9">
        <w:rPr>
          <w:rFonts w:asciiTheme="minorHAnsi" w:hAnsiTheme="minorHAnsi"/>
        </w:rPr>
        <w:t xml:space="preserve">, ko so predstavljale </w:t>
      </w:r>
      <w:r w:rsidR="00F20507" w:rsidRPr="00D050E9">
        <w:rPr>
          <w:rFonts w:asciiTheme="minorHAnsi" w:hAnsiTheme="minorHAnsi"/>
        </w:rPr>
        <w:t>več kot polovico (</w:t>
      </w:r>
      <w:r w:rsidR="00AC4E91" w:rsidRPr="00D050E9">
        <w:rPr>
          <w:rFonts w:asciiTheme="minorHAnsi" w:hAnsiTheme="minorHAnsi"/>
        </w:rPr>
        <w:t>51 %</w:t>
      </w:r>
      <w:r w:rsidR="00F20507" w:rsidRPr="00D050E9">
        <w:rPr>
          <w:rFonts w:asciiTheme="minorHAnsi" w:hAnsiTheme="minorHAnsi"/>
        </w:rPr>
        <w:t>)</w:t>
      </w:r>
      <w:r w:rsidR="00AC4E91" w:rsidRPr="00D050E9">
        <w:rPr>
          <w:rFonts w:asciiTheme="minorHAnsi" w:hAnsiTheme="minorHAnsi"/>
        </w:rPr>
        <w:t xml:space="preserve"> vseh pomoči </w:t>
      </w:r>
      <w:r w:rsidR="00AC4E91" w:rsidRPr="00D050E9">
        <w:rPr>
          <w:rFonts w:asciiTheme="minorHAnsi" w:hAnsiTheme="minorHAnsi"/>
          <w:i/>
        </w:rPr>
        <w:t>de minimis</w:t>
      </w:r>
      <w:r w:rsidR="00AC4E91" w:rsidRPr="00D050E9">
        <w:rPr>
          <w:rFonts w:asciiTheme="minorHAnsi" w:hAnsiTheme="minorHAnsi"/>
        </w:rPr>
        <w:t xml:space="preserve">. </w:t>
      </w:r>
    </w:p>
    <w:p w:rsidR="00D5419B" w:rsidRPr="00D050E9" w:rsidRDefault="00D5419B" w:rsidP="00D5419B">
      <w:pPr>
        <w:spacing w:after="0" w:line="276" w:lineRule="auto"/>
        <w:rPr>
          <w:rFonts w:asciiTheme="minorHAnsi" w:hAnsiTheme="minorHAnsi"/>
        </w:rPr>
      </w:pPr>
    </w:p>
    <w:p w:rsidR="00AC4E91" w:rsidRPr="00D050E9" w:rsidRDefault="00AC4E91" w:rsidP="00D5419B">
      <w:pPr>
        <w:spacing w:after="0" w:line="276" w:lineRule="auto"/>
        <w:rPr>
          <w:rFonts w:asciiTheme="minorHAnsi" w:hAnsiTheme="minorHAnsi"/>
        </w:rPr>
      </w:pPr>
      <w:r w:rsidRPr="00D050E9">
        <w:rPr>
          <w:rFonts w:asciiTheme="minorHAnsi" w:hAnsiTheme="minorHAnsi"/>
        </w:rPr>
        <w:t xml:space="preserve">Skoraj </w:t>
      </w:r>
      <w:r w:rsidRPr="00D050E9">
        <w:rPr>
          <w:rFonts w:asciiTheme="minorHAnsi" w:hAnsiTheme="minorHAnsi"/>
          <w:b/>
        </w:rPr>
        <w:t xml:space="preserve">tretjina </w:t>
      </w:r>
      <w:r w:rsidRPr="00D050E9">
        <w:rPr>
          <w:rFonts w:asciiTheme="minorHAnsi" w:hAnsiTheme="minorHAnsi"/>
          <w:i/>
        </w:rPr>
        <w:t>de minimis</w:t>
      </w:r>
      <w:r w:rsidRPr="00D050E9">
        <w:rPr>
          <w:rFonts w:asciiTheme="minorHAnsi" w:hAnsiTheme="minorHAnsi"/>
        </w:rPr>
        <w:t xml:space="preserve"> pomoči ali 25,77 mio EUR je bila dodeljena za</w:t>
      </w:r>
      <w:r w:rsidR="00F27BCE" w:rsidRPr="00D050E9">
        <w:rPr>
          <w:rFonts w:asciiTheme="minorHAnsi" w:hAnsiTheme="minorHAnsi"/>
        </w:rPr>
        <w:t xml:space="preserve"> spodbujanje</w:t>
      </w:r>
      <w:r w:rsidRPr="00D050E9">
        <w:rPr>
          <w:rFonts w:asciiTheme="minorHAnsi" w:hAnsiTheme="minorHAnsi"/>
        </w:rPr>
        <w:t xml:space="preserve"> </w:t>
      </w:r>
      <w:r w:rsidRPr="00D050E9">
        <w:rPr>
          <w:rFonts w:asciiTheme="minorHAnsi" w:hAnsiTheme="minorHAnsi"/>
          <w:b/>
        </w:rPr>
        <w:t>MSP in tvegano financiranje</w:t>
      </w:r>
      <w:r w:rsidRPr="00D050E9">
        <w:rPr>
          <w:rFonts w:asciiTheme="minorHAnsi" w:hAnsiTheme="minorHAnsi"/>
        </w:rPr>
        <w:t xml:space="preserve">, kar je 6,32 mio EUR več kot v letu 2016. </w:t>
      </w:r>
    </w:p>
    <w:p w:rsidR="00F27BCE" w:rsidRPr="00D050E9" w:rsidRDefault="00F27BCE" w:rsidP="00D5419B">
      <w:pPr>
        <w:spacing w:after="0" w:line="276" w:lineRule="auto"/>
        <w:rPr>
          <w:rFonts w:asciiTheme="minorHAnsi" w:hAnsiTheme="minorHAnsi"/>
        </w:rPr>
      </w:pPr>
    </w:p>
    <w:p w:rsidR="00AC4E91" w:rsidRPr="00D050E9" w:rsidRDefault="00AC4E91" w:rsidP="001D399B">
      <w:pPr>
        <w:spacing w:line="276" w:lineRule="auto"/>
        <w:rPr>
          <w:rFonts w:asciiTheme="minorHAnsi" w:hAnsiTheme="minorHAnsi"/>
        </w:rPr>
      </w:pPr>
      <w:r w:rsidRPr="00D050E9">
        <w:rPr>
          <w:rFonts w:asciiTheme="minorHAnsi" w:hAnsiTheme="minorHAnsi"/>
        </w:rPr>
        <w:t xml:space="preserve">Najbolj so se povečale </w:t>
      </w:r>
      <w:r w:rsidR="009B30E1" w:rsidRPr="009B30E1">
        <w:rPr>
          <w:rFonts w:asciiTheme="minorHAnsi" w:hAnsiTheme="minorHAnsi"/>
          <w:i/>
        </w:rPr>
        <w:t>de minimis</w:t>
      </w:r>
      <w:r w:rsidRPr="00D050E9">
        <w:rPr>
          <w:rFonts w:asciiTheme="minorHAnsi" w:hAnsiTheme="minorHAnsi"/>
        </w:rPr>
        <w:t xml:space="preserve"> pomoči za </w:t>
      </w:r>
      <w:r w:rsidRPr="00D050E9">
        <w:rPr>
          <w:rFonts w:asciiTheme="minorHAnsi" w:hAnsiTheme="minorHAnsi"/>
          <w:b/>
        </w:rPr>
        <w:t>kulturo</w:t>
      </w:r>
      <w:r w:rsidR="00AD2908" w:rsidRPr="00D050E9">
        <w:rPr>
          <w:rFonts w:asciiTheme="minorHAnsi" w:hAnsiTheme="minorHAnsi"/>
        </w:rPr>
        <w:t xml:space="preserve">, ki se izplačujejo </w:t>
      </w:r>
      <w:r w:rsidRPr="00D050E9">
        <w:rPr>
          <w:rFonts w:asciiTheme="minorHAnsi" w:hAnsiTheme="minorHAnsi"/>
        </w:rPr>
        <w:t>v obliki</w:t>
      </w:r>
      <w:r w:rsidR="00F20507" w:rsidRPr="00D050E9">
        <w:rPr>
          <w:rFonts w:asciiTheme="minorHAnsi" w:hAnsiTheme="minorHAnsi"/>
        </w:rPr>
        <w:t xml:space="preserve"> znižanih</w:t>
      </w:r>
      <w:r w:rsidR="00AD2908" w:rsidRPr="00D050E9">
        <w:rPr>
          <w:rFonts w:asciiTheme="minorHAnsi" w:hAnsiTheme="minorHAnsi"/>
        </w:rPr>
        <w:t xml:space="preserve"> prispevkov za socialno varnost za samozaposlene v kulturi. T</w:t>
      </w:r>
      <w:r w:rsidRPr="00D050E9">
        <w:rPr>
          <w:rFonts w:asciiTheme="minorHAnsi" w:hAnsiTheme="minorHAnsi"/>
        </w:rPr>
        <w:t>e</w:t>
      </w:r>
      <w:r w:rsidR="00F20507" w:rsidRPr="00D050E9">
        <w:rPr>
          <w:rFonts w:asciiTheme="minorHAnsi" w:hAnsiTheme="minorHAnsi"/>
        </w:rPr>
        <w:t xml:space="preserve">h pomoči je bilo lani za skoraj </w:t>
      </w:r>
      <w:r w:rsidRPr="00D050E9">
        <w:rPr>
          <w:rFonts w:asciiTheme="minorHAnsi" w:hAnsiTheme="minorHAnsi"/>
        </w:rPr>
        <w:t>9 mio EUR</w:t>
      </w:r>
      <w:r w:rsidR="00F20507" w:rsidRPr="00D050E9">
        <w:rPr>
          <w:rFonts w:asciiTheme="minorHAnsi" w:hAnsiTheme="minorHAnsi"/>
        </w:rPr>
        <w:t xml:space="preserve"> več</w:t>
      </w:r>
      <w:r w:rsidRPr="00D050E9">
        <w:rPr>
          <w:rFonts w:asciiTheme="minorHAnsi" w:hAnsiTheme="minorHAnsi"/>
        </w:rPr>
        <w:t xml:space="preserve">, </w:t>
      </w:r>
      <w:r w:rsidR="00F20507" w:rsidRPr="00D050E9">
        <w:rPr>
          <w:rFonts w:asciiTheme="minorHAnsi" w:hAnsiTheme="minorHAnsi"/>
        </w:rPr>
        <w:t xml:space="preserve">skupaj jih je bilo za </w:t>
      </w:r>
      <w:r w:rsidRPr="00D050E9">
        <w:rPr>
          <w:rFonts w:asciiTheme="minorHAnsi" w:hAnsiTheme="minorHAnsi"/>
        </w:rPr>
        <w:t xml:space="preserve">11,2 mio EUR, </w:t>
      </w:r>
      <w:r w:rsidR="00F20507" w:rsidRPr="00D050E9">
        <w:rPr>
          <w:rFonts w:asciiTheme="minorHAnsi" w:hAnsiTheme="minorHAnsi"/>
        </w:rPr>
        <w:t xml:space="preserve">kar je </w:t>
      </w:r>
      <w:r w:rsidRPr="00D050E9">
        <w:rPr>
          <w:rFonts w:asciiTheme="minorHAnsi" w:hAnsiTheme="minorHAnsi"/>
        </w:rPr>
        <w:t xml:space="preserve">skoraj </w:t>
      </w:r>
      <w:r w:rsidRPr="00D050E9">
        <w:rPr>
          <w:rFonts w:asciiTheme="minorHAnsi" w:hAnsiTheme="minorHAnsi"/>
          <w:b/>
        </w:rPr>
        <w:t>14 %</w:t>
      </w:r>
      <w:r w:rsidRPr="00D050E9">
        <w:rPr>
          <w:rFonts w:asciiTheme="minorHAnsi" w:hAnsiTheme="minorHAnsi"/>
        </w:rPr>
        <w:t xml:space="preserve"> vseh </w:t>
      </w:r>
      <w:r w:rsidR="009B30E1" w:rsidRPr="009B30E1">
        <w:rPr>
          <w:rFonts w:asciiTheme="minorHAnsi" w:hAnsiTheme="minorHAnsi"/>
          <w:i/>
        </w:rPr>
        <w:t>de minimis</w:t>
      </w:r>
      <w:r w:rsidRPr="00D050E9">
        <w:rPr>
          <w:rFonts w:asciiTheme="minorHAnsi" w:hAnsiTheme="minorHAnsi"/>
        </w:rPr>
        <w:t xml:space="preserve"> pomoči</w:t>
      </w:r>
      <w:r w:rsidR="00F27BCE" w:rsidRPr="00D050E9">
        <w:rPr>
          <w:rFonts w:asciiTheme="minorHAnsi" w:hAnsiTheme="minorHAnsi"/>
        </w:rPr>
        <w:t xml:space="preserve">. </w:t>
      </w:r>
    </w:p>
    <w:p w:rsidR="00F27BCE" w:rsidRPr="00D050E9" w:rsidRDefault="00B33B4A" w:rsidP="001D399B">
      <w:pPr>
        <w:spacing w:line="276" w:lineRule="auto"/>
        <w:rPr>
          <w:rFonts w:asciiTheme="minorHAnsi" w:hAnsiTheme="minorHAnsi"/>
        </w:rPr>
      </w:pPr>
      <w:r w:rsidRPr="00D050E9">
        <w:rPr>
          <w:rFonts w:asciiTheme="minorHAnsi" w:hAnsiTheme="minorHAnsi"/>
        </w:rPr>
        <w:t xml:space="preserve">Pomemben delež </w:t>
      </w:r>
      <w:r w:rsidR="009B30E1" w:rsidRPr="009B30E1">
        <w:rPr>
          <w:rFonts w:asciiTheme="minorHAnsi" w:hAnsiTheme="minorHAnsi"/>
          <w:i/>
        </w:rPr>
        <w:t>de minimis</w:t>
      </w:r>
      <w:r w:rsidRPr="00D050E9">
        <w:rPr>
          <w:rFonts w:asciiTheme="minorHAnsi" w:hAnsiTheme="minorHAnsi"/>
        </w:rPr>
        <w:t xml:space="preserve"> pomoči se namenja še za </w:t>
      </w:r>
      <w:r w:rsidRPr="00D050E9">
        <w:rPr>
          <w:rFonts w:asciiTheme="minorHAnsi" w:hAnsiTheme="minorHAnsi"/>
          <w:b/>
        </w:rPr>
        <w:t xml:space="preserve">RRI, </w:t>
      </w:r>
      <w:r w:rsidRPr="00D050E9">
        <w:rPr>
          <w:rFonts w:asciiTheme="minorHAnsi" w:hAnsiTheme="minorHAnsi"/>
        </w:rPr>
        <w:t xml:space="preserve">v letu 2017 </w:t>
      </w:r>
      <w:r w:rsidR="00F20507" w:rsidRPr="00D050E9">
        <w:rPr>
          <w:rFonts w:asciiTheme="minorHAnsi" w:hAnsiTheme="minorHAnsi"/>
        </w:rPr>
        <w:t xml:space="preserve">je bilo za ta namen izplačanih </w:t>
      </w:r>
      <w:r w:rsidRPr="00D050E9">
        <w:rPr>
          <w:rFonts w:asciiTheme="minorHAnsi" w:hAnsiTheme="minorHAnsi"/>
        </w:rPr>
        <w:t xml:space="preserve">5,79 mio EUR ali </w:t>
      </w:r>
      <w:r w:rsidRPr="00D050E9">
        <w:rPr>
          <w:rFonts w:asciiTheme="minorHAnsi" w:hAnsiTheme="minorHAnsi"/>
          <w:b/>
        </w:rPr>
        <w:t>7 %</w:t>
      </w:r>
      <w:r w:rsidR="00F20507" w:rsidRPr="00D050E9">
        <w:rPr>
          <w:rFonts w:asciiTheme="minorHAnsi" w:hAnsiTheme="minorHAnsi"/>
        </w:rPr>
        <w:t xml:space="preserve"> vseh </w:t>
      </w:r>
      <w:r w:rsidR="009B30E1" w:rsidRPr="009B30E1">
        <w:rPr>
          <w:rFonts w:asciiTheme="minorHAnsi" w:hAnsiTheme="minorHAnsi"/>
          <w:i/>
        </w:rPr>
        <w:t>de minimis</w:t>
      </w:r>
      <w:r w:rsidR="00F20507" w:rsidRPr="00D050E9">
        <w:rPr>
          <w:rFonts w:asciiTheme="minorHAnsi" w:hAnsiTheme="minorHAnsi"/>
        </w:rPr>
        <w:t xml:space="preserve"> pomoči,</w:t>
      </w:r>
      <w:r w:rsidRPr="00D050E9">
        <w:rPr>
          <w:rFonts w:asciiTheme="minorHAnsi" w:hAnsiTheme="minorHAnsi"/>
        </w:rPr>
        <w:t xml:space="preserve"> kar je dobra 2 mio EUR manj kot v letu 2016</w:t>
      </w:r>
      <w:r w:rsidR="00AD2908" w:rsidRPr="00D050E9">
        <w:rPr>
          <w:rFonts w:asciiTheme="minorHAnsi" w:hAnsiTheme="minorHAnsi"/>
        </w:rPr>
        <w:t xml:space="preserve"> (skoraj 10 % vseh </w:t>
      </w:r>
      <w:r w:rsidR="009B30E1" w:rsidRPr="009B30E1">
        <w:rPr>
          <w:rFonts w:asciiTheme="minorHAnsi" w:hAnsiTheme="minorHAnsi"/>
          <w:i/>
        </w:rPr>
        <w:t>de minimis</w:t>
      </w:r>
      <w:r w:rsidR="00AD2908" w:rsidRPr="00D050E9">
        <w:rPr>
          <w:rFonts w:asciiTheme="minorHAnsi" w:hAnsiTheme="minorHAnsi"/>
        </w:rPr>
        <w:t xml:space="preserve"> pomoči)</w:t>
      </w:r>
      <w:r w:rsidR="00B02144" w:rsidRPr="00D050E9">
        <w:rPr>
          <w:rFonts w:asciiTheme="minorHAnsi" w:hAnsiTheme="minorHAnsi"/>
        </w:rPr>
        <w:t xml:space="preserve">. </w:t>
      </w:r>
    </w:p>
    <w:p w:rsidR="00B02144" w:rsidRPr="00D050E9" w:rsidRDefault="00B02144" w:rsidP="001D399B">
      <w:pPr>
        <w:spacing w:line="276" w:lineRule="auto"/>
        <w:rPr>
          <w:rFonts w:asciiTheme="minorHAnsi" w:hAnsiTheme="minorHAnsi"/>
        </w:rPr>
      </w:pPr>
      <w:r w:rsidRPr="00D050E9">
        <w:rPr>
          <w:rFonts w:asciiTheme="minorHAnsi" w:hAnsiTheme="minorHAnsi"/>
        </w:rPr>
        <w:t>Za navedene štiri kategorije pomoči je bilo namenjenih devet desetin vse</w:t>
      </w:r>
      <w:r w:rsidR="00F27BCE" w:rsidRPr="00D050E9">
        <w:rPr>
          <w:rFonts w:asciiTheme="minorHAnsi" w:hAnsiTheme="minorHAnsi"/>
        </w:rPr>
        <w:t xml:space="preserve">h </w:t>
      </w:r>
      <w:r w:rsidR="009B30E1" w:rsidRPr="009B30E1">
        <w:rPr>
          <w:rFonts w:asciiTheme="minorHAnsi" w:hAnsiTheme="minorHAnsi"/>
          <w:i/>
        </w:rPr>
        <w:t>de minimis</w:t>
      </w:r>
      <w:r w:rsidR="00F27BCE" w:rsidRPr="00D050E9">
        <w:rPr>
          <w:rFonts w:asciiTheme="minorHAnsi" w:hAnsiTheme="minorHAnsi"/>
        </w:rPr>
        <w:t xml:space="preserve"> pomoči v letu 2017.</w:t>
      </w:r>
    </w:p>
    <w:p w:rsidR="006665DD" w:rsidRPr="00D050E9" w:rsidRDefault="006665DD" w:rsidP="006665DD">
      <w:pPr>
        <w:pStyle w:val="Caption"/>
        <w:keepNext/>
        <w:rPr>
          <w:color w:val="auto"/>
        </w:rPr>
      </w:pPr>
      <w:bookmarkStart w:id="134" w:name="_Toc530654608"/>
      <w:r w:rsidRPr="00D050E9">
        <w:rPr>
          <w:color w:val="auto"/>
        </w:rPr>
        <w:t xml:space="preserve">Tabela </w:t>
      </w:r>
      <w:r w:rsidR="00B9052B" w:rsidRPr="00D050E9">
        <w:rPr>
          <w:color w:val="auto"/>
        </w:rPr>
        <w:fldChar w:fldCharType="begin"/>
      </w:r>
      <w:r w:rsidR="00B9052B" w:rsidRPr="00D050E9">
        <w:rPr>
          <w:color w:val="auto"/>
        </w:rPr>
        <w:instrText xml:space="preserve"> SEQ Tabela \* ARABIC </w:instrText>
      </w:r>
      <w:r w:rsidR="00B9052B" w:rsidRPr="00D050E9">
        <w:rPr>
          <w:color w:val="auto"/>
        </w:rPr>
        <w:fldChar w:fldCharType="separate"/>
      </w:r>
      <w:r w:rsidR="00745204">
        <w:rPr>
          <w:noProof/>
          <w:color w:val="auto"/>
        </w:rPr>
        <w:t>24</w:t>
      </w:r>
      <w:r w:rsidR="00B9052B" w:rsidRPr="00D050E9">
        <w:rPr>
          <w:noProof/>
          <w:color w:val="auto"/>
        </w:rPr>
        <w:fldChar w:fldCharType="end"/>
      </w:r>
      <w:r w:rsidRPr="00D050E9">
        <w:rPr>
          <w:color w:val="auto"/>
        </w:rPr>
        <w:t xml:space="preserve">: </w:t>
      </w:r>
      <w:r w:rsidR="009B30E1" w:rsidRPr="009B30E1">
        <w:rPr>
          <w:i/>
          <w:color w:val="auto"/>
        </w:rPr>
        <w:t>De minimis</w:t>
      </w:r>
      <w:r w:rsidRPr="00D050E9">
        <w:rPr>
          <w:color w:val="auto"/>
        </w:rPr>
        <w:t xml:space="preserve"> pomoči po kategorijah, v mio EUR, </w:t>
      </w:r>
      <w:r w:rsidR="00F53129" w:rsidRPr="00D050E9">
        <w:rPr>
          <w:color w:val="auto"/>
        </w:rPr>
        <w:t>2</w:t>
      </w:r>
      <w:r w:rsidRPr="00D050E9">
        <w:rPr>
          <w:color w:val="auto"/>
        </w:rPr>
        <w:t>015–2017</w:t>
      </w:r>
      <w:bookmarkEnd w:id="134"/>
    </w:p>
    <w:tbl>
      <w:tblPr>
        <w:tblW w:w="17140" w:type="dxa"/>
        <w:tblInd w:w="55" w:type="dxa"/>
        <w:tblCellMar>
          <w:left w:w="70" w:type="dxa"/>
          <w:right w:w="70" w:type="dxa"/>
        </w:tblCellMar>
        <w:tblLook w:val="04A0" w:firstRow="1" w:lastRow="0" w:firstColumn="1" w:lastColumn="0" w:noHBand="0" w:noVBand="1"/>
      </w:tblPr>
      <w:tblGrid>
        <w:gridCol w:w="14360"/>
        <w:gridCol w:w="820"/>
        <w:gridCol w:w="940"/>
        <w:gridCol w:w="1020"/>
      </w:tblGrid>
      <w:tr w:rsidR="006B1F17" w:rsidRPr="00D050E9" w:rsidTr="007A3208">
        <w:trPr>
          <w:trHeight w:val="480"/>
        </w:trPr>
        <w:tc>
          <w:tcPr>
            <w:tcW w:w="14360" w:type="dxa"/>
            <w:tcBorders>
              <w:top w:val="nil"/>
              <w:left w:val="nil"/>
              <w:bottom w:val="nil"/>
              <w:right w:val="nil"/>
            </w:tcBorders>
            <w:shd w:val="clear" w:color="000000" w:fill="FFFFFF"/>
            <w:vAlign w:val="bottom"/>
            <w:hideMark/>
          </w:tcPr>
          <w:p w:rsidR="00FC3645" w:rsidRPr="00D050E9" w:rsidRDefault="00FC3645" w:rsidP="001D399B">
            <w:pPr>
              <w:spacing w:after="0" w:line="276" w:lineRule="auto"/>
              <w:jc w:val="left"/>
              <w:rPr>
                <w:rFonts w:ascii="Calibri" w:eastAsia="Times New Roman" w:hAnsi="Calibri" w:cs="Arial"/>
                <w:b/>
                <w:bCs/>
                <w:sz w:val="20"/>
                <w:szCs w:val="20"/>
                <w:lang w:eastAsia="sl-SI"/>
              </w:rPr>
            </w:pPr>
          </w:p>
          <w:tbl>
            <w:tblPr>
              <w:tblStyle w:val="LightGrid-Accent5"/>
              <w:tblW w:w="9291" w:type="dxa"/>
              <w:tblLook w:val="04A0" w:firstRow="1" w:lastRow="0" w:firstColumn="1" w:lastColumn="0" w:noHBand="0" w:noVBand="1"/>
            </w:tblPr>
            <w:tblGrid>
              <w:gridCol w:w="2770"/>
              <w:gridCol w:w="1134"/>
              <w:gridCol w:w="1134"/>
              <w:gridCol w:w="1134"/>
              <w:gridCol w:w="1134"/>
              <w:gridCol w:w="851"/>
              <w:gridCol w:w="1134"/>
            </w:tblGrid>
            <w:tr w:rsidR="00FC3645" w:rsidRPr="00D050E9" w:rsidTr="00F411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vMerge w:val="restart"/>
                  <w:hideMark/>
                </w:tcPr>
                <w:p w:rsidR="00FC3645" w:rsidRPr="00D050E9" w:rsidRDefault="00FC3645" w:rsidP="00FC3645">
                  <w:pPr>
                    <w:jc w:val="center"/>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Kategorija</w:t>
                  </w:r>
                </w:p>
              </w:tc>
              <w:tc>
                <w:tcPr>
                  <w:tcW w:w="1134" w:type="dxa"/>
                  <w:noWrap/>
                  <w:vAlign w:val="center"/>
                  <w:hideMark/>
                </w:tcPr>
                <w:p w:rsidR="00FC3645" w:rsidRPr="00D050E9" w:rsidRDefault="00FC3645" w:rsidP="008C37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2015</w:t>
                  </w:r>
                </w:p>
              </w:tc>
              <w:tc>
                <w:tcPr>
                  <w:tcW w:w="1134" w:type="dxa"/>
                  <w:noWrap/>
                  <w:vAlign w:val="center"/>
                  <w:hideMark/>
                </w:tcPr>
                <w:p w:rsidR="00FC3645" w:rsidRPr="00D050E9" w:rsidRDefault="00FC3645" w:rsidP="008C37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2016</w:t>
                  </w:r>
                </w:p>
              </w:tc>
              <w:tc>
                <w:tcPr>
                  <w:tcW w:w="3119" w:type="dxa"/>
                  <w:gridSpan w:val="3"/>
                  <w:noWrap/>
                  <w:vAlign w:val="center"/>
                  <w:hideMark/>
                </w:tcPr>
                <w:p w:rsidR="00FC3645" w:rsidRPr="00D050E9" w:rsidRDefault="00FC3645" w:rsidP="008C37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tc>
              <w:tc>
                <w:tcPr>
                  <w:tcW w:w="1134" w:type="dxa"/>
                  <w:vAlign w:val="center"/>
                  <w:hideMark/>
                </w:tcPr>
                <w:p w:rsidR="00FC3645" w:rsidRPr="00D050E9" w:rsidRDefault="00FC3645" w:rsidP="008C37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Povprečje 2015-2017</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vMerge/>
                  <w:hideMark/>
                </w:tcPr>
                <w:p w:rsidR="00FC3645" w:rsidRPr="00D050E9" w:rsidRDefault="00FC3645" w:rsidP="00FC3645">
                  <w:pPr>
                    <w:jc w:val="left"/>
                    <w:rPr>
                      <w:rFonts w:ascii="Calibri" w:eastAsia="Times New Roman" w:hAnsi="Calibri" w:cs="Arial"/>
                      <w:color w:val="000000"/>
                      <w:sz w:val="19"/>
                      <w:szCs w:val="19"/>
                      <w:lang w:eastAsia="sl-SI"/>
                    </w:rPr>
                  </w:pPr>
                </w:p>
              </w:tc>
              <w:tc>
                <w:tcPr>
                  <w:tcW w:w="1134" w:type="dxa"/>
                  <w:hideMark/>
                </w:tcPr>
                <w:p w:rsidR="00FC3645" w:rsidRPr="00D050E9" w:rsidRDefault="00FC3645" w:rsidP="00FC36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mio EUR</w:t>
                  </w:r>
                </w:p>
              </w:tc>
              <w:tc>
                <w:tcPr>
                  <w:tcW w:w="1134" w:type="dxa"/>
                  <w:hideMark/>
                </w:tcPr>
                <w:p w:rsidR="00FC3645" w:rsidRPr="00D050E9" w:rsidRDefault="00FC3645" w:rsidP="00FC36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mio EUR</w:t>
                  </w:r>
                </w:p>
              </w:tc>
              <w:tc>
                <w:tcPr>
                  <w:tcW w:w="1134" w:type="dxa"/>
                  <w:hideMark/>
                </w:tcPr>
                <w:p w:rsidR="00FC3645" w:rsidRPr="00D050E9" w:rsidRDefault="00FC3645" w:rsidP="00FC36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mio EUR</w:t>
                  </w:r>
                </w:p>
              </w:tc>
              <w:tc>
                <w:tcPr>
                  <w:tcW w:w="1134" w:type="dxa"/>
                  <w:hideMark/>
                </w:tcPr>
                <w:p w:rsidR="00FC3645" w:rsidRPr="00D050E9" w:rsidRDefault="00FC3645" w:rsidP="00FC36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w:t>
                  </w:r>
                  <w:r w:rsidRPr="00D050E9">
                    <w:rPr>
                      <w:rFonts w:ascii="Calibri" w:eastAsia="Times New Roman" w:hAnsi="Calibri" w:cs="Arial"/>
                      <w:b/>
                      <w:bCs/>
                      <w:color w:val="000000"/>
                      <w:sz w:val="19"/>
                      <w:szCs w:val="19"/>
                      <w:lang w:eastAsia="sl-SI"/>
                    </w:rPr>
                    <w:br/>
                  </w:r>
                  <w:r w:rsidRPr="00006BCD">
                    <w:rPr>
                      <w:rFonts w:ascii="Calibri" w:eastAsia="Times New Roman" w:hAnsi="Calibri" w:cs="Arial"/>
                      <w:b/>
                      <w:bCs/>
                      <w:i/>
                      <w:color w:val="000000"/>
                      <w:sz w:val="19"/>
                      <w:szCs w:val="19"/>
                      <w:lang w:eastAsia="sl-SI"/>
                    </w:rPr>
                    <w:t>de minimis</w:t>
                  </w:r>
                </w:p>
              </w:tc>
              <w:tc>
                <w:tcPr>
                  <w:tcW w:w="851" w:type="dxa"/>
                  <w:hideMark/>
                </w:tcPr>
                <w:p w:rsidR="00FC3645" w:rsidRPr="00D050E9" w:rsidRDefault="00FC3645" w:rsidP="009C6F8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 xml:space="preserve">2017 - </w:t>
                  </w:r>
                  <w:r w:rsidR="009C6F87" w:rsidRPr="00D050E9">
                    <w:rPr>
                      <w:rFonts w:ascii="Calibri" w:eastAsia="Times New Roman" w:hAnsi="Calibri" w:cs="Arial"/>
                      <w:b/>
                      <w:bCs/>
                      <w:color w:val="000000"/>
                      <w:sz w:val="19"/>
                      <w:szCs w:val="19"/>
                      <w:lang w:eastAsia="sl-SI"/>
                    </w:rPr>
                    <w:t>2016</w:t>
                  </w:r>
                </w:p>
              </w:tc>
              <w:tc>
                <w:tcPr>
                  <w:tcW w:w="1134" w:type="dxa"/>
                  <w:hideMark/>
                </w:tcPr>
                <w:p w:rsidR="00FC3645" w:rsidRPr="00D050E9" w:rsidRDefault="00FC3645" w:rsidP="00FC36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v %</w:t>
                  </w:r>
                  <w:r w:rsidRPr="00D050E9">
                    <w:rPr>
                      <w:rFonts w:ascii="Calibri" w:eastAsia="Times New Roman" w:hAnsi="Calibri" w:cs="Arial"/>
                      <w:b/>
                      <w:bCs/>
                      <w:color w:val="000000"/>
                      <w:sz w:val="19"/>
                      <w:szCs w:val="19"/>
                      <w:lang w:eastAsia="sl-SI"/>
                    </w:rPr>
                    <w:br/>
                  </w:r>
                  <w:r w:rsidRPr="00006BCD">
                    <w:rPr>
                      <w:rFonts w:ascii="Calibri" w:eastAsia="Times New Roman" w:hAnsi="Calibri" w:cs="Arial"/>
                      <w:b/>
                      <w:bCs/>
                      <w:i/>
                      <w:color w:val="000000"/>
                      <w:sz w:val="19"/>
                      <w:szCs w:val="19"/>
                      <w:lang w:eastAsia="sl-SI"/>
                    </w:rPr>
                    <w:t>de minimis</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Zaposlovanje</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10,87</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43,59</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30,80</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37,3%</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-12,80</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42,4%</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MSP in tvegani kapital</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14,06</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20,22</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26,54</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32,1%</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6,32</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30,3%</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Kultura</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0,81</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2,35</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11,17</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13,5%</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8,83</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7,1%</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Raziskave in razvoj ter inovacije</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4,80</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8,22</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5,79</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7,0%</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-2,43</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9,4%</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Usposabljanje</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0,05</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0,61</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2,62</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3,2%</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2,00</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1,6%</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Kmetijstvo</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1,77</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1,96</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2,51</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3,0%</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0,55</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3,1%</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Regionalne pomoči</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1,11</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6,68</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2,37</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2,9%</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-4,31</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5,1%</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Lokalna infrastruktura</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0,06</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0,29</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0,3%</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0,23</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Varstvo okolja</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0,09</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0,29</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0,3%</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0,20</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Transport zračni</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0,28</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0,19</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-0,10</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Naravne nesreče</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0,20</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0,07</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-0,14</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Pomoči za reševanje</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0,19</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0,1%</w:t>
                  </w:r>
                </w:p>
              </w:tc>
            </w:tr>
            <w:tr w:rsidR="00FC3645"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Športna in večnamenska rekr. infrastruktura</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0,03</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0,06</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-0,06</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0,0%</w:t>
                  </w:r>
                </w:p>
              </w:tc>
            </w:tr>
            <w:tr w:rsidR="00DA6E3E" w:rsidRPr="00D050E9" w:rsidTr="00F411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b w:val="0"/>
                      <w:color w:val="000000"/>
                      <w:sz w:val="19"/>
                      <w:szCs w:val="19"/>
                      <w:lang w:eastAsia="sl-SI"/>
                    </w:rPr>
                  </w:pPr>
                  <w:r w:rsidRPr="00D050E9">
                    <w:rPr>
                      <w:rFonts w:ascii="Calibri" w:eastAsia="Times New Roman" w:hAnsi="Calibri" w:cs="Arial"/>
                      <w:b w:val="0"/>
                      <w:color w:val="000000"/>
                      <w:sz w:val="19"/>
                      <w:szCs w:val="19"/>
                      <w:lang w:eastAsia="sl-SI"/>
                    </w:rPr>
                    <w:t>Prestrukturiranje</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0,40</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1134"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851" w:type="dxa"/>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-0,40</w:t>
                  </w:r>
                </w:p>
              </w:tc>
              <w:tc>
                <w:tcPr>
                  <w:tcW w:w="1134" w:type="dxa"/>
                  <w:noWrap/>
                  <w:hideMark/>
                </w:tcPr>
                <w:p w:rsidR="00FC3645" w:rsidRPr="00D050E9" w:rsidRDefault="00FC3645" w:rsidP="00FC364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0,2%</w:t>
                  </w:r>
                </w:p>
              </w:tc>
            </w:tr>
            <w:tr w:rsidR="009C6F87" w:rsidRPr="00D050E9" w:rsidTr="00F411F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0" w:type="dxa"/>
                  <w:hideMark/>
                </w:tcPr>
                <w:p w:rsidR="00FC3645" w:rsidRPr="00D050E9" w:rsidRDefault="00FC3645" w:rsidP="00FC364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 xml:space="preserve">Skupaj </w:t>
                  </w:r>
                  <w:r w:rsidRPr="00006BCD">
                    <w:rPr>
                      <w:rFonts w:ascii="Calibri" w:eastAsia="Times New Roman" w:hAnsi="Calibri" w:cs="Arial"/>
                      <w:i/>
                      <w:sz w:val="19"/>
                      <w:szCs w:val="19"/>
                      <w:lang w:eastAsia="sl-SI"/>
                    </w:rPr>
                    <w:t>de minimis</w:t>
                  </w:r>
                  <w:r w:rsidRPr="00D050E9">
                    <w:rPr>
                      <w:rFonts w:ascii="Calibri" w:eastAsia="Times New Roman" w:hAnsi="Calibri" w:cs="Arial"/>
                      <w:sz w:val="19"/>
                      <w:szCs w:val="19"/>
                      <w:lang w:eastAsia="sl-SI"/>
                    </w:rPr>
                    <w:t xml:space="preserve"> pomoči</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33,69</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84,73</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 xml:space="preserve">82,63 </w:t>
                  </w:r>
                </w:p>
              </w:tc>
              <w:tc>
                <w:tcPr>
                  <w:tcW w:w="1134"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100,0%</w:t>
                  </w:r>
                </w:p>
              </w:tc>
              <w:tc>
                <w:tcPr>
                  <w:tcW w:w="851" w:type="dxa"/>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-2,10</w:t>
                  </w:r>
                </w:p>
              </w:tc>
              <w:tc>
                <w:tcPr>
                  <w:tcW w:w="1134" w:type="dxa"/>
                  <w:noWrap/>
                  <w:hideMark/>
                </w:tcPr>
                <w:p w:rsidR="00FC3645" w:rsidRPr="00D050E9" w:rsidRDefault="00FC3645" w:rsidP="00FC364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100,0%</w:t>
                  </w:r>
                </w:p>
              </w:tc>
            </w:tr>
          </w:tbl>
          <w:p w:rsidR="00FC3645" w:rsidRPr="00D050E9" w:rsidRDefault="00FC3645" w:rsidP="001D399B">
            <w:pPr>
              <w:spacing w:after="0" w:line="276" w:lineRule="auto"/>
              <w:jc w:val="left"/>
              <w:rPr>
                <w:rFonts w:ascii="Calibri" w:eastAsia="Times New Roman" w:hAnsi="Calibri" w:cs="Arial"/>
                <w:b/>
                <w:bCs/>
                <w:sz w:val="20"/>
                <w:szCs w:val="20"/>
                <w:lang w:eastAsia="sl-SI"/>
              </w:rPr>
            </w:pPr>
          </w:p>
        </w:tc>
        <w:tc>
          <w:tcPr>
            <w:tcW w:w="820" w:type="dxa"/>
            <w:tcBorders>
              <w:top w:val="nil"/>
              <w:left w:val="nil"/>
              <w:bottom w:val="nil"/>
              <w:right w:val="nil"/>
            </w:tcBorders>
            <w:shd w:val="clear" w:color="000000" w:fill="FFFFFF"/>
            <w:vAlign w:val="bottom"/>
            <w:hideMark/>
          </w:tcPr>
          <w:p w:rsidR="006B1F17" w:rsidRPr="00D050E9" w:rsidRDefault="006B1F17" w:rsidP="001D399B">
            <w:pPr>
              <w:spacing w:after="0" w:line="276" w:lineRule="auto"/>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w:t>
            </w:r>
          </w:p>
        </w:tc>
        <w:tc>
          <w:tcPr>
            <w:tcW w:w="940" w:type="dxa"/>
            <w:tcBorders>
              <w:top w:val="nil"/>
              <w:left w:val="nil"/>
              <w:bottom w:val="nil"/>
              <w:right w:val="nil"/>
            </w:tcBorders>
            <w:shd w:val="clear" w:color="000000" w:fill="FFFFFF"/>
            <w:vAlign w:val="bottom"/>
            <w:hideMark/>
          </w:tcPr>
          <w:p w:rsidR="006B1F17" w:rsidRPr="00D050E9" w:rsidRDefault="006B1F17" w:rsidP="001D399B">
            <w:pPr>
              <w:spacing w:after="0" w:line="276" w:lineRule="auto"/>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w:t>
            </w:r>
          </w:p>
        </w:tc>
        <w:tc>
          <w:tcPr>
            <w:tcW w:w="1020" w:type="dxa"/>
            <w:tcBorders>
              <w:top w:val="nil"/>
              <w:left w:val="nil"/>
              <w:bottom w:val="nil"/>
              <w:right w:val="nil"/>
            </w:tcBorders>
            <w:shd w:val="clear" w:color="000000" w:fill="FFFFFF"/>
            <w:vAlign w:val="bottom"/>
            <w:hideMark/>
          </w:tcPr>
          <w:p w:rsidR="006B1F17" w:rsidRPr="00D050E9" w:rsidRDefault="006B1F17" w:rsidP="001D399B">
            <w:pPr>
              <w:spacing w:after="0" w:line="276" w:lineRule="auto"/>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w:t>
            </w:r>
          </w:p>
        </w:tc>
      </w:tr>
    </w:tbl>
    <w:p w:rsidR="006B1F17" w:rsidRPr="00D050E9" w:rsidRDefault="006B1F17" w:rsidP="001D399B">
      <w:pPr>
        <w:spacing w:line="276" w:lineRule="auto"/>
        <w:rPr>
          <w:rFonts w:asciiTheme="minorHAnsi" w:hAnsiTheme="minorHAnsi"/>
        </w:rPr>
      </w:pPr>
    </w:p>
    <w:p w:rsidR="00AD2908" w:rsidRPr="00D050E9" w:rsidRDefault="00AD2908" w:rsidP="001D399B">
      <w:pPr>
        <w:spacing w:line="276" w:lineRule="auto"/>
        <w:rPr>
          <w:rFonts w:asciiTheme="minorHAnsi" w:hAnsiTheme="minorHAnsi"/>
        </w:rPr>
      </w:pPr>
    </w:p>
    <w:p w:rsidR="00AD2908" w:rsidRPr="00D050E9" w:rsidRDefault="00F27BCE" w:rsidP="001D399B">
      <w:pPr>
        <w:spacing w:line="276" w:lineRule="auto"/>
        <w:rPr>
          <w:rFonts w:asciiTheme="minorHAnsi" w:hAnsiTheme="minorHAnsi"/>
        </w:rPr>
      </w:pPr>
      <w:r w:rsidRPr="00D050E9">
        <w:rPr>
          <w:rFonts w:asciiTheme="minorHAnsi" w:hAnsiTheme="minorHAnsi"/>
        </w:rPr>
        <w:t xml:space="preserve">Relativno najbolj so se zmanjšale </w:t>
      </w:r>
      <w:r w:rsidR="009B30E1" w:rsidRPr="009B30E1">
        <w:rPr>
          <w:rFonts w:asciiTheme="minorHAnsi" w:hAnsiTheme="minorHAnsi"/>
          <w:i/>
        </w:rPr>
        <w:t>de minimis</w:t>
      </w:r>
      <w:r w:rsidRPr="00D050E9">
        <w:rPr>
          <w:rFonts w:asciiTheme="minorHAnsi" w:hAnsiTheme="minorHAnsi"/>
        </w:rPr>
        <w:t xml:space="preserve"> pomoči za spodbujanje </w:t>
      </w:r>
      <w:r w:rsidRPr="00D050E9">
        <w:rPr>
          <w:rFonts w:asciiTheme="minorHAnsi" w:hAnsiTheme="minorHAnsi"/>
          <w:b/>
        </w:rPr>
        <w:t>regionalnega razvoja</w:t>
      </w:r>
      <w:r w:rsidR="00822D53">
        <w:rPr>
          <w:rFonts w:asciiTheme="minorHAnsi" w:hAnsiTheme="minorHAnsi"/>
        </w:rPr>
        <w:t xml:space="preserve">. </w:t>
      </w:r>
      <w:r w:rsidR="00822D53" w:rsidRPr="006D1EFC">
        <w:rPr>
          <w:rFonts w:asciiTheme="minorHAnsi" w:hAnsiTheme="minorHAnsi"/>
        </w:rPr>
        <w:t>V l</w:t>
      </w:r>
      <w:r w:rsidRPr="006D1EFC">
        <w:rPr>
          <w:rFonts w:asciiTheme="minorHAnsi" w:hAnsiTheme="minorHAnsi"/>
        </w:rPr>
        <w:t>etu</w:t>
      </w:r>
      <w:r w:rsidRPr="00D050E9">
        <w:rPr>
          <w:rFonts w:asciiTheme="minorHAnsi" w:hAnsiTheme="minorHAnsi"/>
        </w:rPr>
        <w:t xml:space="preserve"> 2017 jih je bilo izplačanih 2,37 mio EUR, kar je le dobra tretjina teh pomoči </w:t>
      </w:r>
      <w:r w:rsidR="006D1EFC">
        <w:rPr>
          <w:rFonts w:asciiTheme="minorHAnsi" w:hAnsiTheme="minorHAnsi"/>
        </w:rPr>
        <w:t xml:space="preserve">v letu </w:t>
      </w:r>
      <w:r w:rsidRPr="00D050E9">
        <w:rPr>
          <w:rFonts w:asciiTheme="minorHAnsi" w:hAnsiTheme="minorHAnsi"/>
        </w:rPr>
        <w:t xml:space="preserve">2016. Za </w:t>
      </w:r>
      <w:r w:rsidRPr="00D050E9">
        <w:rPr>
          <w:rFonts w:asciiTheme="minorHAnsi" w:hAnsiTheme="minorHAnsi"/>
          <w:b/>
        </w:rPr>
        <w:t>usposabljanje</w:t>
      </w:r>
      <w:r w:rsidRPr="00D050E9">
        <w:rPr>
          <w:rFonts w:asciiTheme="minorHAnsi" w:hAnsiTheme="minorHAnsi"/>
        </w:rPr>
        <w:t xml:space="preserve"> je bilo namenjenih 2,62 mio EUR ali 3,2 % </w:t>
      </w:r>
      <w:r w:rsidR="009B30E1" w:rsidRPr="009B30E1">
        <w:rPr>
          <w:rFonts w:asciiTheme="minorHAnsi" w:hAnsiTheme="minorHAnsi"/>
          <w:i/>
        </w:rPr>
        <w:t>de minimis</w:t>
      </w:r>
      <w:r w:rsidRPr="00D050E9">
        <w:rPr>
          <w:rFonts w:asciiTheme="minorHAnsi" w:hAnsiTheme="minorHAnsi"/>
        </w:rPr>
        <w:t xml:space="preserve"> pomoči v 2017, za </w:t>
      </w:r>
      <w:r w:rsidRPr="00D050E9">
        <w:rPr>
          <w:rFonts w:asciiTheme="minorHAnsi" w:hAnsiTheme="minorHAnsi"/>
          <w:b/>
        </w:rPr>
        <w:t>kmetijstvo</w:t>
      </w:r>
      <w:r w:rsidRPr="00D050E9">
        <w:rPr>
          <w:rFonts w:asciiTheme="minorHAnsi" w:hAnsiTheme="minorHAnsi"/>
        </w:rPr>
        <w:t xml:space="preserve"> pa 2,51 mio EUR ali 3 % </w:t>
      </w:r>
      <w:r w:rsidR="009B30E1" w:rsidRPr="009B30E1">
        <w:rPr>
          <w:rFonts w:asciiTheme="minorHAnsi" w:hAnsiTheme="minorHAnsi"/>
          <w:i/>
        </w:rPr>
        <w:t>de minimis</w:t>
      </w:r>
      <w:r w:rsidRPr="00D050E9">
        <w:rPr>
          <w:rFonts w:asciiTheme="minorHAnsi" w:hAnsiTheme="minorHAnsi"/>
        </w:rPr>
        <w:t xml:space="preserve"> pomoči.</w:t>
      </w:r>
    </w:p>
    <w:p w:rsidR="003527A9" w:rsidRPr="00D050E9" w:rsidRDefault="006665DD" w:rsidP="006665DD">
      <w:pPr>
        <w:pStyle w:val="Caption"/>
        <w:rPr>
          <w:color w:val="auto"/>
        </w:rPr>
      </w:pPr>
      <w:bookmarkStart w:id="135" w:name="_Toc530654671"/>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56</w:t>
      </w:r>
      <w:r w:rsidRPr="00D050E9">
        <w:rPr>
          <w:color w:val="auto"/>
        </w:rPr>
        <w:fldChar w:fldCharType="end"/>
      </w:r>
      <w:r w:rsidR="003527A9" w:rsidRPr="00D050E9">
        <w:rPr>
          <w:color w:val="auto"/>
        </w:rPr>
        <w:t xml:space="preserve">: </w:t>
      </w:r>
      <w:r w:rsidR="009B30E1" w:rsidRPr="009B30E1">
        <w:rPr>
          <w:bCs w:val="0"/>
          <w:i/>
          <w:color w:val="auto"/>
        </w:rPr>
        <w:t>De minimis</w:t>
      </w:r>
      <w:r w:rsidR="003527A9" w:rsidRPr="00D050E9">
        <w:rPr>
          <w:bCs w:val="0"/>
          <w:color w:val="auto"/>
        </w:rPr>
        <w:t xml:space="preserve"> pomoči po kategorijah, povprečje 2015</w:t>
      </w:r>
      <w:r w:rsidR="00444D39" w:rsidRPr="00D050E9">
        <w:rPr>
          <w:bCs w:val="0"/>
          <w:color w:val="auto"/>
        </w:rPr>
        <w:t>–</w:t>
      </w:r>
      <w:r w:rsidR="003527A9" w:rsidRPr="00D050E9">
        <w:rPr>
          <w:bCs w:val="0"/>
          <w:color w:val="auto"/>
        </w:rPr>
        <w:t xml:space="preserve">2017, v % vseh </w:t>
      </w:r>
      <w:r w:rsidR="009B30E1" w:rsidRPr="009B30E1">
        <w:rPr>
          <w:bCs w:val="0"/>
          <w:i/>
          <w:color w:val="auto"/>
        </w:rPr>
        <w:t>de minimis</w:t>
      </w:r>
      <w:r w:rsidR="003527A9" w:rsidRPr="00D050E9">
        <w:rPr>
          <w:bCs w:val="0"/>
          <w:color w:val="auto"/>
        </w:rPr>
        <w:t xml:space="preserve"> pomoči</w:t>
      </w:r>
      <w:bookmarkEnd w:id="135"/>
    </w:p>
    <w:p w:rsidR="003527A9" w:rsidRPr="00D050E9" w:rsidRDefault="003527A9" w:rsidP="001D399B">
      <w:pPr>
        <w:spacing w:line="276" w:lineRule="auto"/>
        <w:rPr>
          <w:rFonts w:asciiTheme="minorHAnsi" w:hAnsiTheme="minorHAnsi"/>
        </w:rPr>
      </w:pPr>
      <w:r w:rsidRPr="00D050E9">
        <w:rPr>
          <w:noProof/>
          <w:lang w:eastAsia="sl-SI"/>
        </w:rPr>
        <w:drawing>
          <wp:inline distT="0" distB="0" distL="0" distR="0" wp14:anchorId="62DFE4D4" wp14:editId="425A8703">
            <wp:extent cx="5539740" cy="2857500"/>
            <wp:effectExtent l="0" t="0" r="381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27C1E" w:rsidRPr="00D050E9" w:rsidRDefault="000859F6" w:rsidP="001D399B">
      <w:pPr>
        <w:spacing w:line="276" w:lineRule="auto"/>
        <w:rPr>
          <w:rFonts w:asciiTheme="minorHAnsi" w:hAnsiTheme="minorHAnsi"/>
        </w:rPr>
      </w:pPr>
      <w:r w:rsidRPr="00D050E9">
        <w:rPr>
          <w:rFonts w:asciiTheme="minorHAnsi" w:hAnsiTheme="minorHAnsi"/>
        </w:rPr>
        <w:t>V</w:t>
      </w:r>
      <w:r w:rsidR="00DA2920" w:rsidRPr="00D050E9">
        <w:rPr>
          <w:rFonts w:asciiTheme="minorHAnsi" w:hAnsiTheme="minorHAnsi"/>
        </w:rPr>
        <w:t xml:space="preserve">ečina </w:t>
      </w:r>
      <w:r w:rsidR="00413ABC" w:rsidRPr="00D050E9">
        <w:rPr>
          <w:rFonts w:asciiTheme="minorHAnsi" w:hAnsiTheme="minorHAnsi"/>
        </w:rPr>
        <w:t xml:space="preserve">pomoči </w:t>
      </w:r>
      <w:r w:rsidR="009B30E1" w:rsidRPr="009B30E1">
        <w:rPr>
          <w:rFonts w:asciiTheme="minorHAnsi" w:hAnsiTheme="minorHAnsi"/>
          <w:i/>
        </w:rPr>
        <w:t>de minimis</w:t>
      </w:r>
      <w:r w:rsidR="00413ABC" w:rsidRPr="00D050E9">
        <w:rPr>
          <w:rFonts w:asciiTheme="minorHAnsi" w:hAnsiTheme="minorHAnsi"/>
        </w:rPr>
        <w:t xml:space="preserve"> se</w:t>
      </w:r>
      <w:r w:rsidRPr="00D050E9">
        <w:rPr>
          <w:rFonts w:asciiTheme="minorHAnsi" w:hAnsiTheme="minorHAnsi"/>
        </w:rPr>
        <w:t>, tako kot državne pomoči,</w:t>
      </w:r>
      <w:r w:rsidR="00413ABC" w:rsidRPr="00D050E9">
        <w:rPr>
          <w:rFonts w:asciiTheme="minorHAnsi" w:hAnsiTheme="minorHAnsi"/>
        </w:rPr>
        <w:t xml:space="preserve"> dodeljujejo v obliki </w:t>
      </w:r>
      <w:r w:rsidR="00413ABC" w:rsidRPr="00D050E9">
        <w:rPr>
          <w:rFonts w:asciiTheme="minorHAnsi" w:hAnsiTheme="minorHAnsi"/>
          <w:b/>
        </w:rPr>
        <w:t>subvencij</w:t>
      </w:r>
      <w:r w:rsidRPr="00D050E9">
        <w:rPr>
          <w:rFonts w:asciiTheme="minorHAnsi" w:hAnsiTheme="minorHAnsi"/>
        </w:rPr>
        <w:t>. D</w:t>
      </w:r>
      <w:r w:rsidR="00413ABC" w:rsidRPr="00D050E9">
        <w:rPr>
          <w:rFonts w:asciiTheme="minorHAnsi" w:hAnsiTheme="minorHAnsi"/>
        </w:rPr>
        <w:t xml:space="preserve">elež teh je </w:t>
      </w:r>
      <w:r w:rsidR="00DA2920" w:rsidRPr="00D050E9">
        <w:rPr>
          <w:rFonts w:asciiTheme="minorHAnsi" w:hAnsiTheme="minorHAnsi"/>
        </w:rPr>
        <w:t xml:space="preserve">v letu 2017 </w:t>
      </w:r>
      <w:r w:rsidR="00413ABC" w:rsidRPr="00D050E9">
        <w:rPr>
          <w:rFonts w:asciiTheme="minorHAnsi" w:hAnsiTheme="minorHAnsi"/>
        </w:rPr>
        <w:t xml:space="preserve">znašal slabih </w:t>
      </w:r>
      <w:r w:rsidR="00413ABC" w:rsidRPr="00D050E9">
        <w:rPr>
          <w:rFonts w:asciiTheme="minorHAnsi" w:hAnsiTheme="minorHAnsi"/>
          <w:b/>
        </w:rPr>
        <w:t xml:space="preserve">63 </w:t>
      </w:r>
      <w:r w:rsidR="00DA2920" w:rsidRPr="00D050E9">
        <w:rPr>
          <w:rFonts w:asciiTheme="minorHAnsi" w:hAnsiTheme="minorHAnsi"/>
          <w:b/>
        </w:rPr>
        <w:t>%</w:t>
      </w:r>
      <w:r w:rsidR="00DA2920" w:rsidRPr="00D050E9">
        <w:rPr>
          <w:rFonts w:asciiTheme="minorHAnsi" w:hAnsiTheme="minorHAnsi"/>
        </w:rPr>
        <w:t xml:space="preserve"> </w:t>
      </w:r>
      <w:r w:rsidR="00D27C1E" w:rsidRPr="00D050E9">
        <w:rPr>
          <w:rFonts w:asciiTheme="minorHAnsi" w:hAnsiTheme="minorHAnsi"/>
        </w:rPr>
        <w:t>ali 51,8 mio EUR, kar je za dobrih 11 mio EUR manj kot v letu 2016. Večina subvencij se namenja za zaposlovanje</w:t>
      </w:r>
      <w:r w:rsidR="007F61FE" w:rsidRPr="00D050E9">
        <w:rPr>
          <w:rFonts w:asciiTheme="minorHAnsi" w:hAnsiTheme="minorHAnsi"/>
        </w:rPr>
        <w:t xml:space="preserve"> težje zaposljivih </w:t>
      </w:r>
      <w:r w:rsidR="00D27C1E" w:rsidRPr="00D050E9">
        <w:rPr>
          <w:rFonts w:asciiTheme="minorHAnsi" w:hAnsiTheme="minorHAnsi"/>
        </w:rPr>
        <w:t>delavcev (</w:t>
      </w:r>
      <w:r w:rsidR="00D87986" w:rsidRPr="00D050E9">
        <w:rPr>
          <w:rFonts w:asciiTheme="minorHAnsi" w:hAnsiTheme="minorHAnsi"/>
        </w:rPr>
        <w:t xml:space="preserve">60 % vseh </w:t>
      </w:r>
      <w:r w:rsidR="00D87986" w:rsidRPr="006D1EFC">
        <w:rPr>
          <w:rFonts w:asciiTheme="minorHAnsi" w:hAnsiTheme="minorHAnsi"/>
        </w:rPr>
        <w:t>subvencij</w:t>
      </w:r>
      <w:r w:rsidR="008B6BD7" w:rsidRPr="006D1EFC">
        <w:rPr>
          <w:rFonts w:asciiTheme="minorHAnsi" w:hAnsiTheme="minorHAnsi"/>
        </w:rPr>
        <w:t xml:space="preserve"> </w:t>
      </w:r>
      <w:r w:rsidR="006D1EFC" w:rsidRPr="006D1EFC">
        <w:rPr>
          <w:rFonts w:asciiTheme="minorHAnsi" w:hAnsiTheme="minorHAnsi"/>
        </w:rPr>
        <w:t>ali</w:t>
      </w:r>
      <w:r w:rsidR="00D87986" w:rsidRPr="006D1EFC">
        <w:rPr>
          <w:rFonts w:asciiTheme="minorHAnsi" w:hAnsiTheme="minorHAnsi"/>
        </w:rPr>
        <w:t xml:space="preserve"> </w:t>
      </w:r>
      <w:r w:rsidR="00D27C1E" w:rsidRPr="006D1EFC">
        <w:rPr>
          <w:rFonts w:asciiTheme="minorHAnsi" w:hAnsiTheme="minorHAnsi"/>
        </w:rPr>
        <w:t>30</w:t>
      </w:r>
      <w:r w:rsidR="00D27C1E" w:rsidRPr="00D050E9">
        <w:rPr>
          <w:rFonts w:asciiTheme="minorHAnsi" w:hAnsiTheme="minorHAnsi"/>
        </w:rPr>
        <w:t xml:space="preserve">,8 mio EUR v letu 2017). </w:t>
      </w:r>
    </w:p>
    <w:p w:rsidR="00DA2920" w:rsidRPr="00D050E9" w:rsidRDefault="000859F6" w:rsidP="001D399B">
      <w:pPr>
        <w:spacing w:line="276" w:lineRule="auto"/>
        <w:rPr>
          <w:rFonts w:asciiTheme="minorHAnsi" w:hAnsiTheme="minorHAnsi"/>
        </w:rPr>
      </w:pPr>
      <w:r w:rsidRPr="00D050E9">
        <w:rPr>
          <w:rFonts w:asciiTheme="minorHAnsi" w:hAnsiTheme="minorHAnsi"/>
        </w:rPr>
        <w:t>P</w:t>
      </w:r>
      <w:r w:rsidR="00D27C1E" w:rsidRPr="00D050E9">
        <w:rPr>
          <w:rFonts w:asciiTheme="minorHAnsi" w:hAnsiTheme="minorHAnsi"/>
        </w:rPr>
        <w:t xml:space="preserve">ri </w:t>
      </w:r>
      <w:r w:rsidR="009B30E1" w:rsidRPr="009B30E1">
        <w:rPr>
          <w:rFonts w:asciiTheme="minorHAnsi" w:hAnsiTheme="minorHAnsi"/>
          <w:i/>
        </w:rPr>
        <w:t>de minimis</w:t>
      </w:r>
      <w:r w:rsidR="00413ABC" w:rsidRPr="00D050E9">
        <w:rPr>
          <w:rFonts w:asciiTheme="minorHAnsi" w:hAnsiTheme="minorHAnsi"/>
        </w:rPr>
        <w:t xml:space="preserve"> pomočeh </w:t>
      </w:r>
      <w:r w:rsidR="00D27C1E" w:rsidRPr="00D050E9">
        <w:rPr>
          <w:rFonts w:asciiTheme="minorHAnsi" w:hAnsiTheme="minorHAnsi"/>
        </w:rPr>
        <w:t xml:space="preserve">se </w:t>
      </w:r>
      <w:r w:rsidR="00F20507" w:rsidRPr="00D050E9">
        <w:rPr>
          <w:rFonts w:asciiTheme="minorHAnsi" w:hAnsiTheme="minorHAnsi"/>
        </w:rPr>
        <w:t xml:space="preserve">pogosteje </w:t>
      </w:r>
      <w:r w:rsidR="00413ABC" w:rsidRPr="00D050E9">
        <w:rPr>
          <w:rFonts w:asciiTheme="minorHAnsi" w:hAnsiTheme="minorHAnsi"/>
        </w:rPr>
        <w:t xml:space="preserve">kot pri državnih pomočeh uporabljajo </w:t>
      </w:r>
      <w:r w:rsidR="00413ABC" w:rsidRPr="00D050E9">
        <w:rPr>
          <w:rFonts w:asciiTheme="minorHAnsi" w:hAnsiTheme="minorHAnsi"/>
          <w:b/>
        </w:rPr>
        <w:t>povratne oblike</w:t>
      </w:r>
      <w:r w:rsidR="00413ABC" w:rsidRPr="00D050E9">
        <w:rPr>
          <w:rFonts w:asciiTheme="minorHAnsi" w:hAnsiTheme="minorHAnsi"/>
        </w:rPr>
        <w:t xml:space="preserve"> pomoči, </w:t>
      </w:r>
      <w:r w:rsidR="008D464F" w:rsidRPr="00D050E9">
        <w:rPr>
          <w:rFonts w:asciiTheme="minorHAnsi" w:hAnsiTheme="minorHAnsi"/>
        </w:rPr>
        <w:t>p</w:t>
      </w:r>
      <w:r w:rsidR="00413ABC" w:rsidRPr="00D050E9">
        <w:rPr>
          <w:rFonts w:asciiTheme="minorHAnsi" w:hAnsiTheme="minorHAnsi"/>
        </w:rPr>
        <w:t xml:space="preserve">redstavljale </w:t>
      </w:r>
      <w:r w:rsidR="008D464F" w:rsidRPr="00D050E9">
        <w:rPr>
          <w:rFonts w:asciiTheme="minorHAnsi" w:hAnsiTheme="minorHAnsi"/>
        </w:rPr>
        <w:t xml:space="preserve">so </w:t>
      </w:r>
      <w:r w:rsidR="00D27C1E" w:rsidRPr="00D050E9">
        <w:rPr>
          <w:rFonts w:asciiTheme="minorHAnsi" w:hAnsiTheme="minorHAnsi"/>
        </w:rPr>
        <w:t xml:space="preserve">več kot 20 mio EUR oz. </w:t>
      </w:r>
      <w:r w:rsidR="00413ABC" w:rsidRPr="00D050E9">
        <w:rPr>
          <w:rFonts w:asciiTheme="minorHAnsi" w:hAnsiTheme="minorHAnsi"/>
          <w:b/>
        </w:rPr>
        <w:t>četrtino vseh pomoči</w:t>
      </w:r>
      <w:r w:rsidR="00413ABC" w:rsidRPr="00D050E9">
        <w:rPr>
          <w:rFonts w:asciiTheme="minorHAnsi" w:hAnsiTheme="minorHAnsi"/>
        </w:rPr>
        <w:t xml:space="preserve"> </w:t>
      </w:r>
      <w:r w:rsidR="009B30E1" w:rsidRPr="009B30E1">
        <w:rPr>
          <w:rFonts w:asciiTheme="minorHAnsi" w:hAnsiTheme="minorHAnsi"/>
          <w:i/>
        </w:rPr>
        <w:t>de minimis</w:t>
      </w:r>
      <w:r w:rsidR="001E3122" w:rsidRPr="00D050E9">
        <w:rPr>
          <w:rFonts w:asciiTheme="minorHAnsi" w:hAnsiTheme="minorHAnsi"/>
        </w:rPr>
        <w:t xml:space="preserve"> v letu 2017</w:t>
      </w:r>
      <w:r w:rsidR="00413ABC" w:rsidRPr="00D050E9">
        <w:rPr>
          <w:rFonts w:asciiTheme="minorHAnsi" w:hAnsiTheme="minorHAnsi"/>
        </w:rPr>
        <w:t xml:space="preserve"> (</w:t>
      </w:r>
      <w:r w:rsidR="00F27BCE" w:rsidRPr="00D050E9">
        <w:rPr>
          <w:rFonts w:asciiTheme="minorHAnsi" w:hAnsiTheme="minorHAnsi"/>
        </w:rPr>
        <w:t xml:space="preserve">le </w:t>
      </w:r>
      <w:r w:rsidR="00DA2920" w:rsidRPr="00D050E9">
        <w:rPr>
          <w:rFonts w:asciiTheme="minorHAnsi" w:hAnsiTheme="minorHAnsi"/>
        </w:rPr>
        <w:t>0,2 %</w:t>
      </w:r>
      <w:r w:rsidR="00413ABC" w:rsidRPr="00D050E9">
        <w:rPr>
          <w:rFonts w:asciiTheme="minorHAnsi" w:hAnsiTheme="minorHAnsi"/>
        </w:rPr>
        <w:t xml:space="preserve"> državnih pomoč</w:t>
      </w:r>
      <w:r w:rsidR="00AD2908" w:rsidRPr="00D050E9">
        <w:rPr>
          <w:rFonts w:asciiTheme="minorHAnsi" w:hAnsiTheme="minorHAnsi"/>
        </w:rPr>
        <w:t>i</w:t>
      </w:r>
      <w:r w:rsidR="00413ABC" w:rsidRPr="00D050E9">
        <w:rPr>
          <w:rFonts w:asciiTheme="minorHAnsi" w:hAnsiTheme="minorHAnsi"/>
        </w:rPr>
        <w:t xml:space="preserve">). </w:t>
      </w:r>
      <w:r w:rsidR="00D27C1E" w:rsidRPr="00D050E9">
        <w:rPr>
          <w:rFonts w:asciiTheme="minorHAnsi" w:hAnsiTheme="minorHAnsi"/>
        </w:rPr>
        <w:t xml:space="preserve">Največ ugodnih posojil in garancij je bilo dodeljenih </w:t>
      </w:r>
      <w:r w:rsidR="005B21C6" w:rsidRPr="00D050E9">
        <w:rPr>
          <w:rFonts w:asciiTheme="minorHAnsi" w:hAnsiTheme="minorHAnsi"/>
        </w:rPr>
        <w:t>za spodbude za MSP in tvegano financiranje (ve</w:t>
      </w:r>
      <w:r w:rsidR="00DA2920" w:rsidRPr="00D050E9">
        <w:rPr>
          <w:rFonts w:asciiTheme="minorHAnsi" w:hAnsiTheme="minorHAnsi"/>
        </w:rPr>
        <w:t>č kot 80 %</w:t>
      </w:r>
      <w:r w:rsidR="005B21C6" w:rsidRPr="00D050E9">
        <w:rPr>
          <w:rFonts w:asciiTheme="minorHAnsi" w:hAnsiTheme="minorHAnsi"/>
        </w:rPr>
        <w:t xml:space="preserve"> vseh ugodnih posojil in </w:t>
      </w:r>
      <w:r w:rsidR="00DA2920" w:rsidRPr="00D050E9">
        <w:rPr>
          <w:rFonts w:asciiTheme="minorHAnsi" w:hAnsiTheme="minorHAnsi"/>
        </w:rPr>
        <w:t>več kot 90 %</w:t>
      </w:r>
      <w:r w:rsidR="005B21C6" w:rsidRPr="00D050E9">
        <w:rPr>
          <w:rFonts w:asciiTheme="minorHAnsi" w:hAnsiTheme="minorHAnsi"/>
        </w:rPr>
        <w:t xml:space="preserve"> vseh garancij </w:t>
      </w:r>
      <w:r w:rsidR="009B30E1" w:rsidRPr="009B30E1">
        <w:rPr>
          <w:rFonts w:asciiTheme="minorHAnsi" w:hAnsiTheme="minorHAnsi"/>
          <w:i/>
        </w:rPr>
        <w:t>de minimis</w:t>
      </w:r>
      <w:r w:rsidR="00DA2920" w:rsidRPr="00D050E9">
        <w:rPr>
          <w:rFonts w:asciiTheme="minorHAnsi" w:hAnsiTheme="minorHAnsi"/>
        </w:rPr>
        <w:t xml:space="preserve"> </w:t>
      </w:r>
      <w:r w:rsidR="005B21C6" w:rsidRPr="00D050E9">
        <w:rPr>
          <w:rFonts w:asciiTheme="minorHAnsi" w:hAnsiTheme="minorHAnsi"/>
        </w:rPr>
        <w:t xml:space="preserve">v letu 2017 </w:t>
      </w:r>
      <w:r w:rsidR="00DA2920" w:rsidRPr="00D050E9">
        <w:rPr>
          <w:rFonts w:asciiTheme="minorHAnsi" w:hAnsiTheme="minorHAnsi"/>
        </w:rPr>
        <w:t>se uporablja za</w:t>
      </w:r>
      <w:r w:rsidR="000B72BF" w:rsidRPr="00D050E9">
        <w:rPr>
          <w:rFonts w:asciiTheme="minorHAnsi" w:hAnsiTheme="minorHAnsi"/>
        </w:rPr>
        <w:t xml:space="preserve"> ta namen). </w:t>
      </w:r>
    </w:p>
    <w:p w:rsidR="005B21C6" w:rsidRPr="00D050E9" w:rsidRDefault="005B21C6" w:rsidP="001D399B">
      <w:pPr>
        <w:spacing w:line="276" w:lineRule="auto"/>
        <w:rPr>
          <w:rFonts w:asciiTheme="minorHAnsi" w:hAnsiTheme="minorHAnsi"/>
        </w:rPr>
      </w:pPr>
      <w:r w:rsidRPr="00D050E9">
        <w:rPr>
          <w:rFonts w:asciiTheme="minorHAnsi" w:hAnsiTheme="minorHAnsi"/>
        </w:rPr>
        <w:t xml:space="preserve">Do večje spremembe je prišlo </w:t>
      </w:r>
      <w:r w:rsidR="000B72BF" w:rsidRPr="00D050E9">
        <w:rPr>
          <w:rFonts w:asciiTheme="minorHAnsi" w:hAnsiTheme="minorHAnsi"/>
        </w:rPr>
        <w:t xml:space="preserve">pri </w:t>
      </w:r>
      <w:r w:rsidR="00413ABC" w:rsidRPr="00D050E9">
        <w:rPr>
          <w:rFonts w:asciiTheme="minorHAnsi" w:hAnsiTheme="minorHAnsi"/>
        </w:rPr>
        <w:t xml:space="preserve">uporabi </w:t>
      </w:r>
      <w:r w:rsidR="00784F1D" w:rsidRPr="00D050E9">
        <w:rPr>
          <w:rFonts w:asciiTheme="minorHAnsi" w:hAnsiTheme="minorHAnsi"/>
          <w:b/>
        </w:rPr>
        <w:t>znižanj prispevkov za socialno varnost</w:t>
      </w:r>
      <w:r w:rsidR="00784F1D" w:rsidRPr="00D050E9">
        <w:rPr>
          <w:rFonts w:asciiTheme="minorHAnsi" w:hAnsiTheme="minorHAnsi"/>
        </w:rPr>
        <w:t xml:space="preserve"> </w:t>
      </w:r>
      <w:r w:rsidRPr="00D050E9">
        <w:rPr>
          <w:rFonts w:asciiTheme="minorHAnsi" w:hAnsiTheme="minorHAnsi"/>
        </w:rPr>
        <w:t xml:space="preserve">kot oblike </w:t>
      </w:r>
      <w:r w:rsidR="009B30E1" w:rsidRPr="009B30E1">
        <w:rPr>
          <w:rFonts w:asciiTheme="minorHAnsi" w:hAnsiTheme="minorHAnsi"/>
          <w:i/>
        </w:rPr>
        <w:t>de minimis</w:t>
      </w:r>
      <w:r w:rsidRPr="00D050E9">
        <w:rPr>
          <w:rFonts w:asciiTheme="minorHAnsi" w:hAnsiTheme="minorHAnsi"/>
        </w:rPr>
        <w:t xml:space="preserve"> pomoči. Te pomoči so se povečale za več kot štiri krat glede na leto 2016</w:t>
      </w:r>
      <w:r w:rsidR="00784F1D" w:rsidRPr="00D050E9">
        <w:rPr>
          <w:rFonts w:asciiTheme="minorHAnsi" w:hAnsiTheme="minorHAnsi"/>
        </w:rPr>
        <w:t xml:space="preserve">  in so predstavljale </w:t>
      </w:r>
      <w:r w:rsidR="00784F1D" w:rsidRPr="00D050E9">
        <w:rPr>
          <w:rFonts w:asciiTheme="minorHAnsi" w:hAnsiTheme="minorHAnsi"/>
          <w:b/>
        </w:rPr>
        <w:t>13 %</w:t>
      </w:r>
      <w:r w:rsidR="00784F1D" w:rsidRPr="00D050E9">
        <w:rPr>
          <w:rFonts w:asciiTheme="minorHAnsi" w:hAnsiTheme="minorHAnsi"/>
        </w:rPr>
        <w:t xml:space="preserve"> vse</w:t>
      </w:r>
      <w:r w:rsidR="000B72BF" w:rsidRPr="00D050E9">
        <w:rPr>
          <w:rFonts w:asciiTheme="minorHAnsi" w:hAnsiTheme="minorHAnsi"/>
        </w:rPr>
        <w:t xml:space="preserve">h </w:t>
      </w:r>
      <w:r w:rsidR="009B30E1" w:rsidRPr="009B30E1">
        <w:rPr>
          <w:rFonts w:asciiTheme="minorHAnsi" w:hAnsiTheme="minorHAnsi"/>
          <w:i/>
        </w:rPr>
        <w:t>de minimis</w:t>
      </w:r>
      <w:r w:rsidR="000B72BF" w:rsidRPr="00D050E9">
        <w:rPr>
          <w:rFonts w:asciiTheme="minorHAnsi" w:hAnsiTheme="minorHAnsi"/>
        </w:rPr>
        <w:t xml:space="preserve"> pomoči. V celoti so</w:t>
      </w:r>
      <w:r w:rsidR="00784F1D" w:rsidRPr="00D050E9">
        <w:rPr>
          <w:rFonts w:asciiTheme="minorHAnsi" w:hAnsiTheme="minorHAnsi"/>
        </w:rPr>
        <w:t xml:space="preserve"> se uporabljale na področju kulture</w:t>
      </w:r>
      <w:r w:rsidR="000859F6" w:rsidRPr="00D050E9">
        <w:rPr>
          <w:rFonts w:asciiTheme="minorHAnsi" w:hAnsiTheme="minorHAnsi"/>
        </w:rPr>
        <w:t>, in sicer</w:t>
      </w:r>
      <w:r w:rsidR="000B72BF" w:rsidRPr="00D050E9">
        <w:rPr>
          <w:rFonts w:asciiTheme="minorHAnsi" w:hAnsiTheme="minorHAnsi"/>
        </w:rPr>
        <w:t xml:space="preserve"> kot </w:t>
      </w:r>
      <w:r w:rsidR="00784F1D" w:rsidRPr="00D050E9">
        <w:rPr>
          <w:rFonts w:asciiTheme="minorHAnsi" w:hAnsiTheme="minorHAnsi"/>
        </w:rPr>
        <w:t xml:space="preserve">plačila prispevkov za socialno varnost za samozaposlene v kulturi. </w:t>
      </w:r>
    </w:p>
    <w:p w:rsidR="00D87986" w:rsidRPr="00D050E9" w:rsidRDefault="00D87986" w:rsidP="005B21C6">
      <w:pPr>
        <w:spacing w:line="276" w:lineRule="auto"/>
        <w:rPr>
          <w:rFonts w:asciiTheme="minorHAnsi" w:hAnsiTheme="minorHAnsi"/>
        </w:rPr>
      </w:pPr>
    </w:p>
    <w:p w:rsidR="006665DD" w:rsidRPr="00D050E9" w:rsidRDefault="006665DD" w:rsidP="005B21C6">
      <w:pPr>
        <w:spacing w:line="276" w:lineRule="auto"/>
        <w:rPr>
          <w:rFonts w:asciiTheme="minorHAnsi" w:hAnsiTheme="minorHAnsi"/>
        </w:rPr>
      </w:pPr>
    </w:p>
    <w:p w:rsidR="00D87986" w:rsidRPr="00D050E9" w:rsidRDefault="00D87986" w:rsidP="005B21C6">
      <w:pPr>
        <w:spacing w:line="276" w:lineRule="auto"/>
        <w:rPr>
          <w:rFonts w:asciiTheme="minorHAnsi" w:hAnsiTheme="minorHAnsi"/>
        </w:rPr>
      </w:pPr>
    </w:p>
    <w:p w:rsidR="00D87986" w:rsidRPr="00D050E9" w:rsidRDefault="00D87986" w:rsidP="005B21C6">
      <w:pPr>
        <w:spacing w:line="276" w:lineRule="auto"/>
        <w:rPr>
          <w:rFonts w:asciiTheme="minorHAnsi" w:hAnsiTheme="minorHAnsi"/>
        </w:rPr>
      </w:pPr>
    </w:p>
    <w:p w:rsidR="00D87986" w:rsidRPr="00D050E9" w:rsidRDefault="00D87986" w:rsidP="005B21C6">
      <w:pPr>
        <w:spacing w:line="276" w:lineRule="auto"/>
        <w:rPr>
          <w:rFonts w:asciiTheme="minorHAnsi" w:hAnsiTheme="minorHAnsi"/>
        </w:rPr>
      </w:pPr>
    </w:p>
    <w:p w:rsidR="006665DD" w:rsidRPr="00D050E9" w:rsidRDefault="006665DD" w:rsidP="006665DD">
      <w:pPr>
        <w:pStyle w:val="Caption"/>
        <w:rPr>
          <w:color w:val="auto"/>
        </w:rPr>
      </w:pPr>
      <w:bookmarkStart w:id="136" w:name="_Toc530654672"/>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57</w:t>
      </w:r>
      <w:r w:rsidRPr="00D050E9">
        <w:rPr>
          <w:color w:val="auto"/>
        </w:rPr>
        <w:fldChar w:fldCharType="end"/>
      </w:r>
      <w:r w:rsidR="005B21C6" w:rsidRPr="00D050E9">
        <w:rPr>
          <w:color w:val="auto"/>
        </w:rPr>
        <w:t xml:space="preserve">: Struktura </w:t>
      </w:r>
      <w:r w:rsidR="009B30E1" w:rsidRPr="009B30E1">
        <w:rPr>
          <w:i/>
          <w:color w:val="auto"/>
        </w:rPr>
        <w:t>de minimis</w:t>
      </w:r>
      <w:r w:rsidR="005B21C6" w:rsidRPr="00D050E9">
        <w:rPr>
          <w:color w:val="auto"/>
        </w:rPr>
        <w:t xml:space="preserve"> pomoči po instrumentu pomoči, 2008–2017</w:t>
      </w:r>
      <w:bookmarkEnd w:id="136"/>
    </w:p>
    <w:p w:rsidR="006665DD" w:rsidRPr="00D050E9" w:rsidRDefault="006665DD" w:rsidP="006665DD">
      <w:pPr>
        <w:spacing w:after="0"/>
        <w:rPr>
          <w:lang w:bidi="hi-IN"/>
        </w:rPr>
      </w:pPr>
    </w:p>
    <w:p w:rsidR="005B21C6" w:rsidRPr="00D050E9" w:rsidRDefault="006665DD" w:rsidP="006665DD">
      <w:pPr>
        <w:pStyle w:val="Caption"/>
        <w:rPr>
          <w:color w:val="auto"/>
        </w:rPr>
      </w:pPr>
      <w:r w:rsidRPr="00D050E9">
        <w:rPr>
          <w:noProof/>
          <w:lang w:eastAsia="sl-SI" w:bidi="ar-SA"/>
        </w:rPr>
        <w:drawing>
          <wp:inline distT="0" distB="0" distL="0" distR="0" wp14:anchorId="25FA4A72" wp14:editId="0E06AE6A">
            <wp:extent cx="5448300" cy="284226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665DD" w:rsidRPr="00D050E9" w:rsidRDefault="006665DD" w:rsidP="006665DD">
      <w:pPr>
        <w:spacing w:after="0" w:line="276" w:lineRule="auto"/>
        <w:rPr>
          <w:rFonts w:asciiTheme="minorHAnsi" w:hAnsiTheme="minorHAnsi"/>
        </w:rPr>
      </w:pPr>
    </w:p>
    <w:p w:rsidR="00AC3FDD" w:rsidRPr="00D050E9" w:rsidRDefault="006665DD" w:rsidP="00AC3FDD">
      <w:pPr>
        <w:spacing w:line="276" w:lineRule="auto"/>
        <w:rPr>
          <w:rFonts w:asciiTheme="minorHAnsi" w:hAnsiTheme="minorHAnsi"/>
        </w:rPr>
      </w:pPr>
      <w:r w:rsidRPr="00D050E9">
        <w:rPr>
          <w:rFonts w:asciiTheme="minorHAnsi" w:hAnsiTheme="minorHAnsi"/>
        </w:rPr>
        <w:t xml:space="preserve">Večino </w:t>
      </w:r>
      <w:r w:rsidR="009B30E1" w:rsidRPr="009B30E1">
        <w:rPr>
          <w:rFonts w:asciiTheme="minorHAnsi" w:hAnsiTheme="minorHAnsi"/>
          <w:i/>
        </w:rPr>
        <w:t>de minimis</w:t>
      </w:r>
      <w:r w:rsidR="00D87986" w:rsidRPr="00D050E9">
        <w:rPr>
          <w:rFonts w:asciiTheme="minorHAnsi" w:hAnsiTheme="minorHAnsi"/>
        </w:rPr>
        <w:t xml:space="preserve"> pomoči, </w:t>
      </w:r>
      <w:r w:rsidR="00AC3FDD" w:rsidRPr="00D050E9">
        <w:rPr>
          <w:rFonts w:asciiTheme="minorHAnsi" w:hAnsiTheme="minorHAnsi"/>
        </w:rPr>
        <w:t xml:space="preserve">okoli </w:t>
      </w:r>
      <w:r w:rsidR="00AC3FDD" w:rsidRPr="00D050E9">
        <w:rPr>
          <w:rFonts w:asciiTheme="minorHAnsi" w:hAnsiTheme="minorHAnsi"/>
          <w:b/>
        </w:rPr>
        <w:t>92 %</w:t>
      </w:r>
      <w:r w:rsidR="00AC3FDD" w:rsidRPr="00D050E9">
        <w:rPr>
          <w:rFonts w:asciiTheme="minorHAnsi" w:hAnsiTheme="minorHAnsi"/>
        </w:rPr>
        <w:t xml:space="preserve"> teh pomoči v letih </w:t>
      </w:r>
      <w:r w:rsidR="00F474CF" w:rsidRPr="00F474CF">
        <w:rPr>
          <w:rFonts w:asciiTheme="minorHAnsi" w:hAnsiTheme="minorHAnsi"/>
          <w:i/>
        </w:rPr>
        <w:t>2015–2017</w:t>
      </w:r>
      <w:r w:rsidR="00AC3FDD" w:rsidRPr="00D050E9">
        <w:rPr>
          <w:rFonts w:asciiTheme="minorHAnsi" w:hAnsiTheme="minorHAnsi"/>
        </w:rPr>
        <w:t xml:space="preserve">, </w:t>
      </w:r>
      <w:r w:rsidR="00D87986" w:rsidRPr="00D050E9">
        <w:rPr>
          <w:rFonts w:asciiTheme="minorHAnsi" w:hAnsiTheme="minorHAnsi"/>
        </w:rPr>
        <w:t xml:space="preserve">so </w:t>
      </w:r>
      <w:r w:rsidR="00AC3FDD" w:rsidRPr="00D050E9">
        <w:rPr>
          <w:rFonts w:asciiTheme="minorHAnsi" w:hAnsiTheme="minorHAnsi"/>
        </w:rPr>
        <w:t>dodelila ministrstva, javni</w:t>
      </w:r>
      <w:r w:rsidR="00FD502D">
        <w:rPr>
          <w:rFonts w:asciiTheme="minorHAnsi" w:hAnsiTheme="minorHAnsi"/>
        </w:rPr>
        <w:t xml:space="preserve"> zavodi,</w:t>
      </w:r>
      <w:r w:rsidR="00AC3FDD" w:rsidRPr="00D050E9">
        <w:rPr>
          <w:rFonts w:asciiTheme="minorHAnsi" w:hAnsiTheme="minorHAnsi"/>
        </w:rPr>
        <w:t xml:space="preserve"> skladi in agencije </w:t>
      </w:r>
      <w:r w:rsidR="00AC3FDD" w:rsidRPr="00D050E9">
        <w:rPr>
          <w:rFonts w:asciiTheme="minorHAnsi" w:hAnsiTheme="minorHAnsi"/>
          <w:b/>
        </w:rPr>
        <w:t>na ravni države</w:t>
      </w:r>
      <w:r w:rsidR="00AC3FDD" w:rsidRPr="00D050E9">
        <w:rPr>
          <w:rFonts w:asciiTheme="minorHAnsi" w:hAnsiTheme="minorHAnsi"/>
        </w:rPr>
        <w:t xml:space="preserve">. Občine in drugi dajalci pomoči </w:t>
      </w:r>
      <w:r w:rsidR="00AC3FDD" w:rsidRPr="00D050E9">
        <w:rPr>
          <w:rFonts w:asciiTheme="minorHAnsi" w:hAnsiTheme="minorHAnsi"/>
          <w:b/>
        </w:rPr>
        <w:t>na lokalni in regionalni ravni</w:t>
      </w:r>
      <w:r w:rsidR="00AC3FDD" w:rsidRPr="00D050E9">
        <w:rPr>
          <w:rFonts w:asciiTheme="minorHAnsi" w:hAnsiTheme="minorHAnsi"/>
        </w:rPr>
        <w:t xml:space="preserve"> (lokalne in regionalne agencije, skladi) so dodelili okoli </w:t>
      </w:r>
      <w:r w:rsidR="00AC3FDD" w:rsidRPr="00D050E9">
        <w:rPr>
          <w:rFonts w:asciiTheme="minorHAnsi" w:hAnsiTheme="minorHAnsi"/>
          <w:b/>
        </w:rPr>
        <w:t>8 %</w:t>
      </w:r>
      <w:r w:rsidR="00AC3FDD" w:rsidRPr="00D050E9">
        <w:rPr>
          <w:rFonts w:asciiTheme="minorHAnsi" w:hAnsiTheme="minorHAnsi"/>
        </w:rPr>
        <w:t xml:space="preserve"> vseh </w:t>
      </w:r>
      <w:r w:rsidR="009B30E1" w:rsidRPr="009B30E1">
        <w:rPr>
          <w:rFonts w:asciiTheme="minorHAnsi" w:hAnsiTheme="minorHAnsi"/>
          <w:i/>
        </w:rPr>
        <w:t>de minimis</w:t>
      </w:r>
      <w:r w:rsidR="00AC3FDD" w:rsidRPr="00D050E9">
        <w:rPr>
          <w:rFonts w:asciiTheme="minorHAnsi" w:hAnsiTheme="minorHAnsi"/>
        </w:rPr>
        <w:t xml:space="preserve"> pomoči oz.</w:t>
      </w:r>
      <w:r w:rsidR="00D87986" w:rsidRPr="00D050E9">
        <w:rPr>
          <w:rFonts w:asciiTheme="minorHAnsi" w:hAnsiTheme="minorHAnsi"/>
        </w:rPr>
        <w:t xml:space="preserve"> povprečno</w:t>
      </w:r>
      <w:r w:rsidR="00AC3FDD" w:rsidRPr="00D050E9">
        <w:rPr>
          <w:rFonts w:asciiTheme="minorHAnsi" w:hAnsiTheme="minorHAnsi"/>
        </w:rPr>
        <w:t xml:space="preserve"> 5,5 mio EUR na leto v zadnjem tri letnem obdobju. Obseg pomoči </w:t>
      </w:r>
      <w:r w:rsidR="009B30E1" w:rsidRPr="009B30E1">
        <w:rPr>
          <w:rFonts w:asciiTheme="minorHAnsi" w:hAnsiTheme="minorHAnsi"/>
          <w:i/>
        </w:rPr>
        <w:t>de minimis</w:t>
      </w:r>
      <w:r w:rsidR="00AC3FDD" w:rsidRPr="00D050E9">
        <w:rPr>
          <w:rFonts w:asciiTheme="minorHAnsi" w:hAnsiTheme="minorHAnsi"/>
        </w:rPr>
        <w:t xml:space="preserve"> na lokalni ravni je relativno stabilen, medtem ko se obseg pomoči de mimimis, ki ga izplačujejo dajalci na državni ravni precej spreminja, od 28 mio EUR v letu 2015 do skoraj 80 mio EUR v letu 2016. </w:t>
      </w:r>
    </w:p>
    <w:p w:rsidR="00D436AD" w:rsidRPr="00D050E9" w:rsidRDefault="00D436AD" w:rsidP="001D399B">
      <w:pPr>
        <w:spacing w:line="276" w:lineRule="auto"/>
        <w:rPr>
          <w:rFonts w:asciiTheme="minorHAnsi" w:hAnsiTheme="minorHAnsi"/>
        </w:rPr>
      </w:pPr>
      <w:r w:rsidRPr="00D050E9">
        <w:rPr>
          <w:rFonts w:asciiTheme="minorHAnsi" w:hAnsiTheme="minorHAnsi"/>
        </w:rPr>
        <w:t xml:space="preserve">Slika: Struktura </w:t>
      </w:r>
      <w:r w:rsidR="009B30E1" w:rsidRPr="009B30E1">
        <w:rPr>
          <w:rFonts w:asciiTheme="minorHAnsi" w:hAnsiTheme="minorHAnsi"/>
          <w:i/>
        </w:rPr>
        <w:t>de minimis</w:t>
      </w:r>
      <w:r w:rsidRPr="00D050E9">
        <w:rPr>
          <w:rFonts w:asciiTheme="minorHAnsi" w:hAnsiTheme="minorHAnsi"/>
        </w:rPr>
        <w:t xml:space="preserve"> pomoči glede na nivo dajalca pomoči, 2008–2017</w:t>
      </w:r>
    </w:p>
    <w:p w:rsidR="00D436AD" w:rsidRPr="00D050E9" w:rsidRDefault="00D436AD" w:rsidP="001D399B">
      <w:pPr>
        <w:spacing w:line="276" w:lineRule="auto"/>
        <w:rPr>
          <w:rFonts w:asciiTheme="minorHAnsi" w:hAnsiTheme="minorHAnsi"/>
        </w:rPr>
      </w:pPr>
      <w:r w:rsidRPr="00D050E9">
        <w:rPr>
          <w:noProof/>
          <w:lang w:eastAsia="sl-SI"/>
        </w:rPr>
        <w:drawing>
          <wp:inline distT="0" distB="0" distL="0" distR="0" wp14:anchorId="315DD86C" wp14:editId="78447EBF">
            <wp:extent cx="5334000" cy="2773680"/>
            <wp:effectExtent l="0" t="0" r="0" b="76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C3FDD" w:rsidRPr="00D050E9" w:rsidRDefault="00AC3FDD" w:rsidP="006E1CD1">
      <w:pPr>
        <w:spacing w:line="276" w:lineRule="auto"/>
        <w:rPr>
          <w:rFonts w:asciiTheme="minorHAnsi" w:hAnsiTheme="minorHAnsi"/>
        </w:rPr>
      </w:pPr>
    </w:p>
    <w:p w:rsidR="00AC3FDD" w:rsidRPr="00D050E9" w:rsidRDefault="00AC3FDD" w:rsidP="006E1CD1">
      <w:pPr>
        <w:spacing w:line="276" w:lineRule="auto"/>
        <w:rPr>
          <w:rFonts w:asciiTheme="minorHAnsi" w:hAnsiTheme="minorHAnsi"/>
        </w:rPr>
      </w:pPr>
    </w:p>
    <w:p w:rsidR="00AC3FDD" w:rsidRPr="00D050E9" w:rsidRDefault="00AC3FDD" w:rsidP="00AC3FDD">
      <w:pPr>
        <w:spacing w:after="0" w:line="276" w:lineRule="auto"/>
        <w:rPr>
          <w:rFonts w:asciiTheme="minorHAnsi" w:hAnsiTheme="minorHAnsi"/>
        </w:rPr>
      </w:pPr>
      <w:r w:rsidRPr="00D050E9">
        <w:rPr>
          <w:rFonts w:asciiTheme="minorHAnsi" w:hAnsiTheme="minorHAnsi"/>
        </w:rPr>
        <w:t xml:space="preserve">Največji dajalci </w:t>
      </w:r>
      <w:r w:rsidRPr="00D050E9">
        <w:rPr>
          <w:rFonts w:asciiTheme="minorHAnsi" w:hAnsiTheme="minorHAnsi"/>
          <w:i/>
        </w:rPr>
        <w:t xml:space="preserve">de minimis </w:t>
      </w:r>
      <w:r w:rsidR="00D87986" w:rsidRPr="00D050E9">
        <w:rPr>
          <w:rFonts w:asciiTheme="minorHAnsi" w:hAnsiTheme="minorHAnsi"/>
        </w:rPr>
        <w:t>pomoči so Zavod za zaposlovanje</w:t>
      </w:r>
      <w:r w:rsidRPr="00D050E9">
        <w:rPr>
          <w:rFonts w:asciiTheme="minorHAnsi" w:hAnsiTheme="minorHAnsi"/>
        </w:rPr>
        <w:t xml:space="preserve"> (</w:t>
      </w:r>
      <w:r w:rsidR="006D1EFC">
        <w:rPr>
          <w:rFonts w:asciiTheme="minorHAnsi" w:hAnsiTheme="minorHAnsi"/>
        </w:rPr>
        <w:t xml:space="preserve">pomoč </w:t>
      </w:r>
      <w:r w:rsidRPr="00D050E9">
        <w:rPr>
          <w:rFonts w:asciiTheme="minorHAnsi" w:hAnsiTheme="minorHAnsi"/>
        </w:rPr>
        <w:t>za zaposlovanje prikrajšanih delavcev v obliki subvencij plač), Javni sklad RS za podjetništvo (</w:t>
      </w:r>
      <w:r w:rsidR="006D1EFC">
        <w:rPr>
          <w:rFonts w:asciiTheme="minorHAnsi" w:hAnsiTheme="minorHAnsi"/>
        </w:rPr>
        <w:t>pomoč z</w:t>
      </w:r>
      <w:r w:rsidRPr="00D050E9">
        <w:rPr>
          <w:rFonts w:asciiTheme="minorHAnsi" w:hAnsiTheme="minorHAnsi"/>
        </w:rPr>
        <w:t>a naložbe in zaposlovanje za MSP, pomoč</w:t>
      </w:r>
      <w:r w:rsidR="006D1EFC">
        <w:rPr>
          <w:rFonts w:asciiTheme="minorHAnsi" w:hAnsiTheme="minorHAnsi"/>
        </w:rPr>
        <w:t xml:space="preserve"> za mlada inovativna podjetja ter regionalne pomoči)</w:t>
      </w:r>
      <w:r w:rsidRPr="00D050E9">
        <w:rPr>
          <w:rFonts w:asciiTheme="minorHAnsi" w:hAnsiTheme="minorHAnsi"/>
        </w:rPr>
        <w:t xml:space="preserve">, v letu 2017 pa tudi Ministrstvo za kulturo (plačilo prispevkov za socialno varnost za samozaposlene v kulturi). Skupaj s SID banko (pomoč za naložbe in zaposlovanje za MSP) ter Ministrstvom za gospodarski razvoj in tehnologijo (za regionalne pomoči – naložbe in ustvarjanje novih delovnih mest) so ti dajalci izplačali 86 % vseh </w:t>
      </w:r>
      <w:r w:rsidR="009B30E1" w:rsidRPr="009B30E1">
        <w:rPr>
          <w:rFonts w:asciiTheme="minorHAnsi" w:hAnsiTheme="minorHAnsi"/>
          <w:i/>
        </w:rPr>
        <w:t>de minimis</w:t>
      </w:r>
      <w:r w:rsidRPr="00D050E9">
        <w:rPr>
          <w:rFonts w:asciiTheme="minorHAnsi" w:hAnsiTheme="minorHAnsi"/>
        </w:rPr>
        <w:t xml:space="preserve"> pomoči v letu 2017 (84 % v letih 2015–2017). </w:t>
      </w:r>
    </w:p>
    <w:p w:rsidR="00A00371" w:rsidRPr="00D050E9" w:rsidRDefault="00A00371" w:rsidP="00A00371">
      <w:pPr>
        <w:spacing w:after="0"/>
        <w:rPr>
          <w:rFonts w:asciiTheme="minorHAnsi" w:hAnsiTheme="minorHAnsi"/>
        </w:rPr>
      </w:pPr>
    </w:p>
    <w:p w:rsidR="006E1CD1" w:rsidRPr="00D050E9" w:rsidRDefault="006665DD" w:rsidP="006665DD">
      <w:pPr>
        <w:pStyle w:val="Caption"/>
        <w:rPr>
          <w:color w:val="auto"/>
        </w:rPr>
      </w:pPr>
      <w:bookmarkStart w:id="137" w:name="_Toc530654609"/>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25</w:t>
      </w:r>
      <w:r w:rsidRPr="00D050E9">
        <w:rPr>
          <w:color w:val="auto"/>
        </w:rPr>
        <w:fldChar w:fldCharType="end"/>
      </w:r>
      <w:r w:rsidRPr="00D050E9">
        <w:rPr>
          <w:color w:val="auto"/>
        </w:rPr>
        <w:t xml:space="preserve">: </w:t>
      </w:r>
      <w:r w:rsidR="003D6AB2" w:rsidRPr="00D050E9">
        <w:rPr>
          <w:color w:val="auto"/>
        </w:rPr>
        <w:t>N</w:t>
      </w:r>
      <w:r w:rsidR="006E1CD1" w:rsidRPr="00D050E9">
        <w:rPr>
          <w:color w:val="auto"/>
        </w:rPr>
        <w:t xml:space="preserve">ajvečji dajalci </w:t>
      </w:r>
      <w:r w:rsidR="009B30E1" w:rsidRPr="009B30E1">
        <w:rPr>
          <w:i/>
          <w:color w:val="auto"/>
        </w:rPr>
        <w:t>de minimis</w:t>
      </w:r>
      <w:r w:rsidR="006E1CD1" w:rsidRPr="00D050E9">
        <w:rPr>
          <w:color w:val="auto"/>
        </w:rPr>
        <w:t xml:space="preserve"> pomoči, 2015–2017</w:t>
      </w:r>
      <w:bookmarkEnd w:id="137"/>
    </w:p>
    <w:p w:rsidR="006665DD" w:rsidRPr="00D050E9" w:rsidRDefault="006665DD" w:rsidP="006665DD">
      <w:pPr>
        <w:spacing w:after="0"/>
        <w:rPr>
          <w:lang w:bidi="hi-IN"/>
        </w:rPr>
      </w:pPr>
    </w:p>
    <w:tbl>
      <w:tblPr>
        <w:tblStyle w:val="LightGrid-Accent5"/>
        <w:tblW w:w="0" w:type="auto"/>
        <w:tblLayout w:type="fixed"/>
        <w:tblLook w:val="04A0" w:firstRow="1" w:lastRow="0" w:firstColumn="1" w:lastColumn="0" w:noHBand="0" w:noVBand="1"/>
      </w:tblPr>
      <w:tblGrid>
        <w:gridCol w:w="3510"/>
        <w:gridCol w:w="1134"/>
        <w:gridCol w:w="993"/>
        <w:gridCol w:w="1148"/>
        <w:gridCol w:w="1120"/>
        <w:gridCol w:w="1383"/>
      </w:tblGrid>
      <w:tr w:rsidR="00540A18" w:rsidRPr="00D050E9" w:rsidTr="00006BCD">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6E1CD1" w:rsidRPr="00D050E9" w:rsidRDefault="006E1CD1" w:rsidP="00540A18">
            <w:pPr>
              <w:jc w:val="left"/>
              <w:rPr>
                <w:rFonts w:ascii="Calibri" w:eastAsia="Times New Roman" w:hAnsi="Calibri" w:cs="Arial"/>
                <w:color w:val="003366"/>
                <w:sz w:val="18"/>
                <w:szCs w:val="18"/>
                <w:lang w:eastAsia="sl-SI"/>
              </w:rPr>
            </w:pPr>
            <w:r w:rsidRPr="00D050E9">
              <w:rPr>
                <w:rFonts w:ascii="Calibri" w:eastAsia="Times New Roman" w:hAnsi="Calibri" w:cs="Arial"/>
                <w:color w:val="003366"/>
                <w:sz w:val="18"/>
                <w:szCs w:val="18"/>
                <w:lang w:eastAsia="sl-SI"/>
              </w:rPr>
              <w:t>Dajalec</w:t>
            </w:r>
          </w:p>
        </w:tc>
        <w:tc>
          <w:tcPr>
            <w:tcW w:w="1134" w:type="dxa"/>
            <w:vAlign w:val="center"/>
            <w:hideMark/>
          </w:tcPr>
          <w:p w:rsidR="006E1CD1" w:rsidRPr="00D050E9" w:rsidRDefault="006E1CD1"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w:t>
            </w:r>
          </w:p>
          <w:p w:rsidR="00540A18" w:rsidRPr="00D050E9" w:rsidRDefault="00540A18"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 mio EUR</w:t>
            </w:r>
          </w:p>
        </w:tc>
        <w:tc>
          <w:tcPr>
            <w:tcW w:w="993" w:type="dxa"/>
            <w:vAlign w:val="center"/>
            <w:hideMark/>
          </w:tcPr>
          <w:p w:rsidR="006E1CD1" w:rsidRPr="00D050E9" w:rsidRDefault="006E1CD1"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2016</w:t>
            </w:r>
          </w:p>
          <w:p w:rsidR="00540A18" w:rsidRPr="00D050E9" w:rsidRDefault="00540A18"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 mio EUR</w:t>
            </w:r>
          </w:p>
        </w:tc>
        <w:tc>
          <w:tcPr>
            <w:tcW w:w="1148" w:type="dxa"/>
            <w:vAlign w:val="center"/>
            <w:hideMark/>
          </w:tcPr>
          <w:p w:rsidR="006E1CD1" w:rsidRPr="00D050E9" w:rsidRDefault="006E1CD1"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w:t>
            </w:r>
          </w:p>
          <w:p w:rsidR="00540A18" w:rsidRPr="00D050E9" w:rsidRDefault="00540A18"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 mio EUR</w:t>
            </w:r>
          </w:p>
        </w:tc>
        <w:tc>
          <w:tcPr>
            <w:tcW w:w="1120" w:type="dxa"/>
            <w:vAlign w:val="center"/>
            <w:hideMark/>
          </w:tcPr>
          <w:p w:rsidR="006E1CD1" w:rsidRPr="00D050E9" w:rsidRDefault="006E1CD1"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Delež</w:t>
            </w:r>
            <w:r w:rsidR="00540A18" w:rsidRPr="00D050E9">
              <w:rPr>
                <w:rFonts w:ascii="Calibri" w:eastAsia="Times New Roman" w:hAnsi="Calibri" w:cs="Arial"/>
                <w:color w:val="000000"/>
                <w:sz w:val="18"/>
                <w:szCs w:val="18"/>
                <w:lang w:eastAsia="sl-SI"/>
              </w:rPr>
              <w:t xml:space="preserve"> </w:t>
            </w:r>
            <w:r w:rsidR="00006BCD">
              <w:rPr>
                <w:rFonts w:ascii="Calibri" w:eastAsia="Times New Roman" w:hAnsi="Calibri" w:cs="Arial"/>
                <w:color w:val="000000"/>
                <w:sz w:val="18"/>
                <w:szCs w:val="18"/>
                <w:lang w:eastAsia="sl-SI"/>
              </w:rPr>
              <w:t xml:space="preserve">       </w:t>
            </w:r>
            <w:r w:rsidR="00540A18" w:rsidRPr="00006BCD">
              <w:rPr>
                <w:rFonts w:ascii="Calibri" w:eastAsia="Times New Roman" w:hAnsi="Calibri" w:cs="Arial"/>
                <w:i/>
                <w:color w:val="000000"/>
                <w:sz w:val="18"/>
                <w:szCs w:val="18"/>
                <w:lang w:eastAsia="sl-SI"/>
              </w:rPr>
              <w:t>de minimis</w:t>
            </w:r>
            <w:r w:rsidR="00540A18" w:rsidRPr="00D050E9">
              <w:rPr>
                <w:rFonts w:ascii="Calibri" w:eastAsia="Times New Roman" w:hAnsi="Calibri" w:cs="Arial"/>
                <w:color w:val="000000"/>
                <w:sz w:val="18"/>
                <w:szCs w:val="18"/>
                <w:lang w:eastAsia="sl-SI"/>
              </w:rPr>
              <w:t xml:space="preserve"> pomoči </w:t>
            </w:r>
            <w:r w:rsidRPr="00D050E9">
              <w:rPr>
                <w:rFonts w:ascii="Calibri" w:eastAsia="Times New Roman" w:hAnsi="Calibri" w:cs="Arial"/>
                <w:color w:val="000000"/>
                <w:sz w:val="18"/>
                <w:szCs w:val="18"/>
                <w:lang w:eastAsia="sl-SI"/>
              </w:rPr>
              <w:t xml:space="preserve"> 2017</w:t>
            </w:r>
          </w:p>
        </w:tc>
        <w:tc>
          <w:tcPr>
            <w:tcW w:w="1383" w:type="dxa"/>
            <w:vAlign w:val="center"/>
            <w:hideMark/>
          </w:tcPr>
          <w:p w:rsidR="00540A18" w:rsidRPr="00D050E9" w:rsidRDefault="006E1CD1"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Delež</w:t>
            </w:r>
            <w:r w:rsidR="00006BCD">
              <w:rPr>
                <w:rFonts w:ascii="Calibri" w:eastAsia="Times New Roman" w:hAnsi="Calibri" w:cs="Arial"/>
                <w:color w:val="000000"/>
                <w:sz w:val="18"/>
                <w:szCs w:val="18"/>
                <w:lang w:eastAsia="sl-SI"/>
              </w:rPr>
              <w:t xml:space="preserve">               </w:t>
            </w:r>
            <w:r w:rsidRPr="00D050E9">
              <w:rPr>
                <w:rFonts w:ascii="Calibri" w:eastAsia="Times New Roman" w:hAnsi="Calibri" w:cs="Arial"/>
                <w:color w:val="000000"/>
                <w:sz w:val="18"/>
                <w:szCs w:val="18"/>
                <w:lang w:eastAsia="sl-SI"/>
              </w:rPr>
              <w:t xml:space="preserve"> </w:t>
            </w:r>
            <w:r w:rsidR="00540A18" w:rsidRPr="00006BCD">
              <w:rPr>
                <w:rFonts w:ascii="Calibri" w:eastAsia="Times New Roman" w:hAnsi="Calibri" w:cs="Arial"/>
                <w:i/>
                <w:color w:val="000000"/>
                <w:sz w:val="18"/>
                <w:szCs w:val="18"/>
                <w:lang w:eastAsia="sl-SI"/>
              </w:rPr>
              <w:t>de minmis</w:t>
            </w:r>
            <w:r w:rsidR="00540A18" w:rsidRPr="00D050E9">
              <w:rPr>
                <w:rFonts w:ascii="Calibri" w:eastAsia="Times New Roman" w:hAnsi="Calibri" w:cs="Arial"/>
                <w:color w:val="000000"/>
                <w:sz w:val="18"/>
                <w:szCs w:val="18"/>
                <w:lang w:eastAsia="sl-SI"/>
              </w:rPr>
              <w:t xml:space="preserve"> pomoči</w:t>
            </w:r>
          </w:p>
          <w:p w:rsidR="006E1CD1" w:rsidRPr="00D050E9" w:rsidRDefault="006E1CD1" w:rsidP="00540A1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2015-2017</w:t>
            </w:r>
          </w:p>
        </w:tc>
      </w:tr>
      <w:tr w:rsidR="00540A18" w:rsidRPr="00D050E9" w:rsidTr="00006BC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0" w:type="dxa"/>
            <w:noWrap/>
            <w:hideMark/>
          </w:tcPr>
          <w:p w:rsidR="006E1CD1" w:rsidRPr="00D050E9" w:rsidRDefault="006E1CD1" w:rsidP="006E1CD1">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ZAVOD REPUBLIKE SLOVENIJE ZA ZAPOSLOVANJE</w:t>
            </w:r>
          </w:p>
        </w:tc>
        <w:tc>
          <w:tcPr>
            <w:tcW w:w="1134"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5,44</w:t>
            </w:r>
          </w:p>
        </w:tc>
        <w:tc>
          <w:tcPr>
            <w:tcW w:w="993"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42,38</w:t>
            </w:r>
          </w:p>
        </w:tc>
        <w:tc>
          <w:tcPr>
            <w:tcW w:w="1148"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29,70</w:t>
            </w:r>
          </w:p>
        </w:tc>
        <w:tc>
          <w:tcPr>
            <w:tcW w:w="1120"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w:t>
            </w:r>
          </w:p>
        </w:tc>
        <w:tc>
          <w:tcPr>
            <w:tcW w:w="1383"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w:t>
            </w:r>
          </w:p>
        </w:tc>
      </w:tr>
      <w:tr w:rsidR="00540A18" w:rsidRPr="00D050E9" w:rsidTr="00006BCD">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0" w:type="dxa"/>
            <w:noWrap/>
            <w:hideMark/>
          </w:tcPr>
          <w:p w:rsidR="006E1CD1" w:rsidRPr="00D050E9" w:rsidRDefault="006E1CD1" w:rsidP="006E1CD1">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JS RS ZA PODJETNIŠTVO</w:t>
            </w:r>
          </w:p>
        </w:tc>
        <w:tc>
          <w:tcPr>
            <w:tcW w:w="1134"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13,97</w:t>
            </w:r>
          </w:p>
        </w:tc>
        <w:tc>
          <w:tcPr>
            <w:tcW w:w="993"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21,22</w:t>
            </w:r>
          </w:p>
        </w:tc>
        <w:tc>
          <w:tcPr>
            <w:tcW w:w="1148"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18,98</w:t>
            </w:r>
          </w:p>
        </w:tc>
        <w:tc>
          <w:tcPr>
            <w:tcW w:w="1120"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w:t>
            </w:r>
          </w:p>
        </w:tc>
        <w:tc>
          <w:tcPr>
            <w:tcW w:w="1383"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w:t>
            </w:r>
          </w:p>
        </w:tc>
      </w:tr>
      <w:tr w:rsidR="00540A18" w:rsidRPr="00D050E9" w:rsidTr="00006BC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510" w:type="dxa"/>
            <w:noWrap/>
            <w:hideMark/>
          </w:tcPr>
          <w:p w:rsidR="006E1CD1" w:rsidRPr="00D050E9" w:rsidRDefault="006E1CD1" w:rsidP="006E1CD1">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MINISTRSTVO ZA KULTURO</w:t>
            </w:r>
          </w:p>
        </w:tc>
        <w:tc>
          <w:tcPr>
            <w:tcW w:w="1134"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0,24</w:t>
            </w:r>
          </w:p>
        </w:tc>
        <w:tc>
          <w:tcPr>
            <w:tcW w:w="993"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w:t>
            </w:r>
          </w:p>
        </w:tc>
        <w:tc>
          <w:tcPr>
            <w:tcW w:w="1148"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10,90</w:t>
            </w:r>
          </w:p>
        </w:tc>
        <w:tc>
          <w:tcPr>
            <w:tcW w:w="1120"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w:t>
            </w:r>
          </w:p>
        </w:tc>
        <w:tc>
          <w:tcPr>
            <w:tcW w:w="1383"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w:t>
            </w:r>
          </w:p>
        </w:tc>
      </w:tr>
      <w:tr w:rsidR="00540A18" w:rsidRPr="00D050E9" w:rsidTr="00006BCD">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510" w:type="dxa"/>
            <w:noWrap/>
            <w:hideMark/>
          </w:tcPr>
          <w:p w:rsidR="006E1CD1" w:rsidRPr="00D050E9" w:rsidRDefault="006E1CD1" w:rsidP="006E1CD1">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SID - Slovenska izvozna in razvojna banka, d.d., Ljubljana</w:t>
            </w:r>
          </w:p>
        </w:tc>
        <w:tc>
          <w:tcPr>
            <w:tcW w:w="1134"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w:t>
            </w:r>
          </w:p>
        </w:tc>
        <w:tc>
          <w:tcPr>
            <w:tcW w:w="993"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4,91</w:t>
            </w:r>
          </w:p>
        </w:tc>
        <w:tc>
          <w:tcPr>
            <w:tcW w:w="1148"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6,00</w:t>
            </w:r>
          </w:p>
        </w:tc>
        <w:tc>
          <w:tcPr>
            <w:tcW w:w="1120"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w:t>
            </w:r>
          </w:p>
        </w:tc>
        <w:tc>
          <w:tcPr>
            <w:tcW w:w="1383" w:type="dxa"/>
            <w:noWrap/>
            <w:hideMark/>
          </w:tcPr>
          <w:p w:rsidR="006E1CD1" w:rsidRPr="00D050E9" w:rsidRDefault="006E1CD1" w:rsidP="006E1CD1">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w:t>
            </w:r>
          </w:p>
        </w:tc>
      </w:tr>
      <w:tr w:rsidR="00540A18" w:rsidRPr="00D050E9" w:rsidTr="00006BC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510" w:type="dxa"/>
            <w:noWrap/>
            <w:hideMark/>
          </w:tcPr>
          <w:p w:rsidR="006E1CD1" w:rsidRPr="00D050E9" w:rsidRDefault="006E1CD1" w:rsidP="006E1CD1">
            <w:pPr>
              <w:jc w:val="left"/>
              <w:rPr>
                <w:rFonts w:ascii="Calibri" w:eastAsia="Times New Roman" w:hAnsi="Calibri" w:cs="Arial"/>
                <w:b w:val="0"/>
                <w:color w:val="000000"/>
                <w:sz w:val="18"/>
                <w:szCs w:val="18"/>
                <w:lang w:eastAsia="sl-SI"/>
              </w:rPr>
            </w:pPr>
            <w:r w:rsidRPr="00D050E9">
              <w:rPr>
                <w:rFonts w:ascii="Calibri" w:eastAsia="Times New Roman" w:hAnsi="Calibri" w:cs="Arial"/>
                <w:b w:val="0"/>
                <w:color w:val="000000"/>
                <w:sz w:val="18"/>
                <w:szCs w:val="18"/>
                <w:lang w:eastAsia="sl-SI"/>
              </w:rPr>
              <w:t>MINISTRSTVO ZA GOSPODARSKI RAZVOJ IN TEHNOLOGIJO</w:t>
            </w:r>
          </w:p>
        </w:tc>
        <w:tc>
          <w:tcPr>
            <w:tcW w:w="1134"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0,72</w:t>
            </w:r>
          </w:p>
        </w:tc>
        <w:tc>
          <w:tcPr>
            <w:tcW w:w="993"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4,14</w:t>
            </w:r>
          </w:p>
        </w:tc>
        <w:tc>
          <w:tcPr>
            <w:tcW w:w="1148"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5,32</w:t>
            </w:r>
          </w:p>
        </w:tc>
        <w:tc>
          <w:tcPr>
            <w:tcW w:w="1120"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w:t>
            </w:r>
          </w:p>
        </w:tc>
        <w:tc>
          <w:tcPr>
            <w:tcW w:w="1383" w:type="dxa"/>
            <w:noWrap/>
            <w:hideMark/>
          </w:tcPr>
          <w:p w:rsidR="006E1CD1" w:rsidRPr="00D050E9" w:rsidRDefault="006E1CD1" w:rsidP="006E1C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w:t>
            </w:r>
          </w:p>
        </w:tc>
      </w:tr>
    </w:tbl>
    <w:p w:rsidR="001449C6" w:rsidRPr="00D050E9" w:rsidRDefault="001449C6" w:rsidP="001449C6">
      <w:pPr>
        <w:spacing w:after="0" w:line="276" w:lineRule="auto"/>
        <w:rPr>
          <w:rFonts w:asciiTheme="minorHAnsi" w:hAnsiTheme="minorHAnsi"/>
        </w:rPr>
      </w:pPr>
    </w:p>
    <w:p w:rsidR="00260838" w:rsidRPr="00D050E9" w:rsidRDefault="00AC3FDD" w:rsidP="00D119CC">
      <w:pPr>
        <w:spacing w:line="276" w:lineRule="auto"/>
        <w:rPr>
          <w:rFonts w:asciiTheme="minorHAnsi" w:hAnsiTheme="minorHAnsi"/>
        </w:rPr>
      </w:pPr>
      <w:r w:rsidRPr="00D050E9">
        <w:rPr>
          <w:rFonts w:asciiTheme="minorHAnsi" w:hAnsiTheme="minorHAnsi"/>
        </w:rPr>
        <w:t xml:space="preserve">Pomoč </w:t>
      </w:r>
      <w:r w:rsidR="009B30E1" w:rsidRPr="009B30E1">
        <w:rPr>
          <w:rFonts w:asciiTheme="minorHAnsi" w:hAnsiTheme="minorHAnsi"/>
          <w:i/>
        </w:rPr>
        <w:t>de minimis</w:t>
      </w:r>
      <w:r w:rsidRPr="00D050E9">
        <w:rPr>
          <w:rFonts w:asciiTheme="minorHAnsi" w:hAnsiTheme="minorHAnsi"/>
        </w:rPr>
        <w:t xml:space="preserve"> je v letu 2017 prejelo 10.416 upravičencev (10.254 upravičencev v letu 2016), v celotnem obdobju 2015–2017 pa 20.640 upravičencev. </w:t>
      </w:r>
      <w:r w:rsidR="00260838" w:rsidRPr="00D050E9">
        <w:rPr>
          <w:rFonts w:asciiTheme="minorHAnsi" w:hAnsiTheme="minorHAnsi"/>
        </w:rPr>
        <w:t xml:space="preserve">Povprečna pomoč </w:t>
      </w:r>
      <w:r w:rsidR="009B30E1" w:rsidRPr="009B30E1">
        <w:rPr>
          <w:rFonts w:asciiTheme="minorHAnsi" w:hAnsiTheme="minorHAnsi"/>
          <w:i/>
        </w:rPr>
        <w:t>de minimis</w:t>
      </w:r>
      <w:r w:rsidR="00260838" w:rsidRPr="00D050E9">
        <w:rPr>
          <w:rFonts w:asciiTheme="minorHAnsi" w:hAnsiTheme="minorHAnsi"/>
        </w:rPr>
        <w:t xml:space="preserve"> na upravičenca je bila 7.933 EUR (8.2563 EUR v letu 2016). </w:t>
      </w:r>
    </w:p>
    <w:p w:rsidR="00D119CC" w:rsidRPr="00D050E9" w:rsidRDefault="00D119CC" w:rsidP="00D119CC">
      <w:pPr>
        <w:spacing w:line="276" w:lineRule="auto"/>
      </w:pPr>
    </w:p>
    <w:p w:rsidR="00D119CC" w:rsidRPr="00D050E9" w:rsidRDefault="00D119CC" w:rsidP="00D119CC">
      <w:pPr>
        <w:spacing w:line="276" w:lineRule="auto"/>
        <w:rPr>
          <w:rFonts w:asciiTheme="minorHAnsi" w:hAnsiTheme="minorHAnsi"/>
        </w:rPr>
      </w:pPr>
    </w:p>
    <w:p w:rsidR="00BB5565" w:rsidRPr="00D050E9" w:rsidRDefault="00BB5565">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962426" w:rsidRPr="00D050E9" w:rsidRDefault="00962426">
      <w:pPr>
        <w:spacing w:line="276" w:lineRule="auto"/>
        <w:jc w:val="left"/>
        <w:rPr>
          <w:rFonts w:asciiTheme="minorHAnsi" w:hAnsiTheme="minorHAnsi"/>
        </w:rPr>
      </w:pPr>
    </w:p>
    <w:p w:rsidR="00BB5565" w:rsidRPr="00D050E9" w:rsidRDefault="000309D7" w:rsidP="00C93FA7">
      <w:pPr>
        <w:pStyle w:val="Heading1"/>
        <w:numPr>
          <w:ilvl w:val="0"/>
          <w:numId w:val="16"/>
        </w:numPr>
      </w:pPr>
      <w:bookmarkStart w:id="138" w:name="_Toc530654562"/>
      <w:r w:rsidRPr="00D050E9">
        <w:t xml:space="preserve">USPEŠNOST DODELJENIH </w:t>
      </w:r>
      <w:r w:rsidR="005B2541" w:rsidRPr="00D050E9">
        <w:t>DRŽAVN</w:t>
      </w:r>
      <w:r w:rsidRPr="00D050E9">
        <w:t xml:space="preserve">IH </w:t>
      </w:r>
      <w:r w:rsidR="005B2541" w:rsidRPr="00D050E9">
        <w:t>POMOČI</w:t>
      </w:r>
      <w:bookmarkEnd w:id="138"/>
      <w:r w:rsidR="005B2541" w:rsidRPr="00D050E9">
        <w:t xml:space="preserve"> </w:t>
      </w:r>
    </w:p>
    <w:p w:rsidR="000309D7" w:rsidRPr="00D050E9" w:rsidRDefault="000309D7" w:rsidP="000309D7">
      <w:pPr>
        <w:pStyle w:val="Naslov1"/>
        <w:ind w:firstLine="0"/>
      </w:pPr>
    </w:p>
    <w:p w:rsidR="004C734C" w:rsidRPr="00D050E9" w:rsidRDefault="004C734C" w:rsidP="004C734C">
      <w:pPr>
        <w:spacing w:after="0"/>
        <w:rPr>
          <w:rFonts w:asciiTheme="minorHAnsi" w:hAnsiTheme="minorHAnsi"/>
          <w:bCs/>
          <w:iCs/>
        </w:rPr>
      </w:pPr>
      <w:r w:rsidRPr="00D050E9">
        <w:rPr>
          <w:rFonts w:asciiTheme="minorHAnsi" w:hAnsiTheme="minorHAnsi"/>
          <w:bCs/>
          <w:iCs/>
        </w:rPr>
        <w:t xml:space="preserve">Uredba o posredovanju podatkov in poročanju </w:t>
      </w:r>
      <w:r w:rsidR="00114489">
        <w:rPr>
          <w:rFonts w:asciiTheme="minorHAnsi" w:hAnsiTheme="minorHAnsi"/>
          <w:bCs/>
          <w:iCs/>
        </w:rPr>
        <w:t xml:space="preserve">o dodeljenih državnih </w:t>
      </w:r>
      <w:r w:rsidRPr="00D050E9">
        <w:rPr>
          <w:rFonts w:asciiTheme="minorHAnsi" w:hAnsiTheme="minorHAnsi"/>
          <w:bCs/>
          <w:iCs/>
        </w:rPr>
        <w:t>pomočeh</w:t>
      </w:r>
      <w:r w:rsidR="00114489">
        <w:rPr>
          <w:rFonts w:asciiTheme="minorHAnsi" w:hAnsiTheme="minorHAnsi"/>
          <w:bCs/>
          <w:iCs/>
        </w:rPr>
        <w:t xml:space="preserve"> in pomočeh po pravilu »de minimis«</w:t>
      </w:r>
      <w:r w:rsidRPr="00D050E9">
        <w:rPr>
          <w:rFonts w:asciiTheme="minorHAnsi" w:hAnsiTheme="minorHAnsi"/>
          <w:bCs/>
          <w:iCs/>
        </w:rPr>
        <w:t xml:space="preserve"> (Uradni list RS, št. 61/04, 22/07 in 50/14) v svojem 5. členu zavezuje resorno pristojen organ, ki pripravi vsebino državne pomoči in jo priglasi, k predložitvi poročila o oceni učinkovitosti dodeljenih državnih pomoči. Pri tem je dolžan slediti določilom Navodila za merjenje učinkovitosti dodeljenih državnih pomoči, sprejetega leta 2004 (v nadaljevanju: Navodilo). Slednje določa osnove in postopke za ugotavljanje uspešnosti dodeljenih državnih pomoči, kot podlago za oceno uspešnosti izvajanja shem državnih pomoči in individualnih državnih pomoči.</w:t>
      </w:r>
    </w:p>
    <w:p w:rsidR="004C734C" w:rsidRPr="00D050E9" w:rsidRDefault="004C734C" w:rsidP="004C734C">
      <w:pPr>
        <w:spacing w:after="0"/>
        <w:rPr>
          <w:rFonts w:asciiTheme="minorHAnsi" w:hAnsiTheme="minorHAnsi"/>
          <w:bCs/>
          <w:iCs/>
        </w:rPr>
      </w:pPr>
    </w:p>
    <w:p w:rsidR="004C734C" w:rsidRPr="00D050E9" w:rsidRDefault="004C734C" w:rsidP="004C734C">
      <w:pPr>
        <w:spacing w:after="0"/>
        <w:rPr>
          <w:rFonts w:asciiTheme="minorHAnsi" w:hAnsiTheme="minorHAnsi"/>
          <w:bCs/>
          <w:iCs/>
        </w:rPr>
      </w:pPr>
      <w:r w:rsidRPr="00D050E9">
        <w:rPr>
          <w:rFonts w:asciiTheme="minorHAnsi" w:hAnsiTheme="minorHAnsi"/>
          <w:bCs/>
          <w:iCs/>
        </w:rPr>
        <w:t>Iz Navodila izhaja, da morajo biti ob priglasitvi pomoči določeni:</w:t>
      </w:r>
    </w:p>
    <w:p w:rsidR="004C734C" w:rsidRPr="00D050E9" w:rsidRDefault="004C734C" w:rsidP="00C93FA7">
      <w:pPr>
        <w:pStyle w:val="ListParagraph"/>
        <w:numPr>
          <w:ilvl w:val="0"/>
          <w:numId w:val="13"/>
        </w:numPr>
        <w:spacing w:after="0"/>
        <w:rPr>
          <w:rFonts w:asciiTheme="minorHAnsi" w:hAnsiTheme="minorHAnsi"/>
          <w:bCs/>
          <w:iCs/>
        </w:rPr>
      </w:pPr>
      <w:r w:rsidRPr="00D050E9">
        <w:rPr>
          <w:rFonts w:asciiTheme="minorHAnsi" w:hAnsiTheme="minorHAnsi"/>
          <w:bCs/>
          <w:iCs/>
        </w:rPr>
        <w:t>cilji državnih pomoči,</w:t>
      </w:r>
    </w:p>
    <w:p w:rsidR="004C734C" w:rsidRPr="00D050E9" w:rsidRDefault="004C734C" w:rsidP="00C93FA7">
      <w:pPr>
        <w:pStyle w:val="ListParagraph"/>
        <w:numPr>
          <w:ilvl w:val="0"/>
          <w:numId w:val="13"/>
        </w:numPr>
        <w:spacing w:after="0"/>
        <w:rPr>
          <w:rFonts w:asciiTheme="minorHAnsi" w:hAnsiTheme="minorHAnsi"/>
          <w:bCs/>
          <w:iCs/>
        </w:rPr>
      </w:pPr>
      <w:r w:rsidRPr="00D050E9">
        <w:rPr>
          <w:rFonts w:asciiTheme="minorHAnsi" w:hAnsiTheme="minorHAnsi"/>
          <w:bCs/>
          <w:iCs/>
        </w:rPr>
        <w:t>časovni okvir trajanja državne pomoči,</w:t>
      </w:r>
    </w:p>
    <w:p w:rsidR="004C734C" w:rsidRPr="00D050E9" w:rsidRDefault="004C734C" w:rsidP="00C93FA7">
      <w:pPr>
        <w:pStyle w:val="ListParagraph"/>
        <w:numPr>
          <w:ilvl w:val="0"/>
          <w:numId w:val="13"/>
        </w:numPr>
        <w:spacing w:after="0"/>
        <w:rPr>
          <w:rFonts w:asciiTheme="minorHAnsi" w:hAnsiTheme="minorHAnsi"/>
          <w:bCs/>
          <w:iCs/>
        </w:rPr>
      </w:pPr>
      <w:r w:rsidRPr="00D050E9">
        <w:rPr>
          <w:rFonts w:asciiTheme="minorHAnsi" w:hAnsiTheme="minorHAnsi"/>
          <w:bCs/>
          <w:iCs/>
        </w:rPr>
        <w:t>termin pričakovanih učinkov (kdaj pričakovati prve učinke),</w:t>
      </w:r>
    </w:p>
    <w:p w:rsidR="004C734C" w:rsidRPr="00D050E9" w:rsidRDefault="004C734C" w:rsidP="00C93FA7">
      <w:pPr>
        <w:pStyle w:val="ListParagraph"/>
        <w:numPr>
          <w:ilvl w:val="0"/>
          <w:numId w:val="13"/>
        </w:numPr>
        <w:spacing w:after="0"/>
        <w:rPr>
          <w:rFonts w:asciiTheme="minorHAnsi" w:hAnsiTheme="minorHAnsi"/>
          <w:bCs/>
          <w:iCs/>
        </w:rPr>
      </w:pPr>
      <w:r w:rsidRPr="00D050E9">
        <w:rPr>
          <w:rFonts w:asciiTheme="minorHAnsi" w:hAnsiTheme="minorHAnsi"/>
          <w:bCs/>
          <w:iCs/>
        </w:rPr>
        <w:t>ovrednoteni cilji po letih,</w:t>
      </w:r>
    </w:p>
    <w:p w:rsidR="004C734C" w:rsidRPr="00D050E9" w:rsidRDefault="004C734C" w:rsidP="00C93FA7">
      <w:pPr>
        <w:pStyle w:val="ListParagraph"/>
        <w:numPr>
          <w:ilvl w:val="0"/>
          <w:numId w:val="13"/>
        </w:numPr>
        <w:spacing w:after="0"/>
        <w:rPr>
          <w:rFonts w:asciiTheme="minorHAnsi" w:hAnsiTheme="minorHAnsi"/>
          <w:bCs/>
          <w:iCs/>
        </w:rPr>
      </w:pPr>
      <w:r w:rsidRPr="00D050E9">
        <w:rPr>
          <w:rFonts w:asciiTheme="minorHAnsi" w:hAnsiTheme="minorHAnsi"/>
          <w:bCs/>
          <w:iCs/>
        </w:rPr>
        <w:t>kazalniki, s katerimi se meri učinkovitost dodeljenih državnih pomoči in ki naj bi bili usklajeni s proračunskimi dokumenti,</w:t>
      </w:r>
    </w:p>
    <w:p w:rsidR="004C734C" w:rsidRPr="00D050E9" w:rsidRDefault="004C734C" w:rsidP="00C93FA7">
      <w:pPr>
        <w:pStyle w:val="ListParagraph"/>
        <w:numPr>
          <w:ilvl w:val="0"/>
          <w:numId w:val="13"/>
        </w:numPr>
        <w:spacing w:after="0"/>
        <w:rPr>
          <w:rFonts w:asciiTheme="minorHAnsi" w:hAnsiTheme="minorHAnsi"/>
          <w:bCs/>
          <w:iCs/>
        </w:rPr>
      </w:pPr>
      <w:r w:rsidRPr="00D050E9">
        <w:rPr>
          <w:rFonts w:asciiTheme="minorHAnsi" w:hAnsiTheme="minorHAnsi"/>
          <w:bCs/>
          <w:iCs/>
        </w:rPr>
        <w:t>opis oziroma obrazložitev posredovanih rezultatov.</w:t>
      </w:r>
    </w:p>
    <w:p w:rsidR="004C734C" w:rsidRPr="00D050E9" w:rsidRDefault="004C734C" w:rsidP="004C734C">
      <w:pPr>
        <w:spacing w:after="0"/>
        <w:rPr>
          <w:rFonts w:asciiTheme="minorHAnsi" w:hAnsiTheme="minorHAnsi"/>
          <w:bCs/>
          <w:iCs/>
        </w:rPr>
      </w:pPr>
    </w:p>
    <w:p w:rsidR="004C734C" w:rsidRPr="00D050E9" w:rsidRDefault="004C734C" w:rsidP="004C734C">
      <w:pPr>
        <w:spacing w:after="0" w:line="276" w:lineRule="auto"/>
        <w:rPr>
          <w:rFonts w:asciiTheme="minorHAnsi" w:hAnsiTheme="minorHAnsi" w:cs="Arial"/>
        </w:rPr>
      </w:pPr>
      <w:r w:rsidRPr="00D050E9">
        <w:rPr>
          <w:rFonts w:asciiTheme="minorHAnsi" w:hAnsiTheme="minorHAnsi" w:cs="Arial"/>
        </w:rPr>
        <w:t>V nadaljevanju so predstavljene posamezne sheme, za katere Ministrstvo za finance na osnovi prejetih Poročil o učinkovitosti pripravi povzetke, s predvidenimi nameni, cilji in doseženimi rezultati.</w:t>
      </w:r>
    </w:p>
    <w:p w:rsidR="004C734C" w:rsidRPr="00D050E9" w:rsidRDefault="004C734C" w:rsidP="004C734C">
      <w:pPr>
        <w:spacing w:after="0" w:line="276" w:lineRule="auto"/>
        <w:rPr>
          <w:rFonts w:asciiTheme="minorHAnsi" w:hAnsiTheme="minorHAnsi" w:cs="Arial"/>
        </w:rPr>
      </w:pPr>
    </w:p>
    <w:p w:rsidR="004C734C" w:rsidRPr="00D050E9" w:rsidRDefault="004C734C" w:rsidP="004C734C">
      <w:pPr>
        <w:spacing w:after="0" w:line="276" w:lineRule="auto"/>
        <w:rPr>
          <w:rFonts w:asciiTheme="minorHAnsi" w:hAnsiTheme="minorHAnsi" w:cs="Arial"/>
        </w:rPr>
      </w:pPr>
      <w:r w:rsidRPr="00D050E9">
        <w:rPr>
          <w:rFonts w:asciiTheme="minorHAnsi" w:hAnsiTheme="minorHAnsi"/>
          <w:bCs/>
          <w:iCs/>
        </w:rPr>
        <w:t>Ministrstvo za finance je pristopilo k prenovi sistema merjenja in ocenjevanja učinkovitosti dodeljenih državnih pomoči, ki bo usklajeno z najnovejšimi usmeritvami Evropske komisije.</w:t>
      </w:r>
    </w:p>
    <w:p w:rsidR="004C734C" w:rsidRPr="00D050E9" w:rsidRDefault="004C734C" w:rsidP="004C734C">
      <w:pPr>
        <w:spacing w:after="0"/>
        <w:rPr>
          <w:rFonts w:asciiTheme="minorHAnsi" w:hAnsiTheme="minorHAnsi"/>
          <w:bCs/>
          <w:iCs/>
        </w:rPr>
      </w:pPr>
    </w:p>
    <w:p w:rsidR="004C734C" w:rsidRPr="00D050E9" w:rsidRDefault="004C734C" w:rsidP="00962426">
      <w:pPr>
        <w:pStyle w:val="Heading2"/>
      </w:pPr>
      <w:bookmarkStart w:id="139" w:name="_Toc528594665"/>
      <w:bookmarkStart w:id="140" w:name="_Toc530654563"/>
      <w:r w:rsidRPr="00D050E9">
        <w:t>6.1. PRIPOROČILA ZA VEČJO USPEŠNOST DODELJENIH DRŽAVNIH POMOČI</w:t>
      </w:r>
      <w:bookmarkEnd w:id="139"/>
      <w:bookmarkEnd w:id="140"/>
    </w:p>
    <w:p w:rsidR="004C734C" w:rsidRPr="00D050E9" w:rsidRDefault="004C734C" w:rsidP="004C734C">
      <w:pPr>
        <w:spacing w:after="0"/>
        <w:rPr>
          <w:rFonts w:asciiTheme="minorHAnsi" w:hAnsiTheme="minorHAnsi"/>
        </w:rPr>
      </w:pPr>
    </w:p>
    <w:p w:rsidR="004C734C" w:rsidRPr="00D050E9" w:rsidRDefault="004C734C" w:rsidP="004C734C">
      <w:pPr>
        <w:pStyle w:val="ListParagraph"/>
        <w:spacing w:after="0" w:line="276" w:lineRule="auto"/>
        <w:ind w:left="0"/>
        <w:rPr>
          <w:rFonts w:asciiTheme="minorHAnsi" w:hAnsiTheme="minorHAnsi" w:cs="Arial"/>
        </w:rPr>
      </w:pPr>
      <w:r w:rsidRPr="00D050E9">
        <w:rPr>
          <w:rFonts w:asciiTheme="minorHAnsi" w:hAnsiTheme="minorHAnsi" w:cs="Arial"/>
        </w:rPr>
        <w:t xml:space="preserve">Ministrstvo za finance je v začetku leta 2016 na pobudo Vlade RS pripravilo predloge ukrepov za povečanje učinkovitosti državnih pomoči in sicer kot priporočila priglasiteljem za izboljšanje oblikovanja ukrepov in javnih spodbud, podprtih (tudi) z državnimi pomočmi. Na strani priglasitelja sheme je namreč odgovornost za smotrno in učinkovito porabo javnih sredstev, usmerjenih v premišljene projekte z dosegljivimi cilji in odgovorno izvedbo s strani prejemnikov pomoči. Glede na to, da so ti ukrepi in javne spodbude zelo raznovrstni, tako po vsebini kot  po obliki in višini financiranja, vseh priporočil ni mogoče smiselno uporabiti za vse politike oziroma resorje. </w:t>
      </w:r>
    </w:p>
    <w:p w:rsidR="004C734C" w:rsidRPr="00D050E9" w:rsidRDefault="004C734C" w:rsidP="004C734C">
      <w:pPr>
        <w:spacing w:after="0"/>
        <w:rPr>
          <w:rFonts w:asciiTheme="minorHAnsi" w:hAnsiTheme="minorHAnsi"/>
        </w:rPr>
      </w:pPr>
    </w:p>
    <w:p w:rsidR="004C734C" w:rsidRPr="00D050E9" w:rsidRDefault="004C734C" w:rsidP="004C734C">
      <w:pPr>
        <w:pStyle w:val="ListParagraph"/>
        <w:spacing w:after="0" w:line="276" w:lineRule="auto"/>
        <w:ind w:left="0"/>
        <w:rPr>
          <w:rFonts w:asciiTheme="minorHAnsi" w:hAnsiTheme="minorHAnsi" w:cs="Arial"/>
        </w:rPr>
      </w:pPr>
      <w:r w:rsidRPr="00D050E9">
        <w:rPr>
          <w:rFonts w:asciiTheme="minorHAnsi" w:hAnsiTheme="minorHAnsi" w:cs="Arial"/>
        </w:rPr>
        <w:t>Priporočila so bila naslednja:</w:t>
      </w:r>
    </w:p>
    <w:p w:rsidR="004C734C" w:rsidRPr="00D050E9" w:rsidRDefault="004C734C" w:rsidP="00C93FA7">
      <w:pPr>
        <w:pStyle w:val="ListParagraph"/>
        <w:numPr>
          <w:ilvl w:val="0"/>
          <w:numId w:val="1"/>
        </w:numPr>
        <w:spacing w:after="0" w:line="276" w:lineRule="auto"/>
        <w:ind w:left="714" w:hanging="357"/>
        <w:rPr>
          <w:rFonts w:asciiTheme="minorHAnsi" w:hAnsiTheme="minorHAnsi" w:cs="Arial"/>
        </w:rPr>
      </w:pPr>
      <w:r w:rsidRPr="00D050E9">
        <w:rPr>
          <w:rFonts w:asciiTheme="minorHAnsi" w:hAnsiTheme="minorHAnsi" w:cs="Arial"/>
        </w:rPr>
        <w:t>Oblikovanje manjšega števila med seboj bolj usklajenih ukrepov pomoči (shem pomoči), ki bodo sledili strateškim usmeritvam, kar bo omogočilo večjo preglednost in boljšo koordinacijo ukrepov.</w:t>
      </w:r>
    </w:p>
    <w:p w:rsidR="004C734C" w:rsidRPr="00D050E9" w:rsidRDefault="004C734C" w:rsidP="004C734C">
      <w:pPr>
        <w:pStyle w:val="ListParagraph"/>
        <w:spacing w:after="0" w:line="276" w:lineRule="auto"/>
        <w:ind w:hanging="12"/>
        <w:rPr>
          <w:rFonts w:asciiTheme="minorHAnsi" w:hAnsiTheme="minorHAnsi" w:cs="Arial"/>
        </w:rPr>
      </w:pPr>
      <w:r w:rsidRPr="00D050E9">
        <w:rPr>
          <w:rFonts w:asciiTheme="minorHAnsi" w:hAnsiTheme="minorHAnsi" w:cs="Arial"/>
        </w:rPr>
        <w:t xml:space="preserve">V obdobju 2015–2017  je bilo </w:t>
      </w:r>
      <w:r w:rsidR="00D206A4" w:rsidRPr="00D050E9">
        <w:rPr>
          <w:rFonts w:asciiTheme="minorHAnsi" w:hAnsiTheme="minorHAnsi" w:cs="Arial"/>
        </w:rPr>
        <w:t xml:space="preserve">49 </w:t>
      </w:r>
      <w:r w:rsidRPr="00D050E9">
        <w:rPr>
          <w:rFonts w:asciiTheme="minorHAnsi" w:hAnsiTheme="minorHAnsi" w:cs="Arial"/>
        </w:rPr>
        <w:t>veljavnih shem državnih pomoči (t.j. tistih, po katerih je bilo mogoče dodeljevati pomoči)</w:t>
      </w:r>
      <w:r w:rsidRPr="00D050E9">
        <w:rPr>
          <w:rFonts w:asciiTheme="minorHAnsi" w:hAnsiTheme="minorHAnsi" w:cs="Arial"/>
          <w:vertAlign w:val="superscript"/>
        </w:rPr>
        <w:footnoteReference w:id="26"/>
      </w:r>
      <w:r w:rsidRPr="00D050E9">
        <w:rPr>
          <w:rFonts w:asciiTheme="minorHAnsi" w:hAnsiTheme="minorHAnsi" w:cs="Arial"/>
        </w:rPr>
        <w:t>. Ugotovljeno je bilo, da imajo mnoge med njimi zelo podobno vsebino.</w:t>
      </w:r>
    </w:p>
    <w:p w:rsidR="004C734C" w:rsidRPr="00D050E9" w:rsidRDefault="004C734C" w:rsidP="004C734C">
      <w:pPr>
        <w:pStyle w:val="ListParagraph"/>
        <w:spacing w:after="0" w:line="276" w:lineRule="auto"/>
        <w:ind w:hanging="12"/>
        <w:rPr>
          <w:rFonts w:asciiTheme="minorHAnsi" w:hAnsiTheme="minorHAnsi" w:cs="Arial"/>
        </w:rPr>
      </w:pPr>
      <w:r w:rsidRPr="00D050E9">
        <w:rPr>
          <w:rFonts w:asciiTheme="minorHAnsi" w:hAnsiTheme="minorHAnsi" w:cs="Arial"/>
        </w:rPr>
        <w:t xml:space="preserve"> </w:t>
      </w:r>
    </w:p>
    <w:p w:rsidR="004C734C" w:rsidRPr="00D050E9" w:rsidRDefault="004C734C" w:rsidP="00C93FA7">
      <w:pPr>
        <w:pStyle w:val="ListParagraph"/>
        <w:numPr>
          <w:ilvl w:val="0"/>
          <w:numId w:val="1"/>
        </w:numPr>
        <w:spacing w:after="0" w:line="276" w:lineRule="auto"/>
        <w:ind w:left="708"/>
        <w:rPr>
          <w:rFonts w:asciiTheme="minorHAnsi" w:hAnsiTheme="minorHAnsi" w:cs="Arial"/>
        </w:rPr>
      </w:pPr>
      <w:r w:rsidRPr="00D050E9">
        <w:rPr>
          <w:rFonts w:asciiTheme="minorHAnsi" w:hAnsiTheme="minorHAnsi" w:cs="Arial"/>
        </w:rPr>
        <w:t>Kvalitetno pripravljene pravne podlage za dodeljevanje državnih pomoči, ki naj vsebujejo jasno postavljene cilje in pogoje dodeljevanja državnih pomoči. Za njihovo izboljšanje si Ministrstvo za finance prizadeva:</w:t>
      </w:r>
    </w:p>
    <w:p w:rsidR="004C734C" w:rsidRPr="00D050E9" w:rsidRDefault="004C734C" w:rsidP="00C93FA7">
      <w:pPr>
        <w:pStyle w:val="ListParagraph"/>
        <w:numPr>
          <w:ilvl w:val="0"/>
          <w:numId w:val="15"/>
        </w:numPr>
        <w:spacing w:after="0" w:line="276" w:lineRule="auto"/>
        <w:rPr>
          <w:rFonts w:asciiTheme="minorHAnsi" w:hAnsiTheme="minorHAnsi" w:cs="Arial"/>
        </w:rPr>
      </w:pPr>
      <w:r w:rsidRPr="00D050E9">
        <w:rPr>
          <w:rFonts w:asciiTheme="minorHAnsi" w:hAnsiTheme="minorHAnsi" w:cs="Arial"/>
        </w:rPr>
        <w:t xml:space="preserve">z usmerjanjem priglasiteljev pri pripravi pravne podlage z ustrezno vsebino; </w:t>
      </w:r>
    </w:p>
    <w:p w:rsidR="004C734C" w:rsidRPr="00D050E9" w:rsidRDefault="004C734C" w:rsidP="00C93FA7">
      <w:pPr>
        <w:pStyle w:val="ListParagraph"/>
        <w:numPr>
          <w:ilvl w:val="0"/>
          <w:numId w:val="15"/>
        </w:numPr>
        <w:spacing w:after="0" w:line="276" w:lineRule="auto"/>
        <w:rPr>
          <w:rFonts w:asciiTheme="minorHAnsi" w:hAnsiTheme="minorHAnsi" w:cs="Arial"/>
        </w:rPr>
      </w:pPr>
      <w:r w:rsidRPr="00D050E9">
        <w:rPr>
          <w:rFonts w:asciiTheme="minorHAnsi" w:hAnsiTheme="minorHAnsi" w:cs="Arial"/>
        </w:rPr>
        <w:t xml:space="preserve">z dopolnjenim postopkom priglasitve pomoči so bili uvedeni obrazci priglasitve s predpisanimi splošnimi informacijami in s specifičnimi informacijami za posamezne vrste pomoči, ki služijo kot kontrolni listi; hkrati je priglasitelj zavezan navesti pričakovane rezultate na mikro in makro ravni, vključno s časovnico, in ukrepe za doseganje postavljenih ciljev ter podroben opis instrumenta pomoči, z dodanim pojasnilom, zakaj je izbrani ukrep najustreznejši in </w:t>
      </w:r>
      <w:r w:rsidR="00AC2405">
        <w:rPr>
          <w:rFonts w:asciiTheme="minorHAnsi" w:hAnsiTheme="minorHAnsi" w:cs="Arial"/>
        </w:rPr>
        <w:t xml:space="preserve">z </w:t>
      </w:r>
      <w:r w:rsidRPr="00D050E9">
        <w:rPr>
          <w:rFonts w:asciiTheme="minorHAnsi" w:hAnsiTheme="minorHAnsi" w:cs="Arial"/>
        </w:rPr>
        <w:t xml:space="preserve">opozorilom na morebitna tveganja.     </w:t>
      </w:r>
    </w:p>
    <w:p w:rsidR="004C734C" w:rsidRPr="00D050E9" w:rsidRDefault="004C734C" w:rsidP="004C734C">
      <w:pPr>
        <w:spacing w:after="0" w:line="276" w:lineRule="auto"/>
        <w:ind w:left="708"/>
        <w:rPr>
          <w:rFonts w:asciiTheme="minorHAnsi" w:hAnsiTheme="minorHAnsi" w:cs="Arial"/>
        </w:rPr>
      </w:pPr>
      <w:r w:rsidRPr="00D050E9">
        <w:rPr>
          <w:rFonts w:asciiTheme="minorHAnsi" w:hAnsiTheme="minorHAnsi" w:cs="Arial"/>
        </w:rPr>
        <w:t xml:space="preserve">Z namenom širjenja znanja in izkušenj s področja državnih pomoči Ministrstvo za finance za priglasitelje in dajalce pomoči vsako leto organizira več izobraževanj z različnimi vsebinami s področja državnih pomoči, ki so zelo dobro obiskana.   </w:t>
      </w:r>
    </w:p>
    <w:p w:rsidR="004C734C" w:rsidRPr="00D050E9" w:rsidRDefault="004C734C" w:rsidP="004C734C">
      <w:pPr>
        <w:spacing w:after="0" w:line="276" w:lineRule="auto"/>
        <w:ind w:left="708"/>
        <w:rPr>
          <w:rFonts w:asciiTheme="minorHAnsi" w:hAnsiTheme="minorHAnsi" w:cs="Arial"/>
        </w:rPr>
      </w:pPr>
    </w:p>
    <w:p w:rsidR="004C734C" w:rsidRPr="00D050E9" w:rsidRDefault="004C734C" w:rsidP="00C93FA7">
      <w:pPr>
        <w:pStyle w:val="ListParagraph"/>
        <w:numPr>
          <w:ilvl w:val="0"/>
          <w:numId w:val="1"/>
        </w:numPr>
        <w:spacing w:after="0" w:line="276" w:lineRule="auto"/>
        <w:rPr>
          <w:rFonts w:asciiTheme="minorHAnsi" w:hAnsiTheme="minorHAnsi" w:cs="Arial"/>
        </w:rPr>
      </w:pPr>
      <w:r w:rsidRPr="00D050E9">
        <w:rPr>
          <w:rFonts w:asciiTheme="minorHAnsi" w:hAnsiTheme="minorHAnsi" w:cs="Arial"/>
        </w:rPr>
        <w:t>Večja uporaba povratnih oblik državnih pomoči, ker to prinaša večjo odgovornost in zavezanost prejemnikov za učinkovito porabo sredstev pomoči. Samo iz strukturnih in investicijskih skladov EU 2014–2020 je načrtovanih za 253 mio EUR  povratnih sredstev, kar zahteva korenite spremembe tudi pri priglasiteljih shem pomoči.</w:t>
      </w:r>
    </w:p>
    <w:p w:rsidR="004C734C" w:rsidRPr="00D050E9" w:rsidRDefault="004C734C" w:rsidP="004C734C">
      <w:pPr>
        <w:spacing w:after="0" w:line="276" w:lineRule="auto"/>
        <w:rPr>
          <w:rFonts w:asciiTheme="minorHAnsi" w:hAnsiTheme="minorHAnsi" w:cs="Arial"/>
        </w:rPr>
      </w:pPr>
    </w:p>
    <w:p w:rsidR="00A136EE" w:rsidRPr="00D050E9" w:rsidRDefault="00A136EE" w:rsidP="00C93FA7">
      <w:pPr>
        <w:pStyle w:val="ListParagraph"/>
        <w:numPr>
          <w:ilvl w:val="0"/>
          <w:numId w:val="1"/>
        </w:numPr>
        <w:spacing w:after="0" w:line="276" w:lineRule="auto"/>
        <w:rPr>
          <w:rFonts w:asciiTheme="minorHAnsi" w:hAnsiTheme="minorHAnsi" w:cs="Arial"/>
        </w:rPr>
      </w:pPr>
      <w:r w:rsidRPr="00D050E9">
        <w:rPr>
          <w:rFonts w:asciiTheme="minorHAnsi" w:hAnsiTheme="minorHAnsi" w:cs="Arial"/>
        </w:rPr>
        <w:t xml:space="preserve">Dosledno preverjanje pogojev za dodeljevanje državnih pomoči, kot izhajajo iz zavezujočih mnenj Ministrstva za finance, ter preprečitev dodeljevanja državnih pomoči podjetjem v težavah, davčnim dolžnikom in podjetjem, ki redno ne izplačujejo plač in prispevkov. </w:t>
      </w:r>
    </w:p>
    <w:p w:rsidR="00A136EE" w:rsidRPr="00D050E9" w:rsidRDefault="00A136EE" w:rsidP="00A136EE">
      <w:pPr>
        <w:spacing w:after="0" w:line="276" w:lineRule="auto"/>
        <w:ind w:left="708"/>
        <w:rPr>
          <w:rFonts w:asciiTheme="minorHAnsi" w:hAnsiTheme="minorHAnsi" w:cs="Arial"/>
        </w:rPr>
      </w:pPr>
      <w:r w:rsidRPr="00D050E9">
        <w:rPr>
          <w:rFonts w:asciiTheme="minorHAnsi" w:hAnsiTheme="minorHAnsi" w:cs="Arial"/>
        </w:rPr>
        <w:t xml:space="preserve">Ministrstvo za finance ugotavlja, da so med prejemniki državnih pomoči tudi podjetja, ki se že kmalu po tem (npr. v istem ali naslednjem letu), ko so prejela pomoč, znajdejo v stečaju. </w:t>
      </w:r>
    </w:p>
    <w:p w:rsidR="00A136EE" w:rsidRPr="00D050E9" w:rsidRDefault="00A136EE" w:rsidP="00A136EE">
      <w:pPr>
        <w:pStyle w:val="ListParagraph"/>
        <w:spacing w:after="0" w:line="276" w:lineRule="auto"/>
        <w:rPr>
          <w:rFonts w:asciiTheme="minorHAnsi" w:hAnsiTheme="minorHAnsi" w:cs="Arial"/>
        </w:rPr>
      </w:pPr>
      <w:r w:rsidRPr="00D050E9">
        <w:rPr>
          <w:rFonts w:asciiTheme="minorHAnsi" w:hAnsiTheme="minorHAnsi" w:cs="Arial"/>
        </w:rPr>
        <w:t xml:space="preserve">Ministrstvo za finance si prizadeva za </w:t>
      </w:r>
      <w:r w:rsidR="007F61FE" w:rsidRPr="00D050E9">
        <w:rPr>
          <w:rFonts w:asciiTheme="minorHAnsi" w:hAnsiTheme="minorHAnsi" w:cs="Arial"/>
        </w:rPr>
        <w:t xml:space="preserve"> pravno ureditev </w:t>
      </w:r>
      <w:r w:rsidRPr="00D050E9">
        <w:rPr>
          <w:rFonts w:asciiTheme="minorHAnsi" w:hAnsiTheme="minorHAnsi" w:cs="Arial"/>
        </w:rPr>
        <w:t>obveze (sklep Vlade), po kateri se spodbud</w:t>
      </w:r>
      <w:r w:rsidR="00FC4CB8">
        <w:rPr>
          <w:rFonts w:asciiTheme="minorHAnsi" w:hAnsiTheme="minorHAnsi" w:cs="Arial"/>
        </w:rPr>
        <w:t>e iz javnih sredstev ne bi smele</w:t>
      </w:r>
      <w:r w:rsidRPr="00D050E9">
        <w:rPr>
          <w:rFonts w:asciiTheme="minorHAnsi" w:hAnsiTheme="minorHAnsi" w:cs="Arial"/>
        </w:rPr>
        <w:t xml:space="preserve"> dodeljevati upravičencem, ki imajo neporavnane davčne obveznosti in nimajo plačanih prispevkov iz naslova plač. </w:t>
      </w:r>
    </w:p>
    <w:p w:rsidR="007F61FE" w:rsidRPr="00D050E9" w:rsidRDefault="007F61FE" w:rsidP="00A136EE">
      <w:pPr>
        <w:pStyle w:val="ListParagraph"/>
        <w:spacing w:after="0" w:line="276" w:lineRule="auto"/>
        <w:rPr>
          <w:rFonts w:asciiTheme="minorHAnsi" w:hAnsiTheme="minorHAnsi" w:cs="Arial"/>
          <w:color w:val="FF0000"/>
        </w:rPr>
      </w:pPr>
    </w:p>
    <w:p w:rsidR="00A136EE" w:rsidRPr="00D050E9" w:rsidRDefault="00A136EE" w:rsidP="00C93FA7">
      <w:pPr>
        <w:pStyle w:val="ListParagraph"/>
        <w:numPr>
          <w:ilvl w:val="0"/>
          <w:numId w:val="1"/>
        </w:numPr>
        <w:spacing w:after="0" w:line="276" w:lineRule="auto"/>
        <w:rPr>
          <w:rFonts w:asciiTheme="minorHAnsi" w:hAnsiTheme="minorHAnsi" w:cs="Arial"/>
        </w:rPr>
      </w:pPr>
      <w:r w:rsidRPr="00D050E9">
        <w:rPr>
          <w:rFonts w:asciiTheme="minorHAnsi" w:hAnsiTheme="minorHAnsi" w:cs="Arial"/>
        </w:rPr>
        <w:t>Določitev minimalnega zneska pomoči, s ciljem zmanjšati neproporcionalne administrativne obremenitve, ki presegajo koristi pri dodeljevanju izredno majhnih zneskov pomoči.</w:t>
      </w:r>
    </w:p>
    <w:p w:rsidR="00A136EE" w:rsidRPr="00D050E9" w:rsidRDefault="00A136EE" w:rsidP="00A136EE">
      <w:pPr>
        <w:pStyle w:val="ListParagraph"/>
        <w:spacing w:after="0" w:line="276" w:lineRule="auto"/>
        <w:ind w:hanging="12"/>
        <w:rPr>
          <w:rFonts w:asciiTheme="minorHAnsi" w:hAnsiTheme="minorHAnsi" w:cs="Arial"/>
        </w:rPr>
      </w:pPr>
      <w:r w:rsidRPr="00D050E9">
        <w:rPr>
          <w:rFonts w:asciiTheme="minorHAnsi" w:hAnsiTheme="minorHAnsi" w:cs="Arial"/>
        </w:rPr>
        <w:t>V Sloveniji skoraj polovica prejemnikov pomoči prejeme pomoč do 5.000 EUR. V letu 2017 je bilo takih 43 % vseh prejemnikov pomoči (45 % v letu 2016), od tega jih je 4,6 % prejelo manj kot 500 EUR (5,8 % v letu 2016). Več kot 200.000 EUR je prejelo 5,2 % vseh prejemnikov (podrobneje v nadaljevanju v poglavju 6.2.). Str</w:t>
      </w:r>
      <w:r w:rsidR="00E82501">
        <w:rPr>
          <w:rFonts w:asciiTheme="minorHAnsi" w:hAnsiTheme="minorHAnsi" w:cs="Arial"/>
        </w:rPr>
        <w:t>oški administracije, izvrševanja</w:t>
      </w:r>
      <w:r w:rsidRPr="00D050E9">
        <w:rPr>
          <w:rFonts w:asciiTheme="minorHAnsi" w:hAnsiTheme="minorHAnsi" w:cs="Arial"/>
        </w:rPr>
        <w:t>, spreml</w:t>
      </w:r>
      <w:r w:rsidR="00E82501">
        <w:rPr>
          <w:rFonts w:asciiTheme="minorHAnsi" w:hAnsiTheme="minorHAnsi" w:cs="Arial"/>
        </w:rPr>
        <w:t>janja</w:t>
      </w:r>
      <w:r w:rsidRPr="00D050E9">
        <w:rPr>
          <w:rFonts w:asciiTheme="minorHAnsi" w:hAnsiTheme="minorHAnsi" w:cs="Arial"/>
        </w:rPr>
        <w:t>, nadzor</w:t>
      </w:r>
      <w:r w:rsidR="00E82501">
        <w:rPr>
          <w:rFonts w:asciiTheme="minorHAnsi" w:hAnsiTheme="minorHAnsi" w:cs="Arial"/>
        </w:rPr>
        <w:t>a ter poročanja</w:t>
      </w:r>
      <w:r w:rsidRPr="00D050E9">
        <w:rPr>
          <w:rFonts w:asciiTheme="minorHAnsi" w:hAnsiTheme="minorHAnsi" w:cs="Arial"/>
        </w:rPr>
        <w:t xml:space="preserve"> tako razdrobljenih pomoči so nesorazmerni z učinkom teh pomoči. </w:t>
      </w:r>
    </w:p>
    <w:p w:rsidR="00A136EE" w:rsidRPr="00D050E9" w:rsidRDefault="00A136EE" w:rsidP="004C734C">
      <w:pPr>
        <w:pStyle w:val="ListParagraph"/>
        <w:spacing w:after="0" w:line="276" w:lineRule="auto"/>
        <w:rPr>
          <w:rFonts w:asciiTheme="minorHAnsi" w:hAnsiTheme="minorHAnsi" w:cs="Arial"/>
        </w:rPr>
      </w:pPr>
    </w:p>
    <w:p w:rsidR="004C734C" w:rsidRPr="00D050E9" w:rsidRDefault="004C734C" w:rsidP="00C93FA7">
      <w:pPr>
        <w:pStyle w:val="ListParagraph"/>
        <w:numPr>
          <w:ilvl w:val="0"/>
          <w:numId w:val="1"/>
        </w:numPr>
        <w:spacing w:after="0" w:line="276" w:lineRule="auto"/>
        <w:rPr>
          <w:rFonts w:asciiTheme="minorHAnsi" w:hAnsiTheme="minorHAnsi" w:cs="Arial"/>
        </w:rPr>
      </w:pPr>
      <w:r w:rsidRPr="00D050E9">
        <w:rPr>
          <w:rFonts w:asciiTheme="minorHAnsi" w:hAnsiTheme="minorHAnsi" w:cs="Arial"/>
        </w:rPr>
        <w:t xml:space="preserve">Določitev ciljne velikosti podjetij, ki naj se (prednostno) spodbujajo z državnimi pomočmi. Namen priporočila je ukiniti oziroma zmanjšati pomoči podjetjem brez zaposlenih in dodeljevanje sredstev za spodbude zaposlovanja preko agencij za zaposlovanje kadrov. </w:t>
      </w:r>
    </w:p>
    <w:p w:rsidR="004C734C" w:rsidRPr="00D050E9" w:rsidRDefault="004C734C" w:rsidP="004C734C">
      <w:pPr>
        <w:pStyle w:val="ListParagraph"/>
        <w:spacing w:after="0" w:line="276" w:lineRule="auto"/>
        <w:ind w:hanging="12"/>
        <w:rPr>
          <w:rFonts w:asciiTheme="minorHAnsi" w:hAnsiTheme="minorHAnsi" w:cs="Arial"/>
        </w:rPr>
      </w:pPr>
      <w:r w:rsidRPr="00D050E9">
        <w:rPr>
          <w:rFonts w:asciiTheme="minorHAnsi" w:hAnsiTheme="minorHAnsi" w:cs="Arial"/>
        </w:rPr>
        <w:t>Ministrstvo za finance je predlagalo, da dajalci pomoči, upoštevaje posebnosti</w:t>
      </w:r>
      <w:r w:rsidR="00D82F9B">
        <w:rPr>
          <w:rFonts w:asciiTheme="minorHAnsi" w:hAnsiTheme="minorHAnsi" w:cs="Arial"/>
        </w:rPr>
        <w:t xml:space="preserve"> </w:t>
      </w:r>
      <w:r w:rsidRPr="00D050E9">
        <w:rPr>
          <w:rFonts w:asciiTheme="minorHAnsi" w:hAnsiTheme="minorHAnsi" w:cs="Arial"/>
        </w:rPr>
        <w:t xml:space="preserve">področja svojega dela, opredelijo, ali je potrebno podrobneje določiti, katere velikosti podjetij bodo deležne večjih spodbud (npr. </w:t>
      </w:r>
      <w:r w:rsidR="00D82F9B">
        <w:rPr>
          <w:rFonts w:asciiTheme="minorHAnsi" w:hAnsiTheme="minorHAnsi" w:cs="Arial"/>
        </w:rPr>
        <w:t xml:space="preserve">več za </w:t>
      </w:r>
      <w:r w:rsidRPr="00D050E9">
        <w:rPr>
          <w:rFonts w:asciiTheme="minorHAnsi" w:hAnsiTheme="minorHAnsi" w:cs="Arial"/>
        </w:rPr>
        <w:t xml:space="preserve">srednje velika podjetja, ki zaposlujejo od 50 do 250 ljudi) oziroma v katerih primerih je smiselno z državnimi pomočmi spodbujati podjetja brez zaposlenih. </w:t>
      </w:r>
    </w:p>
    <w:p w:rsidR="004C734C" w:rsidRPr="00D050E9" w:rsidRDefault="004C734C" w:rsidP="004C734C">
      <w:pPr>
        <w:pStyle w:val="ListParagraph"/>
        <w:spacing w:after="0" w:line="276" w:lineRule="auto"/>
        <w:ind w:hanging="12"/>
        <w:rPr>
          <w:rFonts w:asciiTheme="minorHAnsi" w:hAnsiTheme="minorHAnsi"/>
        </w:rPr>
      </w:pPr>
      <w:r w:rsidRPr="00D050E9">
        <w:rPr>
          <w:rFonts w:asciiTheme="minorHAnsi" w:hAnsiTheme="minorHAnsi" w:cs="Arial"/>
        </w:rPr>
        <w:t xml:space="preserve">V Sloveniji je bilo v letu 2017 podjetjem, ki nimajo zabeleženega števila zaposlenih izplačanih </w:t>
      </w:r>
      <w:r w:rsidRPr="00D050E9">
        <w:rPr>
          <w:rFonts w:asciiTheme="minorHAnsi" w:hAnsiTheme="minorHAnsi"/>
        </w:rPr>
        <w:t>skoraj 42 mio EUR, kar je skoraj desetina vseh pomoči (slabih 39 m</w:t>
      </w:r>
      <w:r w:rsidR="00D82F9B">
        <w:rPr>
          <w:rFonts w:asciiTheme="minorHAnsi" w:hAnsiTheme="minorHAnsi"/>
        </w:rPr>
        <w:t>io EUR ali 10,3 % v letu 2016) (več v poglavju 6.3.)</w:t>
      </w:r>
    </w:p>
    <w:p w:rsidR="004C734C" w:rsidRPr="00D050E9" w:rsidRDefault="004C734C" w:rsidP="004C734C">
      <w:pPr>
        <w:pStyle w:val="ListParagraph"/>
        <w:spacing w:after="0" w:line="276" w:lineRule="auto"/>
        <w:rPr>
          <w:rFonts w:asciiTheme="minorHAnsi" w:hAnsiTheme="minorHAnsi" w:cs="Arial"/>
        </w:rPr>
      </w:pPr>
    </w:p>
    <w:p w:rsidR="004C734C" w:rsidRPr="00D050E9" w:rsidRDefault="004C734C" w:rsidP="00C93FA7">
      <w:pPr>
        <w:pStyle w:val="ListParagraph"/>
        <w:numPr>
          <w:ilvl w:val="0"/>
          <w:numId w:val="14"/>
        </w:numPr>
        <w:spacing w:after="0" w:line="276" w:lineRule="auto"/>
        <w:rPr>
          <w:rFonts w:asciiTheme="minorHAnsi" w:hAnsiTheme="minorHAnsi" w:cs="Arial"/>
        </w:rPr>
      </w:pPr>
      <w:r w:rsidRPr="00D050E9">
        <w:rPr>
          <w:rFonts w:asciiTheme="minorHAnsi" w:hAnsiTheme="minorHAnsi" w:cs="Arial"/>
        </w:rPr>
        <w:t>Pred vsako dodelitvijo državnih pomoči bi bilo smiselno tudi preveriti ali potencialni prejemnik (že) prejema državne pomoči daljše časovno obdobje in kakšni so učinki do tedaj dodeljenih pomoči.</w:t>
      </w:r>
      <w:r w:rsidRPr="00D050E9">
        <w:rPr>
          <w:rFonts w:asciiTheme="minorHAnsi" w:hAnsiTheme="minorHAnsi" w:cs="Arial"/>
          <w:highlight w:val="cyan"/>
        </w:rPr>
        <w:t xml:space="preserve"> </w:t>
      </w:r>
    </w:p>
    <w:p w:rsidR="004C734C" w:rsidRPr="00D050E9" w:rsidRDefault="004C734C" w:rsidP="004C734C">
      <w:pPr>
        <w:pStyle w:val="ListParagraph"/>
        <w:spacing w:after="0" w:line="276" w:lineRule="auto"/>
        <w:rPr>
          <w:rFonts w:asciiTheme="minorHAnsi" w:hAnsiTheme="minorHAnsi" w:cs="Arial"/>
        </w:rPr>
      </w:pPr>
    </w:p>
    <w:p w:rsidR="004C734C" w:rsidRPr="00D050E9" w:rsidRDefault="004C734C" w:rsidP="00C93FA7">
      <w:pPr>
        <w:pStyle w:val="ListParagraph"/>
        <w:numPr>
          <w:ilvl w:val="0"/>
          <w:numId w:val="14"/>
        </w:numPr>
        <w:spacing w:after="0" w:line="276" w:lineRule="auto"/>
        <w:rPr>
          <w:rFonts w:asciiTheme="minorHAnsi" w:hAnsiTheme="minorHAnsi" w:cs="Arial"/>
        </w:rPr>
      </w:pPr>
      <w:r w:rsidRPr="00D050E9">
        <w:rPr>
          <w:rFonts w:asciiTheme="minorHAnsi" w:hAnsiTheme="minorHAnsi" w:cs="Arial"/>
        </w:rPr>
        <w:t xml:space="preserve">Natančnejše in doslednejše spremljanje učinkovitosti državnih pomoči na osnovi vnaprej določenih ciljev in kazalnikov z namenom vsaj zmanjšanja, če že ne odprave neučinkovitih shem pomoči oziroma neučinkovitih ukrepov spodbujanja. </w:t>
      </w:r>
    </w:p>
    <w:p w:rsidR="004C734C" w:rsidRPr="00D050E9" w:rsidRDefault="004C734C" w:rsidP="004C734C">
      <w:pPr>
        <w:pStyle w:val="ListParagraph"/>
        <w:spacing w:after="0" w:line="276" w:lineRule="auto"/>
        <w:ind w:hanging="12"/>
        <w:rPr>
          <w:rFonts w:asciiTheme="minorHAnsi" w:hAnsiTheme="minorHAnsi" w:cs="Arial"/>
        </w:rPr>
      </w:pPr>
      <w:r w:rsidRPr="00D050E9">
        <w:rPr>
          <w:rFonts w:asciiTheme="minorHAnsi" w:hAnsiTheme="minorHAnsi" w:cs="Arial"/>
        </w:rPr>
        <w:t>Ministrstvo za finance se je ob tem zavezalo, da bo nadgradilo spremljanje uspešnosti in merjenje učinkovitosti državnih pomoči ter vzpostavilo sistem, ki bo temeljil na objektivnejših dejstvih in rezultatih. Tudi dosedanja praksa, ki temelji na subjektivni presoji dajalca pomoči napeljuje na možnost izboljšanja vzpostavljenega sistema.</w:t>
      </w:r>
    </w:p>
    <w:p w:rsidR="004C734C" w:rsidRPr="00D050E9" w:rsidRDefault="004C734C" w:rsidP="004C734C">
      <w:pPr>
        <w:pStyle w:val="ListParagraph"/>
        <w:spacing w:after="0" w:line="276" w:lineRule="auto"/>
        <w:ind w:hanging="12"/>
        <w:rPr>
          <w:rFonts w:asciiTheme="minorHAnsi" w:hAnsiTheme="minorHAnsi" w:cs="Arial"/>
        </w:rPr>
      </w:pPr>
      <w:r w:rsidRPr="00D050E9">
        <w:rPr>
          <w:rFonts w:asciiTheme="minorHAnsi" w:hAnsiTheme="minorHAnsi" w:cs="Arial"/>
        </w:rPr>
        <w:t xml:space="preserve">Ministrstvo za finance načrtuje, skladno s smernicami EU, pripravo neodvisne ocene učinkovitosti  dodeljenih sredstev za dve do tri (večje) sheme </w:t>
      </w:r>
      <w:r w:rsidR="00D206A4" w:rsidRPr="00D050E9">
        <w:rPr>
          <w:rFonts w:asciiTheme="minorHAnsi" w:hAnsiTheme="minorHAnsi" w:cs="Arial"/>
        </w:rPr>
        <w:t xml:space="preserve">državnih </w:t>
      </w:r>
      <w:r w:rsidRPr="00D050E9">
        <w:rPr>
          <w:rFonts w:asciiTheme="minorHAnsi" w:hAnsiTheme="minorHAnsi" w:cs="Arial"/>
        </w:rPr>
        <w:t>pomoči letno.</w:t>
      </w:r>
    </w:p>
    <w:p w:rsidR="004C734C" w:rsidRPr="00D050E9" w:rsidRDefault="004C734C" w:rsidP="004C734C">
      <w:pPr>
        <w:pStyle w:val="ListParagraph"/>
        <w:spacing w:after="0" w:line="276" w:lineRule="auto"/>
        <w:ind w:hanging="12"/>
        <w:rPr>
          <w:rFonts w:asciiTheme="minorHAnsi" w:hAnsiTheme="minorHAnsi" w:cs="Arial"/>
          <w:highlight w:val="yellow"/>
        </w:rPr>
      </w:pPr>
      <w:r w:rsidRPr="00D050E9">
        <w:rPr>
          <w:rFonts w:asciiTheme="minorHAnsi" w:hAnsiTheme="minorHAnsi" w:cs="Arial"/>
        </w:rPr>
        <w:t>Hkrati želi povezati bazo državnih pomoči z bazo AJPES. Ta povezava bi omogočila neposredno oceno uspešnosti in spremljanje tudi naknadnih (ex post) rezultatov pri prejemnikih pomoči na podlagi letnih poročil. Preverjala bi se višina državne pomoči v primerjavi z npr. prihodki, dodano vrednostjo, številom zaposlenih, investicijami v podjetjih, primerjave podjetij s panogo, v kateri delujejo, zadolženost podjetij (EBITDA/neto dolg) ipd., ki bodo osnova za vrednotenje, ali je bila državna pomoč uspešna.</w:t>
      </w:r>
    </w:p>
    <w:p w:rsidR="004C734C" w:rsidRPr="00D050E9" w:rsidRDefault="004C734C" w:rsidP="004C734C">
      <w:pPr>
        <w:pStyle w:val="ListParagraph"/>
        <w:spacing w:after="0" w:line="276" w:lineRule="auto"/>
        <w:ind w:left="0"/>
        <w:rPr>
          <w:rFonts w:asciiTheme="minorHAnsi" w:hAnsiTheme="minorHAnsi" w:cs="Arial"/>
        </w:rPr>
      </w:pPr>
    </w:p>
    <w:p w:rsidR="004C734C" w:rsidRPr="00D050E9" w:rsidRDefault="004C734C" w:rsidP="004C734C">
      <w:pPr>
        <w:pStyle w:val="ListParagraph"/>
        <w:spacing w:after="0" w:line="276" w:lineRule="auto"/>
        <w:ind w:left="0"/>
        <w:rPr>
          <w:rFonts w:asciiTheme="minorHAnsi" w:hAnsiTheme="minorHAnsi" w:cs="Arial"/>
          <w:b/>
        </w:rPr>
      </w:pPr>
      <w:r w:rsidRPr="00D050E9">
        <w:rPr>
          <w:rFonts w:asciiTheme="minorHAnsi" w:hAnsiTheme="minorHAnsi" w:cs="Arial"/>
          <w:b/>
        </w:rPr>
        <w:t xml:space="preserve">Na podlagi teh priporočil je v nadaljevanju pripravljen podrobnejši pregled dodeljenih in hkrati poročanih pomoči iz katerega je razvidno, da pri dodeljevanju sredstev </w:t>
      </w:r>
      <w:r w:rsidR="00D206A4" w:rsidRPr="00D050E9">
        <w:rPr>
          <w:rFonts w:asciiTheme="minorHAnsi" w:hAnsiTheme="minorHAnsi" w:cs="Arial"/>
          <w:b/>
        </w:rPr>
        <w:t xml:space="preserve">s strani resornih organov </w:t>
      </w:r>
      <w:r w:rsidRPr="00D050E9">
        <w:rPr>
          <w:rFonts w:asciiTheme="minorHAnsi" w:hAnsiTheme="minorHAnsi" w:cs="Arial"/>
          <w:b/>
        </w:rPr>
        <w:t>še ni opaznih sprememb.</w:t>
      </w:r>
    </w:p>
    <w:p w:rsidR="00A20CB5" w:rsidRPr="00D050E9" w:rsidRDefault="00A20CB5" w:rsidP="00A20CB5">
      <w:pPr>
        <w:pStyle w:val="Naslov1"/>
        <w:ind w:firstLine="0"/>
      </w:pPr>
    </w:p>
    <w:p w:rsidR="004C734C" w:rsidRPr="00D050E9" w:rsidRDefault="004C734C" w:rsidP="00D043E2">
      <w:pPr>
        <w:pStyle w:val="Naslov1"/>
        <w:ind w:left="357" w:firstLine="0"/>
      </w:pPr>
    </w:p>
    <w:p w:rsidR="00DC7B34" w:rsidRPr="00D050E9" w:rsidRDefault="00343952" w:rsidP="00962426">
      <w:pPr>
        <w:pStyle w:val="Heading2"/>
      </w:pPr>
      <w:bookmarkStart w:id="141" w:name="_Toc528594666"/>
      <w:bookmarkStart w:id="142" w:name="_Toc530654564"/>
      <w:r w:rsidRPr="00D050E9">
        <w:t>6.2</w:t>
      </w:r>
      <w:r w:rsidR="00DC7B34" w:rsidRPr="00D050E9">
        <w:t xml:space="preserve"> </w:t>
      </w:r>
      <w:r w:rsidR="004A0463" w:rsidRPr="00D050E9">
        <w:t>VIŠINA</w:t>
      </w:r>
      <w:r w:rsidR="00DC7B34" w:rsidRPr="00D050E9">
        <w:t xml:space="preserve"> </w:t>
      </w:r>
      <w:r w:rsidR="00D73968" w:rsidRPr="00D050E9">
        <w:t xml:space="preserve">DRŽAVNE </w:t>
      </w:r>
      <w:r w:rsidR="00DC7B34" w:rsidRPr="00D050E9">
        <w:t>POMOČI</w:t>
      </w:r>
      <w:r w:rsidR="004A0463" w:rsidRPr="00D050E9">
        <w:t xml:space="preserve"> NA PREJEMNIKA</w:t>
      </w:r>
      <w:bookmarkEnd w:id="141"/>
      <w:bookmarkEnd w:id="142"/>
    </w:p>
    <w:p w:rsidR="00CF1AEB" w:rsidRPr="00D050E9" w:rsidRDefault="00CF1AEB" w:rsidP="00D043E2">
      <w:pPr>
        <w:spacing w:after="0"/>
      </w:pPr>
    </w:p>
    <w:p w:rsidR="00D73968" w:rsidRPr="00D050E9" w:rsidRDefault="00D73968" w:rsidP="00D73968">
      <w:pPr>
        <w:spacing w:line="276" w:lineRule="auto"/>
        <w:rPr>
          <w:rFonts w:asciiTheme="minorHAnsi" w:hAnsiTheme="minorHAnsi"/>
        </w:rPr>
      </w:pPr>
      <w:r w:rsidRPr="00D050E9">
        <w:rPr>
          <w:rFonts w:asciiTheme="minorHAnsi" w:hAnsiTheme="minorHAnsi"/>
        </w:rPr>
        <w:t xml:space="preserve">Podatki o višini državne pomoči na prejemnika kažejo na precejšnjo razdrobljenost pomoči z velikim številom prejemnikov relativno majhnih zneskov pomoči. Stanje se je v zadnjih treh letih  malenkostno izboljšalo, še vedno pa je število malih pomoči precej visoko.  V letu 2017 je tako 43 % prejemnikov pomoči tj. 2928 od skupaj 6821 </w:t>
      </w:r>
      <w:r w:rsidR="00315327" w:rsidRPr="00D050E9">
        <w:rPr>
          <w:rFonts w:asciiTheme="minorHAnsi" w:hAnsiTheme="minorHAnsi"/>
        </w:rPr>
        <w:t xml:space="preserve">prejemnikov </w:t>
      </w:r>
      <w:r w:rsidRPr="00D050E9">
        <w:rPr>
          <w:rFonts w:asciiTheme="minorHAnsi" w:hAnsiTheme="minorHAnsi"/>
        </w:rPr>
        <w:t xml:space="preserve">(brez kmetijskih gospodarstev) </w:t>
      </w:r>
      <w:r w:rsidR="00315327" w:rsidRPr="00D050E9">
        <w:rPr>
          <w:rFonts w:asciiTheme="minorHAnsi" w:hAnsiTheme="minorHAnsi"/>
        </w:rPr>
        <w:t xml:space="preserve">dobilo </w:t>
      </w:r>
      <w:r w:rsidRPr="00D050E9">
        <w:rPr>
          <w:rFonts w:asciiTheme="minorHAnsi" w:hAnsiTheme="minorHAnsi"/>
        </w:rPr>
        <w:t xml:space="preserve">pomoč </w:t>
      </w:r>
      <w:r w:rsidR="00315327" w:rsidRPr="00D050E9">
        <w:rPr>
          <w:rFonts w:asciiTheme="minorHAnsi" w:hAnsiTheme="minorHAnsi"/>
        </w:rPr>
        <w:t xml:space="preserve">v višini </w:t>
      </w:r>
      <w:r w:rsidRPr="00D050E9">
        <w:rPr>
          <w:rFonts w:asciiTheme="minorHAnsi" w:hAnsiTheme="minorHAnsi"/>
          <w:i/>
        </w:rPr>
        <w:t>5.000 EUR ali manj</w:t>
      </w:r>
      <w:r w:rsidRPr="00D050E9">
        <w:rPr>
          <w:rFonts w:asciiTheme="minorHAnsi" w:hAnsiTheme="minorHAnsi"/>
        </w:rPr>
        <w:t xml:space="preserve"> (44 % v letu 2016, 45 % v letu 2015), od tega je 4,6 % upravičencev prejelo pomoč, </w:t>
      </w:r>
      <w:r w:rsidR="00315327" w:rsidRPr="00D050E9">
        <w:rPr>
          <w:rFonts w:asciiTheme="minorHAnsi" w:hAnsiTheme="minorHAnsi"/>
        </w:rPr>
        <w:t xml:space="preserve">manjšo od </w:t>
      </w:r>
      <w:r w:rsidRPr="00D050E9">
        <w:rPr>
          <w:rFonts w:asciiTheme="minorHAnsi" w:hAnsiTheme="minorHAnsi"/>
        </w:rPr>
        <w:t xml:space="preserve">500 EUR (5,8 % v letu 2016, 5,6 % v letu 2015).  </w:t>
      </w:r>
    </w:p>
    <w:p w:rsidR="00991B12" w:rsidRDefault="004F4C0C" w:rsidP="00D73968">
      <w:pPr>
        <w:spacing w:line="276" w:lineRule="auto"/>
        <w:rPr>
          <w:rFonts w:asciiTheme="minorHAnsi" w:hAnsiTheme="minorHAnsi"/>
        </w:rPr>
      </w:pPr>
      <w:r w:rsidRPr="00D050E9">
        <w:rPr>
          <w:rFonts w:asciiTheme="minorHAnsi" w:hAnsiTheme="minorHAnsi"/>
        </w:rPr>
        <w:t xml:space="preserve">Večina upravičencev je prejela pomoč do 50.000 EUR (86 % vseh upravičencev v letu 2017, 88 % v letih 2015 in 2016). </w:t>
      </w:r>
      <w:r w:rsidR="00D73968" w:rsidRPr="00D050E9">
        <w:rPr>
          <w:rFonts w:asciiTheme="minorHAnsi" w:hAnsiTheme="minorHAnsi"/>
        </w:rPr>
        <w:t xml:space="preserve">Več kot 200.000 EUR pomoči je prejelo 5,2 % upravičencev (4,6 % v letu 2016 in 2015), pomoč večjo od 1 mio EUR </w:t>
      </w:r>
      <w:r w:rsidRPr="00D050E9">
        <w:rPr>
          <w:rFonts w:asciiTheme="minorHAnsi" w:hAnsiTheme="minorHAnsi"/>
        </w:rPr>
        <w:t xml:space="preserve">pa </w:t>
      </w:r>
      <w:r w:rsidR="002F1927" w:rsidRPr="00D050E9">
        <w:rPr>
          <w:rFonts w:asciiTheme="minorHAnsi" w:hAnsiTheme="minorHAnsi"/>
        </w:rPr>
        <w:t xml:space="preserve">manj kot </w:t>
      </w:r>
      <w:r w:rsidR="00D73968" w:rsidRPr="00D050E9">
        <w:rPr>
          <w:rFonts w:asciiTheme="minorHAnsi" w:hAnsiTheme="minorHAnsi"/>
        </w:rPr>
        <w:t>1 % vseh upravičencev (0,8 % ali 48 podjetij v letu 2017</w:t>
      </w:r>
      <w:r w:rsidR="002F1927" w:rsidRPr="00D050E9">
        <w:rPr>
          <w:rFonts w:asciiTheme="minorHAnsi" w:hAnsiTheme="minorHAnsi"/>
        </w:rPr>
        <w:t xml:space="preserve">, </w:t>
      </w:r>
      <w:r w:rsidR="00D73968" w:rsidRPr="00D050E9">
        <w:rPr>
          <w:rFonts w:asciiTheme="minorHAnsi" w:hAnsiTheme="minorHAnsi"/>
        </w:rPr>
        <w:t xml:space="preserve"> </w:t>
      </w:r>
      <w:r w:rsidR="002F1927" w:rsidRPr="00D050E9">
        <w:rPr>
          <w:rFonts w:asciiTheme="minorHAnsi" w:hAnsiTheme="minorHAnsi"/>
        </w:rPr>
        <w:t>0,7% ali 45 podjetij v</w:t>
      </w:r>
      <w:r w:rsidR="00D73968" w:rsidRPr="00D050E9">
        <w:rPr>
          <w:rFonts w:asciiTheme="minorHAnsi" w:hAnsiTheme="minorHAnsi"/>
        </w:rPr>
        <w:t xml:space="preserve"> letu 2016 in 0,9 % ali 60 podjetij v letu 2015). </w:t>
      </w:r>
    </w:p>
    <w:p w:rsidR="002F606A" w:rsidRPr="00D050E9" w:rsidRDefault="002F606A" w:rsidP="00D73968">
      <w:pPr>
        <w:spacing w:line="276" w:lineRule="auto"/>
        <w:rPr>
          <w:rFonts w:asciiTheme="minorHAnsi" w:hAnsiTheme="minorHAnsi"/>
        </w:rPr>
      </w:pPr>
    </w:p>
    <w:p w:rsidR="00D73968" w:rsidRDefault="00C0798C" w:rsidP="00C0798C">
      <w:pPr>
        <w:pStyle w:val="Caption"/>
        <w:rPr>
          <w:color w:val="auto"/>
        </w:rPr>
      </w:pPr>
      <w:bookmarkStart w:id="143" w:name="_Toc530654610"/>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26</w:t>
      </w:r>
      <w:r w:rsidRPr="00D050E9">
        <w:rPr>
          <w:color w:val="auto"/>
        </w:rPr>
        <w:fldChar w:fldCharType="end"/>
      </w:r>
      <w:r w:rsidR="00D73968" w:rsidRPr="00D050E9">
        <w:rPr>
          <w:color w:val="auto"/>
        </w:rPr>
        <w:t>: Državne pomoči v letu 2017 po višini pomoči</w:t>
      </w:r>
      <w:r w:rsidRPr="00D050E9">
        <w:rPr>
          <w:color w:val="auto"/>
        </w:rPr>
        <w:t xml:space="preserve"> na prejemnika</w:t>
      </w:r>
      <w:bookmarkEnd w:id="143"/>
    </w:p>
    <w:p w:rsidR="002F606A" w:rsidRPr="002F606A" w:rsidRDefault="002F606A" w:rsidP="002F606A">
      <w:pPr>
        <w:spacing w:after="0"/>
        <w:rPr>
          <w:lang w:bidi="hi-IN"/>
        </w:rPr>
      </w:pPr>
    </w:p>
    <w:tbl>
      <w:tblPr>
        <w:tblStyle w:val="LightGrid-Accent5"/>
        <w:tblW w:w="0" w:type="auto"/>
        <w:tblLayout w:type="fixed"/>
        <w:tblLook w:val="04A0" w:firstRow="1" w:lastRow="0" w:firstColumn="1" w:lastColumn="0" w:noHBand="0" w:noVBand="1"/>
      </w:tblPr>
      <w:tblGrid>
        <w:gridCol w:w="1259"/>
        <w:gridCol w:w="1826"/>
        <w:gridCol w:w="1559"/>
        <w:gridCol w:w="1276"/>
      </w:tblGrid>
      <w:tr w:rsidR="00D73968" w:rsidRPr="00D050E9" w:rsidTr="00B36A8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920" w:type="dxa"/>
            <w:gridSpan w:val="4"/>
            <w:noWrap/>
            <w:hideMark/>
          </w:tcPr>
          <w:p w:rsidR="00D73968" w:rsidRPr="00D050E9" w:rsidRDefault="00D73968" w:rsidP="00CA6AD5">
            <w:pPr>
              <w:jc w:val="center"/>
              <w:rPr>
                <w:rFonts w:asciiTheme="minorHAnsi" w:eastAsia="Times New Roman" w:hAnsiTheme="minorHAnsi" w:cs="Arial"/>
                <w:sz w:val="19"/>
                <w:szCs w:val="19"/>
                <w:lang w:eastAsia="sl-SI"/>
              </w:rPr>
            </w:pPr>
            <w:r w:rsidRPr="00D050E9">
              <w:rPr>
                <w:rFonts w:asciiTheme="minorHAnsi" w:eastAsia="Times New Roman" w:hAnsiTheme="minorHAnsi" w:cs="Arial"/>
                <w:sz w:val="19"/>
                <w:szCs w:val="19"/>
                <w:lang w:eastAsia="sl-SI"/>
              </w:rPr>
              <w:t>2017</w:t>
            </w: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5" w:type="dxa"/>
            <w:gridSpan w:val="2"/>
            <w:noWrap/>
            <w:hideMark/>
          </w:tcPr>
          <w:p w:rsidR="00D73968" w:rsidRPr="00D050E9" w:rsidRDefault="00D73968" w:rsidP="00CA6AD5">
            <w:pPr>
              <w:jc w:val="center"/>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Pomoč v EUR</w:t>
            </w:r>
          </w:p>
        </w:tc>
        <w:tc>
          <w:tcPr>
            <w:tcW w:w="1559" w:type="dxa"/>
            <w:vMerge w:val="restart"/>
            <w:hideMark/>
          </w:tcPr>
          <w:p w:rsidR="00D73968" w:rsidRPr="00D050E9" w:rsidRDefault="00D73968" w:rsidP="00CA6AD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Št. prejemnikov (brez KMG)</w:t>
            </w:r>
          </w:p>
        </w:tc>
        <w:tc>
          <w:tcPr>
            <w:tcW w:w="1276" w:type="dxa"/>
            <w:vMerge w:val="restart"/>
            <w:hideMark/>
          </w:tcPr>
          <w:p w:rsidR="00D73968" w:rsidRPr="00D050E9" w:rsidRDefault="00D73968" w:rsidP="00CA6AD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v % vseh</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center"/>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 xml:space="preserve">od </w:t>
            </w:r>
          </w:p>
        </w:tc>
        <w:tc>
          <w:tcPr>
            <w:tcW w:w="1826" w:type="dxa"/>
            <w:noWrap/>
            <w:hideMark/>
          </w:tcPr>
          <w:p w:rsidR="00D73968" w:rsidRPr="00D050E9" w:rsidRDefault="00D73968" w:rsidP="00CA6AD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do</w:t>
            </w:r>
          </w:p>
        </w:tc>
        <w:tc>
          <w:tcPr>
            <w:tcW w:w="1559" w:type="dxa"/>
            <w:vMerge/>
            <w:hideMark/>
          </w:tcPr>
          <w:p w:rsidR="00D73968" w:rsidRPr="00D050E9" w:rsidRDefault="00D73968" w:rsidP="00CA6AD5">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p>
        </w:tc>
        <w:tc>
          <w:tcPr>
            <w:tcW w:w="1276" w:type="dxa"/>
            <w:vMerge/>
            <w:hideMark/>
          </w:tcPr>
          <w:p w:rsidR="00D73968" w:rsidRPr="00D050E9" w:rsidRDefault="00D73968" w:rsidP="00CA6AD5">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0</w:t>
            </w:r>
          </w:p>
        </w:tc>
        <w:tc>
          <w:tcPr>
            <w:tcW w:w="182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500</w:t>
            </w:r>
          </w:p>
        </w:tc>
        <w:tc>
          <w:tcPr>
            <w:tcW w:w="1559"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317</w:t>
            </w:r>
          </w:p>
        </w:tc>
        <w:tc>
          <w:tcPr>
            <w:tcW w:w="127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4,6%</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501</w:t>
            </w:r>
          </w:p>
        </w:tc>
        <w:tc>
          <w:tcPr>
            <w:tcW w:w="182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5.000</w:t>
            </w:r>
          </w:p>
        </w:tc>
        <w:tc>
          <w:tcPr>
            <w:tcW w:w="1559"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2611</w:t>
            </w:r>
          </w:p>
        </w:tc>
        <w:tc>
          <w:tcPr>
            <w:tcW w:w="127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38,3%</w:t>
            </w: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 xml:space="preserve">   5.001</w:t>
            </w:r>
          </w:p>
        </w:tc>
        <w:tc>
          <w:tcPr>
            <w:tcW w:w="182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10.000</w:t>
            </w:r>
          </w:p>
        </w:tc>
        <w:tc>
          <w:tcPr>
            <w:tcW w:w="1559"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1247</w:t>
            </w:r>
          </w:p>
        </w:tc>
        <w:tc>
          <w:tcPr>
            <w:tcW w:w="127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18,3%</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10.001</w:t>
            </w:r>
          </w:p>
        </w:tc>
        <w:tc>
          <w:tcPr>
            <w:tcW w:w="182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50.000</w:t>
            </w:r>
          </w:p>
        </w:tc>
        <w:tc>
          <w:tcPr>
            <w:tcW w:w="1559"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1719</w:t>
            </w:r>
          </w:p>
        </w:tc>
        <w:tc>
          <w:tcPr>
            <w:tcW w:w="127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25,2%</w:t>
            </w: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50.001</w:t>
            </w:r>
          </w:p>
        </w:tc>
        <w:tc>
          <w:tcPr>
            <w:tcW w:w="182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200.000</w:t>
            </w:r>
          </w:p>
        </w:tc>
        <w:tc>
          <w:tcPr>
            <w:tcW w:w="1559"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574</w:t>
            </w:r>
          </w:p>
        </w:tc>
        <w:tc>
          <w:tcPr>
            <w:tcW w:w="127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8,4%</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200.001</w:t>
            </w:r>
          </w:p>
        </w:tc>
        <w:tc>
          <w:tcPr>
            <w:tcW w:w="182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500.000</w:t>
            </w:r>
          </w:p>
        </w:tc>
        <w:tc>
          <w:tcPr>
            <w:tcW w:w="1559"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207</w:t>
            </w:r>
          </w:p>
        </w:tc>
        <w:tc>
          <w:tcPr>
            <w:tcW w:w="127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3,0%</w:t>
            </w: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500.001</w:t>
            </w:r>
          </w:p>
        </w:tc>
        <w:tc>
          <w:tcPr>
            <w:tcW w:w="182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1.000.000</w:t>
            </w:r>
          </w:p>
        </w:tc>
        <w:tc>
          <w:tcPr>
            <w:tcW w:w="1559"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98</w:t>
            </w:r>
          </w:p>
        </w:tc>
        <w:tc>
          <w:tcPr>
            <w:tcW w:w="127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1,4%</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1.000.001</w:t>
            </w:r>
          </w:p>
        </w:tc>
        <w:tc>
          <w:tcPr>
            <w:tcW w:w="182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10.000.000</w:t>
            </w:r>
          </w:p>
        </w:tc>
        <w:tc>
          <w:tcPr>
            <w:tcW w:w="1559"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45</w:t>
            </w:r>
          </w:p>
        </w:tc>
        <w:tc>
          <w:tcPr>
            <w:tcW w:w="127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0,7%</w:t>
            </w: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9" w:type="dxa"/>
            <w:noWrap/>
            <w:hideMark/>
          </w:tcPr>
          <w:p w:rsidR="00D73968" w:rsidRPr="00D050E9" w:rsidRDefault="00D73968" w:rsidP="00CA6AD5">
            <w:pPr>
              <w:jc w:val="righ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10.000.001</w:t>
            </w:r>
          </w:p>
        </w:tc>
        <w:tc>
          <w:tcPr>
            <w:tcW w:w="1826" w:type="dxa"/>
            <w:noWrap/>
            <w:hideMark/>
          </w:tcPr>
          <w:p w:rsidR="00D73968" w:rsidRPr="00D050E9" w:rsidRDefault="00D73968" w:rsidP="00CA6AD5">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&gt; 10.000.000</w:t>
            </w:r>
          </w:p>
        </w:tc>
        <w:tc>
          <w:tcPr>
            <w:tcW w:w="1559"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3</w:t>
            </w:r>
          </w:p>
        </w:tc>
        <w:tc>
          <w:tcPr>
            <w:tcW w:w="1276" w:type="dxa"/>
            <w:noWrap/>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0,04%</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5" w:type="dxa"/>
            <w:gridSpan w:val="2"/>
            <w:noWrap/>
            <w:hideMark/>
          </w:tcPr>
          <w:p w:rsidR="00D73968" w:rsidRPr="00D050E9" w:rsidRDefault="00D73968" w:rsidP="00CA6AD5">
            <w:pPr>
              <w:jc w:val="left"/>
              <w:rPr>
                <w:rFonts w:asciiTheme="minorHAnsi" w:eastAsia="Times New Roman" w:hAnsiTheme="minorHAnsi" w:cs="Arial"/>
                <w:b w:val="0"/>
                <w:bCs w:val="0"/>
                <w:color w:val="000000"/>
                <w:sz w:val="19"/>
                <w:szCs w:val="19"/>
                <w:lang w:eastAsia="sl-SI"/>
              </w:rPr>
            </w:pPr>
            <w:r w:rsidRPr="00D050E9">
              <w:rPr>
                <w:rFonts w:asciiTheme="minorHAnsi" w:eastAsia="Times New Roman" w:hAnsiTheme="minorHAnsi" w:cs="Arial"/>
                <w:color w:val="000000"/>
                <w:sz w:val="19"/>
                <w:szCs w:val="19"/>
                <w:lang w:eastAsia="sl-SI"/>
              </w:rPr>
              <w:t>Prejemnik skupaj, v štev.</w:t>
            </w:r>
          </w:p>
        </w:tc>
        <w:tc>
          <w:tcPr>
            <w:tcW w:w="1559"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6821</w:t>
            </w:r>
          </w:p>
        </w:tc>
        <w:tc>
          <w:tcPr>
            <w:tcW w:w="1276" w:type="dxa"/>
            <w:noWrap/>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100,0%</w:t>
            </w:r>
          </w:p>
        </w:tc>
      </w:tr>
      <w:tr w:rsidR="00D73968" w:rsidRPr="00D050E9" w:rsidTr="00B36A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5" w:type="dxa"/>
            <w:gridSpan w:val="2"/>
            <w:noWrap/>
            <w:hideMark/>
          </w:tcPr>
          <w:p w:rsidR="00D73968" w:rsidRPr="00D050E9" w:rsidRDefault="00D73968" w:rsidP="00CA6AD5">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Državna pomoči skupaj, v EUR</w:t>
            </w:r>
          </w:p>
        </w:tc>
        <w:tc>
          <w:tcPr>
            <w:tcW w:w="1559" w:type="dxa"/>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 xml:space="preserve">427.181.679,40 </w:t>
            </w:r>
          </w:p>
        </w:tc>
        <w:tc>
          <w:tcPr>
            <w:tcW w:w="1276" w:type="dxa"/>
            <w:noWrap/>
            <w:hideMark/>
          </w:tcPr>
          <w:p w:rsidR="00D73968" w:rsidRPr="00D050E9" w:rsidRDefault="00D73968" w:rsidP="00CA6AD5">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 </w:t>
            </w:r>
          </w:p>
        </w:tc>
      </w:tr>
      <w:tr w:rsidR="00D73968" w:rsidRPr="00D050E9" w:rsidTr="00B36A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5" w:type="dxa"/>
            <w:gridSpan w:val="2"/>
            <w:noWrap/>
            <w:hideMark/>
          </w:tcPr>
          <w:p w:rsidR="00D73968" w:rsidRPr="00D050E9" w:rsidRDefault="00D73968" w:rsidP="007F61FE">
            <w:pPr>
              <w:jc w:val="left"/>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Državna pomoči podjetjem</w:t>
            </w:r>
            <w:r w:rsidR="007F61FE" w:rsidRPr="00D050E9">
              <w:rPr>
                <w:rFonts w:asciiTheme="minorHAnsi" w:eastAsia="Times New Roman" w:hAnsiTheme="minorHAnsi" w:cs="Arial"/>
                <w:color w:val="000000"/>
                <w:sz w:val="19"/>
                <w:szCs w:val="19"/>
                <w:lang w:eastAsia="sl-SI"/>
              </w:rPr>
              <w:t xml:space="preserve"> (brez KMG)</w:t>
            </w:r>
            <w:r w:rsidRPr="00D050E9">
              <w:rPr>
                <w:rFonts w:asciiTheme="minorHAnsi" w:eastAsia="Times New Roman" w:hAnsiTheme="minorHAnsi" w:cs="Arial"/>
                <w:color w:val="000000"/>
                <w:sz w:val="19"/>
                <w:szCs w:val="19"/>
                <w:lang w:eastAsia="sl-SI"/>
              </w:rPr>
              <w:t>, v EUR</w:t>
            </w:r>
          </w:p>
        </w:tc>
        <w:tc>
          <w:tcPr>
            <w:tcW w:w="1559" w:type="dxa"/>
            <w:hideMark/>
          </w:tcPr>
          <w:p w:rsidR="00D73968" w:rsidRPr="00D050E9" w:rsidRDefault="00D73968" w:rsidP="00CA6A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9"/>
                <w:szCs w:val="19"/>
                <w:lang w:eastAsia="sl-SI"/>
              </w:rPr>
            </w:pPr>
            <w:r w:rsidRPr="00D050E9">
              <w:rPr>
                <w:rFonts w:asciiTheme="minorHAnsi" w:eastAsia="Times New Roman" w:hAnsiTheme="minorHAnsi" w:cs="Arial"/>
                <w:b/>
                <w:bCs/>
                <w:color w:val="000000"/>
                <w:sz w:val="19"/>
                <w:szCs w:val="19"/>
                <w:lang w:eastAsia="sl-SI"/>
              </w:rPr>
              <w:t>415.604.353,27</w:t>
            </w:r>
          </w:p>
        </w:tc>
        <w:tc>
          <w:tcPr>
            <w:tcW w:w="1276" w:type="dxa"/>
            <w:noWrap/>
            <w:hideMark/>
          </w:tcPr>
          <w:p w:rsidR="00D73968" w:rsidRPr="00D050E9" w:rsidRDefault="00D73968" w:rsidP="00CA6AD5">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19"/>
                <w:szCs w:val="19"/>
                <w:lang w:eastAsia="sl-SI"/>
              </w:rPr>
            </w:pPr>
            <w:r w:rsidRPr="00D050E9">
              <w:rPr>
                <w:rFonts w:asciiTheme="minorHAnsi" w:eastAsia="Times New Roman" w:hAnsiTheme="minorHAnsi" w:cs="Arial"/>
                <w:b/>
                <w:color w:val="000000"/>
                <w:sz w:val="19"/>
                <w:szCs w:val="19"/>
                <w:lang w:eastAsia="sl-SI"/>
              </w:rPr>
              <w:t> </w:t>
            </w:r>
          </w:p>
        </w:tc>
      </w:tr>
    </w:tbl>
    <w:p w:rsidR="007F61FE" w:rsidRPr="00D050E9" w:rsidRDefault="007F61FE" w:rsidP="004A0463">
      <w:pPr>
        <w:spacing w:line="276" w:lineRule="auto"/>
        <w:rPr>
          <w:rFonts w:asciiTheme="minorHAnsi" w:hAnsiTheme="minorHAnsi"/>
        </w:rPr>
      </w:pPr>
    </w:p>
    <w:p w:rsidR="00501464" w:rsidRPr="00D050E9" w:rsidRDefault="00BC5F7E" w:rsidP="004A0463">
      <w:pPr>
        <w:spacing w:line="276" w:lineRule="auto"/>
        <w:rPr>
          <w:rFonts w:asciiTheme="minorHAnsi" w:hAnsiTheme="minorHAnsi"/>
        </w:rPr>
      </w:pPr>
      <w:r w:rsidRPr="00D050E9">
        <w:rPr>
          <w:rFonts w:asciiTheme="minorHAnsi" w:hAnsiTheme="minorHAnsi"/>
        </w:rPr>
        <w:t>Število vseh prejemnikov pomoči se je v letu</w:t>
      </w:r>
      <w:r w:rsidR="004E3E61" w:rsidRPr="00D050E9">
        <w:rPr>
          <w:rFonts w:asciiTheme="minorHAnsi" w:hAnsiTheme="minorHAnsi"/>
        </w:rPr>
        <w:t xml:space="preserve"> 2017</w:t>
      </w:r>
      <w:r w:rsidR="00714B00" w:rsidRPr="00D050E9">
        <w:rPr>
          <w:rFonts w:asciiTheme="minorHAnsi" w:hAnsiTheme="minorHAnsi"/>
        </w:rPr>
        <w:t xml:space="preserve"> glede na leto 2016</w:t>
      </w:r>
      <w:r w:rsidR="004E3E61" w:rsidRPr="00D050E9">
        <w:rPr>
          <w:rFonts w:asciiTheme="minorHAnsi" w:hAnsiTheme="minorHAnsi"/>
        </w:rPr>
        <w:t xml:space="preserve"> nekoliko povečalo. V letu 2017 je </w:t>
      </w:r>
      <w:r w:rsidR="008F5EEA" w:rsidRPr="00D050E9">
        <w:rPr>
          <w:rFonts w:asciiTheme="minorHAnsi" w:hAnsiTheme="minorHAnsi"/>
        </w:rPr>
        <w:t xml:space="preserve">državno </w:t>
      </w:r>
      <w:r w:rsidR="004E3E61" w:rsidRPr="00D050E9">
        <w:rPr>
          <w:rFonts w:asciiTheme="minorHAnsi" w:hAnsiTheme="minorHAnsi"/>
        </w:rPr>
        <w:t xml:space="preserve">pomoč prejelo 458 </w:t>
      </w:r>
      <w:r w:rsidR="008F5EEA" w:rsidRPr="00D050E9">
        <w:rPr>
          <w:rFonts w:asciiTheme="minorHAnsi" w:hAnsiTheme="minorHAnsi"/>
        </w:rPr>
        <w:t xml:space="preserve">podjetij </w:t>
      </w:r>
      <w:r w:rsidR="00845AB7" w:rsidRPr="00D050E9">
        <w:rPr>
          <w:rFonts w:asciiTheme="minorHAnsi" w:hAnsiTheme="minorHAnsi"/>
        </w:rPr>
        <w:t xml:space="preserve">več </w:t>
      </w:r>
      <w:r w:rsidR="004E3E61" w:rsidRPr="00D050E9">
        <w:rPr>
          <w:rFonts w:asciiTheme="minorHAnsi" w:hAnsiTheme="minorHAnsi"/>
        </w:rPr>
        <w:t>kot v letu 2016</w:t>
      </w:r>
      <w:r w:rsidR="009F64AC" w:rsidRPr="00D050E9">
        <w:rPr>
          <w:rFonts w:asciiTheme="minorHAnsi" w:hAnsiTheme="minorHAnsi"/>
        </w:rPr>
        <w:t xml:space="preserve"> (87 več kot v letu 2015). </w:t>
      </w:r>
      <w:r w:rsidR="004E3E61" w:rsidRPr="00D050E9">
        <w:rPr>
          <w:rFonts w:asciiTheme="minorHAnsi" w:hAnsiTheme="minorHAnsi"/>
        </w:rPr>
        <w:t>Več</w:t>
      </w:r>
      <w:r w:rsidR="009F64AC" w:rsidRPr="00D050E9">
        <w:rPr>
          <w:rFonts w:asciiTheme="minorHAnsi" w:hAnsiTheme="minorHAnsi"/>
        </w:rPr>
        <w:t xml:space="preserve"> upravičencev je bilo </w:t>
      </w:r>
      <w:r w:rsidR="004E3E61" w:rsidRPr="00D050E9">
        <w:rPr>
          <w:rFonts w:asciiTheme="minorHAnsi" w:hAnsiTheme="minorHAnsi"/>
        </w:rPr>
        <w:t xml:space="preserve">zlasti </w:t>
      </w:r>
      <w:r w:rsidR="004F4C0C" w:rsidRPr="00D050E9">
        <w:rPr>
          <w:rFonts w:asciiTheme="minorHAnsi" w:hAnsiTheme="minorHAnsi"/>
        </w:rPr>
        <w:t>prejemnikov pomoči z</w:t>
      </w:r>
      <w:r w:rsidR="004E3E61" w:rsidRPr="00D050E9">
        <w:rPr>
          <w:rFonts w:asciiTheme="minorHAnsi" w:hAnsiTheme="minorHAnsi"/>
        </w:rPr>
        <w:t>a zaposlovanje (+258</w:t>
      </w:r>
      <w:r w:rsidR="004A0463" w:rsidRPr="00D050E9">
        <w:rPr>
          <w:rFonts w:asciiTheme="minorHAnsi" w:hAnsiTheme="minorHAnsi"/>
        </w:rPr>
        <w:t xml:space="preserve"> prejemnikov pomoči</w:t>
      </w:r>
      <w:r w:rsidR="004E3E61" w:rsidRPr="00D050E9">
        <w:rPr>
          <w:rFonts w:asciiTheme="minorHAnsi" w:hAnsiTheme="minorHAnsi"/>
        </w:rPr>
        <w:t>), za r</w:t>
      </w:r>
      <w:r w:rsidR="004A0463" w:rsidRPr="00D050E9">
        <w:rPr>
          <w:rFonts w:asciiTheme="minorHAnsi" w:hAnsiTheme="minorHAnsi"/>
        </w:rPr>
        <w:t xml:space="preserve">aziskave, razvoj in inovacije (+181 prejemnikov pomoči) in </w:t>
      </w:r>
      <w:r w:rsidR="004E3E61" w:rsidRPr="00D050E9">
        <w:rPr>
          <w:rFonts w:asciiTheme="minorHAnsi" w:hAnsiTheme="minorHAnsi"/>
        </w:rPr>
        <w:t>usposabljanje</w:t>
      </w:r>
      <w:r w:rsidR="004F4C0C" w:rsidRPr="00D050E9">
        <w:rPr>
          <w:rFonts w:asciiTheme="minorHAnsi" w:hAnsiTheme="minorHAnsi"/>
        </w:rPr>
        <w:t xml:space="preserve"> (+</w:t>
      </w:r>
      <w:r w:rsidR="004A0463" w:rsidRPr="00D050E9">
        <w:rPr>
          <w:rFonts w:asciiTheme="minorHAnsi" w:hAnsiTheme="minorHAnsi"/>
        </w:rPr>
        <w:t xml:space="preserve">162 prejemnikov pomoči). </w:t>
      </w:r>
    </w:p>
    <w:p w:rsidR="00816625" w:rsidRPr="00D050E9" w:rsidRDefault="00816625" w:rsidP="00816625">
      <w:pPr>
        <w:pStyle w:val="ListParagraph"/>
        <w:spacing w:line="276" w:lineRule="auto"/>
        <w:ind w:left="0"/>
        <w:rPr>
          <w:rFonts w:asciiTheme="minorHAnsi" w:hAnsiTheme="minorHAnsi"/>
        </w:rPr>
      </w:pPr>
      <w:r w:rsidRPr="00D050E9">
        <w:rPr>
          <w:rFonts w:asciiTheme="minorHAnsi" w:hAnsiTheme="minorHAnsi"/>
        </w:rPr>
        <w:t>Največ, s</w:t>
      </w:r>
      <w:r w:rsidRPr="001E6BBD">
        <w:rPr>
          <w:rFonts w:asciiTheme="minorHAnsi" w:hAnsiTheme="minorHAnsi"/>
        </w:rPr>
        <w:t>koraj</w:t>
      </w:r>
      <w:r w:rsidRPr="00D050E9">
        <w:rPr>
          <w:rFonts w:asciiTheme="minorHAnsi" w:hAnsiTheme="minorHAnsi"/>
          <w:sz w:val="20"/>
        </w:rPr>
        <w:t xml:space="preserve"> </w:t>
      </w:r>
      <w:r w:rsidRPr="00D050E9">
        <w:rPr>
          <w:rFonts w:asciiTheme="minorHAnsi" w:hAnsiTheme="minorHAnsi"/>
        </w:rPr>
        <w:t xml:space="preserve">polovica vseh prejemnikov državnih pomoči v letu 2017 (47 % ali 3.230 od skupaj 6.821 prejemnikov pomoči) prejela pomoč za zaposlovanje (pretežno za zaposlovanje invalidnih oseb). Veliko število upravičencev, 2.605 v letu 2017, je prejemalo tudi pomoč za varstvo okolja in varčevanje z energijo. </w:t>
      </w:r>
    </w:p>
    <w:p w:rsidR="00D73968" w:rsidRPr="00D050E9" w:rsidRDefault="00C0798C" w:rsidP="00C0798C">
      <w:pPr>
        <w:pStyle w:val="Caption"/>
        <w:rPr>
          <w:color w:val="auto"/>
        </w:rPr>
      </w:pPr>
      <w:bookmarkStart w:id="144" w:name="_Toc530654611"/>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27</w:t>
      </w:r>
      <w:r w:rsidRPr="00D050E9">
        <w:rPr>
          <w:color w:val="auto"/>
        </w:rPr>
        <w:fldChar w:fldCharType="end"/>
      </w:r>
      <w:r w:rsidR="00D73968" w:rsidRPr="00D050E9">
        <w:rPr>
          <w:color w:val="auto"/>
        </w:rPr>
        <w:t>: Število upravičencev in povprečna višina državne pomoči na prejemnika, 2015–2017</w:t>
      </w:r>
      <w:bookmarkEnd w:id="144"/>
    </w:p>
    <w:tbl>
      <w:tblPr>
        <w:tblStyle w:val="LightGrid-Accent5"/>
        <w:tblW w:w="0" w:type="auto"/>
        <w:tblLayout w:type="fixed"/>
        <w:tblLook w:val="04A0" w:firstRow="1" w:lastRow="0" w:firstColumn="1" w:lastColumn="0" w:noHBand="0" w:noVBand="1"/>
      </w:tblPr>
      <w:tblGrid>
        <w:gridCol w:w="4644"/>
        <w:gridCol w:w="1560"/>
        <w:gridCol w:w="1559"/>
        <w:gridCol w:w="1525"/>
      </w:tblGrid>
      <w:tr w:rsidR="00D73968" w:rsidRPr="00D050E9" w:rsidTr="00CA6AD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hideMark/>
          </w:tcPr>
          <w:p w:rsidR="00D73968" w:rsidRPr="00D050E9" w:rsidRDefault="00D73968" w:rsidP="00CA6AD5">
            <w:pPr>
              <w:jc w:val="left"/>
              <w:rPr>
                <w:rFonts w:asciiTheme="minorHAnsi" w:eastAsia="Times New Roman" w:hAnsiTheme="minorHAnsi" w:cs="Arial"/>
                <w:color w:val="FFFFFF"/>
                <w:sz w:val="19"/>
                <w:szCs w:val="19"/>
                <w:lang w:eastAsia="sl-SI"/>
              </w:rPr>
            </w:pPr>
            <w:r w:rsidRPr="00D050E9">
              <w:rPr>
                <w:rFonts w:asciiTheme="minorHAnsi" w:eastAsia="Times New Roman" w:hAnsiTheme="minorHAnsi" w:cs="Arial"/>
                <w:color w:val="FFFFFF"/>
                <w:sz w:val="19"/>
                <w:szCs w:val="19"/>
                <w:lang w:eastAsia="sl-SI"/>
              </w:rPr>
              <w:t> </w:t>
            </w:r>
          </w:p>
        </w:tc>
        <w:tc>
          <w:tcPr>
            <w:tcW w:w="1560" w:type="dxa"/>
            <w:hideMark/>
          </w:tcPr>
          <w:p w:rsidR="00D73968" w:rsidRPr="00D050E9" w:rsidRDefault="00D73968" w:rsidP="00CA6AD5">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2015</w:t>
            </w:r>
          </w:p>
        </w:tc>
        <w:tc>
          <w:tcPr>
            <w:tcW w:w="1559" w:type="dxa"/>
            <w:hideMark/>
          </w:tcPr>
          <w:p w:rsidR="00D73968" w:rsidRPr="00D050E9" w:rsidRDefault="00D73968" w:rsidP="00CA6AD5">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2016</w:t>
            </w:r>
          </w:p>
        </w:tc>
        <w:tc>
          <w:tcPr>
            <w:tcW w:w="1525" w:type="dxa"/>
            <w:hideMark/>
          </w:tcPr>
          <w:p w:rsidR="00D73968" w:rsidRPr="00D050E9" w:rsidRDefault="00D73968" w:rsidP="00CA6AD5">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sl-SI"/>
              </w:rPr>
            </w:pPr>
            <w:r w:rsidRPr="00D050E9">
              <w:rPr>
                <w:rFonts w:asciiTheme="minorHAnsi" w:eastAsia="Times New Roman" w:hAnsiTheme="minorHAnsi" w:cs="Arial"/>
                <w:color w:val="000000"/>
                <w:sz w:val="19"/>
                <w:szCs w:val="19"/>
                <w:lang w:eastAsia="sl-SI"/>
              </w:rPr>
              <w:t>2017</w:t>
            </w:r>
          </w:p>
        </w:tc>
      </w:tr>
      <w:tr w:rsidR="00D73968" w:rsidRPr="00D050E9" w:rsidTr="00CA6AD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D73968" w:rsidRPr="00D050E9" w:rsidRDefault="00E82A71" w:rsidP="00CA6AD5">
            <w:pPr>
              <w:jc w:val="left"/>
              <w:rPr>
                <w:rFonts w:asciiTheme="minorHAnsi" w:eastAsia="Times New Roman" w:hAnsiTheme="minorHAnsi" w:cs="Arial"/>
                <w:b w:val="0"/>
                <w:sz w:val="19"/>
                <w:szCs w:val="19"/>
                <w:lang w:eastAsia="sl-SI"/>
              </w:rPr>
            </w:pPr>
            <w:r w:rsidRPr="00D050E9">
              <w:rPr>
                <w:rFonts w:asciiTheme="minorHAnsi" w:eastAsia="Times New Roman" w:hAnsiTheme="minorHAnsi" w:cs="Arial"/>
                <w:b w:val="0"/>
                <w:sz w:val="19"/>
                <w:szCs w:val="19"/>
                <w:lang w:eastAsia="sl-SI"/>
              </w:rPr>
              <w:t>D</w:t>
            </w:r>
            <w:r w:rsidR="00D73968" w:rsidRPr="00D050E9">
              <w:rPr>
                <w:rFonts w:asciiTheme="minorHAnsi" w:eastAsia="Times New Roman" w:hAnsiTheme="minorHAnsi" w:cs="Arial"/>
                <w:b w:val="0"/>
                <w:sz w:val="19"/>
                <w:szCs w:val="19"/>
                <w:lang w:eastAsia="sl-SI"/>
              </w:rPr>
              <w:t>ržavne pomoči</w:t>
            </w:r>
            <w:r w:rsidRPr="00D050E9">
              <w:rPr>
                <w:rFonts w:asciiTheme="minorHAnsi" w:eastAsia="Times New Roman" w:hAnsiTheme="minorHAnsi" w:cs="Arial"/>
                <w:b w:val="0"/>
                <w:sz w:val="19"/>
                <w:szCs w:val="19"/>
                <w:lang w:eastAsia="sl-SI"/>
              </w:rPr>
              <w:t xml:space="preserve"> podjetjem (brez KMG)</w:t>
            </w:r>
            <w:r w:rsidR="00D73968" w:rsidRPr="00D050E9">
              <w:rPr>
                <w:rFonts w:asciiTheme="minorHAnsi" w:eastAsia="Times New Roman" w:hAnsiTheme="minorHAnsi" w:cs="Arial"/>
                <w:b w:val="0"/>
                <w:sz w:val="19"/>
                <w:szCs w:val="19"/>
                <w:lang w:eastAsia="sl-SI"/>
              </w:rPr>
              <w:t>, v EUR</w:t>
            </w:r>
          </w:p>
        </w:tc>
        <w:tc>
          <w:tcPr>
            <w:tcW w:w="1560" w:type="dxa"/>
            <w:vAlign w:val="bottom"/>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538.131.454,95</w:t>
            </w:r>
          </w:p>
        </w:tc>
        <w:tc>
          <w:tcPr>
            <w:tcW w:w="1559" w:type="dxa"/>
            <w:vAlign w:val="bottom"/>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370.118.990,64</w:t>
            </w:r>
          </w:p>
        </w:tc>
        <w:tc>
          <w:tcPr>
            <w:tcW w:w="1525" w:type="dxa"/>
            <w:vAlign w:val="bottom"/>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415.604.353,27</w:t>
            </w:r>
          </w:p>
        </w:tc>
      </w:tr>
      <w:tr w:rsidR="00D73968" w:rsidRPr="00D050E9" w:rsidTr="00CA6AD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D73968" w:rsidRPr="00D050E9" w:rsidRDefault="00D73968" w:rsidP="00CA6AD5">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Štev. prejemnikov državne pomoči – podjetja</w:t>
            </w:r>
          </w:p>
        </w:tc>
        <w:tc>
          <w:tcPr>
            <w:tcW w:w="1560" w:type="dxa"/>
            <w:noWrap/>
            <w:vAlign w:val="bottom"/>
            <w:hideMark/>
          </w:tcPr>
          <w:p w:rsidR="00D73968" w:rsidRPr="00D050E9" w:rsidRDefault="00D73968" w:rsidP="00CA6AD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6734</w:t>
            </w:r>
          </w:p>
        </w:tc>
        <w:tc>
          <w:tcPr>
            <w:tcW w:w="1559" w:type="dxa"/>
            <w:noWrap/>
            <w:vAlign w:val="bottom"/>
            <w:hideMark/>
          </w:tcPr>
          <w:p w:rsidR="00D73968" w:rsidRPr="00D050E9" w:rsidRDefault="00D73968" w:rsidP="00CA6AD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6363</w:t>
            </w:r>
          </w:p>
        </w:tc>
        <w:tc>
          <w:tcPr>
            <w:tcW w:w="1525" w:type="dxa"/>
            <w:noWrap/>
            <w:vAlign w:val="bottom"/>
            <w:hideMark/>
          </w:tcPr>
          <w:p w:rsidR="00D73968" w:rsidRPr="00D050E9" w:rsidRDefault="00D73968" w:rsidP="00CA6AD5">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6821</w:t>
            </w:r>
          </w:p>
        </w:tc>
      </w:tr>
      <w:tr w:rsidR="00D73968" w:rsidRPr="00D050E9" w:rsidTr="00CA6AD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D73968" w:rsidRPr="00D050E9" w:rsidRDefault="00D73968" w:rsidP="00E82A71">
            <w:pPr>
              <w:jc w:val="left"/>
              <w:rPr>
                <w:rFonts w:asciiTheme="minorHAnsi" w:eastAsia="Times New Roman" w:hAnsiTheme="minorHAnsi" w:cs="Arial"/>
                <w:b w:val="0"/>
                <w:color w:val="000000"/>
                <w:sz w:val="19"/>
                <w:szCs w:val="19"/>
                <w:lang w:eastAsia="sl-SI"/>
              </w:rPr>
            </w:pPr>
            <w:r w:rsidRPr="00D050E9">
              <w:rPr>
                <w:rFonts w:asciiTheme="minorHAnsi" w:eastAsia="Times New Roman" w:hAnsiTheme="minorHAnsi" w:cs="Arial"/>
                <w:b w:val="0"/>
                <w:color w:val="000000"/>
                <w:sz w:val="19"/>
                <w:szCs w:val="19"/>
                <w:lang w:eastAsia="sl-SI"/>
              </w:rPr>
              <w:t>Povprečna višina pomoči na podjetje</w:t>
            </w:r>
            <w:r w:rsidR="005A2605" w:rsidRPr="00D050E9">
              <w:rPr>
                <w:rFonts w:asciiTheme="minorHAnsi" w:eastAsia="Times New Roman" w:hAnsiTheme="minorHAnsi" w:cs="Arial"/>
                <w:b w:val="0"/>
                <w:color w:val="000000"/>
                <w:sz w:val="19"/>
                <w:szCs w:val="19"/>
                <w:lang w:eastAsia="sl-SI"/>
              </w:rPr>
              <w:t xml:space="preserve">, v </w:t>
            </w:r>
            <w:r w:rsidRPr="00D050E9">
              <w:rPr>
                <w:rFonts w:asciiTheme="minorHAnsi" w:eastAsia="Times New Roman" w:hAnsiTheme="minorHAnsi" w:cs="Arial"/>
                <w:b w:val="0"/>
                <w:color w:val="000000"/>
                <w:sz w:val="19"/>
                <w:szCs w:val="19"/>
                <w:lang w:eastAsia="sl-SI"/>
              </w:rPr>
              <w:t>EUR</w:t>
            </w:r>
          </w:p>
        </w:tc>
        <w:tc>
          <w:tcPr>
            <w:tcW w:w="1560" w:type="dxa"/>
            <w:vAlign w:val="bottom"/>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79.912,60</w:t>
            </w:r>
          </w:p>
        </w:tc>
        <w:tc>
          <w:tcPr>
            <w:tcW w:w="1559" w:type="dxa"/>
            <w:vAlign w:val="bottom"/>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58.167,37</w:t>
            </w:r>
          </w:p>
        </w:tc>
        <w:tc>
          <w:tcPr>
            <w:tcW w:w="1525" w:type="dxa"/>
            <w:vAlign w:val="bottom"/>
            <w:hideMark/>
          </w:tcPr>
          <w:p w:rsidR="00D73968" w:rsidRPr="00D050E9" w:rsidRDefault="00D73968" w:rsidP="00CA6A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9"/>
                <w:szCs w:val="19"/>
                <w:lang w:eastAsia="sl-SI"/>
              </w:rPr>
            </w:pPr>
            <w:r w:rsidRPr="00D050E9">
              <w:rPr>
                <w:rFonts w:asciiTheme="minorHAnsi" w:eastAsia="Times New Roman" w:hAnsiTheme="minorHAnsi" w:cs="Arial"/>
                <w:bCs/>
                <w:color w:val="000000"/>
                <w:sz w:val="19"/>
                <w:szCs w:val="19"/>
                <w:lang w:eastAsia="sl-SI"/>
              </w:rPr>
              <w:t>60.930,12</w:t>
            </w:r>
          </w:p>
        </w:tc>
      </w:tr>
    </w:tbl>
    <w:p w:rsidR="00816625" w:rsidRPr="00D050E9" w:rsidRDefault="00816625" w:rsidP="004A0463">
      <w:pPr>
        <w:spacing w:line="276" w:lineRule="auto"/>
        <w:rPr>
          <w:rFonts w:asciiTheme="minorHAnsi" w:hAnsiTheme="minorHAnsi"/>
        </w:rPr>
      </w:pPr>
    </w:p>
    <w:p w:rsidR="00D67248" w:rsidRPr="00D050E9" w:rsidRDefault="00816625" w:rsidP="004A0463">
      <w:pPr>
        <w:spacing w:line="276" w:lineRule="auto"/>
        <w:rPr>
          <w:rFonts w:asciiTheme="minorHAnsi" w:hAnsiTheme="minorHAnsi"/>
        </w:rPr>
      </w:pPr>
      <w:r w:rsidRPr="00D050E9">
        <w:rPr>
          <w:rFonts w:asciiTheme="minorHAnsi" w:hAnsiTheme="minorHAnsi"/>
        </w:rPr>
        <w:t xml:space="preserve">V letu 2017 se je povečala tudi </w:t>
      </w:r>
      <w:r w:rsidR="004F4C0C" w:rsidRPr="00D050E9">
        <w:rPr>
          <w:rFonts w:asciiTheme="minorHAnsi" w:hAnsiTheme="minorHAnsi"/>
        </w:rPr>
        <w:t>p</w:t>
      </w:r>
      <w:r w:rsidR="004A0463" w:rsidRPr="00D050E9">
        <w:rPr>
          <w:rFonts w:asciiTheme="minorHAnsi" w:hAnsiTheme="minorHAnsi"/>
        </w:rPr>
        <w:t>ovprečna višina pomoči na prejemnika, znašala je 60.930 EUR, kar je za</w:t>
      </w:r>
      <w:r w:rsidR="00501464" w:rsidRPr="00D050E9">
        <w:rPr>
          <w:rFonts w:asciiTheme="minorHAnsi" w:hAnsiTheme="minorHAnsi"/>
        </w:rPr>
        <w:t xml:space="preserve"> slabe 5 % ali</w:t>
      </w:r>
      <w:r w:rsidR="004A0463" w:rsidRPr="00D050E9">
        <w:rPr>
          <w:rFonts w:asciiTheme="minorHAnsi" w:hAnsiTheme="minorHAnsi"/>
        </w:rPr>
        <w:t xml:space="preserve"> </w:t>
      </w:r>
      <w:r w:rsidR="00501464" w:rsidRPr="00D050E9">
        <w:rPr>
          <w:rFonts w:asciiTheme="minorHAnsi" w:hAnsiTheme="minorHAnsi"/>
        </w:rPr>
        <w:t>za</w:t>
      </w:r>
      <w:r w:rsidR="004A0463" w:rsidRPr="00D050E9">
        <w:rPr>
          <w:rFonts w:asciiTheme="minorHAnsi" w:hAnsiTheme="minorHAnsi"/>
        </w:rPr>
        <w:t xml:space="preserve"> skoraj 3.000 EUR več kot v letu 2016. </w:t>
      </w:r>
      <w:r w:rsidR="00501464" w:rsidRPr="00D050E9">
        <w:rPr>
          <w:rFonts w:asciiTheme="minorHAnsi" w:hAnsiTheme="minorHAnsi"/>
        </w:rPr>
        <w:t>Največ so k temu prispevale višje povprečne pomoči za raziskave, razvoj in inovacije</w:t>
      </w:r>
      <w:r w:rsidR="00D73968" w:rsidRPr="00D050E9">
        <w:rPr>
          <w:rFonts w:asciiTheme="minorHAnsi" w:hAnsiTheme="minorHAnsi"/>
        </w:rPr>
        <w:t>, ki so se povečale</w:t>
      </w:r>
      <w:r w:rsidR="00501464" w:rsidRPr="00D050E9">
        <w:rPr>
          <w:rFonts w:asciiTheme="minorHAnsi" w:hAnsiTheme="minorHAnsi"/>
        </w:rPr>
        <w:t xml:space="preserve"> za skoraj 34.000 EUR glede na leto 2016</w:t>
      </w:r>
      <w:r w:rsidR="00D73968" w:rsidRPr="00D050E9">
        <w:rPr>
          <w:rFonts w:asciiTheme="minorHAnsi" w:hAnsiTheme="minorHAnsi"/>
        </w:rPr>
        <w:t xml:space="preserve"> (+</w:t>
      </w:r>
      <w:r w:rsidR="00501464" w:rsidRPr="00D050E9">
        <w:rPr>
          <w:rFonts w:asciiTheme="minorHAnsi" w:hAnsiTheme="minorHAnsi"/>
        </w:rPr>
        <w:t xml:space="preserve">50 %). </w:t>
      </w:r>
      <w:r w:rsidR="00A41858" w:rsidRPr="00D050E9">
        <w:rPr>
          <w:rFonts w:asciiTheme="minorHAnsi" w:hAnsiTheme="minorHAnsi"/>
        </w:rPr>
        <w:t>I</w:t>
      </w:r>
      <w:r w:rsidR="00501464" w:rsidRPr="00D050E9">
        <w:rPr>
          <w:rFonts w:asciiTheme="minorHAnsi" w:hAnsiTheme="minorHAnsi"/>
        </w:rPr>
        <w:t xml:space="preserve">zraziteje so se </w:t>
      </w:r>
      <w:r w:rsidR="00D73968" w:rsidRPr="00D050E9">
        <w:rPr>
          <w:rFonts w:asciiTheme="minorHAnsi" w:hAnsiTheme="minorHAnsi"/>
        </w:rPr>
        <w:t xml:space="preserve">zvišale </w:t>
      </w:r>
      <w:r w:rsidR="00501464" w:rsidRPr="00D050E9">
        <w:rPr>
          <w:rFonts w:asciiTheme="minorHAnsi" w:hAnsiTheme="minorHAnsi"/>
        </w:rPr>
        <w:t>tudi povprečne pomoči za kmetijstvo</w:t>
      </w:r>
      <w:r w:rsidR="00D67248" w:rsidRPr="00D050E9">
        <w:rPr>
          <w:rFonts w:asciiTheme="minorHAnsi" w:hAnsiTheme="minorHAnsi"/>
        </w:rPr>
        <w:t xml:space="preserve">. Tiste, ki se dodeljujejo podjetjem so se povečale za dobrih </w:t>
      </w:r>
      <w:r w:rsidR="00501464" w:rsidRPr="00D050E9">
        <w:rPr>
          <w:rFonts w:asciiTheme="minorHAnsi" w:hAnsiTheme="minorHAnsi"/>
        </w:rPr>
        <w:t>13.000 EU</w:t>
      </w:r>
      <w:r w:rsidR="00A41858" w:rsidRPr="00D050E9">
        <w:rPr>
          <w:rFonts w:asciiTheme="minorHAnsi" w:hAnsiTheme="minorHAnsi"/>
        </w:rPr>
        <w:t>R glede na leto 2016 (+ 127 %).</w:t>
      </w:r>
    </w:p>
    <w:p w:rsidR="00E82A71" w:rsidRPr="00D050E9" w:rsidRDefault="00E82A71" w:rsidP="004A0463">
      <w:pPr>
        <w:spacing w:line="276" w:lineRule="auto"/>
        <w:rPr>
          <w:rFonts w:asciiTheme="minorHAnsi" w:hAnsiTheme="minorHAnsi"/>
        </w:rPr>
      </w:pPr>
    </w:p>
    <w:p w:rsidR="00E82A71" w:rsidRPr="00D050E9" w:rsidRDefault="00E82A71" w:rsidP="004A0463">
      <w:pPr>
        <w:spacing w:line="276" w:lineRule="auto"/>
        <w:rPr>
          <w:rFonts w:asciiTheme="minorHAnsi" w:hAnsiTheme="minorHAnsi"/>
        </w:rPr>
      </w:pPr>
    </w:p>
    <w:p w:rsidR="00E82A71" w:rsidRPr="00D050E9" w:rsidRDefault="00E82A71" w:rsidP="004A0463">
      <w:pPr>
        <w:spacing w:line="276" w:lineRule="auto"/>
        <w:rPr>
          <w:rFonts w:asciiTheme="minorHAnsi" w:hAnsiTheme="minorHAnsi"/>
        </w:rPr>
      </w:pPr>
    </w:p>
    <w:p w:rsidR="00654F1C" w:rsidRDefault="00C0798C" w:rsidP="00C0798C">
      <w:pPr>
        <w:pStyle w:val="Caption"/>
        <w:rPr>
          <w:color w:val="auto"/>
        </w:rPr>
      </w:pPr>
      <w:bookmarkStart w:id="145" w:name="_Toc530654612"/>
      <w:r w:rsidRPr="00D050E9">
        <w:rPr>
          <w:color w:val="auto"/>
        </w:rPr>
        <w:t xml:space="preserve">Tabela </w:t>
      </w:r>
      <w:r w:rsidR="00AA3CCB" w:rsidRPr="00D050E9">
        <w:rPr>
          <w:color w:val="auto"/>
        </w:rPr>
        <w:fldChar w:fldCharType="begin"/>
      </w:r>
      <w:r w:rsidR="00AA3CCB" w:rsidRPr="00D050E9">
        <w:rPr>
          <w:color w:val="auto"/>
        </w:rPr>
        <w:instrText xml:space="preserve"> SEQ Tabela \* ARABIC </w:instrText>
      </w:r>
      <w:r w:rsidR="00AA3CCB" w:rsidRPr="00D050E9">
        <w:rPr>
          <w:color w:val="auto"/>
        </w:rPr>
        <w:fldChar w:fldCharType="separate"/>
      </w:r>
      <w:r w:rsidR="00745204">
        <w:rPr>
          <w:noProof/>
          <w:color w:val="auto"/>
        </w:rPr>
        <w:t>28</w:t>
      </w:r>
      <w:r w:rsidR="00AA3CCB" w:rsidRPr="00D050E9">
        <w:rPr>
          <w:noProof/>
          <w:color w:val="auto"/>
        </w:rPr>
        <w:fldChar w:fldCharType="end"/>
      </w:r>
      <w:r w:rsidR="00654F1C" w:rsidRPr="00D050E9">
        <w:rPr>
          <w:color w:val="auto"/>
        </w:rPr>
        <w:t xml:space="preserve">: </w:t>
      </w:r>
      <w:r w:rsidR="00883B22" w:rsidRPr="00D050E9">
        <w:rPr>
          <w:color w:val="auto"/>
        </w:rPr>
        <w:t>Število prejemnikov in povprečna vrednost državne pomoči na prejemnika po kategorijah, 2016 in 2017</w:t>
      </w:r>
      <w:bookmarkEnd w:id="145"/>
    </w:p>
    <w:p w:rsidR="002F606A" w:rsidRPr="002F606A" w:rsidRDefault="002F606A" w:rsidP="002F606A">
      <w:pPr>
        <w:spacing w:after="0"/>
        <w:rPr>
          <w:lang w:bidi="hi-IN"/>
        </w:rPr>
      </w:pPr>
    </w:p>
    <w:tbl>
      <w:tblPr>
        <w:tblStyle w:val="LightGrid-Accent5"/>
        <w:tblW w:w="0" w:type="auto"/>
        <w:tblLook w:val="04A0" w:firstRow="1" w:lastRow="0" w:firstColumn="1" w:lastColumn="0" w:noHBand="0" w:noVBand="1"/>
      </w:tblPr>
      <w:tblGrid>
        <w:gridCol w:w="1739"/>
        <w:gridCol w:w="1113"/>
        <w:gridCol w:w="1564"/>
        <w:gridCol w:w="1206"/>
        <w:gridCol w:w="1083"/>
        <w:gridCol w:w="1377"/>
        <w:gridCol w:w="1206"/>
      </w:tblGrid>
      <w:tr w:rsidR="000549B5" w:rsidRPr="00D050E9" w:rsidTr="00313E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vMerge w:val="restart"/>
            <w:noWrap/>
            <w:hideMark/>
          </w:tcPr>
          <w:p w:rsidR="000549B5" w:rsidRPr="00D050E9" w:rsidRDefault="000549B5" w:rsidP="000549B5">
            <w:pPr>
              <w:jc w:val="center"/>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KATEGORIJA POMOČI</w:t>
            </w:r>
          </w:p>
        </w:tc>
        <w:tc>
          <w:tcPr>
            <w:tcW w:w="3883" w:type="dxa"/>
            <w:gridSpan w:val="3"/>
            <w:noWrap/>
            <w:hideMark/>
          </w:tcPr>
          <w:p w:rsidR="000549B5" w:rsidRPr="00D050E9" w:rsidRDefault="000549B5" w:rsidP="000549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2016</w:t>
            </w:r>
          </w:p>
        </w:tc>
        <w:tc>
          <w:tcPr>
            <w:tcW w:w="3666" w:type="dxa"/>
            <w:gridSpan w:val="3"/>
            <w:noWrap/>
            <w:hideMark/>
          </w:tcPr>
          <w:p w:rsidR="000549B5" w:rsidRPr="00D050E9" w:rsidRDefault="000549B5" w:rsidP="000549B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2017</w:t>
            </w:r>
          </w:p>
        </w:tc>
      </w:tr>
      <w:tr w:rsidR="004F5F8E" w:rsidRPr="00D050E9" w:rsidTr="00313E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vMerge/>
            <w:hideMark/>
          </w:tcPr>
          <w:p w:rsidR="000549B5" w:rsidRPr="00D050E9" w:rsidRDefault="000549B5" w:rsidP="000549B5">
            <w:pPr>
              <w:jc w:val="left"/>
              <w:rPr>
                <w:rFonts w:ascii="Calibri" w:eastAsia="Times New Roman" w:hAnsi="Calibri" w:cs="Arial"/>
                <w:color w:val="000000"/>
                <w:sz w:val="17"/>
                <w:szCs w:val="17"/>
                <w:lang w:eastAsia="sl-SI"/>
              </w:rPr>
            </w:pPr>
          </w:p>
        </w:tc>
        <w:tc>
          <w:tcPr>
            <w:tcW w:w="1113" w:type="dxa"/>
            <w:hideMark/>
          </w:tcPr>
          <w:p w:rsidR="000549B5" w:rsidRPr="00D050E9" w:rsidRDefault="000549B5"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Štev. prejemnikov</w:t>
            </w:r>
          </w:p>
        </w:tc>
        <w:tc>
          <w:tcPr>
            <w:tcW w:w="1564" w:type="dxa"/>
            <w:hideMark/>
          </w:tcPr>
          <w:p w:rsidR="000549B5" w:rsidRPr="00D050E9" w:rsidRDefault="000549B5"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Državna pomoč skupaj v EUR</w:t>
            </w:r>
          </w:p>
        </w:tc>
        <w:tc>
          <w:tcPr>
            <w:tcW w:w="1206" w:type="dxa"/>
            <w:hideMark/>
          </w:tcPr>
          <w:p w:rsidR="000549B5" w:rsidRPr="00D050E9" w:rsidRDefault="000549B5"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Pomoč na prejemnik, v EUR</w:t>
            </w:r>
          </w:p>
        </w:tc>
        <w:tc>
          <w:tcPr>
            <w:tcW w:w="1083" w:type="dxa"/>
            <w:hideMark/>
          </w:tcPr>
          <w:p w:rsidR="000549B5" w:rsidRPr="00D050E9" w:rsidRDefault="000549B5"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Štev. prejemnikov</w:t>
            </w:r>
          </w:p>
        </w:tc>
        <w:tc>
          <w:tcPr>
            <w:tcW w:w="1377" w:type="dxa"/>
            <w:hideMark/>
          </w:tcPr>
          <w:p w:rsidR="000549B5" w:rsidRPr="00D050E9" w:rsidRDefault="000549B5"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Državna pomoč skupaj v EUR</w:t>
            </w:r>
          </w:p>
        </w:tc>
        <w:tc>
          <w:tcPr>
            <w:tcW w:w="1206" w:type="dxa"/>
            <w:hideMark/>
          </w:tcPr>
          <w:p w:rsidR="000549B5" w:rsidRPr="00D050E9" w:rsidRDefault="000549B5"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Pomoč na prejemnik, v EUR</w:t>
            </w:r>
          </w:p>
        </w:tc>
      </w:tr>
      <w:tr w:rsidR="004F5F8E" w:rsidRPr="00D050E9" w:rsidTr="00313E2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i/>
                <w:sz w:val="17"/>
                <w:szCs w:val="17"/>
                <w:lang w:eastAsia="sl-SI"/>
              </w:rPr>
            </w:pPr>
            <w:r w:rsidRPr="00D050E9">
              <w:rPr>
                <w:rFonts w:ascii="Calibri" w:eastAsia="Times New Roman" w:hAnsi="Calibri" w:cs="Arial"/>
                <w:i/>
                <w:sz w:val="17"/>
                <w:szCs w:val="17"/>
                <w:lang w:eastAsia="sl-SI"/>
              </w:rPr>
              <w:t>HORIZONTALNE POMOČI</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564"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p>
        </w:tc>
        <w:tc>
          <w:tcPr>
            <w:tcW w:w="1206"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377"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p>
        </w:tc>
        <w:tc>
          <w:tcPr>
            <w:tcW w:w="1206"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Varstvo okolja</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2.635</w:t>
            </w:r>
          </w:p>
        </w:tc>
        <w:tc>
          <w:tcPr>
            <w:tcW w:w="1564"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176.557.085,65</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67.004,59</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2.605</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182.561.713,59</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70.081,27</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Zaposlovanje</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2.972</w:t>
            </w:r>
          </w:p>
        </w:tc>
        <w:tc>
          <w:tcPr>
            <w:tcW w:w="1564" w:type="dxa"/>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89.809.082,18</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30.218,40</w:t>
            </w:r>
          </w:p>
        </w:tc>
        <w:tc>
          <w:tcPr>
            <w:tcW w:w="1083" w:type="dxa"/>
            <w:noWrap/>
            <w:hideMark/>
          </w:tcPr>
          <w:p w:rsidR="00F53BD7" w:rsidRPr="00D050E9" w:rsidRDefault="00580605"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3.230</w:t>
            </w:r>
          </w:p>
        </w:tc>
        <w:tc>
          <w:tcPr>
            <w:tcW w:w="1377" w:type="dxa"/>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98.474.399,15</w:t>
            </w:r>
          </w:p>
        </w:tc>
        <w:tc>
          <w:tcPr>
            <w:tcW w:w="1206" w:type="dxa"/>
            <w:noWrap/>
            <w:hideMark/>
          </w:tcPr>
          <w:p w:rsidR="00F53BD7" w:rsidRPr="00D050E9" w:rsidRDefault="00580605"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30.487,43</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0B027C"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Regionalne pomoči</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453</w:t>
            </w:r>
          </w:p>
        </w:tc>
        <w:tc>
          <w:tcPr>
            <w:tcW w:w="1564"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21.958.863,39</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48.474,31</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383</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20.967.698,15</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54.745,95</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Raziskave in razvoj ter inovacije</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157</w:t>
            </w:r>
          </w:p>
        </w:tc>
        <w:tc>
          <w:tcPr>
            <w:tcW w:w="1564" w:type="dxa"/>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10.646.968,49</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67.815,09</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338</w:t>
            </w:r>
          </w:p>
        </w:tc>
        <w:tc>
          <w:tcPr>
            <w:tcW w:w="1377" w:type="dxa"/>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34.402.389,14</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101.782,22</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MSP in tvegani kapital</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102</w:t>
            </w:r>
          </w:p>
        </w:tc>
        <w:tc>
          <w:tcPr>
            <w:tcW w:w="1564"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2.774.593,30</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27.201,90</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184</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3.735.735,80</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20.302,91</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Kultura</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210</w:t>
            </w:r>
          </w:p>
        </w:tc>
        <w:tc>
          <w:tcPr>
            <w:tcW w:w="1564" w:type="dxa"/>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10.311.751,10</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49.103,58</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307</w:t>
            </w:r>
          </w:p>
        </w:tc>
        <w:tc>
          <w:tcPr>
            <w:tcW w:w="1377" w:type="dxa"/>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10.336.163,78</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33.668,29</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Usposabljanje</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13</w:t>
            </w:r>
          </w:p>
        </w:tc>
        <w:tc>
          <w:tcPr>
            <w:tcW w:w="1564"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102.999,91</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7.923,07</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175</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 w:val="17"/>
                <w:szCs w:val="17"/>
                <w:lang w:eastAsia="sl-SI"/>
              </w:rPr>
            </w:pPr>
            <w:r w:rsidRPr="00D050E9">
              <w:rPr>
                <w:rFonts w:asciiTheme="minorHAnsi" w:eastAsia="Times New Roman" w:hAnsiTheme="minorHAnsi" w:cs="Arial"/>
                <w:bCs/>
                <w:color w:val="000000"/>
                <w:sz w:val="17"/>
                <w:szCs w:val="17"/>
                <w:lang w:eastAsia="sl-SI"/>
              </w:rPr>
              <w:t>694.196,75</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3.966,84</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i/>
                <w:sz w:val="17"/>
                <w:szCs w:val="17"/>
                <w:lang w:eastAsia="sl-SI"/>
              </w:rPr>
            </w:pPr>
            <w:r w:rsidRPr="00D050E9">
              <w:rPr>
                <w:rFonts w:ascii="Calibri" w:eastAsia="Times New Roman" w:hAnsi="Calibri" w:cs="Arial"/>
                <w:i/>
                <w:sz w:val="17"/>
                <w:szCs w:val="17"/>
                <w:lang w:eastAsia="sl-SI"/>
              </w:rPr>
              <w:t>POSEBNI SEKTORJI</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564"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p>
        </w:tc>
        <w:tc>
          <w:tcPr>
            <w:tcW w:w="1206"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377" w:type="dxa"/>
            <w:noWrap/>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p>
        </w:tc>
        <w:tc>
          <w:tcPr>
            <w:tcW w:w="1206"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Transport (kopenski)</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w:t>
            </w:r>
          </w:p>
        </w:tc>
        <w:tc>
          <w:tcPr>
            <w:tcW w:w="1564"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43.101.325,37</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43.101.325,37</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45.662.099,98</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45.662.099,98</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Transport (zračni)</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564" w:type="dxa"/>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 </w:t>
            </w:r>
          </w:p>
        </w:tc>
        <w:tc>
          <w:tcPr>
            <w:tcW w:w="1206" w:type="dxa"/>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w:t>
            </w:r>
          </w:p>
        </w:tc>
        <w:tc>
          <w:tcPr>
            <w:tcW w:w="1377" w:type="dxa"/>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605.388,00</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605.388,00</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Transport (morski)</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564"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 </w:t>
            </w:r>
          </w:p>
        </w:tc>
        <w:tc>
          <w:tcPr>
            <w:tcW w:w="1206"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2.086,36</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2.086,36</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Premogovništvo</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21</w:t>
            </w:r>
          </w:p>
        </w:tc>
        <w:tc>
          <w:tcPr>
            <w:tcW w:w="1564" w:type="dxa"/>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12.474.809,28</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594.038,54</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10</w:t>
            </w:r>
          </w:p>
        </w:tc>
        <w:tc>
          <w:tcPr>
            <w:tcW w:w="1377" w:type="dxa"/>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15.749.805,65</w:t>
            </w:r>
          </w:p>
        </w:tc>
        <w:tc>
          <w:tcPr>
            <w:tcW w:w="1206" w:type="dxa"/>
            <w:noWrap/>
            <w:hideMark/>
          </w:tcPr>
          <w:p w:rsidR="00F53BD7" w:rsidRPr="00D050E9" w:rsidRDefault="00F53BD7"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1.574.980,57</w:t>
            </w:r>
          </w:p>
        </w:tc>
      </w:tr>
      <w:tr w:rsidR="004F5F8E"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Pomoči za reševanje in prestrukturiranje</w:t>
            </w:r>
          </w:p>
        </w:tc>
        <w:tc>
          <w:tcPr>
            <w:tcW w:w="111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w:t>
            </w:r>
          </w:p>
        </w:tc>
        <w:tc>
          <w:tcPr>
            <w:tcW w:w="1564" w:type="dxa"/>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1.300.000,00</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1.300.000,00</w:t>
            </w:r>
          </w:p>
        </w:tc>
        <w:tc>
          <w:tcPr>
            <w:tcW w:w="1083" w:type="dxa"/>
            <w:noWrap/>
            <w:hideMark/>
          </w:tcPr>
          <w:p w:rsidR="00F53BD7" w:rsidRPr="00D050E9" w:rsidRDefault="00F53BD7"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w:t>
            </w:r>
          </w:p>
        </w:tc>
        <w:tc>
          <w:tcPr>
            <w:tcW w:w="1377" w:type="dxa"/>
            <w:hideMark/>
          </w:tcPr>
          <w:p w:rsidR="00F53BD7" w:rsidRPr="00D050E9" w:rsidRDefault="00F53BD7"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54.369,00</w:t>
            </w:r>
          </w:p>
        </w:tc>
        <w:tc>
          <w:tcPr>
            <w:tcW w:w="1206" w:type="dxa"/>
            <w:noWrap/>
            <w:hideMark/>
          </w:tcPr>
          <w:p w:rsidR="00F53BD7" w:rsidRPr="00D050E9" w:rsidRDefault="00F53BD7"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54.369,00</w:t>
            </w:r>
          </w:p>
        </w:tc>
      </w:tr>
      <w:tr w:rsidR="004F5F8E"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F53BD7" w:rsidRPr="00D050E9" w:rsidRDefault="00F53BD7" w:rsidP="000549B5">
            <w:pPr>
              <w:jc w:val="left"/>
              <w:rPr>
                <w:rFonts w:ascii="Calibri" w:eastAsia="Times New Roman" w:hAnsi="Calibri" w:cs="Arial"/>
                <w:i/>
                <w:sz w:val="17"/>
                <w:szCs w:val="17"/>
                <w:lang w:eastAsia="sl-SI"/>
              </w:rPr>
            </w:pPr>
            <w:r w:rsidRPr="00D050E9">
              <w:rPr>
                <w:rFonts w:ascii="Calibri" w:eastAsia="Times New Roman" w:hAnsi="Calibri" w:cs="Arial"/>
                <w:i/>
                <w:sz w:val="17"/>
                <w:szCs w:val="17"/>
                <w:lang w:eastAsia="sl-SI"/>
              </w:rPr>
              <w:t xml:space="preserve">KMETIJSTVO </w:t>
            </w:r>
          </w:p>
        </w:tc>
        <w:tc>
          <w:tcPr>
            <w:tcW w:w="111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564"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000000"/>
                <w:sz w:val="17"/>
                <w:szCs w:val="17"/>
                <w:lang w:eastAsia="sl-SI"/>
              </w:rPr>
            </w:pPr>
            <w:r w:rsidRPr="00D050E9">
              <w:rPr>
                <w:rFonts w:asciiTheme="minorHAnsi" w:eastAsia="Times New Roman" w:hAnsiTheme="minorHAnsi" w:cs="Arial"/>
                <w:b/>
                <w:bCs/>
                <w:color w:val="000000"/>
                <w:sz w:val="17"/>
                <w:szCs w:val="17"/>
                <w:lang w:eastAsia="sl-SI"/>
              </w:rPr>
              <w:t> </w:t>
            </w:r>
          </w:p>
        </w:tc>
        <w:tc>
          <w:tcPr>
            <w:tcW w:w="1206"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c>
          <w:tcPr>
            <w:tcW w:w="1083" w:type="dxa"/>
            <w:noWrap/>
            <w:hideMark/>
          </w:tcPr>
          <w:p w:rsidR="00F53BD7" w:rsidRPr="00D050E9" w:rsidRDefault="00F53BD7"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w:t>
            </w:r>
          </w:p>
        </w:tc>
        <w:tc>
          <w:tcPr>
            <w:tcW w:w="1377" w:type="dxa"/>
            <w:noWrap/>
            <w:hideMark/>
          </w:tcPr>
          <w:p w:rsidR="00F53BD7" w:rsidRPr="00D050E9" w:rsidRDefault="00F53BD7"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p>
        </w:tc>
        <w:tc>
          <w:tcPr>
            <w:tcW w:w="1206" w:type="dxa"/>
            <w:noWrap/>
            <w:hideMark/>
          </w:tcPr>
          <w:p w:rsidR="00F53BD7" w:rsidRPr="00D050E9" w:rsidRDefault="00F53BD7" w:rsidP="00714B00">
            <w:pPr>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p>
        </w:tc>
      </w:tr>
      <w:tr w:rsidR="008D6EB0"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8D6EB0" w:rsidRPr="00D050E9" w:rsidRDefault="008D6EB0"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Kmetijstvo, podjetja</w:t>
            </w:r>
          </w:p>
        </w:tc>
        <w:tc>
          <w:tcPr>
            <w:tcW w:w="1113" w:type="dxa"/>
            <w:noWrap/>
            <w:hideMark/>
          </w:tcPr>
          <w:p w:rsidR="008D6EB0" w:rsidRPr="00D050E9" w:rsidRDefault="008D6EB0"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60</w:t>
            </w:r>
          </w:p>
        </w:tc>
        <w:tc>
          <w:tcPr>
            <w:tcW w:w="1564" w:type="dxa"/>
            <w:noWrap/>
            <w:hideMark/>
          </w:tcPr>
          <w:p w:rsidR="008D6EB0" w:rsidRPr="00D050E9" w:rsidRDefault="008D6EB0"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615.724,70</w:t>
            </w:r>
          </w:p>
        </w:tc>
        <w:tc>
          <w:tcPr>
            <w:tcW w:w="1206" w:type="dxa"/>
            <w:noWrap/>
            <w:hideMark/>
          </w:tcPr>
          <w:p w:rsidR="008D6EB0" w:rsidRPr="00D050E9" w:rsidRDefault="008D6EB0"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10.262,08</w:t>
            </w:r>
          </w:p>
        </w:tc>
        <w:tc>
          <w:tcPr>
            <w:tcW w:w="1083" w:type="dxa"/>
            <w:noWrap/>
            <w:hideMark/>
          </w:tcPr>
          <w:p w:rsidR="008D6EB0" w:rsidRPr="00D050E9" w:rsidRDefault="008D6EB0"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101</w:t>
            </w:r>
          </w:p>
        </w:tc>
        <w:tc>
          <w:tcPr>
            <w:tcW w:w="1377" w:type="dxa"/>
            <w:noWrap/>
            <w:hideMark/>
          </w:tcPr>
          <w:p w:rsidR="008D6EB0" w:rsidRPr="00D050E9" w:rsidRDefault="008D6EB0"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2.358.307,92</w:t>
            </w:r>
          </w:p>
        </w:tc>
        <w:tc>
          <w:tcPr>
            <w:tcW w:w="1206" w:type="dxa"/>
            <w:noWrap/>
            <w:hideMark/>
          </w:tcPr>
          <w:p w:rsidR="008D6EB0" w:rsidRPr="00D050E9" w:rsidRDefault="008D6EB0" w:rsidP="006924E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23.349,58</w:t>
            </w:r>
          </w:p>
        </w:tc>
      </w:tr>
      <w:tr w:rsidR="008D6EB0"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8D6EB0" w:rsidRPr="00D050E9" w:rsidRDefault="008D6EB0"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Kmetijstvo, KMG</w:t>
            </w:r>
          </w:p>
        </w:tc>
        <w:tc>
          <w:tcPr>
            <w:tcW w:w="1113" w:type="dxa"/>
            <w:noWrap/>
            <w:hideMark/>
          </w:tcPr>
          <w:p w:rsidR="008D6EB0" w:rsidRPr="00D050E9" w:rsidRDefault="008D6EB0"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7.481</w:t>
            </w:r>
          </w:p>
        </w:tc>
        <w:tc>
          <w:tcPr>
            <w:tcW w:w="1564" w:type="dxa"/>
            <w:noWrap/>
            <w:hideMark/>
          </w:tcPr>
          <w:p w:rsidR="008D6EB0" w:rsidRPr="00D050E9" w:rsidRDefault="008D6EB0"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4.911.239,99</w:t>
            </w:r>
          </w:p>
        </w:tc>
        <w:tc>
          <w:tcPr>
            <w:tcW w:w="1206" w:type="dxa"/>
            <w:noWrap/>
            <w:hideMark/>
          </w:tcPr>
          <w:p w:rsidR="008D6EB0" w:rsidRPr="00D050E9" w:rsidRDefault="008D6EB0" w:rsidP="00714B0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656,50</w:t>
            </w:r>
          </w:p>
        </w:tc>
        <w:tc>
          <w:tcPr>
            <w:tcW w:w="1083" w:type="dxa"/>
            <w:noWrap/>
            <w:hideMark/>
          </w:tcPr>
          <w:p w:rsidR="008D6EB0" w:rsidRPr="00D050E9" w:rsidRDefault="008D6EB0"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9.091</w:t>
            </w:r>
          </w:p>
        </w:tc>
        <w:tc>
          <w:tcPr>
            <w:tcW w:w="1377" w:type="dxa"/>
            <w:noWrap/>
            <w:hideMark/>
          </w:tcPr>
          <w:p w:rsidR="008D6EB0" w:rsidRPr="00D050E9" w:rsidRDefault="008D6EB0"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11.577.326,13</w:t>
            </w:r>
          </w:p>
        </w:tc>
        <w:tc>
          <w:tcPr>
            <w:tcW w:w="1206" w:type="dxa"/>
            <w:noWrap/>
            <w:hideMark/>
          </w:tcPr>
          <w:p w:rsidR="008D6EB0" w:rsidRPr="00D050E9" w:rsidRDefault="008D6EB0" w:rsidP="006924E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1.273,49</w:t>
            </w:r>
          </w:p>
        </w:tc>
      </w:tr>
      <w:tr w:rsidR="008D6EB0"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8D6EB0" w:rsidRPr="00D050E9" w:rsidRDefault="008D6EB0" w:rsidP="000549B5">
            <w:pPr>
              <w:jc w:val="left"/>
              <w:rPr>
                <w:rFonts w:ascii="Calibri" w:eastAsia="Times New Roman" w:hAnsi="Calibri" w:cs="Arial"/>
                <w:b w:val="0"/>
                <w:sz w:val="17"/>
                <w:szCs w:val="17"/>
                <w:lang w:eastAsia="sl-SI"/>
              </w:rPr>
            </w:pPr>
            <w:r w:rsidRPr="00D050E9">
              <w:rPr>
                <w:rFonts w:ascii="Calibri" w:eastAsia="Times New Roman" w:hAnsi="Calibri" w:cs="Arial"/>
                <w:b w:val="0"/>
                <w:sz w:val="17"/>
                <w:szCs w:val="17"/>
                <w:lang w:eastAsia="sl-SI"/>
              </w:rPr>
              <w:t>Ribištvo</w:t>
            </w:r>
          </w:p>
        </w:tc>
        <w:tc>
          <w:tcPr>
            <w:tcW w:w="1113" w:type="dxa"/>
            <w:noWrap/>
            <w:hideMark/>
          </w:tcPr>
          <w:p w:rsidR="008D6EB0" w:rsidRPr="00D050E9" w:rsidRDefault="008D6EB0"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38</w:t>
            </w:r>
          </w:p>
        </w:tc>
        <w:tc>
          <w:tcPr>
            <w:tcW w:w="1564" w:type="dxa"/>
            <w:noWrap/>
            <w:hideMark/>
          </w:tcPr>
          <w:p w:rsidR="008D6EB0" w:rsidRPr="00D050E9" w:rsidRDefault="008D6EB0"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7"/>
                <w:szCs w:val="17"/>
                <w:lang w:eastAsia="sl-SI"/>
              </w:rPr>
            </w:pPr>
            <w:r w:rsidRPr="00D050E9">
              <w:rPr>
                <w:rFonts w:asciiTheme="minorHAnsi" w:eastAsia="Times New Roman" w:hAnsiTheme="minorHAnsi" w:cs="Arial"/>
                <w:sz w:val="17"/>
                <w:szCs w:val="17"/>
                <w:lang w:eastAsia="sl-SI"/>
              </w:rPr>
              <w:t>465.787,27</w:t>
            </w:r>
          </w:p>
        </w:tc>
        <w:tc>
          <w:tcPr>
            <w:tcW w:w="1206" w:type="dxa"/>
            <w:noWrap/>
            <w:hideMark/>
          </w:tcPr>
          <w:p w:rsidR="008D6EB0" w:rsidRPr="00D050E9" w:rsidRDefault="008D6EB0" w:rsidP="00714B0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12.257,56</w:t>
            </w:r>
          </w:p>
        </w:tc>
        <w:tc>
          <w:tcPr>
            <w:tcW w:w="1083" w:type="dxa"/>
            <w:noWrap/>
            <w:hideMark/>
          </w:tcPr>
          <w:p w:rsidR="008D6EB0" w:rsidRPr="00D050E9" w:rsidRDefault="008D6EB0" w:rsidP="000549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7030A0"/>
                <w:sz w:val="17"/>
                <w:szCs w:val="17"/>
                <w:lang w:eastAsia="sl-SI"/>
              </w:rPr>
            </w:pPr>
            <w:r w:rsidRPr="00D050E9">
              <w:rPr>
                <w:rFonts w:ascii="Calibri" w:eastAsia="Times New Roman" w:hAnsi="Calibri" w:cs="Arial"/>
                <w:color w:val="7030A0"/>
                <w:sz w:val="17"/>
                <w:szCs w:val="17"/>
                <w:lang w:eastAsia="sl-SI"/>
              </w:rPr>
              <w:t> </w:t>
            </w:r>
          </w:p>
        </w:tc>
        <w:tc>
          <w:tcPr>
            <w:tcW w:w="1377" w:type="dxa"/>
            <w:noWrap/>
            <w:hideMark/>
          </w:tcPr>
          <w:p w:rsidR="008D6EB0" w:rsidRPr="00D050E9" w:rsidRDefault="008D6EB0"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7"/>
                <w:szCs w:val="17"/>
                <w:lang w:eastAsia="sl-SI"/>
              </w:rPr>
            </w:pPr>
            <w:r w:rsidRPr="00D050E9">
              <w:rPr>
                <w:rFonts w:asciiTheme="minorHAnsi" w:eastAsia="Times New Roman" w:hAnsiTheme="minorHAnsi" w:cs="Arial"/>
                <w:color w:val="000000"/>
                <w:sz w:val="17"/>
                <w:szCs w:val="17"/>
                <w:lang w:eastAsia="sl-SI"/>
              </w:rPr>
              <w:t>0,00</w:t>
            </w:r>
          </w:p>
        </w:tc>
        <w:tc>
          <w:tcPr>
            <w:tcW w:w="1206" w:type="dxa"/>
            <w:noWrap/>
            <w:hideMark/>
          </w:tcPr>
          <w:p w:rsidR="008D6EB0" w:rsidRPr="00D050E9" w:rsidRDefault="008D6EB0" w:rsidP="000549B5">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2060"/>
                <w:sz w:val="17"/>
                <w:szCs w:val="17"/>
                <w:lang w:eastAsia="sl-SI"/>
              </w:rPr>
            </w:pPr>
            <w:r w:rsidRPr="00D050E9">
              <w:rPr>
                <w:rFonts w:ascii="Calibri" w:eastAsia="Times New Roman" w:hAnsi="Calibri" w:cs="Arial"/>
                <w:color w:val="002060"/>
                <w:sz w:val="17"/>
                <w:szCs w:val="17"/>
                <w:lang w:eastAsia="sl-SI"/>
              </w:rPr>
              <w:t> </w:t>
            </w:r>
          </w:p>
        </w:tc>
      </w:tr>
      <w:tr w:rsidR="008D6EB0" w:rsidRPr="00D050E9" w:rsidTr="0081662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8D6EB0" w:rsidRPr="00D050E9" w:rsidRDefault="008D6EB0" w:rsidP="00714B00">
            <w:pPr>
              <w:jc w:val="left"/>
              <w:rPr>
                <w:rFonts w:ascii="Calibri" w:eastAsia="Times New Roman" w:hAnsi="Calibri" w:cs="Arial"/>
                <w:i/>
                <w:sz w:val="17"/>
                <w:szCs w:val="17"/>
                <w:lang w:eastAsia="sl-SI"/>
              </w:rPr>
            </w:pPr>
            <w:r w:rsidRPr="00D050E9">
              <w:rPr>
                <w:rFonts w:ascii="Calibri" w:eastAsia="Times New Roman" w:hAnsi="Calibri" w:cs="Arial"/>
                <w:i/>
                <w:sz w:val="17"/>
                <w:szCs w:val="17"/>
                <w:lang w:eastAsia="sl-SI"/>
              </w:rPr>
              <w:t>SKUPAJ državne pomoči</w:t>
            </w:r>
          </w:p>
        </w:tc>
        <w:tc>
          <w:tcPr>
            <w:tcW w:w="1113" w:type="dxa"/>
            <w:noWrap/>
            <w:hideMark/>
          </w:tcPr>
          <w:p w:rsidR="008D6EB0" w:rsidRPr="00D050E9" w:rsidRDefault="008D6EB0"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17"/>
                <w:szCs w:val="17"/>
                <w:lang w:eastAsia="sl-SI"/>
              </w:rPr>
            </w:pPr>
            <w:r w:rsidRPr="00D050E9">
              <w:rPr>
                <w:rFonts w:asciiTheme="minorHAnsi" w:eastAsia="Times New Roman" w:hAnsiTheme="minorHAnsi" w:cs="Arial"/>
                <w:b/>
                <w:sz w:val="17"/>
                <w:szCs w:val="17"/>
                <w:lang w:eastAsia="sl-SI"/>
              </w:rPr>
              <w:t> </w:t>
            </w:r>
          </w:p>
        </w:tc>
        <w:tc>
          <w:tcPr>
            <w:tcW w:w="1564" w:type="dxa"/>
            <w:noWrap/>
            <w:hideMark/>
          </w:tcPr>
          <w:p w:rsidR="008D6EB0" w:rsidRPr="00D050E9" w:rsidRDefault="008D6EB0" w:rsidP="0075610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17"/>
                <w:szCs w:val="17"/>
                <w:lang w:eastAsia="sl-SI"/>
              </w:rPr>
            </w:pPr>
            <w:r w:rsidRPr="00D050E9">
              <w:rPr>
                <w:rFonts w:asciiTheme="minorHAnsi" w:eastAsia="Times New Roman" w:hAnsiTheme="minorHAnsi" w:cs="Arial"/>
                <w:b/>
                <w:sz w:val="17"/>
                <w:szCs w:val="17"/>
                <w:lang w:eastAsia="sl-SI"/>
              </w:rPr>
              <w:t> 375.030.230,63</w:t>
            </w:r>
          </w:p>
        </w:tc>
        <w:tc>
          <w:tcPr>
            <w:tcW w:w="1206" w:type="dxa"/>
            <w:noWrap/>
            <w:hideMark/>
          </w:tcPr>
          <w:p w:rsidR="008D6EB0" w:rsidRPr="00D050E9" w:rsidRDefault="008D6EB0" w:rsidP="0075610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17"/>
                <w:szCs w:val="17"/>
                <w:lang w:eastAsia="sl-SI"/>
              </w:rPr>
            </w:pPr>
            <w:r w:rsidRPr="00D050E9">
              <w:rPr>
                <w:rFonts w:asciiTheme="minorHAnsi" w:eastAsia="Times New Roman" w:hAnsiTheme="minorHAnsi" w:cs="Arial"/>
                <w:b/>
                <w:sz w:val="17"/>
                <w:szCs w:val="17"/>
                <w:lang w:eastAsia="sl-SI"/>
              </w:rPr>
              <w:t> </w:t>
            </w:r>
            <w:r w:rsidRPr="00D050E9">
              <w:rPr>
                <w:rFonts w:asciiTheme="minorHAnsi" w:eastAsia="Times New Roman" w:hAnsiTheme="minorHAnsi" w:cs="Arial"/>
                <w:b/>
                <w:color w:val="002060"/>
                <w:sz w:val="17"/>
                <w:szCs w:val="17"/>
                <w:lang w:eastAsia="sl-SI"/>
              </w:rPr>
              <w:t>58.939,22</w:t>
            </w:r>
          </w:p>
        </w:tc>
        <w:tc>
          <w:tcPr>
            <w:tcW w:w="1083" w:type="dxa"/>
            <w:noWrap/>
            <w:hideMark/>
          </w:tcPr>
          <w:p w:rsidR="008D6EB0" w:rsidRPr="00D050E9" w:rsidRDefault="008D6EB0" w:rsidP="00714B00">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17"/>
                <w:szCs w:val="17"/>
                <w:lang w:eastAsia="sl-SI"/>
              </w:rPr>
            </w:pPr>
            <w:r w:rsidRPr="00D050E9">
              <w:rPr>
                <w:rFonts w:asciiTheme="minorHAnsi" w:eastAsia="Times New Roman" w:hAnsiTheme="minorHAnsi" w:cs="Arial"/>
                <w:b/>
                <w:sz w:val="17"/>
                <w:szCs w:val="17"/>
                <w:lang w:eastAsia="sl-SI"/>
              </w:rPr>
              <w:t> </w:t>
            </w:r>
          </w:p>
        </w:tc>
        <w:tc>
          <w:tcPr>
            <w:tcW w:w="1377" w:type="dxa"/>
            <w:noWrap/>
            <w:hideMark/>
          </w:tcPr>
          <w:p w:rsidR="008D6EB0" w:rsidRPr="00D050E9" w:rsidRDefault="008D6EB0" w:rsidP="0081662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17"/>
                <w:szCs w:val="17"/>
                <w:lang w:eastAsia="sl-SI"/>
              </w:rPr>
            </w:pPr>
            <w:r w:rsidRPr="00D050E9">
              <w:rPr>
                <w:rFonts w:asciiTheme="minorHAnsi" w:eastAsia="Times New Roman" w:hAnsiTheme="minorHAnsi" w:cs="Arial"/>
                <w:b/>
                <w:sz w:val="17"/>
                <w:szCs w:val="17"/>
                <w:lang w:eastAsia="sl-SI"/>
              </w:rPr>
              <w:t> 427.181.679,40</w:t>
            </w:r>
          </w:p>
        </w:tc>
        <w:tc>
          <w:tcPr>
            <w:tcW w:w="1206" w:type="dxa"/>
            <w:noWrap/>
            <w:hideMark/>
          </w:tcPr>
          <w:p w:rsidR="008D6EB0" w:rsidRPr="00D050E9" w:rsidRDefault="008D6EB0" w:rsidP="0075610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17"/>
                <w:szCs w:val="17"/>
                <w:lang w:eastAsia="sl-SI"/>
              </w:rPr>
            </w:pPr>
            <w:r w:rsidRPr="00D050E9">
              <w:rPr>
                <w:rFonts w:asciiTheme="minorHAnsi" w:eastAsia="Times New Roman" w:hAnsiTheme="minorHAnsi" w:cs="Arial"/>
                <w:b/>
                <w:sz w:val="17"/>
                <w:szCs w:val="17"/>
                <w:lang w:eastAsia="sl-SI"/>
              </w:rPr>
              <w:t> 62.627,43</w:t>
            </w:r>
          </w:p>
        </w:tc>
      </w:tr>
      <w:tr w:rsidR="008D6EB0" w:rsidRPr="00D050E9" w:rsidTr="008166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dxa"/>
            <w:hideMark/>
          </w:tcPr>
          <w:p w:rsidR="008D6EB0" w:rsidRPr="00D050E9" w:rsidRDefault="008D6EB0" w:rsidP="00816625">
            <w:pPr>
              <w:jc w:val="left"/>
              <w:rPr>
                <w:rFonts w:ascii="Calibri" w:eastAsia="Times New Roman" w:hAnsi="Calibri" w:cs="Arial"/>
                <w:i/>
                <w:sz w:val="17"/>
                <w:szCs w:val="17"/>
                <w:lang w:eastAsia="sl-SI"/>
              </w:rPr>
            </w:pPr>
            <w:r w:rsidRPr="00D050E9">
              <w:rPr>
                <w:rFonts w:ascii="Calibri" w:eastAsia="Times New Roman" w:hAnsi="Calibri" w:cs="Arial"/>
                <w:i/>
                <w:sz w:val="17"/>
                <w:szCs w:val="17"/>
                <w:lang w:eastAsia="sl-SI"/>
              </w:rPr>
              <w:t xml:space="preserve">Državne pomoči brez </w:t>
            </w:r>
            <w:r w:rsidR="00816625" w:rsidRPr="00D050E9">
              <w:rPr>
                <w:rFonts w:ascii="Calibri" w:eastAsia="Times New Roman" w:hAnsi="Calibri" w:cs="Arial"/>
                <w:i/>
                <w:sz w:val="17"/>
                <w:szCs w:val="17"/>
                <w:lang w:eastAsia="sl-SI"/>
              </w:rPr>
              <w:t>pomoči kmetijskim gospodarstvom</w:t>
            </w:r>
          </w:p>
        </w:tc>
        <w:tc>
          <w:tcPr>
            <w:tcW w:w="1113" w:type="dxa"/>
            <w:noWrap/>
            <w:hideMark/>
          </w:tcPr>
          <w:p w:rsidR="008D6EB0" w:rsidRPr="00D050E9" w:rsidRDefault="008D6EB0"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6363 </w:t>
            </w:r>
          </w:p>
        </w:tc>
        <w:tc>
          <w:tcPr>
            <w:tcW w:w="1564" w:type="dxa"/>
            <w:noWrap/>
            <w:hideMark/>
          </w:tcPr>
          <w:p w:rsidR="008D6EB0" w:rsidRPr="00D050E9" w:rsidRDefault="008D6EB0" w:rsidP="0075610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r w:rsidRPr="00D050E9">
              <w:rPr>
                <w:rFonts w:asciiTheme="minorHAnsi" w:eastAsia="Times New Roman" w:hAnsiTheme="minorHAnsi" w:cs="Arial"/>
                <w:color w:val="000000"/>
                <w:sz w:val="17"/>
                <w:szCs w:val="17"/>
                <w:lang w:eastAsia="sl-SI"/>
              </w:rPr>
              <w:t>370.118.990,64</w:t>
            </w:r>
          </w:p>
        </w:tc>
        <w:tc>
          <w:tcPr>
            <w:tcW w:w="1206" w:type="dxa"/>
            <w:noWrap/>
            <w:hideMark/>
          </w:tcPr>
          <w:p w:rsidR="008D6EB0" w:rsidRPr="00D050E9" w:rsidRDefault="008D6EB0" w:rsidP="0075610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58.167,37</w:t>
            </w:r>
          </w:p>
        </w:tc>
        <w:tc>
          <w:tcPr>
            <w:tcW w:w="1083" w:type="dxa"/>
            <w:noWrap/>
            <w:hideMark/>
          </w:tcPr>
          <w:p w:rsidR="008D6EB0" w:rsidRPr="00D050E9" w:rsidRDefault="008D6EB0" w:rsidP="00714B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7030A0"/>
                <w:sz w:val="17"/>
                <w:szCs w:val="17"/>
                <w:lang w:eastAsia="sl-SI"/>
              </w:rPr>
            </w:pPr>
            <w:r w:rsidRPr="00D050E9">
              <w:rPr>
                <w:rFonts w:asciiTheme="minorHAnsi" w:eastAsia="Times New Roman" w:hAnsiTheme="minorHAnsi" w:cs="Arial"/>
                <w:color w:val="7030A0"/>
                <w:sz w:val="17"/>
                <w:szCs w:val="17"/>
                <w:lang w:eastAsia="sl-SI"/>
              </w:rPr>
              <w:t> 6821</w:t>
            </w:r>
          </w:p>
        </w:tc>
        <w:tc>
          <w:tcPr>
            <w:tcW w:w="1377" w:type="dxa"/>
            <w:noWrap/>
            <w:hideMark/>
          </w:tcPr>
          <w:p w:rsidR="008D6EB0" w:rsidRPr="00D050E9" w:rsidRDefault="008D6EB0" w:rsidP="0081662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6A6A6"/>
                <w:sz w:val="17"/>
                <w:szCs w:val="17"/>
                <w:lang w:eastAsia="sl-SI"/>
              </w:rPr>
            </w:pPr>
            <w:r w:rsidRPr="00D050E9">
              <w:rPr>
                <w:rFonts w:asciiTheme="minorHAnsi" w:eastAsia="Times New Roman" w:hAnsiTheme="minorHAnsi" w:cs="Arial"/>
                <w:color w:val="A6A6A6"/>
                <w:sz w:val="17"/>
                <w:szCs w:val="17"/>
                <w:lang w:eastAsia="sl-SI"/>
              </w:rPr>
              <w:t> </w:t>
            </w:r>
            <w:r w:rsidR="005A2605" w:rsidRPr="00D050E9">
              <w:rPr>
                <w:rFonts w:asciiTheme="minorHAnsi" w:eastAsia="Times New Roman" w:hAnsiTheme="minorHAnsi" w:cs="Arial"/>
                <w:color w:val="000000"/>
                <w:sz w:val="17"/>
                <w:szCs w:val="17"/>
                <w:lang w:eastAsia="sl-SI"/>
              </w:rPr>
              <w:t>415.604.35</w:t>
            </w:r>
            <w:r w:rsidRPr="00D050E9">
              <w:rPr>
                <w:rFonts w:asciiTheme="minorHAnsi" w:eastAsia="Times New Roman" w:hAnsiTheme="minorHAnsi" w:cs="Arial"/>
                <w:color w:val="000000"/>
                <w:sz w:val="17"/>
                <w:szCs w:val="17"/>
                <w:lang w:eastAsia="sl-SI"/>
              </w:rPr>
              <w:t>3,27</w:t>
            </w:r>
          </w:p>
        </w:tc>
        <w:tc>
          <w:tcPr>
            <w:tcW w:w="1206" w:type="dxa"/>
            <w:noWrap/>
            <w:hideMark/>
          </w:tcPr>
          <w:p w:rsidR="008D6EB0" w:rsidRPr="00D050E9" w:rsidRDefault="008D6EB0" w:rsidP="005A260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2060"/>
                <w:sz w:val="17"/>
                <w:szCs w:val="17"/>
                <w:lang w:eastAsia="sl-SI"/>
              </w:rPr>
            </w:pPr>
            <w:r w:rsidRPr="00D050E9">
              <w:rPr>
                <w:rFonts w:asciiTheme="minorHAnsi" w:eastAsia="Times New Roman" w:hAnsiTheme="minorHAnsi" w:cs="Arial"/>
                <w:color w:val="002060"/>
                <w:sz w:val="17"/>
                <w:szCs w:val="17"/>
                <w:lang w:eastAsia="sl-SI"/>
              </w:rPr>
              <w:t> </w:t>
            </w:r>
            <w:r w:rsidR="005A2605" w:rsidRPr="00D050E9">
              <w:rPr>
                <w:rFonts w:asciiTheme="minorHAnsi" w:eastAsia="Times New Roman" w:hAnsiTheme="minorHAnsi" w:cs="Arial"/>
                <w:color w:val="002060"/>
                <w:sz w:val="17"/>
                <w:szCs w:val="17"/>
                <w:lang w:eastAsia="sl-SI"/>
              </w:rPr>
              <w:t>60.930,</w:t>
            </w:r>
            <w:r w:rsidRPr="00D050E9">
              <w:rPr>
                <w:rFonts w:asciiTheme="minorHAnsi" w:eastAsia="Times New Roman" w:hAnsiTheme="minorHAnsi" w:cs="Arial"/>
                <w:color w:val="002060"/>
                <w:sz w:val="17"/>
                <w:szCs w:val="17"/>
                <w:lang w:eastAsia="sl-SI"/>
              </w:rPr>
              <w:t>1</w:t>
            </w:r>
            <w:r w:rsidR="005A2605" w:rsidRPr="00D050E9">
              <w:rPr>
                <w:rFonts w:asciiTheme="minorHAnsi" w:eastAsia="Times New Roman" w:hAnsiTheme="minorHAnsi" w:cs="Arial"/>
                <w:color w:val="002060"/>
                <w:sz w:val="17"/>
                <w:szCs w:val="17"/>
                <w:lang w:eastAsia="sl-SI"/>
              </w:rPr>
              <w:t>2</w:t>
            </w:r>
          </w:p>
        </w:tc>
      </w:tr>
    </w:tbl>
    <w:p w:rsidR="00816625" w:rsidRPr="00D050E9" w:rsidRDefault="00816625" w:rsidP="00816625">
      <w:pPr>
        <w:pStyle w:val="ListParagraph"/>
        <w:ind w:left="0"/>
        <w:rPr>
          <w:rFonts w:asciiTheme="minorHAnsi" w:hAnsiTheme="minorHAnsi"/>
          <w:sz w:val="20"/>
        </w:rPr>
      </w:pPr>
      <w:r w:rsidRPr="00D050E9">
        <w:rPr>
          <w:rFonts w:asciiTheme="minorHAnsi" w:hAnsiTheme="minorHAnsi"/>
          <w:sz w:val="20"/>
        </w:rPr>
        <w:t xml:space="preserve">Opomba: Isti upravičence </w:t>
      </w:r>
      <w:r w:rsidR="00E5734A" w:rsidRPr="00D050E9">
        <w:rPr>
          <w:rFonts w:asciiTheme="minorHAnsi" w:hAnsiTheme="minorHAnsi"/>
          <w:sz w:val="20"/>
        </w:rPr>
        <w:t>lahko prejme</w:t>
      </w:r>
      <w:r w:rsidRPr="00D050E9">
        <w:rPr>
          <w:rFonts w:asciiTheme="minorHAnsi" w:hAnsiTheme="minorHAnsi"/>
          <w:sz w:val="20"/>
        </w:rPr>
        <w:t xml:space="preserve"> pomoč v okviru različnih kategorij. Kot prejemnik pomoči je upoštevan</w:t>
      </w:r>
      <w:r w:rsidR="007B3DC7" w:rsidRPr="00D050E9">
        <w:rPr>
          <w:rFonts w:asciiTheme="minorHAnsi" w:hAnsiTheme="minorHAnsi"/>
          <w:sz w:val="20"/>
        </w:rPr>
        <w:t xml:space="preserve"> </w:t>
      </w:r>
      <w:r w:rsidRPr="00D050E9">
        <w:rPr>
          <w:rFonts w:asciiTheme="minorHAnsi" w:hAnsiTheme="minorHAnsi"/>
          <w:sz w:val="20"/>
        </w:rPr>
        <w:t xml:space="preserve">v vsaki od kategorij, v okviru katere je prejel pomoč. </w:t>
      </w:r>
    </w:p>
    <w:p w:rsidR="007B3DC7" w:rsidRPr="00D050E9" w:rsidRDefault="007B3DC7" w:rsidP="007B3DC7">
      <w:pPr>
        <w:spacing w:line="276" w:lineRule="auto"/>
        <w:rPr>
          <w:rFonts w:asciiTheme="minorHAnsi" w:hAnsiTheme="minorHAnsi"/>
        </w:rPr>
      </w:pPr>
      <w:r w:rsidRPr="00D050E9">
        <w:rPr>
          <w:rFonts w:asciiTheme="minorHAnsi" w:hAnsiTheme="minorHAnsi"/>
        </w:rPr>
        <w:t>Povprečna pomoč na podjetje se sicer precej razlikuje po kategorijah pomoči. Če ne upoštevamo pomoči posebnim sektorjem, kjer gre običajno za enega prejemnika (železniški in zračni transport) oz. nekaj večjih prejemnikov (prestrukturiranje velikih podjetij in za zapiranje rudnikov), so bili najvišji povprečni zneski pomoči izplačani za raziskave, razvoj in inovacije, v letu 2017 so te pomoči presegle 100 tisoč EUR pomoči na prejemnika. Višje od povprečja so bile še pomoči za varstvo okolja in varčevanje z energijo. Na drugi strani so bili najnižji zneski pomoči na prejemnika izplačani za namen usposabljanja, in sicer slabe 4</w:t>
      </w:r>
      <w:r w:rsidR="00E91284">
        <w:rPr>
          <w:rFonts w:asciiTheme="minorHAnsi" w:hAnsiTheme="minorHAnsi"/>
        </w:rPr>
        <w:t>.000</w:t>
      </w:r>
      <w:r w:rsidRPr="00D050E9">
        <w:rPr>
          <w:rFonts w:asciiTheme="minorHAnsi" w:hAnsiTheme="minorHAnsi"/>
        </w:rPr>
        <w:t xml:space="preserve"> EUR na prejemnika v letu 2017, kar je še enkrat manj kot v letu 2016. </w:t>
      </w:r>
    </w:p>
    <w:p w:rsidR="00313E21" w:rsidRPr="00D050E9" w:rsidRDefault="00D73968" w:rsidP="00313E21">
      <w:pPr>
        <w:spacing w:line="276" w:lineRule="auto"/>
        <w:rPr>
          <w:rFonts w:asciiTheme="minorHAnsi" w:hAnsiTheme="minorHAnsi"/>
        </w:rPr>
      </w:pPr>
      <w:r w:rsidRPr="00D050E9">
        <w:rPr>
          <w:rFonts w:asciiTheme="minorHAnsi" w:hAnsiTheme="minorHAnsi"/>
        </w:rPr>
        <w:t>P</w:t>
      </w:r>
      <w:r w:rsidR="00313E21" w:rsidRPr="00D050E9">
        <w:rPr>
          <w:rFonts w:asciiTheme="minorHAnsi" w:hAnsiTheme="minorHAnsi"/>
        </w:rPr>
        <w:t xml:space="preserve">rejemniki državnih pomoči so tudi osebe, ki imajo registrirano kmetijsko gospodarstvo. V letu 2017 je </w:t>
      </w:r>
      <w:r w:rsidRPr="00D050E9">
        <w:rPr>
          <w:rFonts w:asciiTheme="minorHAnsi" w:hAnsiTheme="minorHAnsi"/>
        </w:rPr>
        <w:t xml:space="preserve">državno </w:t>
      </w:r>
      <w:r w:rsidR="00313E21" w:rsidRPr="00D050E9">
        <w:rPr>
          <w:rFonts w:asciiTheme="minorHAnsi" w:hAnsiTheme="minorHAnsi"/>
        </w:rPr>
        <w:t xml:space="preserve">pomoč prejelo 9.091 kmetijskih gospodarstev, kar je 1.610 več kot v letu 2016. Povprečna pomoč na kmetijsko gospodarstvo je znašala 1.270 EUR (660 EUR v letu 2016). </w:t>
      </w:r>
    </w:p>
    <w:p w:rsidR="00E016C7" w:rsidRPr="00D050E9" w:rsidRDefault="00E016C7" w:rsidP="00E016C7">
      <w:pPr>
        <w:spacing w:line="276" w:lineRule="auto"/>
        <w:rPr>
          <w:rFonts w:asciiTheme="minorHAnsi" w:hAnsiTheme="minorHAnsi"/>
        </w:rPr>
      </w:pPr>
      <w:r w:rsidRPr="00D050E9">
        <w:rPr>
          <w:rFonts w:asciiTheme="minorHAnsi" w:hAnsiTheme="minorHAnsi"/>
        </w:rPr>
        <w:t xml:space="preserve">Za primerjavo, v letu 2017 je pomoči </w:t>
      </w:r>
      <w:r w:rsidRPr="00D050E9">
        <w:rPr>
          <w:rFonts w:asciiTheme="minorHAnsi" w:hAnsiTheme="minorHAnsi"/>
          <w:b/>
          <w:i/>
        </w:rPr>
        <w:t>de minimis</w:t>
      </w:r>
      <w:r w:rsidRPr="00D050E9">
        <w:rPr>
          <w:rFonts w:asciiTheme="minorHAnsi" w:hAnsiTheme="minorHAnsi"/>
        </w:rPr>
        <w:t xml:space="preserve"> prejelo 10.371 upravičencev, od tega so štiri petine (8.140) predstavljala podjetja</w:t>
      </w:r>
      <w:r w:rsidR="00D73968" w:rsidRPr="00D050E9">
        <w:rPr>
          <w:rFonts w:asciiTheme="minorHAnsi" w:hAnsiTheme="minorHAnsi"/>
        </w:rPr>
        <w:t xml:space="preserve"> </w:t>
      </w:r>
      <w:r w:rsidR="00313E21" w:rsidRPr="00D050E9">
        <w:rPr>
          <w:rFonts w:asciiTheme="minorHAnsi" w:hAnsiTheme="minorHAnsi"/>
        </w:rPr>
        <w:t>in</w:t>
      </w:r>
      <w:r w:rsidRPr="00D050E9">
        <w:rPr>
          <w:rFonts w:asciiTheme="minorHAnsi" w:hAnsiTheme="minorHAnsi"/>
        </w:rPr>
        <w:t xml:space="preserve"> eno petino (2.231) kmetijska gospodarstva. Povprečna pomoč </w:t>
      </w:r>
      <w:r w:rsidR="009B30E1" w:rsidRPr="009B30E1">
        <w:rPr>
          <w:rFonts w:asciiTheme="minorHAnsi" w:hAnsiTheme="minorHAnsi"/>
          <w:i/>
        </w:rPr>
        <w:t>de minimis</w:t>
      </w:r>
      <w:r w:rsidRPr="00D050E9">
        <w:rPr>
          <w:rFonts w:asciiTheme="minorHAnsi" w:hAnsiTheme="minorHAnsi"/>
        </w:rPr>
        <w:t xml:space="preserve"> je v letu 2017 znašala </w:t>
      </w:r>
      <w:r w:rsidR="00921089" w:rsidRPr="00D050E9">
        <w:rPr>
          <w:rFonts w:asciiTheme="minorHAnsi" w:hAnsiTheme="minorHAnsi"/>
        </w:rPr>
        <w:t xml:space="preserve">skoraj </w:t>
      </w:r>
      <w:r w:rsidR="00D73968" w:rsidRPr="00D050E9">
        <w:rPr>
          <w:rFonts w:asciiTheme="minorHAnsi" w:hAnsiTheme="minorHAnsi"/>
        </w:rPr>
        <w:t xml:space="preserve">8.000 EUR </w:t>
      </w:r>
      <w:r w:rsidR="00921089" w:rsidRPr="00D050E9">
        <w:rPr>
          <w:rFonts w:asciiTheme="minorHAnsi" w:hAnsiTheme="minorHAnsi"/>
        </w:rPr>
        <w:t xml:space="preserve">na prejemnika. </w:t>
      </w:r>
      <w:r w:rsidRPr="00D050E9">
        <w:rPr>
          <w:rFonts w:asciiTheme="minorHAnsi" w:hAnsiTheme="minorHAnsi"/>
        </w:rPr>
        <w:t>Podje</w:t>
      </w:r>
      <w:r w:rsidR="007B3DC7" w:rsidRPr="00D050E9">
        <w:rPr>
          <w:rFonts w:asciiTheme="minorHAnsi" w:hAnsiTheme="minorHAnsi"/>
        </w:rPr>
        <w:t>tja so v povprečju prejela 9.963</w:t>
      </w:r>
      <w:r w:rsidRPr="00D050E9">
        <w:rPr>
          <w:rFonts w:asciiTheme="minorHAnsi" w:hAnsiTheme="minorHAnsi"/>
        </w:rPr>
        <w:t xml:space="preserve"> EUR </w:t>
      </w:r>
      <w:r w:rsidR="009B30E1" w:rsidRPr="009B30E1">
        <w:rPr>
          <w:rFonts w:asciiTheme="minorHAnsi" w:hAnsiTheme="minorHAnsi"/>
          <w:i/>
        </w:rPr>
        <w:t>de minimis</w:t>
      </w:r>
      <w:r w:rsidRPr="00D050E9">
        <w:rPr>
          <w:rFonts w:asciiTheme="minorHAnsi" w:hAnsiTheme="minorHAnsi"/>
        </w:rPr>
        <w:t xml:space="preserve"> pomoči, kmetijska gospodarstva pa slabih 700 EUR pomoči </w:t>
      </w:r>
      <w:r w:rsidR="009B30E1" w:rsidRPr="009B30E1">
        <w:rPr>
          <w:rFonts w:asciiTheme="minorHAnsi" w:hAnsiTheme="minorHAnsi"/>
          <w:i/>
        </w:rPr>
        <w:t>de minimis</w:t>
      </w:r>
      <w:r w:rsidRPr="00D050E9">
        <w:rPr>
          <w:rFonts w:asciiTheme="minorHAnsi" w:hAnsiTheme="minorHAnsi"/>
        </w:rPr>
        <w:t xml:space="preserve">. </w:t>
      </w:r>
    </w:p>
    <w:p w:rsidR="007B434C" w:rsidRPr="00D050E9" w:rsidRDefault="00C0798C" w:rsidP="00C0798C">
      <w:pPr>
        <w:pStyle w:val="Caption"/>
        <w:rPr>
          <w:rFonts w:ascii="Calibri" w:eastAsia="Times New Roman" w:hAnsi="Calibri" w:cs="Arial"/>
          <w:b/>
          <w:smallCaps w:val="0"/>
          <w:color w:val="000000"/>
          <w:spacing w:val="0"/>
          <w:sz w:val="19"/>
          <w:szCs w:val="19"/>
          <w:lang w:eastAsia="sl-SI" w:bidi="ar-SA"/>
        </w:rPr>
      </w:pPr>
      <w:bookmarkStart w:id="146" w:name="_Toc530654613"/>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29</w:t>
      </w:r>
      <w:r w:rsidRPr="00D050E9">
        <w:rPr>
          <w:color w:val="auto"/>
        </w:rPr>
        <w:fldChar w:fldCharType="end"/>
      </w:r>
      <w:r w:rsidR="00DD4A64" w:rsidRPr="00D050E9">
        <w:rPr>
          <w:color w:val="auto"/>
        </w:rPr>
        <w:t>: Število prejemnikov in povprečna viš</w:t>
      </w:r>
      <w:r w:rsidRPr="00D050E9">
        <w:rPr>
          <w:color w:val="auto"/>
        </w:rPr>
        <w:t xml:space="preserve">ina </w:t>
      </w:r>
      <w:r w:rsidR="009B30E1" w:rsidRPr="009B30E1">
        <w:rPr>
          <w:i/>
          <w:color w:val="auto"/>
        </w:rPr>
        <w:t>de minimis</w:t>
      </w:r>
      <w:r w:rsidRPr="00D050E9">
        <w:rPr>
          <w:color w:val="auto"/>
        </w:rPr>
        <w:t xml:space="preserve"> pomoči, 2015–2017</w:t>
      </w:r>
      <w:bookmarkEnd w:id="146"/>
      <w:r w:rsidR="00DD4A64" w:rsidRPr="00D050E9">
        <w:rPr>
          <w:rFonts w:ascii="Calibri" w:eastAsia="Times New Roman" w:hAnsi="Calibri" w:cs="Arial"/>
          <w:b/>
          <w:smallCaps w:val="0"/>
          <w:color w:val="000000"/>
          <w:spacing w:val="0"/>
          <w:sz w:val="19"/>
          <w:szCs w:val="19"/>
          <w:lang w:eastAsia="sl-SI" w:bidi="ar-SA"/>
        </w:rPr>
        <w:t xml:space="preserve"> </w:t>
      </w:r>
    </w:p>
    <w:p w:rsidR="004B086B" w:rsidRPr="00D050E9" w:rsidRDefault="004B086B" w:rsidP="004B086B">
      <w:pPr>
        <w:spacing w:after="0"/>
        <w:rPr>
          <w:lang w:eastAsia="sl-SI"/>
        </w:rPr>
      </w:pPr>
    </w:p>
    <w:tbl>
      <w:tblPr>
        <w:tblStyle w:val="LightGrid-Accent5"/>
        <w:tblW w:w="5000" w:type="pct"/>
        <w:tblLook w:val="04A0" w:firstRow="1" w:lastRow="0" w:firstColumn="1" w:lastColumn="0" w:noHBand="0" w:noVBand="1"/>
      </w:tblPr>
      <w:tblGrid>
        <w:gridCol w:w="4780"/>
        <w:gridCol w:w="1540"/>
        <w:gridCol w:w="1540"/>
        <w:gridCol w:w="1540"/>
      </w:tblGrid>
      <w:tr w:rsidR="00E016C7" w:rsidRPr="00D050E9" w:rsidTr="00E016C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E016C7">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w:t>
            </w:r>
          </w:p>
        </w:tc>
        <w:tc>
          <w:tcPr>
            <w:tcW w:w="819" w:type="pct"/>
            <w:noWrap/>
            <w:hideMark/>
          </w:tcPr>
          <w:p w:rsidR="00E016C7" w:rsidRPr="00D050E9" w:rsidRDefault="00E016C7" w:rsidP="00E016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2015</w:t>
            </w:r>
          </w:p>
        </w:tc>
        <w:tc>
          <w:tcPr>
            <w:tcW w:w="819" w:type="pct"/>
            <w:noWrap/>
            <w:hideMark/>
          </w:tcPr>
          <w:p w:rsidR="00E016C7" w:rsidRPr="00D050E9" w:rsidRDefault="00E016C7" w:rsidP="00E016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2016</w:t>
            </w:r>
          </w:p>
        </w:tc>
        <w:tc>
          <w:tcPr>
            <w:tcW w:w="819" w:type="pct"/>
            <w:noWrap/>
            <w:hideMark/>
          </w:tcPr>
          <w:p w:rsidR="00E016C7" w:rsidRPr="00D050E9" w:rsidRDefault="00E016C7" w:rsidP="00E016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tc>
      </w:tr>
      <w:tr w:rsidR="00E016C7" w:rsidRPr="00D050E9" w:rsidTr="00E016C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E016C7">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Pomoč de minimis v EUR</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33.688.415,31</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84.729.234,86</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82.632.667,84</w:t>
            </w:r>
          </w:p>
        </w:tc>
      </w:tr>
      <w:tr w:rsidR="00E016C7" w:rsidRPr="00D050E9" w:rsidTr="00E016C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E016C7">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št. prejemnikov de minimis pomoči</w:t>
            </w:r>
          </w:p>
        </w:tc>
        <w:tc>
          <w:tcPr>
            <w:tcW w:w="819" w:type="pct"/>
            <w:noWrap/>
            <w:hideMark/>
          </w:tcPr>
          <w:p w:rsidR="00E016C7" w:rsidRPr="00D050E9" w:rsidRDefault="00E016C7" w:rsidP="00E016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6.089</w:t>
            </w:r>
          </w:p>
        </w:tc>
        <w:tc>
          <w:tcPr>
            <w:tcW w:w="819" w:type="pct"/>
            <w:noWrap/>
            <w:hideMark/>
          </w:tcPr>
          <w:p w:rsidR="00E016C7" w:rsidRPr="00D050E9" w:rsidRDefault="00E016C7" w:rsidP="00E016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10.229</w:t>
            </w:r>
          </w:p>
        </w:tc>
        <w:tc>
          <w:tcPr>
            <w:tcW w:w="819" w:type="pct"/>
            <w:noWrap/>
            <w:hideMark/>
          </w:tcPr>
          <w:p w:rsidR="00E016C7" w:rsidRPr="00D050E9" w:rsidRDefault="00E016C7" w:rsidP="00E016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10.371</w:t>
            </w:r>
          </w:p>
        </w:tc>
      </w:tr>
      <w:tr w:rsidR="00E016C7" w:rsidRPr="00D050E9" w:rsidTr="00E016C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C93FA7">
            <w:pPr>
              <w:pStyle w:val="ListParagraph"/>
              <w:numPr>
                <w:ilvl w:val="0"/>
                <w:numId w:val="4"/>
              </w:numPr>
              <w:jc w:val="left"/>
              <w:rPr>
                <w:rFonts w:ascii="Calibri" w:eastAsia="Times New Roman" w:hAnsi="Calibri" w:cs="Arial"/>
                <w:b w:val="0"/>
                <w:i/>
                <w:iCs/>
                <w:color w:val="000000"/>
                <w:sz w:val="19"/>
                <w:szCs w:val="19"/>
                <w:lang w:eastAsia="sl-SI"/>
              </w:rPr>
            </w:pPr>
            <w:r w:rsidRPr="00D050E9">
              <w:rPr>
                <w:rFonts w:ascii="Calibri" w:eastAsia="Times New Roman" w:hAnsi="Calibri" w:cs="Arial"/>
                <w:b w:val="0"/>
                <w:i/>
                <w:iCs/>
                <w:color w:val="000000"/>
                <w:sz w:val="19"/>
                <w:szCs w:val="19"/>
                <w:lang w:eastAsia="sl-SI"/>
              </w:rPr>
              <w:t>podjetja</w:t>
            </w:r>
          </w:p>
        </w:tc>
        <w:tc>
          <w:tcPr>
            <w:tcW w:w="819" w:type="pct"/>
            <w:noWrap/>
            <w:hideMark/>
          </w:tcPr>
          <w:p w:rsidR="00E016C7" w:rsidRPr="00D050E9" w:rsidRDefault="00E016C7" w:rsidP="00E016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4.057</w:t>
            </w:r>
          </w:p>
        </w:tc>
        <w:tc>
          <w:tcPr>
            <w:tcW w:w="819" w:type="pct"/>
            <w:noWrap/>
            <w:hideMark/>
          </w:tcPr>
          <w:p w:rsidR="00E016C7" w:rsidRPr="00D050E9" w:rsidRDefault="00E016C7" w:rsidP="00E016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8.062</w:t>
            </w:r>
          </w:p>
        </w:tc>
        <w:tc>
          <w:tcPr>
            <w:tcW w:w="819" w:type="pct"/>
            <w:noWrap/>
            <w:hideMark/>
          </w:tcPr>
          <w:p w:rsidR="00E016C7" w:rsidRPr="00D050E9" w:rsidRDefault="00E016C7" w:rsidP="00E016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8.140</w:t>
            </w:r>
          </w:p>
        </w:tc>
      </w:tr>
      <w:tr w:rsidR="00E016C7" w:rsidRPr="00D050E9" w:rsidTr="00E016C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C93FA7">
            <w:pPr>
              <w:pStyle w:val="ListParagraph"/>
              <w:numPr>
                <w:ilvl w:val="0"/>
                <w:numId w:val="4"/>
              </w:numPr>
              <w:jc w:val="left"/>
              <w:rPr>
                <w:rFonts w:ascii="Calibri" w:eastAsia="Times New Roman" w:hAnsi="Calibri" w:cs="Arial"/>
                <w:b w:val="0"/>
                <w:i/>
                <w:iCs/>
                <w:color w:val="000000"/>
                <w:sz w:val="19"/>
                <w:szCs w:val="19"/>
                <w:lang w:eastAsia="sl-SI"/>
              </w:rPr>
            </w:pPr>
            <w:r w:rsidRPr="00D050E9">
              <w:rPr>
                <w:rFonts w:ascii="Calibri" w:eastAsia="Times New Roman" w:hAnsi="Calibri" w:cs="Arial"/>
                <w:b w:val="0"/>
                <w:i/>
                <w:iCs/>
                <w:color w:val="000000"/>
                <w:sz w:val="19"/>
                <w:szCs w:val="19"/>
                <w:lang w:eastAsia="sl-SI"/>
              </w:rPr>
              <w:t xml:space="preserve">kmetijska gospodarstva </w:t>
            </w:r>
          </w:p>
        </w:tc>
        <w:tc>
          <w:tcPr>
            <w:tcW w:w="819" w:type="pct"/>
            <w:noWrap/>
            <w:hideMark/>
          </w:tcPr>
          <w:p w:rsidR="00E016C7" w:rsidRPr="00D050E9" w:rsidRDefault="00E016C7" w:rsidP="00E016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2.032</w:t>
            </w:r>
          </w:p>
        </w:tc>
        <w:tc>
          <w:tcPr>
            <w:tcW w:w="819" w:type="pct"/>
            <w:noWrap/>
            <w:hideMark/>
          </w:tcPr>
          <w:p w:rsidR="00E016C7" w:rsidRPr="00D050E9" w:rsidRDefault="00E016C7" w:rsidP="00E016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2.167</w:t>
            </w:r>
          </w:p>
        </w:tc>
        <w:tc>
          <w:tcPr>
            <w:tcW w:w="819" w:type="pct"/>
            <w:noWrap/>
            <w:hideMark/>
          </w:tcPr>
          <w:p w:rsidR="00E016C7" w:rsidRPr="00D050E9" w:rsidRDefault="00E016C7" w:rsidP="00E016C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Cs/>
                <w:i/>
                <w:color w:val="000000"/>
                <w:sz w:val="19"/>
                <w:szCs w:val="19"/>
                <w:lang w:eastAsia="sl-SI"/>
              </w:rPr>
            </w:pPr>
            <w:r w:rsidRPr="00D050E9">
              <w:rPr>
                <w:rFonts w:ascii="Calibri" w:eastAsia="Times New Roman" w:hAnsi="Calibri" w:cs="Arial"/>
                <w:bCs/>
                <w:i/>
                <w:color w:val="000000"/>
                <w:sz w:val="19"/>
                <w:szCs w:val="19"/>
                <w:lang w:eastAsia="sl-SI"/>
              </w:rPr>
              <w:t>2.231</w:t>
            </w:r>
          </w:p>
        </w:tc>
      </w:tr>
      <w:tr w:rsidR="00E016C7" w:rsidRPr="00D050E9" w:rsidTr="00E016C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E016C7">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povprečna de minimis pomoč na prejemnika, v EUR</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5.532,67</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8.283,24</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0000"/>
                <w:sz w:val="19"/>
                <w:szCs w:val="19"/>
                <w:lang w:eastAsia="sl-SI"/>
              </w:rPr>
            </w:pPr>
            <w:r w:rsidRPr="00D050E9">
              <w:rPr>
                <w:rFonts w:ascii="Calibri" w:eastAsia="Times New Roman" w:hAnsi="Calibri" w:cs="Arial"/>
                <w:b/>
                <w:bCs/>
                <w:color w:val="000000"/>
                <w:sz w:val="19"/>
                <w:szCs w:val="19"/>
                <w:lang w:eastAsia="sl-SI"/>
              </w:rPr>
              <w:t>7.967,67</w:t>
            </w:r>
          </w:p>
        </w:tc>
      </w:tr>
      <w:tr w:rsidR="00E016C7" w:rsidRPr="00D050E9" w:rsidTr="00E016C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C93FA7">
            <w:pPr>
              <w:pStyle w:val="ListParagraph"/>
              <w:numPr>
                <w:ilvl w:val="0"/>
                <w:numId w:val="3"/>
              </w:numPr>
              <w:jc w:val="left"/>
              <w:rPr>
                <w:rFonts w:ascii="Calibri" w:eastAsia="Times New Roman" w:hAnsi="Calibri" w:cs="Arial"/>
                <w:b w:val="0"/>
                <w:i/>
                <w:iCs/>
                <w:color w:val="000000"/>
                <w:sz w:val="19"/>
                <w:szCs w:val="19"/>
                <w:lang w:eastAsia="sl-SI"/>
              </w:rPr>
            </w:pPr>
            <w:r w:rsidRPr="00D050E9">
              <w:rPr>
                <w:rFonts w:ascii="Calibri" w:eastAsia="Times New Roman" w:hAnsi="Calibri" w:cs="Arial"/>
                <w:b w:val="0"/>
                <w:i/>
                <w:iCs/>
                <w:color w:val="000000"/>
                <w:sz w:val="19"/>
                <w:szCs w:val="19"/>
                <w:lang w:eastAsia="sl-SI"/>
              </w:rPr>
              <w:t>na podjetje</w:t>
            </w:r>
          </w:p>
        </w:tc>
        <w:tc>
          <w:tcPr>
            <w:tcW w:w="819" w:type="pct"/>
            <w:noWrap/>
            <w:hideMark/>
          </w:tcPr>
          <w:p w:rsidR="00E016C7" w:rsidRPr="00D050E9" w:rsidRDefault="00E016C7" w:rsidP="00E016C7">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7.993,37</w:t>
            </w:r>
          </w:p>
        </w:tc>
        <w:tc>
          <w:tcPr>
            <w:tcW w:w="819" w:type="pct"/>
            <w:noWrap/>
            <w:hideMark/>
          </w:tcPr>
          <w:p w:rsidR="00E016C7" w:rsidRPr="00D050E9" w:rsidRDefault="00E016C7" w:rsidP="00E016C7">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10.333,73</w:t>
            </w:r>
          </w:p>
        </w:tc>
        <w:tc>
          <w:tcPr>
            <w:tcW w:w="819" w:type="pct"/>
            <w:noWrap/>
            <w:hideMark/>
          </w:tcPr>
          <w:p w:rsidR="00E016C7" w:rsidRPr="00D050E9" w:rsidRDefault="00E016C7" w:rsidP="00E016C7">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9.962,68</w:t>
            </w:r>
          </w:p>
        </w:tc>
      </w:tr>
      <w:tr w:rsidR="00E016C7" w:rsidRPr="00D050E9" w:rsidTr="00E016C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2" w:type="pct"/>
            <w:noWrap/>
            <w:hideMark/>
          </w:tcPr>
          <w:p w:rsidR="00E016C7" w:rsidRPr="00D050E9" w:rsidRDefault="00E016C7" w:rsidP="00C93FA7">
            <w:pPr>
              <w:pStyle w:val="ListParagraph"/>
              <w:numPr>
                <w:ilvl w:val="0"/>
                <w:numId w:val="3"/>
              </w:numPr>
              <w:jc w:val="left"/>
              <w:rPr>
                <w:rFonts w:ascii="Calibri" w:eastAsia="Times New Roman" w:hAnsi="Calibri" w:cs="Arial"/>
                <w:b w:val="0"/>
                <w:i/>
                <w:iCs/>
                <w:color w:val="000000"/>
                <w:sz w:val="19"/>
                <w:szCs w:val="19"/>
                <w:lang w:eastAsia="sl-SI"/>
              </w:rPr>
            </w:pPr>
            <w:r w:rsidRPr="00D050E9">
              <w:rPr>
                <w:rFonts w:ascii="Calibri" w:eastAsia="Times New Roman" w:hAnsi="Calibri" w:cs="Arial"/>
                <w:b w:val="0"/>
                <w:i/>
                <w:iCs/>
                <w:color w:val="000000"/>
                <w:sz w:val="19"/>
                <w:szCs w:val="19"/>
                <w:lang w:eastAsia="sl-SI"/>
              </w:rPr>
              <w:t xml:space="preserve">na kmetijsko gospodarstvo </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619,75</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654,7</w:t>
            </w:r>
          </w:p>
        </w:tc>
        <w:tc>
          <w:tcPr>
            <w:tcW w:w="819" w:type="pct"/>
            <w:noWrap/>
            <w:hideMark/>
          </w:tcPr>
          <w:p w:rsidR="00E016C7" w:rsidRPr="00D050E9" w:rsidRDefault="00E016C7" w:rsidP="00E01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iCs/>
                <w:color w:val="000000"/>
                <w:sz w:val="19"/>
                <w:szCs w:val="19"/>
                <w:lang w:eastAsia="sl-SI"/>
              </w:rPr>
            </w:pPr>
            <w:r w:rsidRPr="00D050E9">
              <w:rPr>
                <w:rFonts w:ascii="Calibri" w:eastAsia="Times New Roman" w:hAnsi="Calibri" w:cs="Arial"/>
                <w:i/>
                <w:iCs/>
                <w:color w:val="000000"/>
                <w:sz w:val="19"/>
                <w:szCs w:val="19"/>
                <w:lang w:eastAsia="sl-SI"/>
              </w:rPr>
              <w:t>688,69</w:t>
            </w:r>
          </w:p>
        </w:tc>
      </w:tr>
    </w:tbl>
    <w:p w:rsidR="007B434C" w:rsidRPr="00D050E9" w:rsidRDefault="007B434C" w:rsidP="00DC7B34">
      <w:pPr>
        <w:spacing w:line="276" w:lineRule="auto"/>
        <w:jc w:val="left"/>
        <w:rPr>
          <w:rFonts w:asciiTheme="minorHAnsi" w:hAnsiTheme="minorHAnsi"/>
          <w:b/>
          <w:color w:val="7030A0"/>
          <w:sz w:val="24"/>
        </w:rPr>
      </w:pPr>
    </w:p>
    <w:p w:rsidR="00DC7B34" w:rsidRPr="00D050E9" w:rsidRDefault="00343952" w:rsidP="009938EB">
      <w:pPr>
        <w:pStyle w:val="Heading2"/>
      </w:pPr>
      <w:bookmarkStart w:id="147" w:name="_Toc528594667"/>
      <w:bookmarkStart w:id="148" w:name="_Toc530654565"/>
      <w:r w:rsidRPr="00D050E9">
        <w:t>6.3</w:t>
      </w:r>
      <w:r w:rsidR="00DC7B34" w:rsidRPr="00D050E9">
        <w:t xml:space="preserve"> DRŽAVNE POMOČI PO VELIKOSTI PREJEMNIKOV POMOČI</w:t>
      </w:r>
      <w:bookmarkEnd w:id="147"/>
      <w:bookmarkEnd w:id="148"/>
    </w:p>
    <w:p w:rsidR="00AE3E5F" w:rsidRPr="00D050E9" w:rsidRDefault="005F0463" w:rsidP="008C343A">
      <w:pPr>
        <w:spacing w:line="276" w:lineRule="auto"/>
        <w:rPr>
          <w:rFonts w:asciiTheme="minorHAnsi" w:hAnsiTheme="minorHAnsi"/>
        </w:rPr>
      </w:pPr>
      <w:r w:rsidRPr="00D050E9">
        <w:rPr>
          <w:rFonts w:asciiTheme="minorHAnsi" w:hAnsiTheme="minorHAnsi"/>
        </w:rPr>
        <w:t>V Sloveniji se večina pomoči izplača malim in srednje velikim podjetjem</w:t>
      </w:r>
      <w:r w:rsidRPr="00D050E9">
        <w:rPr>
          <w:rStyle w:val="FootnoteReference"/>
          <w:rFonts w:asciiTheme="minorHAnsi" w:hAnsiTheme="minorHAnsi"/>
        </w:rPr>
        <w:footnoteReference w:id="27"/>
      </w:r>
      <w:r w:rsidRPr="00D050E9">
        <w:rPr>
          <w:rFonts w:asciiTheme="minorHAnsi" w:hAnsiTheme="minorHAnsi"/>
        </w:rPr>
        <w:t>. Ta so</w:t>
      </w:r>
      <w:r w:rsidR="00F93360" w:rsidRPr="00D050E9">
        <w:rPr>
          <w:rFonts w:asciiTheme="minorHAnsi" w:hAnsiTheme="minorHAnsi"/>
        </w:rPr>
        <w:t xml:space="preserve"> </w:t>
      </w:r>
      <w:r w:rsidR="00921089" w:rsidRPr="00D050E9">
        <w:rPr>
          <w:rFonts w:asciiTheme="minorHAnsi" w:hAnsiTheme="minorHAnsi"/>
        </w:rPr>
        <w:t xml:space="preserve">v letu 2017 </w:t>
      </w:r>
      <w:r w:rsidR="00F93360" w:rsidRPr="00D050E9">
        <w:rPr>
          <w:rFonts w:asciiTheme="minorHAnsi" w:hAnsiTheme="minorHAnsi"/>
        </w:rPr>
        <w:t>prejela 64</w:t>
      </w:r>
      <w:r w:rsidR="00921089" w:rsidRPr="00D050E9">
        <w:rPr>
          <w:rFonts w:asciiTheme="minorHAnsi" w:hAnsiTheme="minorHAnsi"/>
        </w:rPr>
        <w:t> </w:t>
      </w:r>
      <w:r w:rsidR="00F93360" w:rsidRPr="00D050E9">
        <w:rPr>
          <w:rFonts w:asciiTheme="minorHAnsi" w:hAnsiTheme="minorHAnsi"/>
        </w:rPr>
        <w:t xml:space="preserve">% vseh pomoči (57 % pomoči </w:t>
      </w:r>
      <w:r w:rsidRPr="00D050E9">
        <w:rPr>
          <w:rFonts w:asciiTheme="minorHAnsi" w:hAnsiTheme="minorHAnsi"/>
        </w:rPr>
        <w:t xml:space="preserve">v povprečju </w:t>
      </w:r>
      <w:r w:rsidR="00F93360" w:rsidRPr="00D050E9">
        <w:rPr>
          <w:rFonts w:asciiTheme="minorHAnsi" w:hAnsiTheme="minorHAnsi"/>
        </w:rPr>
        <w:t xml:space="preserve">2015–2017 in 62 % v povprečju v zadnjih desetih letih). </w:t>
      </w:r>
      <w:r w:rsidR="00AE3E5F" w:rsidRPr="00D050E9">
        <w:rPr>
          <w:rFonts w:asciiTheme="minorHAnsi" w:hAnsiTheme="minorHAnsi"/>
        </w:rPr>
        <w:t xml:space="preserve">Velike enote so v letu 2017 prejele 36 % pomoči (43 % v obdobju 2015–2017 in 38 % v povprečju zadnjih desetih let). </w:t>
      </w:r>
    </w:p>
    <w:p w:rsidR="008C343A" w:rsidRPr="00D050E9" w:rsidRDefault="00F93360" w:rsidP="008C343A">
      <w:pPr>
        <w:spacing w:line="276" w:lineRule="auto"/>
        <w:rPr>
          <w:rFonts w:asciiTheme="minorHAnsi" w:hAnsiTheme="minorHAnsi"/>
        </w:rPr>
      </w:pPr>
      <w:r w:rsidRPr="00D050E9">
        <w:rPr>
          <w:rFonts w:asciiTheme="minorHAnsi" w:hAnsiTheme="minorHAnsi"/>
        </w:rPr>
        <w:t>Le v enem letu</w:t>
      </w:r>
      <w:r w:rsidR="00D20705">
        <w:rPr>
          <w:rFonts w:asciiTheme="minorHAnsi" w:hAnsiTheme="minorHAnsi"/>
        </w:rPr>
        <w:t xml:space="preserve"> </w:t>
      </w:r>
      <w:r w:rsidR="00B4641B" w:rsidRPr="00D050E9">
        <w:rPr>
          <w:rFonts w:asciiTheme="minorHAnsi" w:hAnsiTheme="minorHAnsi"/>
        </w:rPr>
        <w:t>zadn</w:t>
      </w:r>
      <w:r w:rsidR="00D20705">
        <w:rPr>
          <w:rFonts w:asciiTheme="minorHAnsi" w:hAnsiTheme="minorHAnsi"/>
        </w:rPr>
        <w:t>jih desetih let</w:t>
      </w:r>
      <w:r w:rsidRPr="00D050E9">
        <w:rPr>
          <w:rFonts w:asciiTheme="minorHAnsi" w:hAnsiTheme="minorHAnsi"/>
        </w:rPr>
        <w:t xml:space="preserve">, v letu 2015, </w:t>
      </w:r>
      <w:r w:rsidR="008C343A" w:rsidRPr="00D050E9">
        <w:rPr>
          <w:rFonts w:asciiTheme="minorHAnsi" w:hAnsiTheme="minorHAnsi"/>
        </w:rPr>
        <w:t xml:space="preserve">ko je bila izplačana visoka pomoč za prestrukturiranje velikega podjetja, </w:t>
      </w:r>
      <w:r w:rsidRPr="00D050E9">
        <w:rPr>
          <w:rFonts w:asciiTheme="minorHAnsi" w:hAnsiTheme="minorHAnsi"/>
        </w:rPr>
        <w:t>je bil obseg pomoči za velika podjetja večji kot pomoč z</w:t>
      </w:r>
      <w:r w:rsidR="008C343A" w:rsidRPr="00D050E9">
        <w:rPr>
          <w:rFonts w:asciiTheme="minorHAnsi" w:hAnsiTheme="minorHAnsi"/>
        </w:rPr>
        <w:t xml:space="preserve">a mala srednje velika podjetja, znašal je 52 % vseh pomoči. </w:t>
      </w:r>
    </w:p>
    <w:p w:rsidR="008C343A" w:rsidRPr="00D050E9" w:rsidRDefault="00C0798C" w:rsidP="00C0798C">
      <w:pPr>
        <w:pStyle w:val="Caption"/>
        <w:rPr>
          <w:color w:val="auto"/>
        </w:rPr>
      </w:pPr>
      <w:bookmarkStart w:id="149" w:name="_Toc530654614"/>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30</w:t>
      </w:r>
      <w:r w:rsidRPr="00D050E9">
        <w:rPr>
          <w:color w:val="auto"/>
        </w:rPr>
        <w:fldChar w:fldCharType="end"/>
      </w:r>
      <w:r w:rsidR="008C343A" w:rsidRPr="00D050E9">
        <w:rPr>
          <w:color w:val="auto"/>
        </w:rPr>
        <w:t>: Državne pomoči po velikosti podjetij – prejemnikov pomoči, brez stečajev, 2008–2017</w:t>
      </w:r>
      <w:bookmarkEnd w:id="149"/>
    </w:p>
    <w:p w:rsidR="007B2100" w:rsidRPr="00D050E9" w:rsidRDefault="007B2100" w:rsidP="007B2100">
      <w:pPr>
        <w:spacing w:after="0"/>
        <w:rPr>
          <w:lang w:bidi="hi-IN"/>
        </w:rPr>
      </w:pPr>
    </w:p>
    <w:tbl>
      <w:tblPr>
        <w:tblStyle w:val="LightGrid-Accent5"/>
        <w:tblW w:w="5000" w:type="pct"/>
        <w:tblLook w:val="04A0" w:firstRow="1" w:lastRow="0" w:firstColumn="1" w:lastColumn="0" w:noHBand="0" w:noVBand="1"/>
      </w:tblPr>
      <w:tblGrid>
        <w:gridCol w:w="1825"/>
        <w:gridCol w:w="1444"/>
        <w:gridCol w:w="1575"/>
        <w:gridCol w:w="1444"/>
        <w:gridCol w:w="852"/>
        <w:gridCol w:w="1147"/>
        <w:gridCol w:w="1113"/>
      </w:tblGrid>
      <w:tr w:rsidR="00F93360" w:rsidRPr="00D050E9" w:rsidTr="00B005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rsidR="00F93360" w:rsidRPr="00D050E9" w:rsidRDefault="00F93360" w:rsidP="00CA6AD5">
            <w:pPr>
              <w:jc w:val="left"/>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 Velikost prejemnika</w:t>
            </w:r>
          </w:p>
        </w:tc>
        <w:tc>
          <w:tcPr>
            <w:tcW w:w="768" w:type="pct"/>
            <w:hideMark/>
          </w:tcPr>
          <w:p w:rsidR="00F93360" w:rsidRPr="00D050E9" w:rsidRDefault="00F93360"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2015</w:t>
            </w:r>
          </w:p>
        </w:tc>
        <w:tc>
          <w:tcPr>
            <w:tcW w:w="838" w:type="pct"/>
            <w:hideMark/>
          </w:tcPr>
          <w:p w:rsidR="00F93360" w:rsidRPr="00D050E9" w:rsidRDefault="00F93360"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2016</w:t>
            </w:r>
          </w:p>
        </w:tc>
        <w:tc>
          <w:tcPr>
            <w:tcW w:w="768" w:type="pct"/>
            <w:hideMark/>
          </w:tcPr>
          <w:p w:rsidR="00F93360" w:rsidRPr="00D050E9" w:rsidRDefault="00F93360"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2017</w:t>
            </w:r>
          </w:p>
        </w:tc>
        <w:tc>
          <w:tcPr>
            <w:tcW w:w="453" w:type="pct"/>
            <w:hideMark/>
          </w:tcPr>
          <w:p w:rsidR="00F93360" w:rsidRPr="00D050E9" w:rsidRDefault="00F93360"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Delež 2017</w:t>
            </w:r>
          </w:p>
        </w:tc>
        <w:tc>
          <w:tcPr>
            <w:tcW w:w="610" w:type="pct"/>
            <w:hideMark/>
          </w:tcPr>
          <w:p w:rsidR="00F93360" w:rsidRPr="00D050E9" w:rsidRDefault="00F93360"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Delež</w:t>
            </w:r>
            <w:r w:rsidRPr="00D050E9">
              <w:rPr>
                <w:rFonts w:ascii="Calibri" w:eastAsia="Times New Roman" w:hAnsi="Calibri" w:cs="Arial"/>
                <w:color w:val="000000"/>
                <w:sz w:val="19"/>
                <w:szCs w:val="19"/>
                <w:lang w:eastAsia="sl-SI"/>
              </w:rPr>
              <w:br/>
              <w:t>2015-2017</w:t>
            </w:r>
          </w:p>
        </w:tc>
        <w:tc>
          <w:tcPr>
            <w:tcW w:w="592" w:type="pct"/>
            <w:hideMark/>
          </w:tcPr>
          <w:p w:rsidR="00F93360" w:rsidRPr="00D050E9" w:rsidRDefault="00F93360"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9"/>
                <w:szCs w:val="19"/>
                <w:lang w:eastAsia="sl-SI"/>
              </w:rPr>
            </w:pPr>
            <w:r w:rsidRPr="00D050E9">
              <w:rPr>
                <w:rFonts w:ascii="Calibri" w:eastAsia="Times New Roman" w:hAnsi="Calibri" w:cs="Arial"/>
                <w:color w:val="000000"/>
                <w:sz w:val="19"/>
                <w:szCs w:val="19"/>
                <w:lang w:eastAsia="sl-SI"/>
              </w:rPr>
              <w:t>Delež</w:t>
            </w:r>
            <w:r w:rsidRPr="00D050E9">
              <w:rPr>
                <w:rFonts w:ascii="Calibri" w:eastAsia="Times New Roman" w:hAnsi="Calibri" w:cs="Arial"/>
                <w:color w:val="000000"/>
                <w:sz w:val="19"/>
                <w:szCs w:val="19"/>
                <w:lang w:eastAsia="sl-SI"/>
              </w:rPr>
              <w:br/>
              <w:t>2008-2017</w:t>
            </w:r>
          </w:p>
        </w:tc>
      </w:tr>
      <w:tr w:rsidR="00F93360" w:rsidRPr="00D050E9" w:rsidTr="00B005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rsidR="00F93360" w:rsidRPr="00D050E9" w:rsidRDefault="00F93360" w:rsidP="00CA6AD5">
            <w:pPr>
              <w:jc w:val="left"/>
              <w:rPr>
                <w:rFonts w:ascii="Calibri" w:eastAsia="Times New Roman" w:hAnsi="Calibri" w:cs="Arial"/>
                <w:b w:val="0"/>
                <w:color w:val="1F497D"/>
                <w:sz w:val="19"/>
                <w:szCs w:val="19"/>
                <w:lang w:eastAsia="sl-SI"/>
              </w:rPr>
            </w:pPr>
            <w:r w:rsidRPr="00D050E9">
              <w:rPr>
                <w:rFonts w:ascii="Calibri" w:eastAsia="Times New Roman" w:hAnsi="Calibri" w:cs="Arial"/>
                <w:b w:val="0"/>
                <w:color w:val="1F497D"/>
                <w:sz w:val="19"/>
                <w:szCs w:val="19"/>
                <w:lang w:eastAsia="sl-SI"/>
              </w:rPr>
              <w:t>MSP</w:t>
            </w:r>
          </w:p>
        </w:tc>
        <w:tc>
          <w:tcPr>
            <w:tcW w:w="768"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261.823.173,82</w:t>
            </w:r>
          </w:p>
        </w:tc>
        <w:tc>
          <w:tcPr>
            <w:tcW w:w="838"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221.841.491,16</w:t>
            </w:r>
          </w:p>
        </w:tc>
        <w:tc>
          <w:tcPr>
            <w:tcW w:w="768"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271.832.607,87</w:t>
            </w:r>
          </w:p>
        </w:tc>
        <w:tc>
          <w:tcPr>
            <w:tcW w:w="453"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63,9%</w:t>
            </w:r>
          </w:p>
        </w:tc>
        <w:tc>
          <w:tcPr>
            <w:tcW w:w="610"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56,5%</w:t>
            </w:r>
          </w:p>
        </w:tc>
        <w:tc>
          <w:tcPr>
            <w:tcW w:w="592"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61,6%</w:t>
            </w:r>
          </w:p>
        </w:tc>
      </w:tr>
      <w:tr w:rsidR="00F93360" w:rsidRPr="00D050E9" w:rsidTr="00B005B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rsidR="00F93360" w:rsidRPr="00D050E9" w:rsidRDefault="00F93360" w:rsidP="00CA6AD5">
            <w:pPr>
              <w:jc w:val="left"/>
              <w:rPr>
                <w:rFonts w:ascii="Calibri" w:eastAsia="Times New Roman" w:hAnsi="Calibri" w:cs="Arial"/>
                <w:b w:val="0"/>
                <w:color w:val="1F497D"/>
                <w:sz w:val="19"/>
                <w:szCs w:val="19"/>
                <w:lang w:eastAsia="sl-SI"/>
              </w:rPr>
            </w:pPr>
            <w:r w:rsidRPr="00D050E9">
              <w:rPr>
                <w:rFonts w:ascii="Calibri" w:eastAsia="Times New Roman" w:hAnsi="Calibri" w:cs="Arial"/>
                <w:b w:val="0"/>
                <w:color w:val="1F497D"/>
                <w:sz w:val="19"/>
                <w:szCs w:val="19"/>
                <w:lang w:eastAsia="sl-SI"/>
              </w:rPr>
              <w:t xml:space="preserve">Velika podjetja </w:t>
            </w:r>
          </w:p>
        </w:tc>
        <w:tc>
          <w:tcPr>
            <w:tcW w:w="768" w:type="pct"/>
            <w:hideMark/>
          </w:tcPr>
          <w:p w:rsidR="00F93360" w:rsidRPr="00D050E9" w:rsidRDefault="00F93360"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281.181.532,96</w:t>
            </w:r>
          </w:p>
        </w:tc>
        <w:tc>
          <w:tcPr>
            <w:tcW w:w="838" w:type="pct"/>
            <w:hideMark/>
          </w:tcPr>
          <w:p w:rsidR="00F93360" w:rsidRPr="00D050E9" w:rsidRDefault="00F93360"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147.583.334,65</w:t>
            </w:r>
          </w:p>
        </w:tc>
        <w:tc>
          <w:tcPr>
            <w:tcW w:w="768" w:type="pct"/>
            <w:hideMark/>
          </w:tcPr>
          <w:p w:rsidR="00F93360" w:rsidRPr="00D050E9" w:rsidRDefault="00F93360"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153.372.183,37</w:t>
            </w:r>
          </w:p>
        </w:tc>
        <w:tc>
          <w:tcPr>
            <w:tcW w:w="453" w:type="pct"/>
            <w:hideMark/>
          </w:tcPr>
          <w:p w:rsidR="00F93360" w:rsidRPr="00D050E9" w:rsidRDefault="00F93360"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36,1%</w:t>
            </w:r>
          </w:p>
        </w:tc>
        <w:tc>
          <w:tcPr>
            <w:tcW w:w="610" w:type="pct"/>
            <w:hideMark/>
          </w:tcPr>
          <w:p w:rsidR="00F93360" w:rsidRPr="00D050E9" w:rsidRDefault="00F93360"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43,5%</w:t>
            </w:r>
          </w:p>
        </w:tc>
        <w:tc>
          <w:tcPr>
            <w:tcW w:w="592" w:type="pct"/>
            <w:hideMark/>
          </w:tcPr>
          <w:p w:rsidR="00F93360" w:rsidRPr="00D050E9" w:rsidRDefault="00F93360"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38,4%</w:t>
            </w:r>
          </w:p>
        </w:tc>
      </w:tr>
      <w:tr w:rsidR="00F93360" w:rsidRPr="00D050E9" w:rsidTr="00B005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rsidR="00F93360" w:rsidRPr="00D050E9" w:rsidRDefault="00F93360" w:rsidP="00CA6AD5">
            <w:pPr>
              <w:jc w:val="left"/>
              <w:rPr>
                <w:rFonts w:ascii="Calibri" w:eastAsia="Times New Roman" w:hAnsi="Calibri" w:cs="Arial"/>
                <w:color w:val="1F497D"/>
                <w:sz w:val="19"/>
                <w:szCs w:val="19"/>
                <w:lang w:eastAsia="sl-SI"/>
              </w:rPr>
            </w:pPr>
            <w:r w:rsidRPr="00D050E9">
              <w:rPr>
                <w:rFonts w:ascii="Calibri" w:eastAsia="Times New Roman" w:hAnsi="Calibri" w:cs="Arial"/>
                <w:color w:val="1F497D"/>
                <w:sz w:val="19"/>
                <w:szCs w:val="19"/>
                <w:lang w:eastAsia="sl-SI"/>
              </w:rPr>
              <w:t>Skupaj</w:t>
            </w:r>
          </w:p>
        </w:tc>
        <w:tc>
          <w:tcPr>
            <w:tcW w:w="768"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sz w:val="19"/>
                <w:szCs w:val="19"/>
                <w:lang w:eastAsia="sl-SI"/>
              </w:rPr>
            </w:pPr>
            <w:r w:rsidRPr="00D050E9">
              <w:rPr>
                <w:rFonts w:ascii="Calibri" w:eastAsia="Times New Roman" w:hAnsi="Calibri" w:cs="Arial"/>
                <w:b/>
                <w:bCs/>
                <w:color w:val="1F497D"/>
                <w:sz w:val="19"/>
                <w:szCs w:val="19"/>
                <w:lang w:eastAsia="sl-SI"/>
              </w:rPr>
              <w:t>543.004.706,78</w:t>
            </w:r>
          </w:p>
        </w:tc>
        <w:tc>
          <w:tcPr>
            <w:tcW w:w="838"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sz w:val="19"/>
                <w:szCs w:val="19"/>
                <w:lang w:eastAsia="sl-SI"/>
              </w:rPr>
            </w:pPr>
            <w:r w:rsidRPr="00D050E9">
              <w:rPr>
                <w:rFonts w:ascii="Calibri" w:eastAsia="Times New Roman" w:hAnsi="Calibri" w:cs="Arial"/>
                <w:b/>
                <w:bCs/>
                <w:color w:val="1F497D"/>
                <w:sz w:val="19"/>
                <w:szCs w:val="19"/>
                <w:lang w:eastAsia="sl-SI"/>
              </w:rPr>
              <w:t>369.424.825,81</w:t>
            </w:r>
          </w:p>
        </w:tc>
        <w:tc>
          <w:tcPr>
            <w:tcW w:w="768"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sz w:val="19"/>
                <w:szCs w:val="19"/>
                <w:lang w:eastAsia="sl-SI"/>
              </w:rPr>
            </w:pPr>
            <w:r w:rsidRPr="00D050E9">
              <w:rPr>
                <w:rFonts w:ascii="Calibri" w:eastAsia="Times New Roman" w:hAnsi="Calibri" w:cs="Arial"/>
                <w:b/>
                <w:bCs/>
                <w:color w:val="1F497D"/>
                <w:sz w:val="19"/>
                <w:szCs w:val="19"/>
                <w:lang w:eastAsia="sl-SI"/>
              </w:rPr>
              <w:t>425.204.791,24</w:t>
            </w:r>
          </w:p>
        </w:tc>
        <w:tc>
          <w:tcPr>
            <w:tcW w:w="453"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sz w:val="19"/>
                <w:szCs w:val="19"/>
                <w:lang w:eastAsia="sl-SI"/>
              </w:rPr>
            </w:pPr>
            <w:r w:rsidRPr="00D050E9">
              <w:rPr>
                <w:rFonts w:ascii="Calibri" w:eastAsia="Times New Roman" w:hAnsi="Calibri" w:cs="Arial"/>
                <w:b/>
                <w:bCs/>
                <w:color w:val="1F497D"/>
                <w:sz w:val="19"/>
                <w:szCs w:val="19"/>
                <w:lang w:eastAsia="sl-SI"/>
              </w:rPr>
              <w:t>99,5%</w:t>
            </w:r>
          </w:p>
        </w:tc>
        <w:tc>
          <w:tcPr>
            <w:tcW w:w="610"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sz w:val="19"/>
                <w:szCs w:val="19"/>
                <w:lang w:eastAsia="sl-SI"/>
              </w:rPr>
            </w:pPr>
            <w:r w:rsidRPr="00D050E9">
              <w:rPr>
                <w:rFonts w:ascii="Calibri" w:eastAsia="Times New Roman" w:hAnsi="Calibri" w:cs="Arial"/>
                <w:b/>
                <w:bCs/>
                <w:color w:val="1F497D"/>
                <w:sz w:val="19"/>
                <w:szCs w:val="19"/>
                <w:lang w:eastAsia="sl-SI"/>
              </w:rPr>
              <w:t>100,0%</w:t>
            </w:r>
          </w:p>
        </w:tc>
        <w:tc>
          <w:tcPr>
            <w:tcW w:w="592" w:type="pct"/>
            <w:hideMark/>
          </w:tcPr>
          <w:p w:rsidR="00F93360" w:rsidRPr="00D050E9" w:rsidRDefault="00F93360"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1F497D"/>
                <w:sz w:val="19"/>
                <w:szCs w:val="19"/>
                <w:lang w:eastAsia="sl-SI"/>
              </w:rPr>
            </w:pPr>
            <w:r w:rsidRPr="00D050E9">
              <w:rPr>
                <w:rFonts w:ascii="Calibri" w:eastAsia="Times New Roman" w:hAnsi="Calibri" w:cs="Arial"/>
                <w:b/>
                <w:bCs/>
                <w:color w:val="1F497D"/>
                <w:sz w:val="19"/>
                <w:szCs w:val="19"/>
                <w:lang w:eastAsia="sl-SI"/>
              </w:rPr>
              <w:t>100,0%</w:t>
            </w:r>
          </w:p>
        </w:tc>
      </w:tr>
    </w:tbl>
    <w:p w:rsidR="00343952" w:rsidRPr="00D050E9" w:rsidRDefault="00343952" w:rsidP="007B2100">
      <w:pPr>
        <w:spacing w:after="0" w:line="276" w:lineRule="auto"/>
        <w:jc w:val="left"/>
        <w:rPr>
          <w:rFonts w:asciiTheme="minorHAnsi" w:hAnsiTheme="minorHAnsi"/>
        </w:rPr>
      </w:pPr>
    </w:p>
    <w:p w:rsidR="00D82F9B" w:rsidRDefault="00C0798C" w:rsidP="00C0798C">
      <w:pPr>
        <w:pStyle w:val="Caption"/>
        <w:rPr>
          <w:color w:val="auto"/>
        </w:rPr>
      </w:pPr>
      <w:bookmarkStart w:id="150" w:name="_Toc530654673"/>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58</w:t>
      </w:r>
      <w:r w:rsidRPr="00D050E9">
        <w:rPr>
          <w:color w:val="auto"/>
        </w:rPr>
        <w:fldChar w:fldCharType="end"/>
      </w:r>
      <w:r w:rsidR="008C343A" w:rsidRPr="00D050E9">
        <w:rPr>
          <w:color w:val="auto"/>
        </w:rPr>
        <w:t>: Državne pomoči po velikosti podjetij – prejemnikov pomoči, brez stečajev, 2008–2017</w:t>
      </w:r>
      <w:bookmarkEnd w:id="150"/>
    </w:p>
    <w:p w:rsidR="00F93360" w:rsidRPr="00D050E9" w:rsidRDefault="00F93360" w:rsidP="00C0798C">
      <w:pPr>
        <w:pStyle w:val="Caption"/>
      </w:pPr>
      <w:r w:rsidRPr="00D050E9">
        <w:rPr>
          <w:noProof/>
          <w:lang w:eastAsia="sl-SI" w:bidi="ar-SA"/>
        </w:rPr>
        <w:drawing>
          <wp:inline distT="0" distB="0" distL="0" distR="0" wp14:anchorId="76BF6B95" wp14:editId="288F1942">
            <wp:extent cx="5273040" cy="2590800"/>
            <wp:effectExtent l="0" t="0" r="381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722A4D" w:rsidRPr="00D050E9" w:rsidRDefault="005F58DD" w:rsidP="00AE3E5F">
      <w:pPr>
        <w:spacing w:line="276" w:lineRule="auto"/>
        <w:rPr>
          <w:rFonts w:asciiTheme="minorHAnsi" w:hAnsiTheme="minorHAnsi"/>
        </w:rPr>
      </w:pPr>
      <w:r w:rsidRPr="00D050E9">
        <w:rPr>
          <w:rFonts w:asciiTheme="minorHAnsi" w:hAnsiTheme="minorHAnsi"/>
        </w:rPr>
        <w:t xml:space="preserve">V okviru malih in srednje velikih podjetij </w:t>
      </w:r>
      <w:r w:rsidR="00AE3E5F" w:rsidRPr="00D050E9">
        <w:rPr>
          <w:rFonts w:asciiTheme="minorHAnsi" w:hAnsiTheme="minorHAnsi"/>
        </w:rPr>
        <w:t xml:space="preserve">je bilo največ </w:t>
      </w:r>
      <w:r w:rsidRPr="00D050E9">
        <w:rPr>
          <w:rFonts w:asciiTheme="minorHAnsi" w:hAnsiTheme="minorHAnsi"/>
        </w:rPr>
        <w:t>državnih pomoči izplača</w:t>
      </w:r>
      <w:r w:rsidR="00AE3E5F" w:rsidRPr="00D050E9">
        <w:rPr>
          <w:rFonts w:asciiTheme="minorHAnsi" w:hAnsiTheme="minorHAnsi"/>
        </w:rPr>
        <w:t xml:space="preserve">nih </w:t>
      </w:r>
      <w:r w:rsidR="00AE3E5F" w:rsidRPr="00D050E9">
        <w:rPr>
          <w:rFonts w:asciiTheme="minorHAnsi" w:hAnsiTheme="minorHAnsi"/>
          <w:b/>
        </w:rPr>
        <w:t xml:space="preserve">mikro </w:t>
      </w:r>
      <w:r w:rsidR="00AE3E5F" w:rsidRPr="00D050E9">
        <w:rPr>
          <w:rFonts w:asciiTheme="minorHAnsi" w:hAnsiTheme="minorHAnsi"/>
        </w:rPr>
        <w:t>podjetjem</w:t>
      </w:r>
      <w:r w:rsidR="007B3DC7" w:rsidRPr="00D050E9">
        <w:rPr>
          <w:rFonts w:asciiTheme="minorHAnsi" w:hAnsiTheme="minorHAnsi"/>
        </w:rPr>
        <w:t>.</w:t>
      </w:r>
      <w:r w:rsidR="00AE3E5F" w:rsidRPr="00D050E9">
        <w:rPr>
          <w:rFonts w:asciiTheme="minorHAnsi" w:hAnsiTheme="minorHAnsi"/>
        </w:rPr>
        <w:t xml:space="preserve"> Ta podjetja so prejela skoraj četrtino (</w:t>
      </w:r>
      <w:r w:rsidR="00AE3E5F" w:rsidRPr="00D050E9">
        <w:rPr>
          <w:rFonts w:asciiTheme="minorHAnsi" w:hAnsiTheme="minorHAnsi"/>
          <w:b/>
        </w:rPr>
        <w:t>24 %</w:t>
      </w:r>
      <w:r w:rsidR="00AE3E5F" w:rsidRPr="00D050E9">
        <w:rPr>
          <w:rFonts w:asciiTheme="minorHAnsi" w:hAnsiTheme="minorHAnsi"/>
        </w:rPr>
        <w:t xml:space="preserve">) vseh pomoči v letu 2017 (21 % v obdobju 2015–2017). </w:t>
      </w:r>
      <w:r w:rsidR="00AE3E5F" w:rsidRPr="00D050E9">
        <w:rPr>
          <w:rFonts w:asciiTheme="minorHAnsi" w:hAnsiTheme="minorHAnsi"/>
          <w:b/>
        </w:rPr>
        <w:t>Srednje velika podjetja</w:t>
      </w:r>
      <w:r w:rsidR="00AE3E5F" w:rsidRPr="00D050E9">
        <w:rPr>
          <w:rFonts w:asciiTheme="minorHAnsi" w:hAnsiTheme="minorHAnsi"/>
        </w:rPr>
        <w:t xml:space="preserve"> so prejela </w:t>
      </w:r>
      <w:r w:rsidR="00AE3E5F" w:rsidRPr="00D050E9">
        <w:rPr>
          <w:rFonts w:asciiTheme="minorHAnsi" w:hAnsiTheme="minorHAnsi"/>
          <w:b/>
        </w:rPr>
        <w:t>21 %</w:t>
      </w:r>
      <w:r w:rsidR="00AE3E5F" w:rsidRPr="00D050E9">
        <w:rPr>
          <w:rFonts w:asciiTheme="minorHAnsi" w:hAnsiTheme="minorHAnsi"/>
        </w:rPr>
        <w:t xml:space="preserve"> vseh pomoči v letu 2017 (19 % v obdobju 2015–2017), </w:t>
      </w:r>
      <w:r w:rsidR="00AE3E5F" w:rsidRPr="00D050E9">
        <w:rPr>
          <w:rFonts w:asciiTheme="minorHAnsi" w:hAnsiTheme="minorHAnsi"/>
          <w:b/>
        </w:rPr>
        <w:t>mala podjetja</w:t>
      </w:r>
      <w:r w:rsidR="00AE3E5F" w:rsidRPr="00D050E9">
        <w:rPr>
          <w:rFonts w:asciiTheme="minorHAnsi" w:hAnsiTheme="minorHAnsi"/>
        </w:rPr>
        <w:t xml:space="preserve"> pa skoraj </w:t>
      </w:r>
      <w:r w:rsidR="00AE3E5F" w:rsidRPr="00D050E9">
        <w:rPr>
          <w:rFonts w:asciiTheme="minorHAnsi" w:hAnsiTheme="minorHAnsi"/>
          <w:b/>
        </w:rPr>
        <w:t>19 %</w:t>
      </w:r>
      <w:r w:rsidR="00AE3E5F" w:rsidRPr="00D050E9">
        <w:rPr>
          <w:rFonts w:asciiTheme="minorHAnsi" w:hAnsiTheme="minorHAnsi"/>
        </w:rPr>
        <w:t xml:space="preserve"> vseh pomoči v letu 2017 (17 % v obdobju 2015–2017). </w:t>
      </w:r>
      <w:r w:rsidR="00722A4D" w:rsidRPr="00D050E9">
        <w:rPr>
          <w:rFonts w:asciiTheme="minorHAnsi" w:hAnsiTheme="minorHAnsi"/>
        </w:rPr>
        <w:t xml:space="preserve">V zadnjem letu se je delež </w:t>
      </w:r>
      <w:r w:rsidR="007B3DC7" w:rsidRPr="00D050E9">
        <w:rPr>
          <w:rFonts w:asciiTheme="minorHAnsi" w:hAnsiTheme="minorHAnsi"/>
        </w:rPr>
        <w:t xml:space="preserve">pomoči, izplačan malim in srednje velikim podjetjem </w:t>
      </w:r>
      <w:r w:rsidR="00722A4D" w:rsidRPr="00D050E9">
        <w:rPr>
          <w:rFonts w:asciiTheme="minorHAnsi" w:hAnsiTheme="minorHAnsi"/>
        </w:rPr>
        <w:t>ponovno povečal</w:t>
      </w:r>
      <w:r w:rsidR="00B4641B" w:rsidRPr="00D050E9">
        <w:rPr>
          <w:rFonts w:asciiTheme="minorHAnsi" w:hAnsiTheme="minorHAnsi"/>
        </w:rPr>
        <w:t>, kar velja za vse kategorije MSP (mikro, mala in srednje velika podjetja)</w:t>
      </w:r>
      <w:r w:rsidR="00722A4D" w:rsidRPr="00D050E9">
        <w:rPr>
          <w:rFonts w:asciiTheme="minorHAnsi" w:hAnsiTheme="minorHAnsi"/>
        </w:rPr>
        <w:t xml:space="preserve">. </w:t>
      </w:r>
    </w:p>
    <w:p w:rsidR="00C6607C" w:rsidRPr="00D050E9" w:rsidRDefault="00C0798C" w:rsidP="00C0798C">
      <w:pPr>
        <w:pStyle w:val="Caption"/>
        <w:rPr>
          <w:color w:val="auto"/>
        </w:rPr>
      </w:pPr>
      <w:bookmarkStart w:id="151" w:name="_Toc530654615"/>
      <w:r w:rsidRPr="00D050E9">
        <w:rPr>
          <w:color w:val="auto"/>
        </w:rPr>
        <w:t xml:space="preserve">Tabela </w:t>
      </w:r>
      <w:r w:rsidRPr="00D050E9">
        <w:rPr>
          <w:color w:val="auto"/>
        </w:rPr>
        <w:fldChar w:fldCharType="begin"/>
      </w:r>
      <w:r w:rsidRPr="00D050E9">
        <w:rPr>
          <w:color w:val="auto"/>
        </w:rPr>
        <w:instrText xml:space="preserve"> SEQ Tabela \* ARABIC </w:instrText>
      </w:r>
      <w:r w:rsidRPr="00D050E9">
        <w:rPr>
          <w:color w:val="auto"/>
        </w:rPr>
        <w:fldChar w:fldCharType="separate"/>
      </w:r>
      <w:r w:rsidR="00745204">
        <w:rPr>
          <w:noProof/>
          <w:color w:val="auto"/>
        </w:rPr>
        <w:t>31</w:t>
      </w:r>
      <w:r w:rsidRPr="00D050E9">
        <w:rPr>
          <w:color w:val="auto"/>
        </w:rPr>
        <w:fldChar w:fldCharType="end"/>
      </w:r>
      <w:r w:rsidR="00C6607C" w:rsidRPr="00D050E9">
        <w:rPr>
          <w:color w:val="auto"/>
        </w:rPr>
        <w:t>: Državne pomoči po velikosti podjetij podrobno, 2008–2017</w:t>
      </w:r>
      <w:bookmarkEnd w:id="151"/>
    </w:p>
    <w:p w:rsidR="00E82A71" w:rsidRPr="00D050E9" w:rsidRDefault="00E82A71" w:rsidP="00E82A71">
      <w:pPr>
        <w:spacing w:after="0"/>
        <w:rPr>
          <w:lang w:bidi="hi-IN"/>
        </w:rPr>
      </w:pPr>
    </w:p>
    <w:tbl>
      <w:tblPr>
        <w:tblStyle w:val="LightGrid-Accent5"/>
        <w:tblW w:w="5000" w:type="pct"/>
        <w:tblLook w:val="04A0" w:firstRow="1" w:lastRow="0" w:firstColumn="1" w:lastColumn="0" w:noHBand="0" w:noVBand="1"/>
      </w:tblPr>
      <w:tblGrid>
        <w:gridCol w:w="1827"/>
        <w:gridCol w:w="1453"/>
        <w:gridCol w:w="1444"/>
        <w:gridCol w:w="1444"/>
        <w:gridCol w:w="970"/>
        <w:gridCol w:w="1149"/>
        <w:gridCol w:w="1113"/>
      </w:tblGrid>
      <w:tr w:rsidR="00C6607C" w:rsidRPr="00D050E9" w:rsidTr="00DA0C2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vAlign w:val="center"/>
            <w:hideMark/>
          </w:tcPr>
          <w:p w:rsidR="00C6607C" w:rsidRPr="00D050E9" w:rsidRDefault="00C6607C" w:rsidP="00CA6AD5">
            <w:pPr>
              <w:jc w:val="center"/>
              <w:rPr>
                <w:rFonts w:ascii="Calibri" w:eastAsia="Times New Roman" w:hAnsi="Calibri" w:cs="Arial"/>
                <w:sz w:val="19"/>
                <w:szCs w:val="19"/>
                <w:lang w:eastAsia="sl-SI"/>
              </w:rPr>
            </w:pPr>
            <w:r w:rsidRPr="00D050E9">
              <w:rPr>
                <w:rFonts w:ascii="Calibri" w:eastAsia="Times New Roman" w:hAnsi="Calibri" w:cs="Arial"/>
                <w:sz w:val="19"/>
                <w:szCs w:val="19"/>
                <w:lang w:eastAsia="sl-SI"/>
              </w:rPr>
              <w:t>Velikost prejemnika</w:t>
            </w:r>
          </w:p>
        </w:tc>
        <w:tc>
          <w:tcPr>
            <w:tcW w:w="773" w:type="pct"/>
            <w:vAlign w:val="center"/>
            <w:hideMark/>
          </w:tcPr>
          <w:p w:rsidR="00C6607C" w:rsidRPr="00D050E9" w:rsidRDefault="00C6607C"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2015</w:t>
            </w:r>
          </w:p>
        </w:tc>
        <w:tc>
          <w:tcPr>
            <w:tcW w:w="768" w:type="pct"/>
            <w:vAlign w:val="center"/>
            <w:hideMark/>
          </w:tcPr>
          <w:p w:rsidR="00C6607C" w:rsidRPr="00D050E9" w:rsidRDefault="00C6607C"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2016</w:t>
            </w:r>
          </w:p>
        </w:tc>
        <w:tc>
          <w:tcPr>
            <w:tcW w:w="768" w:type="pct"/>
            <w:vAlign w:val="center"/>
            <w:hideMark/>
          </w:tcPr>
          <w:p w:rsidR="00C6607C" w:rsidRPr="00D050E9" w:rsidRDefault="00C6607C"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2017</w:t>
            </w:r>
          </w:p>
        </w:tc>
        <w:tc>
          <w:tcPr>
            <w:tcW w:w="516" w:type="pct"/>
            <w:vAlign w:val="center"/>
            <w:hideMark/>
          </w:tcPr>
          <w:p w:rsidR="00C6607C" w:rsidRPr="00D050E9" w:rsidRDefault="00C6607C"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Delež 2017</w:t>
            </w:r>
          </w:p>
        </w:tc>
        <w:tc>
          <w:tcPr>
            <w:tcW w:w="611" w:type="pct"/>
            <w:vAlign w:val="center"/>
            <w:hideMark/>
          </w:tcPr>
          <w:p w:rsidR="00C6607C" w:rsidRPr="00D050E9" w:rsidRDefault="00C6607C"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Delež</w:t>
            </w:r>
            <w:r w:rsidRPr="00D050E9">
              <w:rPr>
                <w:rFonts w:ascii="Calibri" w:eastAsia="Times New Roman" w:hAnsi="Calibri" w:cs="Arial"/>
                <w:sz w:val="19"/>
                <w:szCs w:val="19"/>
                <w:lang w:eastAsia="sl-SI"/>
              </w:rPr>
              <w:br/>
              <w:t>2015-2017</w:t>
            </w:r>
          </w:p>
        </w:tc>
        <w:tc>
          <w:tcPr>
            <w:tcW w:w="592" w:type="pct"/>
            <w:vAlign w:val="center"/>
            <w:hideMark/>
          </w:tcPr>
          <w:p w:rsidR="00C6607C" w:rsidRPr="00D050E9" w:rsidRDefault="00C6607C" w:rsidP="00CA6A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Delež</w:t>
            </w:r>
            <w:r w:rsidRPr="00D050E9">
              <w:rPr>
                <w:rFonts w:ascii="Calibri" w:eastAsia="Times New Roman" w:hAnsi="Calibri" w:cs="Arial"/>
                <w:sz w:val="19"/>
                <w:szCs w:val="19"/>
                <w:lang w:eastAsia="sl-SI"/>
              </w:rPr>
              <w:br/>
              <w:t>2008-2017</w:t>
            </w:r>
          </w:p>
        </w:tc>
      </w:tr>
      <w:tr w:rsidR="00C6607C" w:rsidRPr="00D050E9" w:rsidTr="00DA0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hideMark/>
          </w:tcPr>
          <w:p w:rsidR="00C6607C" w:rsidRPr="00D050E9" w:rsidRDefault="00C6607C" w:rsidP="00CA6AD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Mikro enote</w:t>
            </w:r>
          </w:p>
        </w:tc>
        <w:tc>
          <w:tcPr>
            <w:tcW w:w="773"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95.645.163,68</w:t>
            </w:r>
          </w:p>
        </w:tc>
        <w:tc>
          <w:tcPr>
            <w:tcW w:w="768"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80.968.402,83</w:t>
            </w:r>
          </w:p>
        </w:tc>
        <w:tc>
          <w:tcPr>
            <w:tcW w:w="768"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102.299.672,43</w:t>
            </w:r>
          </w:p>
        </w:tc>
        <w:tc>
          <w:tcPr>
            <w:tcW w:w="516"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23,9%</w:t>
            </w:r>
          </w:p>
        </w:tc>
        <w:tc>
          <w:tcPr>
            <w:tcW w:w="611"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20,6%</w:t>
            </w:r>
          </w:p>
        </w:tc>
        <w:tc>
          <w:tcPr>
            <w:tcW w:w="592" w:type="pct"/>
            <w:vAlign w:val="bottom"/>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9"/>
                <w:szCs w:val="19"/>
              </w:rPr>
            </w:pPr>
            <w:r w:rsidRPr="00D050E9">
              <w:rPr>
                <w:rFonts w:ascii="Calibri" w:hAnsi="Calibri" w:cs="Arial"/>
                <w:sz w:val="19"/>
                <w:szCs w:val="19"/>
              </w:rPr>
              <w:t>22,9%</w:t>
            </w:r>
          </w:p>
        </w:tc>
      </w:tr>
      <w:tr w:rsidR="00C6607C" w:rsidRPr="00D050E9" w:rsidTr="00DA0C2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hideMark/>
          </w:tcPr>
          <w:p w:rsidR="00C6607C" w:rsidRPr="00D050E9" w:rsidRDefault="00C6607C" w:rsidP="00CA6AD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Majhne enote</w:t>
            </w:r>
          </w:p>
        </w:tc>
        <w:tc>
          <w:tcPr>
            <w:tcW w:w="773"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78.950.124,18</w:t>
            </w:r>
          </w:p>
        </w:tc>
        <w:tc>
          <w:tcPr>
            <w:tcW w:w="768"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67.066.014,05</w:t>
            </w:r>
          </w:p>
        </w:tc>
        <w:tc>
          <w:tcPr>
            <w:tcW w:w="768"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79.803.049,28</w:t>
            </w:r>
          </w:p>
        </w:tc>
        <w:tc>
          <w:tcPr>
            <w:tcW w:w="516"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18,7%</w:t>
            </w:r>
          </w:p>
        </w:tc>
        <w:tc>
          <w:tcPr>
            <w:tcW w:w="611"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16,7%</w:t>
            </w:r>
          </w:p>
        </w:tc>
        <w:tc>
          <w:tcPr>
            <w:tcW w:w="592" w:type="pct"/>
            <w:vAlign w:val="bottom"/>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hAnsi="Calibri" w:cs="Arial"/>
                <w:sz w:val="19"/>
                <w:szCs w:val="19"/>
              </w:rPr>
            </w:pPr>
            <w:r w:rsidRPr="00D050E9">
              <w:rPr>
                <w:rFonts w:ascii="Calibri" w:hAnsi="Calibri" w:cs="Arial"/>
                <w:sz w:val="19"/>
                <w:szCs w:val="19"/>
              </w:rPr>
              <w:t>16,8%</w:t>
            </w:r>
          </w:p>
        </w:tc>
      </w:tr>
      <w:tr w:rsidR="00C6607C" w:rsidRPr="00D050E9" w:rsidTr="00DA0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hideMark/>
          </w:tcPr>
          <w:p w:rsidR="00C6607C" w:rsidRPr="00D050E9" w:rsidRDefault="00C6607C" w:rsidP="00CA6AD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Srednje enote</w:t>
            </w:r>
          </w:p>
        </w:tc>
        <w:tc>
          <w:tcPr>
            <w:tcW w:w="773"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87.227.885,96</w:t>
            </w:r>
          </w:p>
        </w:tc>
        <w:tc>
          <w:tcPr>
            <w:tcW w:w="768"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73.807.074,28</w:t>
            </w:r>
          </w:p>
        </w:tc>
        <w:tc>
          <w:tcPr>
            <w:tcW w:w="768"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89.729.886,16</w:t>
            </w:r>
          </w:p>
        </w:tc>
        <w:tc>
          <w:tcPr>
            <w:tcW w:w="516"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21,0%</w:t>
            </w:r>
          </w:p>
        </w:tc>
        <w:tc>
          <w:tcPr>
            <w:tcW w:w="611"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18,5%</w:t>
            </w:r>
          </w:p>
        </w:tc>
        <w:tc>
          <w:tcPr>
            <w:tcW w:w="592" w:type="pct"/>
            <w:vAlign w:val="bottom"/>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9"/>
                <w:szCs w:val="19"/>
              </w:rPr>
            </w:pPr>
            <w:r w:rsidRPr="00D050E9">
              <w:rPr>
                <w:rFonts w:ascii="Calibri" w:hAnsi="Calibri" w:cs="Arial"/>
                <w:sz w:val="19"/>
                <w:szCs w:val="19"/>
              </w:rPr>
              <w:t>19,2%</w:t>
            </w:r>
          </w:p>
        </w:tc>
      </w:tr>
      <w:tr w:rsidR="00C6607C" w:rsidRPr="00D050E9" w:rsidTr="00DA0C2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hideMark/>
          </w:tcPr>
          <w:p w:rsidR="00C6607C" w:rsidRPr="00D050E9" w:rsidRDefault="00C6607C" w:rsidP="00CA6AD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Velike enote</w:t>
            </w:r>
          </w:p>
        </w:tc>
        <w:tc>
          <w:tcPr>
            <w:tcW w:w="773"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281.181.532,96</w:t>
            </w:r>
          </w:p>
        </w:tc>
        <w:tc>
          <w:tcPr>
            <w:tcW w:w="768"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147.583.334,65</w:t>
            </w:r>
          </w:p>
        </w:tc>
        <w:tc>
          <w:tcPr>
            <w:tcW w:w="768"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153.372.183,37</w:t>
            </w:r>
          </w:p>
        </w:tc>
        <w:tc>
          <w:tcPr>
            <w:tcW w:w="516"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35,9%</w:t>
            </w:r>
          </w:p>
        </w:tc>
        <w:tc>
          <w:tcPr>
            <w:tcW w:w="611"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42,9%</w:t>
            </w:r>
          </w:p>
        </w:tc>
        <w:tc>
          <w:tcPr>
            <w:tcW w:w="592" w:type="pct"/>
            <w:vAlign w:val="bottom"/>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hAnsi="Calibri" w:cs="Arial"/>
                <w:sz w:val="19"/>
                <w:szCs w:val="19"/>
              </w:rPr>
            </w:pPr>
            <w:r w:rsidRPr="00D050E9">
              <w:rPr>
                <w:rFonts w:ascii="Calibri" w:hAnsi="Calibri" w:cs="Arial"/>
                <w:sz w:val="19"/>
                <w:szCs w:val="19"/>
              </w:rPr>
              <w:t>36,7%</w:t>
            </w:r>
          </w:p>
        </w:tc>
      </w:tr>
      <w:tr w:rsidR="00C6607C" w:rsidRPr="00D050E9" w:rsidTr="00DA0C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hideMark/>
          </w:tcPr>
          <w:p w:rsidR="00C6607C" w:rsidRPr="00D050E9" w:rsidRDefault="001E01AD" w:rsidP="00CA6AD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Stečaji</w:t>
            </w:r>
            <w:r w:rsidRPr="00D050E9">
              <w:rPr>
                <w:rStyle w:val="FootnoteReference"/>
                <w:rFonts w:ascii="Calibri" w:eastAsia="Times New Roman" w:hAnsi="Calibri" w:cs="Arial"/>
                <w:sz w:val="19"/>
                <w:szCs w:val="19"/>
                <w:lang w:eastAsia="sl-SI"/>
              </w:rPr>
              <w:footnoteReference w:id="28"/>
            </w:r>
          </w:p>
        </w:tc>
        <w:tc>
          <w:tcPr>
            <w:tcW w:w="773"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10.310.955,86</w:t>
            </w:r>
          </w:p>
        </w:tc>
        <w:tc>
          <w:tcPr>
            <w:tcW w:w="768"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5.605.404,82</w:t>
            </w:r>
          </w:p>
        </w:tc>
        <w:tc>
          <w:tcPr>
            <w:tcW w:w="768"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1.976.888,16</w:t>
            </w:r>
          </w:p>
        </w:tc>
        <w:tc>
          <w:tcPr>
            <w:tcW w:w="516"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0,5%</w:t>
            </w:r>
          </w:p>
        </w:tc>
        <w:tc>
          <w:tcPr>
            <w:tcW w:w="611" w:type="pct"/>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9"/>
                <w:szCs w:val="19"/>
                <w:lang w:eastAsia="sl-SI"/>
              </w:rPr>
            </w:pPr>
            <w:r w:rsidRPr="00D050E9">
              <w:rPr>
                <w:rFonts w:ascii="Calibri" w:eastAsia="Times New Roman" w:hAnsi="Calibri" w:cs="Arial"/>
                <w:sz w:val="19"/>
                <w:szCs w:val="19"/>
                <w:lang w:eastAsia="sl-SI"/>
              </w:rPr>
              <w:t>1,3%</w:t>
            </w:r>
          </w:p>
        </w:tc>
        <w:tc>
          <w:tcPr>
            <w:tcW w:w="592" w:type="pct"/>
            <w:vAlign w:val="bottom"/>
            <w:hideMark/>
          </w:tcPr>
          <w:p w:rsidR="00C6607C" w:rsidRPr="00D050E9" w:rsidRDefault="00C6607C" w:rsidP="00CA6AD5">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19"/>
                <w:szCs w:val="19"/>
              </w:rPr>
            </w:pPr>
            <w:r w:rsidRPr="00D050E9">
              <w:rPr>
                <w:rFonts w:ascii="Calibri" w:hAnsi="Calibri" w:cs="Arial"/>
                <w:sz w:val="19"/>
                <w:szCs w:val="19"/>
              </w:rPr>
              <w:t>4,4%</w:t>
            </w:r>
          </w:p>
        </w:tc>
      </w:tr>
      <w:tr w:rsidR="00C6607C" w:rsidRPr="00D050E9" w:rsidTr="00DA0C2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2" w:type="pct"/>
            <w:hideMark/>
          </w:tcPr>
          <w:p w:rsidR="00C6607C" w:rsidRPr="00D050E9" w:rsidRDefault="00C6607C" w:rsidP="00CA6AD5">
            <w:pPr>
              <w:jc w:val="left"/>
              <w:rPr>
                <w:rFonts w:ascii="Calibri" w:eastAsia="Times New Roman" w:hAnsi="Calibri" w:cs="Arial"/>
                <w:sz w:val="19"/>
                <w:szCs w:val="19"/>
                <w:lang w:eastAsia="sl-SI"/>
              </w:rPr>
            </w:pPr>
            <w:r w:rsidRPr="00D050E9">
              <w:rPr>
                <w:rFonts w:ascii="Calibri" w:eastAsia="Times New Roman" w:hAnsi="Calibri" w:cs="Arial"/>
                <w:sz w:val="19"/>
                <w:szCs w:val="19"/>
                <w:lang w:eastAsia="sl-SI"/>
              </w:rPr>
              <w:t>Skupaj</w:t>
            </w:r>
          </w:p>
        </w:tc>
        <w:tc>
          <w:tcPr>
            <w:tcW w:w="773"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553.315.662,64</w:t>
            </w:r>
          </w:p>
        </w:tc>
        <w:tc>
          <w:tcPr>
            <w:tcW w:w="768"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375.030.230,63</w:t>
            </w:r>
          </w:p>
        </w:tc>
        <w:tc>
          <w:tcPr>
            <w:tcW w:w="768"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427.181.679,40</w:t>
            </w:r>
          </w:p>
        </w:tc>
        <w:tc>
          <w:tcPr>
            <w:tcW w:w="516"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100,0%</w:t>
            </w:r>
          </w:p>
        </w:tc>
        <w:tc>
          <w:tcPr>
            <w:tcW w:w="611"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100,0%</w:t>
            </w:r>
          </w:p>
        </w:tc>
        <w:tc>
          <w:tcPr>
            <w:tcW w:w="592" w:type="pct"/>
            <w:hideMark/>
          </w:tcPr>
          <w:p w:rsidR="00C6607C" w:rsidRPr="00D050E9" w:rsidRDefault="00C6607C" w:rsidP="00CA6AD5">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b/>
                <w:bCs/>
                <w:sz w:val="19"/>
                <w:szCs w:val="19"/>
                <w:lang w:eastAsia="sl-SI"/>
              </w:rPr>
            </w:pPr>
            <w:r w:rsidRPr="00D050E9">
              <w:rPr>
                <w:rFonts w:ascii="Calibri" w:eastAsia="Times New Roman" w:hAnsi="Calibri" w:cs="Arial"/>
                <w:b/>
                <w:bCs/>
                <w:sz w:val="19"/>
                <w:szCs w:val="19"/>
                <w:lang w:eastAsia="sl-SI"/>
              </w:rPr>
              <w:t>100,0%</w:t>
            </w:r>
          </w:p>
        </w:tc>
      </w:tr>
    </w:tbl>
    <w:p w:rsidR="00164483" w:rsidRPr="00D050E9" w:rsidRDefault="00164483" w:rsidP="00164483">
      <w:pPr>
        <w:spacing w:after="0" w:line="276" w:lineRule="auto"/>
        <w:rPr>
          <w:rFonts w:asciiTheme="minorHAnsi" w:hAnsiTheme="minorHAnsi"/>
          <w:sz w:val="20"/>
        </w:rPr>
      </w:pPr>
    </w:p>
    <w:p w:rsidR="00307FFE" w:rsidRPr="00D050E9" w:rsidRDefault="00B4641B" w:rsidP="00164483">
      <w:pPr>
        <w:spacing w:after="0" w:line="276" w:lineRule="auto"/>
        <w:rPr>
          <w:rFonts w:asciiTheme="minorHAnsi" w:hAnsiTheme="minorHAnsi"/>
        </w:rPr>
      </w:pPr>
      <w:r w:rsidRPr="00D050E9">
        <w:rPr>
          <w:rFonts w:asciiTheme="minorHAnsi" w:hAnsiTheme="minorHAnsi"/>
        </w:rPr>
        <w:t xml:space="preserve">Med prejemniki pomoči, v okviru mikro enot, so tudi </w:t>
      </w:r>
      <w:r w:rsidRPr="00D050E9">
        <w:rPr>
          <w:rFonts w:asciiTheme="minorHAnsi" w:hAnsiTheme="minorHAnsi"/>
          <w:b/>
        </w:rPr>
        <w:t xml:space="preserve">podjetja, ki </w:t>
      </w:r>
      <w:r w:rsidR="00004F32" w:rsidRPr="00D050E9">
        <w:rPr>
          <w:rFonts w:asciiTheme="minorHAnsi" w:hAnsiTheme="minorHAnsi"/>
          <w:b/>
        </w:rPr>
        <w:t>niso imela zaposlenih</w:t>
      </w:r>
      <w:r w:rsidR="00004F32" w:rsidRPr="00D050E9">
        <w:rPr>
          <w:rFonts w:asciiTheme="minorHAnsi" w:hAnsiTheme="minorHAnsi"/>
        </w:rPr>
        <w:t>. V letu 2017 so ta podjetja prijela skoraj 42 mio EUR</w:t>
      </w:r>
      <w:r w:rsidR="00307FFE" w:rsidRPr="00D050E9">
        <w:rPr>
          <w:rFonts w:asciiTheme="minorHAnsi" w:hAnsiTheme="minorHAnsi"/>
        </w:rPr>
        <w:t xml:space="preserve">, kar je skoraj desetina vseh pomoči (slabih 39 mio EUR v letu 2016). V glavnem gre za društva in samostojne podjetnike, večina pa je prejemala pomoč za varstvo okolja in varčevanje z energijo. Pogoj za dodelitev teh pomoči je, da ima prejemnik registrirano dejavnost npr. kot s.p., kjer pa prejemnik običajno ni zaposlen in nima drugih zaposlenih ali ima registrirano dopolnilno dejavnost. </w:t>
      </w:r>
    </w:p>
    <w:p w:rsidR="00307FFE" w:rsidRPr="00D050E9" w:rsidRDefault="00307FFE" w:rsidP="00164483">
      <w:pPr>
        <w:spacing w:after="0" w:line="276" w:lineRule="auto"/>
        <w:rPr>
          <w:rFonts w:asciiTheme="minorHAnsi" w:hAnsiTheme="minorHAnsi"/>
        </w:rPr>
      </w:pPr>
    </w:p>
    <w:p w:rsidR="00343952" w:rsidRPr="00D050E9" w:rsidRDefault="00307FFE" w:rsidP="00164483">
      <w:pPr>
        <w:spacing w:after="0" w:line="276" w:lineRule="auto"/>
        <w:rPr>
          <w:rFonts w:asciiTheme="minorHAnsi" w:hAnsiTheme="minorHAnsi"/>
        </w:rPr>
      </w:pPr>
      <w:r w:rsidRPr="00D050E9">
        <w:rPr>
          <w:rFonts w:asciiTheme="minorHAnsi" w:hAnsiTheme="minorHAnsi"/>
        </w:rPr>
        <w:t xml:space="preserve">Podatek o </w:t>
      </w:r>
      <w:r w:rsidR="00255B42" w:rsidRPr="00D050E9">
        <w:rPr>
          <w:rFonts w:asciiTheme="minorHAnsi" w:hAnsiTheme="minorHAnsi"/>
          <w:b/>
        </w:rPr>
        <w:t>prejemnikih pomoči v stečaju</w:t>
      </w:r>
      <w:r w:rsidRPr="00D050E9">
        <w:rPr>
          <w:rFonts w:asciiTheme="minorHAnsi" w:hAnsiTheme="minorHAnsi"/>
        </w:rPr>
        <w:t xml:space="preserve"> prikazuje izplačila pomoči podjetjem, ki so bila </w:t>
      </w:r>
      <w:r w:rsidRPr="00D050E9">
        <w:rPr>
          <w:rFonts w:asciiTheme="minorHAnsi" w:hAnsiTheme="minorHAnsi"/>
          <w:i/>
        </w:rPr>
        <w:t>na dan izpisa</w:t>
      </w:r>
      <w:r w:rsidRPr="00D050E9">
        <w:rPr>
          <w:rFonts w:asciiTheme="minorHAnsi" w:hAnsiTheme="minorHAnsi"/>
        </w:rPr>
        <w:t xml:space="preserve"> iz Ajpes </w:t>
      </w:r>
      <w:r w:rsidR="00255B42" w:rsidRPr="00D050E9">
        <w:rPr>
          <w:rFonts w:asciiTheme="minorHAnsi" w:hAnsiTheme="minorHAnsi"/>
        </w:rPr>
        <w:t xml:space="preserve">baze </w:t>
      </w:r>
      <w:r w:rsidRPr="00D050E9">
        <w:rPr>
          <w:rFonts w:asciiTheme="minorHAnsi" w:hAnsiTheme="minorHAnsi"/>
        </w:rPr>
        <w:t xml:space="preserve">(14. 9. 2018) v stečaju, hkrati pa so v letih 2015, 2016 in/ali 2017 prejemala državno pomoč. Za leto 2017 to konkretno pomeni, da je bilo </w:t>
      </w:r>
      <w:r w:rsidR="00255B42" w:rsidRPr="00D050E9">
        <w:rPr>
          <w:rFonts w:asciiTheme="minorHAnsi" w:hAnsiTheme="minorHAnsi"/>
        </w:rPr>
        <w:t xml:space="preserve">slabih </w:t>
      </w:r>
      <w:r w:rsidRPr="00D050E9">
        <w:rPr>
          <w:rFonts w:asciiTheme="minorHAnsi" w:hAnsiTheme="minorHAnsi"/>
        </w:rPr>
        <w:t xml:space="preserve">2 mio EUR </w:t>
      </w:r>
      <w:r w:rsidR="00255B42" w:rsidRPr="00D050E9">
        <w:rPr>
          <w:rFonts w:asciiTheme="minorHAnsi" w:hAnsiTheme="minorHAnsi"/>
        </w:rPr>
        <w:t xml:space="preserve">ali skoraj </w:t>
      </w:r>
      <w:r w:rsidRPr="00D050E9">
        <w:rPr>
          <w:rFonts w:asciiTheme="minorHAnsi" w:hAnsiTheme="minorHAnsi"/>
        </w:rPr>
        <w:t xml:space="preserve">5 % državnih pomoči izplačanih podjetjem, ki so se že naslednje leto (tj. 2018) znašla v stečaju. </w:t>
      </w:r>
    </w:p>
    <w:p w:rsidR="00343952" w:rsidRPr="00D050E9" w:rsidRDefault="00343952" w:rsidP="00164483">
      <w:pPr>
        <w:spacing w:after="0" w:line="276" w:lineRule="auto"/>
        <w:rPr>
          <w:rFonts w:asciiTheme="minorHAnsi" w:hAnsiTheme="minorHAnsi"/>
        </w:rPr>
      </w:pPr>
    </w:p>
    <w:p w:rsidR="00307FFE" w:rsidRPr="00D050E9" w:rsidRDefault="00307FFE" w:rsidP="00164483">
      <w:pPr>
        <w:spacing w:after="0" w:line="276" w:lineRule="auto"/>
        <w:rPr>
          <w:rFonts w:asciiTheme="minorHAnsi" w:hAnsiTheme="minorHAnsi"/>
        </w:rPr>
      </w:pPr>
      <w:r w:rsidRPr="00D050E9">
        <w:rPr>
          <w:rFonts w:asciiTheme="minorHAnsi" w:hAnsiTheme="minorHAnsi"/>
        </w:rPr>
        <w:t xml:space="preserve">Da bi preprečili </w:t>
      </w:r>
      <w:r w:rsidR="00255B42" w:rsidRPr="00D050E9">
        <w:rPr>
          <w:rFonts w:asciiTheme="minorHAnsi" w:hAnsiTheme="minorHAnsi"/>
        </w:rPr>
        <w:t xml:space="preserve">nesmotrno porabo javnih sredstev, ministrstvo za finance </w:t>
      </w:r>
      <w:r w:rsidR="007F61FE" w:rsidRPr="00D050E9">
        <w:rPr>
          <w:rFonts w:asciiTheme="minorHAnsi" w:hAnsiTheme="minorHAnsi"/>
        </w:rPr>
        <w:t xml:space="preserve">predlaga, da vlada sprejme sklep, s katerim </w:t>
      </w:r>
      <w:r w:rsidR="00255B42" w:rsidRPr="00D050E9">
        <w:rPr>
          <w:rFonts w:asciiTheme="minorHAnsi" w:hAnsiTheme="minorHAnsi"/>
        </w:rPr>
        <w:t>se javna sredstva ne bi smela dodeljevati prejemnikom, ki so d</w:t>
      </w:r>
      <w:r w:rsidR="009B4063">
        <w:rPr>
          <w:rFonts w:asciiTheme="minorHAnsi" w:hAnsiTheme="minorHAnsi"/>
        </w:rPr>
        <w:t xml:space="preserve">avčni dolžniki in ki redno ne </w:t>
      </w:r>
      <w:r w:rsidR="00255B42" w:rsidRPr="00D050E9">
        <w:rPr>
          <w:rFonts w:asciiTheme="minorHAnsi" w:hAnsiTheme="minorHAnsi"/>
        </w:rPr>
        <w:t xml:space="preserve">plačujejo prispevkov iz plač.    </w:t>
      </w:r>
    </w:p>
    <w:p w:rsidR="00307FFE" w:rsidRPr="00D050E9" w:rsidRDefault="00307FFE" w:rsidP="00164483">
      <w:pPr>
        <w:spacing w:after="0" w:line="276" w:lineRule="auto"/>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343952" w:rsidRPr="00D050E9" w:rsidRDefault="00343952" w:rsidP="00DA0C2A">
      <w:pPr>
        <w:spacing w:after="0" w:line="276" w:lineRule="auto"/>
        <w:jc w:val="left"/>
        <w:rPr>
          <w:rFonts w:asciiTheme="minorHAnsi" w:hAnsiTheme="minorHAnsi"/>
        </w:rPr>
      </w:pPr>
    </w:p>
    <w:p w:rsidR="00C6607C" w:rsidRDefault="00C0798C" w:rsidP="00C0798C">
      <w:pPr>
        <w:pStyle w:val="Caption"/>
        <w:rPr>
          <w:color w:val="auto"/>
        </w:rPr>
      </w:pPr>
      <w:bookmarkStart w:id="152" w:name="_Toc530654674"/>
      <w:r w:rsidRPr="00D050E9">
        <w:rPr>
          <w:color w:val="auto"/>
        </w:rPr>
        <w:t xml:space="preserve">Slika </w:t>
      </w:r>
      <w:r w:rsidRPr="00D050E9">
        <w:rPr>
          <w:color w:val="auto"/>
        </w:rPr>
        <w:fldChar w:fldCharType="begin"/>
      </w:r>
      <w:r w:rsidRPr="00D050E9">
        <w:rPr>
          <w:color w:val="auto"/>
        </w:rPr>
        <w:instrText xml:space="preserve"> SEQ Slika \* ARABIC </w:instrText>
      </w:r>
      <w:r w:rsidRPr="00D050E9">
        <w:rPr>
          <w:color w:val="auto"/>
        </w:rPr>
        <w:fldChar w:fldCharType="separate"/>
      </w:r>
      <w:r w:rsidR="00745204">
        <w:rPr>
          <w:noProof/>
          <w:color w:val="auto"/>
        </w:rPr>
        <w:t>59</w:t>
      </w:r>
      <w:r w:rsidRPr="00D050E9">
        <w:rPr>
          <w:color w:val="auto"/>
        </w:rPr>
        <w:fldChar w:fldCharType="end"/>
      </w:r>
      <w:r w:rsidR="00C6607C" w:rsidRPr="00D050E9">
        <w:rPr>
          <w:color w:val="auto"/>
        </w:rPr>
        <w:t>: Državne pomoči po velikosti podjetij podrobno, 2008–2017</w:t>
      </w:r>
      <w:bookmarkEnd w:id="152"/>
    </w:p>
    <w:p w:rsidR="00D82F9B" w:rsidRPr="00D82F9B" w:rsidRDefault="00D82F9B" w:rsidP="00D82F9B">
      <w:pPr>
        <w:spacing w:after="0"/>
        <w:rPr>
          <w:lang w:bidi="hi-IN"/>
        </w:rPr>
      </w:pPr>
    </w:p>
    <w:p w:rsidR="00CF1AEB" w:rsidRPr="00D050E9" w:rsidRDefault="00C6607C" w:rsidP="00255B42">
      <w:pPr>
        <w:spacing w:line="276" w:lineRule="auto"/>
        <w:rPr>
          <w:rFonts w:asciiTheme="minorHAnsi" w:hAnsiTheme="minorHAnsi"/>
          <w:color w:val="FF0000"/>
        </w:rPr>
      </w:pPr>
      <w:r w:rsidRPr="00D050E9">
        <w:rPr>
          <w:noProof/>
          <w:lang w:eastAsia="sl-SI"/>
        </w:rPr>
        <w:drawing>
          <wp:inline distT="0" distB="0" distL="0" distR="0" wp14:anchorId="14C8C2A2" wp14:editId="74DF8987">
            <wp:extent cx="5722620" cy="2743200"/>
            <wp:effectExtent l="0" t="0" r="1143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263580" w:rsidRPr="00D050E9" w:rsidRDefault="00263580" w:rsidP="009938EB">
      <w:pPr>
        <w:pStyle w:val="Heading2"/>
      </w:pPr>
      <w:bookmarkStart w:id="153" w:name="_Toc528594668"/>
    </w:p>
    <w:p w:rsidR="00CF1AEB" w:rsidRPr="00D050E9" w:rsidRDefault="00CF1AEB" w:rsidP="007F61FE">
      <w:pPr>
        <w:pStyle w:val="Heading2"/>
        <w:numPr>
          <w:ilvl w:val="1"/>
          <w:numId w:val="16"/>
        </w:numPr>
      </w:pPr>
      <w:bookmarkStart w:id="154" w:name="_Toc530654566"/>
      <w:r w:rsidRPr="00D050E9">
        <w:t>OCENA USPEŠNOSTI DRŽAVNIH POMOČI</w:t>
      </w:r>
      <w:bookmarkEnd w:id="153"/>
      <w:bookmarkEnd w:id="154"/>
      <w:r w:rsidRPr="00D050E9">
        <w:t xml:space="preserve"> </w:t>
      </w:r>
    </w:p>
    <w:p w:rsidR="004B086B" w:rsidRPr="00D050E9" w:rsidRDefault="004B086B" w:rsidP="002F606A">
      <w:pPr>
        <w:spacing w:after="0" w:line="276" w:lineRule="auto"/>
        <w:rPr>
          <w:highlight w:val="yellow"/>
        </w:rPr>
      </w:pPr>
    </w:p>
    <w:p w:rsidR="004B086B" w:rsidRPr="00D050E9" w:rsidRDefault="004B086B" w:rsidP="004B086B">
      <w:pPr>
        <w:pStyle w:val="PlainText"/>
        <w:spacing w:line="276" w:lineRule="auto"/>
        <w:jc w:val="both"/>
      </w:pPr>
      <w:r w:rsidRPr="00D050E9">
        <w:t xml:space="preserve">V nadaljevanju so na podlagi poročil o učinkovitosti državnih pomoči, ki jih posredujejo resorno pristojni organi, na kratko predstavljene posamezne sheme s predvidenimi nameni, cilji in doseženimi rezultati. </w:t>
      </w:r>
    </w:p>
    <w:p w:rsidR="001F2E50" w:rsidRPr="00D050E9" w:rsidRDefault="001F2E50" w:rsidP="00B9182A">
      <w:pPr>
        <w:pStyle w:val="Heading3USPENOST"/>
      </w:pPr>
    </w:p>
    <w:p w:rsidR="009938EB" w:rsidRPr="00D050E9" w:rsidRDefault="009938EB" w:rsidP="00B9182A">
      <w:pPr>
        <w:pStyle w:val="Heading3USPENOST"/>
      </w:pPr>
      <w:bookmarkStart w:id="155" w:name="_Toc530654567"/>
      <w:r w:rsidRPr="00D050E9">
        <w:t>6.4.1 Varstvo okolja in varčevanje z energijo</w:t>
      </w:r>
      <w:bookmarkEnd w:id="155"/>
    </w:p>
    <w:p w:rsidR="009938EB" w:rsidRPr="00D050E9" w:rsidRDefault="009938EB" w:rsidP="009938EB">
      <w:pPr>
        <w:spacing w:after="0" w:line="276" w:lineRule="auto"/>
        <w:rPr>
          <w:rFonts w:asciiTheme="minorHAnsi" w:hAnsiTheme="minorHAnsi" w:cs="Arial"/>
        </w:rPr>
      </w:pPr>
    </w:p>
    <w:p w:rsidR="009938EB" w:rsidRPr="00D050E9" w:rsidRDefault="009938EB" w:rsidP="009938EB">
      <w:pPr>
        <w:spacing w:line="276" w:lineRule="auto"/>
        <w:rPr>
          <w:rFonts w:asciiTheme="minorHAnsi" w:hAnsiTheme="minorHAnsi" w:cs="Arial"/>
        </w:rPr>
      </w:pPr>
      <w:r w:rsidRPr="00D050E9">
        <w:rPr>
          <w:rFonts w:asciiTheme="minorHAnsi" w:hAnsiTheme="minorHAnsi" w:cs="Arial"/>
        </w:rPr>
        <w:t>Pomoči, usmerjene v varstvo okolja in varčevanje z energijo, so namenjene predvsem naložbam, ki podjetjem omogočajo preseganje standardov oziroma višjo raven varstva okolja v odsotnosti obstoječih standardov EU, naložbe za čimprejšnjo prilagoditev na prihodnje standarde EU, naložbe v ukrepe energetske učinkovitosti, vključno z energetsko učinkovitostjo stavb, naložbe v projekte za sanacijo onesnaženih območij ter pomoč za okoljske študije.</w:t>
      </w:r>
    </w:p>
    <w:p w:rsidR="001F2E50" w:rsidRPr="00D050E9" w:rsidRDefault="001F2E50" w:rsidP="002F606A">
      <w:pPr>
        <w:tabs>
          <w:tab w:val="left" w:pos="708"/>
          <w:tab w:val="left" w:pos="1416"/>
          <w:tab w:val="left" w:pos="2124"/>
          <w:tab w:val="left" w:pos="2832"/>
          <w:tab w:val="left" w:pos="3540"/>
          <w:tab w:val="left" w:pos="4248"/>
          <w:tab w:val="left" w:pos="4986"/>
        </w:tabs>
        <w:spacing w:after="0" w:line="276" w:lineRule="auto"/>
        <w:rPr>
          <w:rFonts w:asciiTheme="minorHAnsi" w:hAnsiTheme="minorHAnsi" w:cs="Arial"/>
          <w:b/>
          <w:i/>
          <w:u w:val="single"/>
        </w:rPr>
      </w:pPr>
    </w:p>
    <w:p w:rsidR="00865BC0" w:rsidRPr="00D050E9" w:rsidRDefault="00865BC0" w:rsidP="00865BC0">
      <w:pPr>
        <w:tabs>
          <w:tab w:val="left" w:pos="708"/>
          <w:tab w:val="left" w:pos="1416"/>
          <w:tab w:val="left" w:pos="2124"/>
          <w:tab w:val="left" w:pos="2832"/>
          <w:tab w:val="left" w:pos="3540"/>
          <w:tab w:val="left" w:pos="4248"/>
          <w:tab w:val="left" w:pos="4986"/>
        </w:tabs>
        <w:spacing w:before="20" w:line="276" w:lineRule="auto"/>
        <w:rPr>
          <w:rFonts w:asciiTheme="minorHAnsi" w:hAnsiTheme="minorHAnsi" w:cs="Arial"/>
          <w:i/>
          <w:sz w:val="20"/>
          <w:szCs w:val="20"/>
        </w:rPr>
      </w:pPr>
      <w:r w:rsidRPr="00D050E9">
        <w:rPr>
          <w:rFonts w:asciiTheme="minorHAnsi" w:hAnsiTheme="minorHAnsi" w:cs="Arial"/>
          <w:b/>
          <w:i/>
          <w:u w:val="single"/>
        </w:rPr>
        <w:t>Podpora električni energiji, proizvedeni iz obnovljivih virov energije in proizvedeni v obratih za soproizvodnjo toplote in električne energije</w:t>
      </w:r>
      <w:r w:rsidRPr="00D050E9">
        <w:rPr>
          <w:rFonts w:asciiTheme="minorHAnsi" w:hAnsiTheme="minorHAnsi" w:cs="Arial"/>
        </w:rPr>
        <w:t xml:space="preserve"> </w:t>
      </w:r>
      <w:r w:rsidRPr="00D050E9">
        <w:rPr>
          <w:rFonts w:asciiTheme="minorHAnsi" w:hAnsiTheme="minorHAnsi" w:cs="Arial"/>
          <w:i/>
          <w:sz w:val="20"/>
          <w:szCs w:val="20"/>
        </w:rPr>
        <w:t>(0001-5715334-2005)</w:t>
      </w:r>
    </w:p>
    <w:tbl>
      <w:tblPr>
        <w:tblStyle w:val="MediumGrid2-Accent5"/>
        <w:tblW w:w="9168" w:type="dxa"/>
        <w:tblBorders>
          <w:top w:val="single" w:sz="8" w:space="0" w:color="A7BFDE"/>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1133"/>
        <w:gridCol w:w="4780"/>
        <w:gridCol w:w="1274"/>
        <w:gridCol w:w="1981"/>
      </w:tblGrid>
      <w:tr w:rsidR="00865BC0"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33" w:type="dxa"/>
            <w:tcBorders>
              <w:top w:val="none" w:sz="0" w:space="0" w:color="auto"/>
              <w:bottom w:val="none" w:sz="0" w:space="0" w:color="auto"/>
              <w:right w:val="none" w:sz="0" w:space="0" w:color="auto"/>
            </w:tcBorders>
            <w:vAlign w:val="center"/>
            <w:hideMark/>
          </w:tcPr>
          <w:p w:rsidR="00865BC0" w:rsidRPr="00D050E9" w:rsidRDefault="00865BC0" w:rsidP="00A720EA">
            <w:pPr>
              <w:spacing w:line="276" w:lineRule="auto"/>
              <w:jc w:val="center"/>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Priglasitelj</w:t>
            </w:r>
          </w:p>
        </w:tc>
        <w:tc>
          <w:tcPr>
            <w:tcW w:w="4780" w:type="dxa"/>
            <w:tcBorders>
              <w:bottom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Namen</w:t>
            </w:r>
          </w:p>
        </w:tc>
        <w:tc>
          <w:tcPr>
            <w:tcW w:w="1274" w:type="dxa"/>
            <w:tcBorders>
              <w:bottom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Instrument</w:t>
            </w:r>
          </w:p>
        </w:tc>
        <w:tc>
          <w:tcPr>
            <w:tcW w:w="1981" w:type="dxa"/>
            <w:tcBorders>
              <w:bottom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Skupaj 2015–2017</w:t>
            </w: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3" w:type="dxa"/>
            <w:vMerge w:val="restart"/>
            <w:tcBorders>
              <w:bottom w:val="none" w:sz="0" w:space="0" w:color="auto"/>
              <w:right w:val="none" w:sz="0" w:space="0" w:color="auto"/>
            </w:tcBorders>
            <w:vAlign w:val="center"/>
            <w:hideMark/>
          </w:tcPr>
          <w:p w:rsidR="00865BC0" w:rsidRPr="00D050E9" w:rsidRDefault="00865BC0"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MZI</w:t>
            </w:r>
          </w:p>
        </w:tc>
        <w:tc>
          <w:tcPr>
            <w:tcW w:w="4780" w:type="dxa"/>
            <w:tcBorders>
              <w:left w:val="none" w:sz="0" w:space="0" w:color="auto"/>
              <w:right w:val="none" w:sz="0" w:space="0" w:color="auto"/>
            </w:tcBorders>
            <w:shd w:val="clear" w:color="auto" w:fill="A7BFDE"/>
            <w:vAlign w:val="center"/>
            <w:hideMark/>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tekoče poslovanje (obnovljivi viri energije)</w:t>
            </w:r>
          </w:p>
        </w:tc>
        <w:tc>
          <w:tcPr>
            <w:tcW w:w="1274" w:type="dxa"/>
            <w:vMerge w:val="restart"/>
            <w:tcBorders>
              <w:left w:val="none" w:sz="0" w:space="0" w:color="auto"/>
              <w:right w:val="none" w:sz="0" w:space="0" w:color="auto"/>
            </w:tcBorders>
            <w:shd w:val="clear" w:color="auto" w:fill="A7BFDE"/>
            <w:vAlign w:val="center"/>
            <w:hideMark/>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Subvencije</w:t>
            </w:r>
          </w:p>
        </w:tc>
        <w:tc>
          <w:tcPr>
            <w:tcW w:w="1981" w:type="dxa"/>
            <w:tcBorders>
              <w:left w:val="none" w:sz="0" w:space="0" w:color="auto"/>
            </w:tcBorders>
            <w:shd w:val="clear" w:color="auto" w:fill="A7BFDE"/>
            <w:vAlign w:val="center"/>
            <w:hideMark/>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325.547.290,5</w:t>
            </w:r>
          </w:p>
        </w:tc>
      </w:tr>
      <w:tr w:rsidR="00865BC0"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33" w:type="dxa"/>
            <w:vMerge/>
            <w:tcBorders>
              <w:bottom w:val="single" w:sz="8" w:space="0" w:color="A7BFDE"/>
              <w:right w:val="none" w:sz="0" w:space="0" w:color="auto"/>
            </w:tcBorders>
            <w:vAlign w:val="center"/>
            <w:hideMark/>
          </w:tcPr>
          <w:p w:rsidR="00865BC0" w:rsidRPr="00D050E9" w:rsidRDefault="00865BC0" w:rsidP="00A720EA">
            <w:pPr>
              <w:spacing w:line="276" w:lineRule="auto"/>
              <w:rPr>
                <w:rFonts w:asciiTheme="minorHAnsi" w:hAnsiTheme="minorHAnsi" w:cs="Arial"/>
                <w:color w:val="auto"/>
                <w:sz w:val="18"/>
                <w:szCs w:val="18"/>
                <w:lang w:eastAsia="sl-SI"/>
              </w:rPr>
            </w:pPr>
          </w:p>
        </w:tc>
        <w:tc>
          <w:tcPr>
            <w:tcW w:w="4780" w:type="dxa"/>
            <w:shd w:val="clear" w:color="auto" w:fill="D3DFEE"/>
            <w:vAlign w:val="center"/>
            <w:hideMark/>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tekoče poslovanje (soproizvodnja)</w:t>
            </w:r>
          </w:p>
        </w:tc>
        <w:tc>
          <w:tcPr>
            <w:tcW w:w="1274" w:type="dxa"/>
            <w:vMerge/>
            <w:shd w:val="clear" w:color="auto" w:fill="D3DFEE"/>
            <w:vAlign w:val="center"/>
            <w:hideMark/>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981" w:type="dxa"/>
            <w:shd w:val="clear" w:color="auto" w:fill="D3DFEE"/>
            <w:vAlign w:val="center"/>
            <w:hideMark/>
          </w:tcPr>
          <w:p w:rsidR="00865BC0" w:rsidRPr="00D050E9" w:rsidRDefault="00865BC0"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80.147.769,84</w:t>
            </w: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3" w:type="dxa"/>
            <w:tcBorders>
              <w:right w:val="none" w:sz="0" w:space="0" w:color="auto"/>
            </w:tcBorders>
            <w:vAlign w:val="center"/>
          </w:tcPr>
          <w:p w:rsidR="00865BC0" w:rsidRPr="00D050E9" w:rsidRDefault="00865BC0" w:rsidP="00A720EA">
            <w:pPr>
              <w:spacing w:line="276" w:lineRule="auto"/>
              <w:rPr>
                <w:rFonts w:asciiTheme="minorHAnsi" w:hAnsiTheme="minorHAnsi" w:cs="Arial"/>
                <w:color w:val="auto"/>
                <w:sz w:val="18"/>
                <w:szCs w:val="18"/>
                <w:lang w:eastAsia="sl-SI"/>
              </w:rPr>
            </w:pPr>
          </w:p>
        </w:tc>
        <w:tc>
          <w:tcPr>
            <w:tcW w:w="4780" w:type="dxa"/>
            <w:tcBorders>
              <w:left w:val="none" w:sz="0" w:space="0" w:color="auto"/>
              <w:right w:val="none" w:sz="0" w:space="0" w:color="auto"/>
            </w:tcBorders>
            <w:shd w:val="clear" w:color="auto" w:fill="A7BFD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SKUPAJ</w:t>
            </w:r>
          </w:p>
        </w:tc>
        <w:tc>
          <w:tcPr>
            <w:tcW w:w="1274" w:type="dxa"/>
            <w:tcBorders>
              <w:left w:val="none" w:sz="0" w:space="0" w:color="auto"/>
              <w:right w:val="none" w:sz="0" w:space="0" w:color="auto"/>
            </w:tcBorders>
            <w:shd w:val="clear" w:color="auto" w:fill="A7BFD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p>
        </w:tc>
        <w:tc>
          <w:tcPr>
            <w:tcW w:w="1981" w:type="dxa"/>
            <w:tcBorders>
              <w:left w:val="none" w:sz="0" w:space="0" w:color="auto"/>
            </w:tcBorders>
            <w:shd w:val="clear" w:color="auto" w:fill="A7BFDE"/>
            <w:vAlign w:val="center"/>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405.695.060,4</w:t>
            </w:r>
          </w:p>
        </w:tc>
      </w:tr>
    </w:tbl>
    <w:p w:rsidR="000660B2" w:rsidRPr="00D050E9" w:rsidRDefault="000660B2" w:rsidP="000660B2">
      <w:pPr>
        <w:spacing w:after="0" w:line="276" w:lineRule="auto"/>
        <w:rPr>
          <w:rFonts w:asciiTheme="minorHAnsi" w:hAnsiTheme="minorHAnsi" w:cs="Arial"/>
        </w:rPr>
      </w:pPr>
    </w:p>
    <w:p w:rsidR="00865BC0" w:rsidRPr="00D050E9" w:rsidRDefault="00865BC0" w:rsidP="00865BC0">
      <w:pPr>
        <w:spacing w:line="276" w:lineRule="auto"/>
        <w:rPr>
          <w:rFonts w:asciiTheme="minorHAnsi" w:hAnsiTheme="minorHAnsi" w:cs="Arial"/>
        </w:rPr>
      </w:pPr>
      <w:r w:rsidRPr="00D050E9">
        <w:rPr>
          <w:rFonts w:asciiTheme="minorHAnsi" w:hAnsiTheme="minorHAnsi" w:cs="Arial"/>
        </w:rPr>
        <w:t>Finančna podpora predstavlja subvencioniran odkup električne energije, proizvedene iz obnovljivih virov energije (v nadaljevanju: OVE) po vnaprej zagotovljeni odkupni ceni ali kot obratovalna podpora za tekoče poslovanje, ki pokrije razliko med proizvodno ceno električne energije iz obnovljivih virov energije in njeno tržno ceno. Do podpore je, v obdobju do 15 let, upravičena vsaka domača ali tuja pravna oseba, ki zgradi proizvodno napravo na OVE in oddaja električno energijo v omrežje ali jo porabi sama, ne glede na tehnologijo in vir obnovljive energije, vendar le, dokler je lastna cena proizvodnje električne energije iz obnovljivih virov višja od cene električne energije na trgu. Sredstva za podpore se zagotavljajo preko prispevka za zagotavljanje podpor proizvodnji električne energije iz OVE, ki ga kot del cene električne energije plačujejo končni odjemalci električne energije, fosilnih goriv in daljinske toplote za končno rabo.</w:t>
      </w:r>
    </w:p>
    <w:p w:rsidR="00865BC0" w:rsidRPr="00D050E9" w:rsidRDefault="00865BC0" w:rsidP="00865BC0">
      <w:pPr>
        <w:pStyle w:val="Default"/>
        <w:spacing w:line="276" w:lineRule="auto"/>
        <w:jc w:val="both"/>
        <w:rPr>
          <w:rFonts w:asciiTheme="minorHAnsi" w:hAnsiTheme="minorHAnsi" w:cs="Arial"/>
          <w:color w:val="auto"/>
          <w:sz w:val="22"/>
          <w:szCs w:val="22"/>
        </w:rPr>
      </w:pPr>
      <w:r w:rsidRPr="00D050E9">
        <w:rPr>
          <w:rFonts w:asciiTheme="minorHAnsi" w:hAnsiTheme="minorHAnsi" w:cs="Arial"/>
          <w:color w:val="auto"/>
          <w:sz w:val="22"/>
          <w:szCs w:val="22"/>
        </w:rPr>
        <w:t>Cilji sheme do leta 2020 so:</w:t>
      </w:r>
    </w:p>
    <w:p w:rsidR="00865BC0" w:rsidRPr="00D050E9" w:rsidRDefault="00865BC0"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rPr>
      </w:pPr>
      <w:r w:rsidRPr="00D050E9">
        <w:rPr>
          <w:rFonts w:asciiTheme="minorHAnsi" w:hAnsiTheme="minorHAnsi" w:cs="Arial"/>
        </w:rPr>
        <w:t xml:space="preserve">25 % delež OVE v bruto končni rabi energije, </w:t>
      </w:r>
    </w:p>
    <w:p w:rsidR="00865BC0" w:rsidRPr="00D050E9" w:rsidRDefault="00865BC0"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rPr>
      </w:pPr>
      <w:r w:rsidRPr="00D050E9">
        <w:rPr>
          <w:rFonts w:asciiTheme="minorHAnsi" w:hAnsiTheme="minorHAnsi" w:cs="Arial"/>
        </w:rPr>
        <w:t xml:space="preserve">39,3% delež porabe električne energije iz OVE v bruto končni rabi energije, </w:t>
      </w:r>
    </w:p>
    <w:p w:rsidR="00865BC0" w:rsidRPr="00D050E9" w:rsidRDefault="00865BC0"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rPr>
      </w:pPr>
      <w:r w:rsidRPr="00D050E9">
        <w:rPr>
          <w:rFonts w:asciiTheme="minorHAnsi" w:hAnsiTheme="minorHAnsi" w:cs="Arial"/>
        </w:rPr>
        <w:t>v obdobju 2010-2020 povečanje skupne proizvodnje električne energije iz OVE za 36 % oz. v povprečju 3,6 % na leto.</w:t>
      </w:r>
    </w:p>
    <w:p w:rsidR="00865BC0" w:rsidRPr="00D050E9" w:rsidRDefault="00865BC0" w:rsidP="00865BC0">
      <w:pPr>
        <w:pStyle w:val="Default"/>
        <w:spacing w:line="276" w:lineRule="auto"/>
        <w:rPr>
          <w:rFonts w:asciiTheme="minorHAnsi" w:hAnsiTheme="minorHAnsi" w:cs="Arial"/>
          <w:color w:val="auto"/>
          <w:sz w:val="22"/>
          <w:szCs w:val="22"/>
          <w:highlight w:val="yellow"/>
        </w:rPr>
      </w:pPr>
    </w:p>
    <w:p w:rsidR="00865BC0" w:rsidRPr="00D050E9" w:rsidRDefault="00865BC0" w:rsidP="00865BC0">
      <w:pPr>
        <w:spacing w:line="276" w:lineRule="auto"/>
        <w:rPr>
          <w:rFonts w:asciiTheme="minorHAnsi" w:hAnsiTheme="minorHAnsi" w:cs="Arial"/>
        </w:rPr>
      </w:pPr>
      <w:r w:rsidRPr="00D050E9">
        <w:rPr>
          <w:rFonts w:asciiTheme="minorHAnsi" w:hAnsiTheme="minorHAnsi" w:cs="Arial"/>
        </w:rPr>
        <w:t>V letu 2017 je bilo skupaj subvencioniranih 944,9 GWh električne energije iz obnovljivih virov in visoko učinkovite soproizvodnje toplote in električne energije, kar je 5,8 % manj kot leta 2016. Porast je opazen na segmentu elektrarn na lesno biomaso, kjer se je proizvodnja električne energije v letu 2017 glede na leto 2016 povečala za 9 % in iz sončnih elektrarn, kjer je bilo evidentirano povečanje proizvodnje za 7 %. Na drugi strani je bila za 26 % manjša proizvodnja iz hidroelektrarn in za 16 % manjša proizvodnja iz elektrarn SPTE na fosilna goriva.</w:t>
      </w:r>
    </w:p>
    <w:p w:rsidR="00865BC0" w:rsidRPr="00D050E9" w:rsidRDefault="00865BC0" w:rsidP="00865BC0">
      <w:pPr>
        <w:spacing w:line="276" w:lineRule="auto"/>
        <w:rPr>
          <w:rFonts w:asciiTheme="minorHAnsi" w:hAnsiTheme="minorHAnsi" w:cs="Arial"/>
        </w:rPr>
      </w:pPr>
      <w:r w:rsidRPr="00D050E9">
        <w:rPr>
          <w:rFonts w:asciiTheme="minorHAnsi" w:hAnsiTheme="minorHAnsi" w:cs="Arial"/>
        </w:rPr>
        <w:t xml:space="preserve">Povprečna izplačana državna pomoč na enoto subvencionirane proizvodnje električne energije iz OVE in SPTE je v letu 2017 znašala 151,9 EUR/MWh, kar je dobre 4 % več kot leta 2016. Razlog je višja proizvodnja iz sončnih elekrarn zaradi ugodnejših vremenskih razmer, ki so dražji vir. </w:t>
      </w:r>
      <w:r w:rsidRPr="00D050E9">
        <w:rPr>
          <w:rFonts w:asciiTheme="minorHAnsi" w:hAnsiTheme="minorHAnsi" w:cs="Arial"/>
          <w:b/>
          <w:i/>
        </w:rPr>
        <w:t>Učinkovitost izplačevanja državne pomoči za podpore subvencionirane proizvodnje električne energije iz obnovljivih virov in visoko učinkoviti soproizvodnji toplote in električne energije je v letu 2017 ocenjena kot dobra (ocena 3 izmed 1-5).</w:t>
      </w:r>
      <w:r w:rsidRPr="00D050E9">
        <w:rPr>
          <w:rFonts w:asciiTheme="minorHAnsi" w:hAnsiTheme="minorHAnsi" w:cs="Arial"/>
        </w:rPr>
        <w:t xml:space="preserve"> Učinkovitost delovanja sheme v letu 2017 je sicer slabša kot v letu 2016, saj so se povprečni stroški za podpore na enoto proizvedene električne energije v obdobju enega leta povišali za 4 %. </w:t>
      </w:r>
    </w:p>
    <w:p w:rsidR="00EB5110" w:rsidRPr="00D050E9" w:rsidRDefault="00EB5110" w:rsidP="00EB5110">
      <w:pPr>
        <w:spacing w:after="0" w:line="276" w:lineRule="auto"/>
        <w:rPr>
          <w:rFonts w:asciiTheme="minorHAnsi" w:hAnsiTheme="minorHAnsi" w:cs="Arial"/>
        </w:rPr>
      </w:pPr>
    </w:p>
    <w:p w:rsidR="00865BC0" w:rsidRPr="00D050E9" w:rsidRDefault="00865BC0" w:rsidP="00865BC0">
      <w:pPr>
        <w:spacing w:line="276" w:lineRule="auto"/>
        <w:rPr>
          <w:rFonts w:asciiTheme="minorHAnsi" w:hAnsiTheme="minorHAnsi" w:cs="Arial"/>
          <w:sz w:val="20"/>
          <w:szCs w:val="20"/>
        </w:rPr>
      </w:pPr>
      <w:r w:rsidRPr="00D050E9">
        <w:rPr>
          <w:rFonts w:asciiTheme="minorHAnsi" w:hAnsiTheme="minorHAnsi" w:cs="Arial"/>
          <w:b/>
          <w:i/>
          <w:u w:val="single"/>
        </w:rPr>
        <w:t>Podpora električni energiji, proizvedeni iz obnovljivih virov energije in v soproizvodnji ter podpore elektro-intenzivnim podjetjem v obliki znižanih prispevkov v podporno shemo</w:t>
      </w:r>
      <w:r w:rsidR="00CC2F87">
        <w:rPr>
          <w:rFonts w:asciiTheme="minorHAnsi" w:hAnsiTheme="minorHAnsi" w:cs="Arial"/>
          <w:sz w:val="20"/>
          <w:szCs w:val="20"/>
        </w:rPr>
        <w:t xml:space="preserve"> (0001-2399270-2015) -</w:t>
      </w:r>
      <w:r w:rsidRPr="00D050E9">
        <w:rPr>
          <w:rFonts w:asciiTheme="minorHAnsi" w:hAnsiTheme="minorHAnsi" w:cs="Arial"/>
          <w:sz w:val="20"/>
          <w:szCs w:val="20"/>
        </w:rPr>
        <w:t xml:space="preserve"> prenovljena shema</w:t>
      </w:r>
    </w:p>
    <w:p w:rsidR="001F2E50" w:rsidRPr="00D050E9" w:rsidRDefault="001F2E50" w:rsidP="001F2E50">
      <w:pPr>
        <w:spacing w:after="0" w:line="276" w:lineRule="auto"/>
        <w:rPr>
          <w:rFonts w:asciiTheme="minorHAnsi" w:hAnsiTheme="minorHAnsi" w:cs="Arial"/>
          <w:sz w:val="20"/>
          <w:szCs w:val="20"/>
        </w:rPr>
      </w:pPr>
    </w:p>
    <w:tbl>
      <w:tblPr>
        <w:tblStyle w:val="MediumGrid2-Accent5"/>
        <w:tblW w:w="9168" w:type="dxa"/>
        <w:tblBorders>
          <w:top w:val="single" w:sz="8" w:space="0" w:color="A7BFDE"/>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1133"/>
        <w:gridCol w:w="4645"/>
        <w:gridCol w:w="1409"/>
        <w:gridCol w:w="1981"/>
      </w:tblGrid>
      <w:tr w:rsidR="00865BC0"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33" w:type="dxa"/>
            <w:tcBorders>
              <w:top w:val="none" w:sz="0" w:space="0" w:color="auto"/>
              <w:bottom w:val="none" w:sz="0" w:space="0" w:color="auto"/>
              <w:right w:val="none" w:sz="0" w:space="0" w:color="auto"/>
            </w:tcBorders>
            <w:vAlign w:val="center"/>
            <w:hideMark/>
          </w:tcPr>
          <w:p w:rsidR="00865BC0" w:rsidRPr="00D050E9" w:rsidRDefault="00865BC0" w:rsidP="00A720EA">
            <w:pPr>
              <w:spacing w:line="276" w:lineRule="auto"/>
              <w:jc w:val="center"/>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Priglasitelj</w:t>
            </w:r>
          </w:p>
        </w:tc>
        <w:tc>
          <w:tcPr>
            <w:tcW w:w="4645" w:type="dxa"/>
            <w:tcBorders>
              <w:bottom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Namen</w:t>
            </w:r>
          </w:p>
        </w:tc>
        <w:tc>
          <w:tcPr>
            <w:tcW w:w="1409" w:type="dxa"/>
            <w:tcBorders>
              <w:bottom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Instrument</w:t>
            </w:r>
          </w:p>
        </w:tc>
        <w:tc>
          <w:tcPr>
            <w:tcW w:w="1981" w:type="dxa"/>
            <w:tcBorders>
              <w:bottom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bCs w:val="0"/>
                <w:color w:val="auto"/>
                <w:sz w:val="18"/>
                <w:szCs w:val="18"/>
                <w:lang w:eastAsia="sl-SI"/>
              </w:rPr>
              <w:t>Skupaj 2015–2017</w:t>
            </w: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3" w:type="dxa"/>
            <w:vMerge w:val="restart"/>
            <w:tcBorders>
              <w:bottom w:val="none" w:sz="0" w:space="0" w:color="auto"/>
              <w:right w:val="none" w:sz="0" w:space="0" w:color="auto"/>
            </w:tcBorders>
            <w:vAlign w:val="center"/>
            <w:hideMark/>
          </w:tcPr>
          <w:p w:rsidR="00865BC0" w:rsidRPr="00D050E9" w:rsidRDefault="00865BC0"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MZI</w:t>
            </w:r>
          </w:p>
        </w:tc>
        <w:tc>
          <w:tcPr>
            <w:tcW w:w="4645" w:type="dxa"/>
            <w:tcBorders>
              <w:left w:val="none" w:sz="0" w:space="0" w:color="auto"/>
              <w:right w:val="none" w:sz="0" w:space="0" w:color="auto"/>
            </w:tcBorders>
            <w:shd w:val="clear" w:color="auto" w:fill="A7BFDE"/>
            <w:vAlign w:val="center"/>
            <w:hideMark/>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tekoče poslovanje (obnovljivi viri energije)</w:t>
            </w:r>
          </w:p>
        </w:tc>
        <w:tc>
          <w:tcPr>
            <w:tcW w:w="1409" w:type="dxa"/>
            <w:vMerge w:val="restart"/>
            <w:tcBorders>
              <w:left w:val="none" w:sz="0" w:space="0" w:color="auto"/>
              <w:right w:val="none" w:sz="0" w:space="0" w:color="auto"/>
            </w:tcBorders>
            <w:shd w:val="clear" w:color="auto" w:fill="A7BFDE"/>
            <w:vAlign w:val="center"/>
            <w:hideMark/>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Subvencije</w:t>
            </w:r>
          </w:p>
        </w:tc>
        <w:tc>
          <w:tcPr>
            <w:tcW w:w="1981" w:type="dxa"/>
            <w:tcBorders>
              <w:left w:val="none" w:sz="0" w:space="0" w:color="auto"/>
            </w:tcBorders>
            <w:shd w:val="clear" w:color="auto" w:fill="A7BFDE"/>
            <w:vAlign w:val="center"/>
            <w:hideMark/>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287.955,87</w:t>
            </w:r>
          </w:p>
        </w:tc>
      </w:tr>
      <w:tr w:rsidR="00865BC0"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33" w:type="dxa"/>
            <w:vMerge/>
            <w:tcBorders>
              <w:bottom w:val="single" w:sz="8" w:space="0" w:color="A7BFDE"/>
              <w:right w:val="none" w:sz="0" w:space="0" w:color="auto"/>
            </w:tcBorders>
            <w:vAlign w:val="center"/>
            <w:hideMark/>
          </w:tcPr>
          <w:p w:rsidR="00865BC0" w:rsidRPr="00D050E9" w:rsidRDefault="00865BC0" w:rsidP="00A720EA">
            <w:pPr>
              <w:spacing w:line="276" w:lineRule="auto"/>
              <w:rPr>
                <w:rFonts w:asciiTheme="minorHAnsi" w:hAnsiTheme="minorHAnsi" w:cs="Arial"/>
                <w:color w:val="auto"/>
                <w:sz w:val="18"/>
                <w:szCs w:val="18"/>
                <w:lang w:eastAsia="sl-SI"/>
              </w:rPr>
            </w:pPr>
          </w:p>
        </w:tc>
        <w:tc>
          <w:tcPr>
            <w:tcW w:w="4645" w:type="dxa"/>
            <w:shd w:val="clear" w:color="auto" w:fill="D3DFEE"/>
            <w:vAlign w:val="center"/>
            <w:hideMark/>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tekoče poslovanje (soproizvodnja)</w:t>
            </w:r>
          </w:p>
        </w:tc>
        <w:tc>
          <w:tcPr>
            <w:tcW w:w="1409" w:type="dxa"/>
            <w:vMerge/>
            <w:shd w:val="clear" w:color="auto" w:fill="D3DFEE"/>
            <w:vAlign w:val="center"/>
            <w:hideMark/>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981" w:type="dxa"/>
            <w:shd w:val="clear" w:color="auto" w:fill="D3DFEE"/>
            <w:vAlign w:val="center"/>
            <w:hideMark/>
          </w:tcPr>
          <w:p w:rsidR="00865BC0" w:rsidRPr="00D050E9" w:rsidRDefault="00865BC0"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3" w:type="dxa"/>
            <w:tcBorders>
              <w:bottom w:val="single" w:sz="8" w:space="0" w:color="A7BFDE"/>
            </w:tcBorders>
            <w:vAlign w:val="center"/>
          </w:tcPr>
          <w:p w:rsidR="00865BC0" w:rsidRPr="00D050E9" w:rsidRDefault="00865BC0" w:rsidP="00A720EA">
            <w:pPr>
              <w:spacing w:line="276" w:lineRule="auto"/>
              <w:rPr>
                <w:rFonts w:asciiTheme="minorHAnsi" w:hAnsiTheme="minorHAnsi" w:cs="Arial"/>
                <w:sz w:val="18"/>
                <w:szCs w:val="18"/>
                <w:lang w:eastAsia="sl-SI"/>
              </w:rPr>
            </w:pPr>
          </w:p>
        </w:tc>
        <w:tc>
          <w:tcPr>
            <w:tcW w:w="4645" w:type="dxa"/>
            <w:shd w:val="clear" w:color="auto" w:fill="D3DFE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Znižanje okoljskih davkov (v obliki znižanega prispevka OVE)</w:t>
            </w:r>
          </w:p>
        </w:tc>
        <w:tc>
          <w:tcPr>
            <w:tcW w:w="1409" w:type="dxa"/>
            <w:shd w:val="clear" w:color="auto" w:fill="D3DFE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Davčne olajšave</w:t>
            </w:r>
          </w:p>
        </w:tc>
        <w:tc>
          <w:tcPr>
            <w:tcW w:w="1981" w:type="dxa"/>
            <w:shd w:val="clear" w:color="auto" w:fill="D3DFEE"/>
            <w:vAlign w:val="center"/>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53.216.415,75</w:t>
            </w:r>
          </w:p>
        </w:tc>
      </w:tr>
      <w:tr w:rsidR="00865BC0"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33" w:type="dxa"/>
            <w:tcBorders>
              <w:right w:val="none" w:sz="0" w:space="0" w:color="auto"/>
            </w:tcBorders>
            <w:vAlign w:val="center"/>
          </w:tcPr>
          <w:p w:rsidR="00865BC0" w:rsidRPr="00D050E9" w:rsidRDefault="00865BC0" w:rsidP="00A720EA">
            <w:pPr>
              <w:spacing w:line="276" w:lineRule="auto"/>
              <w:rPr>
                <w:rFonts w:asciiTheme="minorHAnsi" w:hAnsiTheme="minorHAnsi" w:cs="Arial"/>
                <w:color w:val="auto"/>
                <w:sz w:val="18"/>
                <w:szCs w:val="18"/>
                <w:lang w:eastAsia="sl-SI"/>
              </w:rPr>
            </w:pPr>
          </w:p>
        </w:tc>
        <w:tc>
          <w:tcPr>
            <w:tcW w:w="4645" w:type="dxa"/>
            <w:shd w:val="clear" w:color="auto" w:fill="A7BFDE"/>
            <w:vAlign w:val="center"/>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SKUPAJ</w:t>
            </w:r>
          </w:p>
        </w:tc>
        <w:tc>
          <w:tcPr>
            <w:tcW w:w="1409" w:type="dxa"/>
            <w:shd w:val="clear" w:color="auto" w:fill="A7BFDE"/>
            <w:vAlign w:val="center"/>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981" w:type="dxa"/>
            <w:shd w:val="clear" w:color="auto" w:fill="A7BFDE"/>
            <w:vAlign w:val="center"/>
          </w:tcPr>
          <w:p w:rsidR="00865BC0" w:rsidRPr="00D050E9" w:rsidRDefault="00865BC0"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53.504.371,62</w:t>
            </w:r>
          </w:p>
        </w:tc>
      </w:tr>
    </w:tbl>
    <w:p w:rsidR="00865BC0" w:rsidRPr="00D050E9" w:rsidRDefault="00865BC0" w:rsidP="00EB5110">
      <w:pPr>
        <w:spacing w:after="0" w:line="276" w:lineRule="auto"/>
        <w:rPr>
          <w:rFonts w:asciiTheme="minorHAnsi" w:hAnsiTheme="minorHAnsi" w:cs="Arial"/>
          <w:b/>
        </w:rPr>
      </w:pPr>
    </w:p>
    <w:p w:rsidR="00865BC0" w:rsidRPr="00D050E9" w:rsidRDefault="00865BC0" w:rsidP="00865BC0">
      <w:pPr>
        <w:spacing w:line="276" w:lineRule="auto"/>
        <w:rPr>
          <w:rFonts w:asciiTheme="minorHAnsi" w:eastAsia="Times New Roman" w:hAnsiTheme="minorHAnsi" w:cs="Calibri"/>
          <w:color w:val="000000"/>
          <w:szCs w:val="18"/>
          <w:lang w:eastAsia="sl-SI"/>
        </w:rPr>
      </w:pPr>
      <w:r w:rsidRPr="00D050E9">
        <w:rPr>
          <w:rFonts w:asciiTheme="minorHAnsi" w:eastAsia="Times New Roman" w:hAnsiTheme="minorHAnsi" w:cs="Calibri"/>
          <w:color w:val="000000"/>
          <w:szCs w:val="18"/>
          <w:lang w:eastAsia="sl-SI"/>
        </w:rPr>
        <w:t xml:space="preserve">Podporna shema je prenovljena shema podpor proizvajalcem električne energije iz obnovljivih virov energije in soproizvodnje toplote in elektrike z visokim izkoristkom, sočasno s prenovo sheme je bila uvedena olajšava </w:t>
      </w:r>
      <w:r w:rsidR="004B086B" w:rsidRPr="00D050E9">
        <w:rPr>
          <w:rFonts w:asciiTheme="minorHAnsi" w:eastAsia="Times New Roman" w:hAnsiTheme="minorHAnsi" w:cs="Calibri"/>
          <w:color w:val="000000"/>
          <w:szCs w:val="18"/>
          <w:lang w:eastAsia="sl-SI"/>
        </w:rPr>
        <w:t xml:space="preserve">za elektro intenzivna podjetja. </w:t>
      </w:r>
    </w:p>
    <w:p w:rsidR="00865BC0" w:rsidRPr="00D050E9" w:rsidRDefault="00865BC0" w:rsidP="00865BC0">
      <w:pPr>
        <w:spacing w:line="264" w:lineRule="auto"/>
        <w:rPr>
          <w:rFonts w:asciiTheme="minorHAnsi" w:eastAsia="Times New Roman" w:hAnsiTheme="minorHAnsi" w:cs="Calibri"/>
        </w:rPr>
      </w:pPr>
      <w:r w:rsidRPr="00D050E9">
        <w:rPr>
          <w:rFonts w:asciiTheme="minorHAnsi" w:eastAsia="Times New Roman" w:hAnsiTheme="minorHAnsi" w:cs="Calibri"/>
        </w:rPr>
        <w:t xml:space="preserve">V letu 2017 je bil dosežen naslednji rezultat glede na kazalnik v zvezi z znižanjem prispevkov OVE: </w:t>
      </w:r>
    </w:p>
    <w:p w:rsidR="00865BC0" w:rsidRPr="00D050E9" w:rsidRDefault="00865BC0" w:rsidP="004B086B">
      <w:pPr>
        <w:numPr>
          <w:ilvl w:val="0"/>
          <w:numId w:val="19"/>
        </w:numPr>
        <w:spacing w:after="0" w:line="264" w:lineRule="auto"/>
        <w:ind w:left="714" w:hanging="357"/>
        <w:rPr>
          <w:rFonts w:asciiTheme="minorHAnsi" w:eastAsia="Times New Roman" w:hAnsiTheme="minorHAnsi" w:cs="Calibri"/>
        </w:rPr>
      </w:pPr>
      <w:r w:rsidRPr="00D050E9">
        <w:rPr>
          <w:rFonts w:asciiTheme="minorHAnsi" w:eastAsia="Times New Roman" w:hAnsiTheme="minorHAnsi" w:cs="Calibri"/>
        </w:rPr>
        <w:t>Skupno znižanje prispevkov OVE za upravičena elektro-intenzivna podjetja je znašalo  22.861.914,30 EUR, kar je zneslo glede na ocenjeno in  priglašeno skupno letno pomoč v višini 48,5 mio EUR 47,14 %.</w:t>
      </w:r>
    </w:p>
    <w:p w:rsidR="00865BC0" w:rsidRPr="00D050E9" w:rsidRDefault="00865BC0" w:rsidP="00C93FA7">
      <w:pPr>
        <w:numPr>
          <w:ilvl w:val="0"/>
          <w:numId w:val="19"/>
        </w:numPr>
        <w:spacing w:after="0" w:line="264" w:lineRule="auto"/>
        <w:rPr>
          <w:rFonts w:asciiTheme="minorHAnsi" w:eastAsia="Times New Roman" w:hAnsiTheme="minorHAnsi" w:cs="Calibri"/>
        </w:rPr>
      </w:pPr>
      <w:r w:rsidRPr="00D050E9">
        <w:rPr>
          <w:rFonts w:asciiTheme="minorHAnsi" w:eastAsia="Times New Roman" w:hAnsiTheme="minorHAnsi" w:cs="Calibri"/>
        </w:rPr>
        <w:t xml:space="preserve">Komulativno so dosegle odobrene olajšave pri prispevku OVE (v obdobju 2015 do konca leta 2017)  53,2 mio EUR, kar je pomenilo 21,95 %  glede na 242,5 mio EUR (cilja iz  priglašene pomoči za celo obdobje odobritve do konca leta 2019). </w:t>
      </w:r>
    </w:p>
    <w:p w:rsidR="00865BC0" w:rsidRPr="00D050E9" w:rsidRDefault="00865BC0" w:rsidP="004B086B">
      <w:pPr>
        <w:spacing w:after="0" w:line="264" w:lineRule="auto"/>
        <w:rPr>
          <w:rFonts w:asciiTheme="minorHAnsi" w:eastAsia="Times New Roman" w:hAnsiTheme="minorHAnsi" w:cs="Calibri"/>
          <w:color w:val="C0504D"/>
          <w:sz w:val="20"/>
          <w:szCs w:val="24"/>
          <w:highlight w:val="yellow"/>
        </w:rPr>
      </w:pPr>
    </w:p>
    <w:p w:rsidR="00865BC0" w:rsidRPr="00D050E9" w:rsidRDefault="00865BC0" w:rsidP="00865BC0">
      <w:pPr>
        <w:spacing w:line="264" w:lineRule="auto"/>
        <w:rPr>
          <w:rFonts w:asciiTheme="minorHAnsi" w:eastAsia="Times New Roman" w:hAnsiTheme="minorHAnsi" w:cs="Calibri"/>
          <w:b/>
          <w:color w:val="FF0000"/>
          <w:szCs w:val="24"/>
        </w:rPr>
      </w:pPr>
      <w:r w:rsidRPr="00D050E9">
        <w:rPr>
          <w:rFonts w:asciiTheme="minorHAnsi" w:eastAsia="Times New Roman" w:hAnsiTheme="minorHAnsi" w:cs="Calibri"/>
        </w:rPr>
        <w:t xml:space="preserve">V letu 2017 je bilo zagotovljenih </w:t>
      </w:r>
      <w:r w:rsidR="002F54A6" w:rsidRPr="00D050E9">
        <w:rPr>
          <w:rFonts w:asciiTheme="minorHAnsi" w:eastAsia="Times New Roman" w:hAnsiTheme="minorHAnsi" w:cs="Calibri"/>
        </w:rPr>
        <w:t xml:space="preserve">za slabih 0,5 mio EUR manj </w:t>
      </w:r>
      <w:r w:rsidRPr="00D050E9">
        <w:rPr>
          <w:rFonts w:asciiTheme="minorHAnsi" w:eastAsia="Times New Roman" w:hAnsiTheme="minorHAnsi" w:cs="Calibri"/>
        </w:rPr>
        <w:t>olajšav pri prispevkih OVE kot leta 2016, ker se je</w:t>
      </w:r>
      <w:r w:rsidR="002072EF">
        <w:rPr>
          <w:rFonts w:asciiTheme="minorHAnsi" w:eastAsia="Times New Roman" w:hAnsiTheme="minorHAnsi" w:cs="Calibri"/>
        </w:rPr>
        <w:t xml:space="preserve"> spremenilo število zavezancev </w:t>
      </w:r>
      <w:r w:rsidRPr="00D050E9">
        <w:rPr>
          <w:rFonts w:asciiTheme="minorHAnsi" w:eastAsia="Times New Roman" w:hAnsiTheme="minorHAnsi" w:cs="Calibri"/>
        </w:rPr>
        <w:t xml:space="preserve">z 75 na 73, zaradi neizpolnjevanja pogojev za odobritev olajšave. </w:t>
      </w:r>
    </w:p>
    <w:p w:rsidR="00865BC0" w:rsidRPr="00D050E9" w:rsidRDefault="00865BC0" w:rsidP="00865BC0">
      <w:pPr>
        <w:spacing w:line="264" w:lineRule="auto"/>
        <w:rPr>
          <w:rFonts w:asciiTheme="minorHAnsi" w:eastAsia="Times New Roman" w:hAnsiTheme="minorHAnsi" w:cs="Calibri"/>
          <w:b/>
          <w:i/>
          <w:szCs w:val="24"/>
        </w:rPr>
      </w:pPr>
      <w:r w:rsidRPr="00D050E9">
        <w:rPr>
          <w:rFonts w:asciiTheme="minorHAnsi" w:eastAsia="Times New Roman" w:hAnsiTheme="minorHAnsi" w:cs="Calibri"/>
          <w:b/>
          <w:i/>
          <w:szCs w:val="24"/>
        </w:rPr>
        <w:t>Učinkovitost izplačevanja državne pomoči v obliki znižanega prispevka OVE za obdobje 2015 do 2017 se ocenjuje kot odlično (ocena 5</w:t>
      </w:r>
      <w:r w:rsidR="00E91284">
        <w:rPr>
          <w:rFonts w:asciiTheme="minorHAnsi" w:eastAsia="Times New Roman" w:hAnsiTheme="minorHAnsi" w:cs="Calibri"/>
          <w:b/>
          <w:i/>
          <w:szCs w:val="24"/>
        </w:rPr>
        <w:t xml:space="preserve">; </w:t>
      </w:r>
      <w:r w:rsidR="002F54A6" w:rsidRPr="00D050E9">
        <w:rPr>
          <w:rFonts w:asciiTheme="minorHAnsi" w:eastAsia="Times New Roman" w:hAnsiTheme="minorHAnsi" w:cs="Calibri"/>
          <w:b/>
          <w:i/>
          <w:szCs w:val="24"/>
        </w:rPr>
        <w:t>ocene od 1-5</w:t>
      </w:r>
      <w:r w:rsidRPr="00D050E9">
        <w:rPr>
          <w:rFonts w:asciiTheme="minorHAnsi" w:eastAsia="Times New Roman" w:hAnsiTheme="minorHAnsi" w:cs="Calibri"/>
          <w:b/>
          <w:i/>
          <w:szCs w:val="24"/>
        </w:rPr>
        <w:t xml:space="preserve">). </w:t>
      </w:r>
    </w:p>
    <w:p w:rsidR="00865BC0" w:rsidRPr="00D050E9" w:rsidRDefault="00865BC0" w:rsidP="00865BC0">
      <w:pPr>
        <w:spacing w:line="264" w:lineRule="auto"/>
        <w:rPr>
          <w:rFonts w:asciiTheme="minorHAnsi" w:eastAsia="Times New Roman" w:hAnsiTheme="minorHAnsi" w:cs="Calibri"/>
          <w:szCs w:val="24"/>
        </w:rPr>
      </w:pPr>
      <w:r w:rsidRPr="00D050E9">
        <w:rPr>
          <w:rFonts w:asciiTheme="minorHAnsi" w:eastAsia="Times New Roman" w:hAnsiTheme="minorHAnsi" w:cs="Calibri"/>
          <w:szCs w:val="24"/>
        </w:rPr>
        <w:t>Gre za podporo, ki je bila uvedena na podlagi interesa elektro-intenzivnih podjetij, ki so izvozno naravnana in je njihova proizvodnja bila izpostavljena tveganjem za nekonkurenčnost, saj so bila konkurenčna podjetja v tujini v preteklosti upravičena do podobne oljašave, ki je  naša ureditev pred spremembo Energetskega zakona v letu 2014 ni omogočala.</w:t>
      </w:r>
    </w:p>
    <w:p w:rsidR="00865BC0" w:rsidRPr="00D050E9" w:rsidRDefault="00865BC0" w:rsidP="00865BC0">
      <w:pPr>
        <w:spacing w:line="264" w:lineRule="auto"/>
        <w:rPr>
          <w:rFonts w:asciiTheme="minorHAnsi" w:eastAsia="Times New Roman" w:hAnsiTheme="minorHAnsi" w:cs="Calibri"/>
          <w:szCs w:val="24"/>
        </w:rPr>
      </w:pPr>
      <w:r w:rsidRPr="00D050E9">
        <w:rPr>
          <w:rFonts w:asciiTheme="minorHAnsi" w:eastAsia="Times New Roman" w:hAnsiTheme="minorHAnsi" w:cs="Calibri"/>
          <w:szCs w:val="24"/>
        </w:rPr>
        <w:t xml:space="preserve">Shema deluje odlično, saj se vsako leto preveri izpolnjevanje pogojev in do podpore pridejo brez težav vsa podjetja, ki pogoje izpolnjujejo. </w:t>
      </w:r>
    </w:p>
    <w:p w:rsidR="004B086B" w:rsidRPr="00D050E9" w:rsidRDefault="004B086B" w:rsidP="00EB5110">
      <w:pPr>
        <w:spacing w:after="0" w:line="264" w:lineRule="auto"/>
        <w:rPr>
          <w:rFonts w:asciiTheme="minorHAnsi" w:eastAsia="Times New Roman" w:hAnsiTheme="minorHAnsi" w:cs="Calibri"/>
          <w:szCs w:val="24"/>
        </w:rPr>
      </w:pPr>
    </w:p>
    <w:p w:rsidR="00865BC0" w:rsidRPr="00D050E9" w:rsidRDefault="00865BC0" w:rsidP="00865BC0">
      <w:pPr>
        <w:spacing w:before="20" w:line="276" w:lineRule="auto"/>
        <w:rPr>
          <w:rFonts w:asciiTheme="minorHAnsi" w:hAnsiTheme="minorHAnsi" w:cs="Arial"/>
          <w:b/>
          <w:i/>
          <w:u w:val="single"/>
        </w:rPr>
      </w:pPr>
      <w:r w:rsidRPr="00D050E9">
        <w:rPr>
          <w:rFonts w:asciiTheme="minorHAnsi" w:hAnsiTheme="minorHAnsi" w:cs="Arial"/>
          <w:b/>
          <w:i/>
          <w:u w:val="single"/>
        </w:rPr>
        <w:t>Spodbujanje učinkovite rabe energije, daljinskega ogrevanja in rabe obnovljivih virov energije</w:t>
      </w:r>
      <w:r w:rsidRPr="00D050E9">
        <w:rPr>
          <w:rFonts w:asciiTheme="minorHAnsi" w:hAnsiTheme="minorHAnsi" w:cs="Arial"/>
          <w:sz w:val="20"/>
          <w:szCs w:val="20"/>
        </w:rPr>
        <w:t xml:space="preserve"> (BE01-2399270-2016)</w:t>
      </w:r>
      <w:r w:rsidRPr="00D050E9">
        <w:rPr>
          <w:rFonts w:asciiTheme="minorHAnsi" w:hAnsiTheme="minorHAnsi" w:cs="Arial"/>
        </w:rPr>
        <w:tab/>
      </w:r>
    </w:p>
    <w:tbl>
      <w:tblPr>
        <w:tblStyle w:val="MediumGrid2-Accent5"/>
        <w:tblW w:w="9072" w:type="dxa"/>
        <w:tblLayout w:type="fixed"/>
        <w:tblLook w:val="04A0" w:firstRow="1" w:lastRow="0" w:firstColumn="1" w:lastColumn="0" w:noHBand="0" w:noVBand="1"/>
      </w:tblPr>
      <w:tblGrid>
        <w:gridCol w:w="1134"/>
        <w:gridCol w:w="5070"/>
        <w:gridCol w:w="1134"/>
        <w:gridCol w:w="1734"/>
      </w:tblGrid>
      <w:tr w:rsidR="00865BC0"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34" w:type="dxa"/>
            <w:tcBorders>
              <w:bottom w:val="single" w:sz="8" w:space="0" w:color="A7BFDE"/>
              <w:right w:val="single" w:sz="8" w:space="0" w:color="A7BFDE"/>
            </w:tcBorders>
            <w:vAlign w:val="center"/>
            <w:hideMark/>
          </w:tcPr>
          <w:p w:rsidR="00865BC0" w:rsidRPr="00D050E9" w:rsidRDefault="00865BC0"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507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7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7BFDE"/>
              <w:bottom w:val="single" w:sz="8" w:space="0" w:color="A7BFDE"/>
              <w:right w:val="single" w:sz="8" w:space="0" w:color="A7BFDE"/>
            </w:tcBorders>
            <w:noWrap/>
            <w:vAlign w:val="center"/>
          </w:tcPr>
          <w:p w:rsidR="00865BC0" w:rsidRPr="00D050E9" w:rsidRDefault="00865BC0"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MZI</w:t>
            </w:r>
          </w:p>
        </w:tc>
        <w:tc>
          <w:tcPr>
            <w:tcW w:w="5070"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naložbe v energetsko učinkovito daljinsko ogrevanje in hlajenje</w:t>
            </w: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73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2.261.423,34</w:t>
            </w:r>
          </w:p>
        </w:tc>
      </w:tr>
    </w:tbl>
    <w:p w:rsidR="00865BC0" w:rsidRPr="00D050E9" w:rsidRDefault="00865BC0" w:rsidP="00865BC0">
      <w:pPr>
        <w:spacing w:line="276" w:lineRule="auto"/>
        <w:rPr>
          <w:rFonts w:asciiTheme="minorHAnsi" w:hAnsiTheme="minorHAnsi" w:cs="Arial"/>
        </w:rPr>
      </w:pPr>
    </w:p>
    <w:p w:rsidR="00865BC0" w:rsidRPr="00D050E9" w:rsidRDefault="00865BC0" w:rsidP="00865BC0">
      <w:pPr>
        <w:rPr>
          <w:rFonts w:asciiTheme="minorHAnsi" w:hAnsiTheme="minorHAnsi" w:cs="Arial"/>
          <w:szCs w:val="20"/>
        </w:rPr>
      </w:pPr>
      <w:r w:rsidRPr="00D050E9">
        <w:rPr>
          <w:rFonts w:asciiTheme="minorHAnsi" w:hAnsiTheme="minorHAnsi" w:cs="Arial"/>
          <w:szCs w:val="20"/>
        </w:rPr>
        <w:t>V letu 2017 je ministrstvo izvajalo dva javna razpisa na področju spodbujanja naložb v energetsko učinkovito daljinsko ogrevanje ali hlajenje – spodbujane energetske izrabe lesne biomase. Osnovni kazalnik pri izrabi lesne biomase je povečana proizvodnja (raba) obnovljivih virov energije (OVE).</w:t>
      </w:r>
    </w:p>
    <w:p w:rsidR="00865BC0" w:rsidRPr="00D050E9" w:rsidRDefault="00865BC0" w:rsidP="00865BC0">
      <w:pPr>
        <w:rPr>
          <w:rFonts w:asciiTheme="minorHAnsi" w:hAnsiTheme="minorHAnsi"/>
          <w:bCs/>
          <w:iCs/>
        </w:rPr>
      </w:pPr>
      <w:r w:rsidRPr="00D050E9">
        <w:rPr>
          <w:rFonts w:asciiTheme="minorHAnsi" w:hAnsiTheme="minorHAnsi" w:cs="Arial"/>
          <w:b/>
          <w:i/>
        </w:rPr>
        <w:t>Na osnovi izplačanih državnih pomoči iz zaključenih projektov je bila ocenjena uspešnost 59 %. Gre za prvo leto izvajanja po novi shemi, zato so zaključeni le manjši projekti, ki so specifično dražji od povprečnih oz. večjih. Na podlagi tega je ocenjeni učinek zadovoljiv.</w:t>
      </w:r>
    </w:p>
    <w:p w:rsidR="00865BC0" w:rsidRPr="00D050E9" w:rsidRDefault="00865BC0" w:rsidP="00EB5110">
      <w:pPr>
        <w:spacing w:after="0" w:line="276" w:lineRule="auto"/>
        <w:rPr>
          <w:rFonts w:asciiTheme="minorHAnsi" w:hAnsiTheme="minorHAnsi" w:cs="Arial"/>
          <w:b/>
          <w:i/>
          <w:u w:val="single"/>
        </w:rPr>
      </w:pPr>
    </w:p>
    <w:p w:rsidR="00865BC0" w:rsidRPr="00D050E9" w:rsidRDefault="00865BC0" w:rsidP="00865BC0">
      <w:pPr>
        <w:spacing w:line="276" w:lineRule="auto"/>
        <w:rPr>
          <w:rFonts w:asciiTheme="minorHAnsi" w:hAnsiTheme="minorHAnsi" w:cs="Arial"/>
          <w:sz w:val="20"/>
          <w:szCs w:val="20"/>
        </w:rPr>
      </w:pPr>
      <w:r w:rsidRPr="00D050E9">
        <w:rPr>
          <w:rFonts w:asciiTheme="minorHAnsi" w:hAnsiTheme="minorHAnsi" w:cs="Arial"/>
          <w:b/>
          <w:i/>
          <w:u w:val="single"/>
        </w:rPr>
        <w:t xml:space="preserve">Oprostitev plačila okoljske dajatve za obremenjevanje okolja z emisijo ogljikovega dioksida </w:t>
      </w:r>
      <w:r w:rsidRPr="00D050E9">
        <w:rPr>
          <w:rFonts w:asciiTheme="minorHAnsi" w:hAnsiTheme="minorHAnsi" w:cs="Arial"/>
          <w:sz w:val="20"/>
          <w:szCs w:val="20"/>
        </w:rPr>
        <w:t xml:space="preserve"> (BE01-2399253-2013 in BE01-2482789-2015)</w:t>
      </w:r>
    </w:p>
    <w:p w:rsidR="00956D2C" w:rsidRPr="002F606A" w:rsidRDefault="00956D2C" w:rsidP="00956D2C">
      <w:pPr>
        <w:spacing w:line="276" w:lineRule="auto"/>
        <w:rPr>
          <w:rFonts w:asciiTheme="minorHAnsi" w:hAnsiTheme="minorHAnsi" w:cs="Arial"/>
        </w:rPr>
      </w:pPr>
      <w:r w:rsidRPr="002F606A">
        <w:rPr>
          <w:rFonts w:asciiTheme="minorHAnsi" w:hAnsiTheme="minorHAnsi" w:cs="Arial"/>
        </w:rPr>
        <w:t>Okoljska dajatev za obremenjevanje okolja z emisijo ogljikovega dioksida (v nadaljenjem besedilu; CO</w:t>
      </w:r>
      <w:r w:rsidRPr="002F606A">
        <w:rPr>
          <w:rFonts w:asciiTheme="minorHAnsi" w:hAnsiTheme="minorHAnsi" w:cs="Arial"/>
          <w:vertAlign w:val="subscript"/>
        </w:rPr>
        <w:t>2</w:t>
      </w:r>
      <w:r w:rsidRPr="002F606A">
        <w:rPr>
          <w:rFonts w:asciiTheme="minorHAnsi" w:hAnsiTheme="minorHAnsi" w:cs="Arial"/>
        </w:rPr>
        <w:t xml:space="preserve"> dajatev) se plačuje zaradi onesnaževanja zraka z emisijo CO</w:t>
      </w:r>
      <w:r w:rsidRPr="002F606A">
        <w:rPr>
          <w:rFonts w:asciiTheme="minorHAnsi" w:hAnsiTheme="minorHAnsi" w:cs="Arial"/>
          <w:vertAlign w:val="subscript"/>
        </w:rPr>
        <w:t>2</w:t>
      </w:r>
      <w:r w:rsidRPr="002F606A">
        <w:rPr>
          <w:rFonts w:asciiTheme="minorHAnsi" w:hAnsiTheme="minorHAnsi" w:cs="Arial"/>
        </w:rPr>
        <w:t xml:space="preserve"> pri zgorevanju goriva, ki se uporablja za pridobivanje toplote ali pogon motorjev ali turbin. CO</w:t>
      </w:r>
      <w:r w:rsidRPr="002F606A">
        <w:rPr>
          <w:rFonts w:asciiTheme="minorHAnsi" w:hAnsiTheme="minorHAnsi" w:cs="Arial"/>
          <w:vertAlign w:val="subscript"/>
        </w:rPr>
        <w:t>2</w:t>
      </w:r>
      <w:r w:rsidRPr="002F606A">
        <w:rPr>
          <w:rFonts w:asciiTheme="minorHAnsi" w:hAnsiTheme="minorHAnsi" w:cs="Arial"/>
        </w:rPr>
        <w:t xml:space="preserve"> dajatev se ne plačuje za gorivo za  proizvodnjo električne energije, gorivo, ki se uporablja za druge namene kot za pogonsko gorivo ali kot gorivo za ogrevanje, za gorivo, ki se uporablja v proizvodnji nekovinskih mineralnih izdelkov ter gorivo za kemijsko redukcijo ter poraba v elektrolitičnih in metalurških procesih).</w:t>
      </w:r>
    </w:p>
    <w:tbl>
      <w:tblPr>
        <w:tblStyle w:val="MediumGrid2-Accent5"/>
        <w:tblW w:w="9180" w:type="dxa"/>
        <w:shd w:val="clear" w:color="auto" w:fill="D3DFEE"/>
        <w:tblLayout w:type="fixed"/>
        <w:tblLook w:val="04A0" w:firstRow="1" w:lastRow="0" w:firstColumn="1" w:lastColumn="0" w:noHBand="0" w:noVBand="1"/>
      </w:tblPr>
      <w:tblGrid>
        <w:gridCol w:w="1134"/>
        <w:gridCol w:w="4644"/>
        <w:gridCol w:w="1560"/>
        <w:gridCol w:w="1842"/>
      </w:tblGrid>
      <w:tr w:rsidR="00865BC0" w:rsidRPr="002F606A"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34" w:type="dxa"/>
            <w:tcBorders>
              <w:bottom w:val="single" w:sz="8" w:space="0" w:color="A7BFDE"/>
              <w:right w:val="single" w:sz="8" w:space="0" w:color="A7BFDE"/>
            </w:tcBorders>
            <w:shd w:val="clear" w:color="auto" w:fill="auto"/>
            <w:vAlign w:val="center"/>
            <w:hideMark/>
          </w:tcPr>
          <w:p w:rsidR="00865BC0" w:rsidRPr="002F606A" w:rsidRDefault="00865BC0" w:rsidP="00A720EA">
            <w:pPr>
              <w:spacing w:line="276" w:lineRule="auto"/>
              <w:jc w:val="center"/>
              <w:rPr>
                <w:rFonts w:asciiTheme="minorHAnsi" w:hAnsiTheme="minorHAnsi" w:cs="Arial"/>
                <w:color w:val="auto"/>
                <w:sz w:val="18"/>
                <w:szCs w:val="18"/>
                <w:lang w:eastAsia="sl-SI"/>
              </w:rPr>
            </w:pPr>
            <w:r w:rsidRPr="002F606A">
              <w:rPr>
                <w:rFonts w:asciiTheme="minorHAnsi" w:hAnsiTheme="minorHAnsi" w:cs="Arial"/>
                <w:sz w:val="18"/>
                <w:szCs w:val="18"/>
                <w:lang w:eastAsia="sl-SI"/>
              </w:rPr>
              <w:t>Priglasitelj</w:t>
            </w:r>
          </w:p>
        </w:tc>
        <w:tc>
          <w:tcPr>
            <w:tcW w:w="464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2F606A"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2F606A">
              <w:rPr>
                <w:rFonts w:asciiTheme="minorHAnsi" w:hAnsiTheme="minorHAnsi" w:cs="Arial"/>
                <w:sz w:val="18"/>
                <w:szCs w:val="18"/>
                <w:lang w:eastAsia="sl-SI"/>
              </w:rPr>
              <w:t>Namen</w:t>
            </w:r>
          </w:p>
        </w:tc>
        <w:tc>
          <w:tcPr>
            <w:tcW w:w="156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2F606A"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2F606A">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2F606A"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2F606A">
              <w:rPr>
                <w:rFonts w:asciiTheme="minorHAnsi" w:hAnsiTheme="minorHAnsi" w:cs="Arial"/>
                <w:sz w:val="18"/>
                <w:szCs w:val="18"/>
                <w:lang w:eastAsia="sl-SI"/>
              </w:rPr>
              <w:t>Skupaj 2015–2017</w:t>
            </w:r>
          </w:p>
        </w:tc>
      </w:tr>
      <w:tr w:rsidR="00865BC0" w:rsidRPr="002F606A"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7BFDE"/>
              <w:right w:val="single" w:sz="8" w:space="0" w:color="A7BFDE"/>
            </w:tcBorders>
            <w:shd w:val="clear" w:color="auto" w:fill="auto"/>
            <w:vAlign w:val="center"/>
            <w:hideMark/>
          </w:tcPr>
          <w:p w:rsidR="00865BC0" w:rsidRPr="002F606A" w:rsidRDefault="00865BC0" w:rsidP="00A720EA">
            <w:pPr>
              <w:spacing w:line="276" w:lineRule="auto"/>
              <w:jc w:val="center"/>
              <w:rPr>
                <w:rFonts w:asciiTheme="minorHAnsi" w:hAnsiTheme="minorHAnsi" w:cs="Arial"/>
                <w:color w:val="auto"/>
                <w:sz w:val="18"/>
                <w:szCs w:val="18"/>
                <w:lang w:eastAsia="sl-SI"/>
              </w:rPr>
            </w:pPr>
            <w:r w:rsidRPr="002F606A">
              <w:rPr>
                <w:rFonts w:asciiTheme="minorHAnsi" w:hAnsiTheme="minorHAnsi" w:cs="Arial"/>
                <w:sz w:val="18"/>
                <w:szCs w:val="18"/>
                <w:lang w:eastAsia="sl-SI"/>
              </w:rPr>
              <w:t>MOP</w:t>
            </w:r>
          </w:p>
        </w:tc>
        <w:tc>
          <w:tcPr>
            <w:tcW w:w="4644"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865BC0" w:rsidRPr="002F606A"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2F606A">
              <w:rPr>
                <w:rFonts w:asciiTheme="minorHAnsi" w:hAnsiTheme="minorHAnsi" w:cs="Arial"/>
                <w:sz w:val="18"/>
                <w:szCs w:val="18"/>
                <w:lang w:eastAsia="sl-SI"/>
              </w:rPr>
              <w:t>Oprostitev plačila okoljske takse</w:t>
            </w:r>
          </w:p>
        </w:tc>
        <w:tc>
          <w:tcPr>
            <w:tcW w:w="1560"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865BC0" w:rsidRPr="002F606A"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2F606A">
              <w:rPr>
                <w:rFonts w:asciiTheme="minorHAnsi" w:hAnsiTheme="minorHAnsi" w:cs="Arial"/>
                <w:sz w:val="18"/>
                <w:szCs w:val="18"/>
                <w:lang w:eastAsia="sl-SI"/>
              </w:rPr>
              <w:t>Davčne olajšave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865BC0" w:rsidRPr="002F606A"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2F606A">
              <w:rPr>
                <w:rFonts w:asciiTheme="minorHAnsi" w:hAnsiTheme="minorHAnsi" w:cs="Arial"/>
                <w:b/>
                <w:bCs/>
                <w:sz w:val="18"/>
                <w:szCs w:val="18"/>
                <w:lang w:eastAsia="sl-SI"/>
              </w:rPr>
              <w:t>65.277.499,77</w:t>
            </w:r>
          </w:p>
        </w:tc>
      </w:tr>
    </w:tbl>
    <w:p w:rsidR="00956D2C" w:rsidRPr="002F606A" w:rsidRDefault="00956D2C" w:rsidP="00865BC0">
      <w:pPr>
        <w:spacing w:line="276" w:lineRule="auto"/>
        <w:rPr>
          <w:rFonts w:asciiTheme="minorHAnsi" w:hAnsiTheme="minorHAnsi" w:cs="Arial"/>
        </w:rPr>
      </w:pPr>
    </w:p>
    <w:p w:rsidR="00956D2C" w:rsidRPr="002F606A" w:rsidRDefault="00956D2C" w:rsidP="00956D2C">
      <w:pPr>
        <w:spacing w:line="276" w:lineRule="auto"/>
        <w:rPr>
          <w:rFonts w:asciiTheme="minorHAnsi" w:hAnsiTheme="minorHAnsi" w:cs="Arial"/>
        </w:rPr>
      </w:pPr>
      <w:r w:rsidRPr="002F606A">
        <w:rPr>
          <w:rFonts w:asciiTheme="minorHAnsi" w:hAnsiTheme="minorHAnsi" w:cs="Arial"/>
        </w:rPr>
        <w:t>CO</w:t>
      </w:r>
      <w:r w:rsidRPr="002F606A">
        <w:rPr>
          <w:rFonts w:asciiTheme="minorHAnsi" w:hAnsiTheme="minorHAnsi" w:cs="Arial"/>
          <w:vertAlign w:val="subscript"/>
        </w:rPr>
        <w:t>2</w:t>
      </w:r>
      <w:r w:rsidRPr="002F606A">
        <w:rPr>
          <w:rFonts w:asciiTheme="minorHAnsi" w:hAnsiTheme="minorHAnsi" w:cs="Arial"/>
        </w:rPr>
        <w:t xml:space="preserve"> dajatve so oproščeni upravljavci naprav in malih naprav s pridobljenim dovoljenjem za izpuščanje toplogrednih plinov, ki so vključeni v trgovanje z emisijskimi kuponi kot enim izmed glavnih instrumentov za stroškovno učinkovito zmanjšanje emisij toplogrednih plinov. Oprostitev plačila okoljske dajatve je dovoljena pod pogojem, da podjetja plačajo najnižjo raven obdavčitve v Skupnosti, ki je predpisana v Direktivi 2003/96/ES o obdavčitvi energentov in električne energije. Znesek najnižje ravni obdavčitve je odvisen od vrste energenta in njegove rabe. Upravljavci vseh naprav, ki so za obratovanje le-teh pridobili dovoljenje za izpuščanje toplogrednih plinov, morajo emisije toplogrednih plinov svojih naprav redno spremljati in o njih pripraviti enkrat letno poročilo ter ga posredovati pristojnemu ministrstvu. V okviru priglasitve sheme pomoči je dajalec pomoči za cilj pomoči navedel zmanjšanje emisij toplogrednih plinov.</w:t>
      </w:r>
    </w:p>
    <w:p w:rsidR="00956D2C" w:rsidRPr="002F606A" w:rsidRDefault="00956D2C" w:rsidP="00EE57AD">
      <w:pPr>
        <w:autoSpaceDE w:val="0"/>
        <w:autoSpaceDN w:val="0"/>
        <w:adjustRightInd w:val="0"/>
        <w:spacing w:line="276" w:lineRule="auto"/>
      </w:pPr>
      <w:r w:rsidRPr="002F606A">
        <w:rPr>
          <w:rFonts w:asciiTheme="minorHAnsi" w:hAnsiTheme="minorHAnsi" w:cs="Arial"/>
          <w:b/>
          <w:i/>
        </w:rPr>
        <w:t xml:space="preserve">O učinkih sheme ni bilo poročano. Gre za specifičen primer, v katerem po mnenju resornega ministrstva ni mogoče izmeriti učinkov zaradi olajšav (oprostitev plačila okoljske dajatve). </w:t>
      </w:r>
      <w:r w:rsidRPr="002F606A">
        <w:rPr>
          <w:rFonts w:asciiTheme="minorHAnsi" w:hAnsiTheme="minorHAnsi" w:cs="Arial"/>
        </w:rPr>
        <w:t>Naprave, za katere so njihovi upravljavci pridobili dovoljenje za izpuščanje toplogrednih plinov, so vključene v trgovanje z emisijskimi kuponi</w:t>
      </w:r>
      <w:r w:rsidR="00B7316C" w:rsidRPr="002F606A">
        <w:rPr>
          <w:rFonts w:asciiTheme="minorHAnsi" w:hAnsiTheme="minorHAnsi" w:cs="Arial"/>
        </w:rPr>
        <w:t xml:space="preserve">. To </w:t>
      </w:r>
      <w:r w:rsidRPr="002F606A">
        <w:rPr>
          <w:rFonts w:asciiTheme="minorHAnsi" w:hAnsiTheme="minorHAnsi" w:cs="Arial"/>
        </w:rPr>
        <w:t>pomeni, da mora podjetje ali zmanjšati emisije toplogrednih plinov ali pa kupiti emisi</w:t>
      </w:r>
      <w:r w:rsidR="00EE57AD" w:rsidRPr="002F606A">
        <w:rPr>
          <w:rFonts w:asciiTheme="minorHAnsi" w:hAnsiTheme="minorHAnsi" w:cs="Arial"/>
        </w:rPr>
        <w:t>jske kupone</w:t>
      </w:r>
      <w:r w:rsidR="00B7316C" w:rsidRPr="002F606A">
        <w:rPr>
          <w:rFonts w:asciiTheme="minorHAnsi" w:hAnsiTheme="minorHAnsi" w:cs="Arial"/>
        </w:rPr>
        <w:t xml:space="preserve"> (</w:t>
      </w:r>
      <w:r w:rsidR="00EE57AD" w:rsidRPr="002F606A">
        <w:rPr>
          <w:rFonts w:asciiTheme="minorHAnsi" w:hAnsiTheme="minorHAnsi" w:cs="Arial"/>
        </w:rPr>
        <w:t xml:space="preserve">torej plačati za </w:t>
      </w:r>
      <w:r w:rsidRPr="002F606A">
        <w:rPr>
          <w:rFonts w:asciiTheme="minorHAnsi" w:hAnsiTheme="minorHAnsi" w:cs="Arial"/>
        </w:rPr>
        <w:t>pravice do emisije CO</w:t>
      </w:r>
      <w:r w:rsidRPr="002F606A">
        <w:rPr>
          <w:rFonts w:asciiTheme="minorHAnsi" w:hAnsiTheme="minorHAnsi" w:cs="Arial"/>
          <w:vertAlign w:val="subscript"/>
        </w:rPr>
        <w:t>2</w:t>
      </w:r>
      <w:r w:rsidR="00B7316C" w:rsidRPr="002F606A">
        <w:rPr>
          <w:rFonts w:asciiTheme="minorHAnsi" w:hAnsiTheme="minorHAnsi" w:cs="Arial"/>
        </w:rPr>
        <w:t>)</w:t>
      </w:r>
      <w:r w:rsidRPr="002F606A">
        <w:rPr>
          <w:rFonts w:asciiTheme="minorHAnsi" w:hAnsiTheme="minorHAnsi" w:cs="Arial"/>
        </w:rPr>
        <w:t xml:space="preserve">, ki jih mora enkrat letno predati pristojnemu organu. Upravljavci malih naprav so oproščeni plačila okoljske dajatve le do višine kot če bi bili še vedno vključeni v trgovanje z emisijskimi kuponi, kar jih stimulira k zmanjšanju emisij toplogrednih plinov. </w:t>
      </w:r>
    </w:p>
    <w:p w:rsidR="00865BC0" w:rsidRPr="00D050E9" w:rsidRDefault="00956D2C" w:rsidP="00956D2C">
      <w:pPr>
        <w:spacing w:line="276" w:lineRule="auto"/>
        <w:rPr>
          <w:rFonts w:asciiTheme="minorHAnsi" w:hAnsiTheme="minorHAnsi" w:cs="Arial"/>
          <w:b/>
          <w:i/>
        </w:rPr>
      </w:pPr>
      <w:r w:rsidRPr="002F606A">
        <w:rPr>
          <w:rFonts w:asciiTheme="minorHAnsi" w:hAnsiTheme="minorHAnsi" w:cs="Arial"/>
          <w:b/>
          <w:i/>
        </w:rPr>
        <w:t>V zasledovanju cilja zmanjšanja emisij toplogrednih plin</w:t>
      </w:r>
      <w:r w:rsidR="00DA5A36" w:rsidRPr="002F606A">
        <w:rPr>
          <w:rFonts w:asciiTheme="minorHAnsi" w:hAnsiTheme="minorHAnsi" w:cs="Arial"/>
          <w:b/>
          <w:i/>
        </w:rPr>
        <w:t xml:space="preserve">ov </w:t>
      </w:r>
      <w:r w:rsidRPr="002F606A">
        <w:rPr>
          <w:rFonts w:asciiTheme="minorHAnsi" w:hAnsiTheme="minorHAnsi" w:cs="Arial"/>
          <w:b/>
          <w:i/>
        </w:rPr>
        <w:t xml:space="preserve"> resorno ministrstvo ugotavlja, da imajo</w:t>
      </w:r>
      <w:r w:rsidRPr="00B7316C">
        <w:rPr>
          <w:rFonts w:asciiTheme="minorHAnsi" w:hAnsiTheme="minorHAnsi" w:cs="Arial"/>
          <w:b/>
          <w:i/>
        </w:rPr>
        <w:t xml:space="preserve"> navedeni mehanizmi pozitiven učinek na zmanjšanje emisij toplogrednih plinov.</w:t>
      </w:r>
    </w:p>
    <w:p w:rsidR="00EB5110" w:rsidRPr="00D050E9" w:rsidRDefault="00EB5110" w:rsidP="00B7316C">
      <w:pPr>
        <w:spacing w:after="0" w:line="276" w:lineRule="auto"/>
        <w:rPr>
          <w:rFonts w:asciiTheme="minorHAnsi" w:hAnsiTheme="minorHAnsi" w:cs="Arial"/>
          <w:b/>
          <w:i/>
          <w:u w:val="single"/>
        </w:rPr>
      </w:pPr>
    </w:p>
    <w:p w:rsidR="00865BC0" w:rsidRPr="00D050E9" w:rsidRDefault="00865BC0" w:rsidP="00865BC0">
      <w:pPr>
        <w:spacing w:before="20" w:line="276" w:lineRule="auto"/>
        <w:rPr>
          <w:rFonts w:asciiTheme="minorHAnsi" w:hAnsiTheme="minorHAnsi" w:cs="Arial"/>
          <w:sz w:val="20"/>
          <w:szCs w:val="20"/>
        </w:rPr>
      </w:pPr>
      <w:r w:rsidRPr="00D050E9">
        <w:rPr>
          <w:rFonts w:asciiTheme="minorHAnsi" w:hAnsiTheme="minorHAnsi" w:cs="Arial"/>
          <w:b/>
          <w:i/>
          <w:u w:val="single"/>
        </w:rPr>
        <w:t xml:space="preserve">Pomoč za nakup transportnih vozil, ki presegajo standarde skupnosti za varstvo okolja </w:t>
      </w:r>
      <w:r w:rsidRPr="00D050E9">
        <w:rPr>
          <w:rFonts w:asciiTheme="minorHAnsi" w:hAnsiTheme="minorHAnsi" w:cs="Arial"/>
          <w:sz w:val="20"/>
          <w:szCs w:val="20"/>
        </w:rPr>
        <w:t>(BE01-5854067-2011 in BE01-5854067-2015)</w:t>
      </w:r>
    </w:p>
    <w:p w:rsidR="00865BC0" w:rsidRPr="00D050E9" w:rsidRDefault="00865BC0" w:rsidP="00865BC0">
      <w:pPr>
        <w:tabs>
          <w:tab w:val="left" w:pos="1134"/>
        </w:tabs>
        <w:spacing w:line="276" w:lineRule="auto"/>
        <w:rPr>
          <w:rFonts w:asciiTheme="minorHAnsi" w:hAnsiTheme="minorHAnsi" w:cs="Arial"/>
        </w:rPr>
      </w:pPr>
      <w:r w:rsidRPr="00D050E9">
        <w:rPr>
          <w:rFonts w:asciiTheme="minorHAnsi" w:hAnsiTheme="minorHAnsi" w:cs="Arial"/>
        </w:rPr>
        <w:t>Cilj priglašenih shem je spodbujanje naložb varstva okolja v nakup novih prevoznih sredstev, z namenom zmanjšanja emisijskih vrednosti CO</w:t>
      </w:r>
      <w:r w:rsidRPr="00D050E9">
        <w:rPr>
          <w:rFonts w:asciiTheme="minorHAnsi" w:hAnsiTheme="minorHAnsi" w:cs="Arial"/>
          <w:vertAlign w:val="subscript"/>
        </w:rPr>
        <w:t>2</w:t>
      </w:r>
      <w:r w:rsidRPr="00D050E9">
        <w:rPr>
          <w:rFonts w:asciiTheme="minorHAnsi" w:hAnsiTheme="minorHAnsi" w:cs="Arial"/>
        </w:rPr>
        <w:t xml:space="preserve">, ki so do trikrat nižje kot pri klasičnih vozilih, zmanjšanje emisij NOx in zmanjšanje emisij prašnih delcev. Poleg tega gre tudi za doseganje cilja uvajanja nove tehnologije, ki je dolgoročno bolj konkurenčna, v začetni fazi pa cenovno dražja od že uveljavljenih tehnologij. </w:t>
      </w:r>
    </w:p>
    <w:tbl>
      <w:tblPr>
        <w:tblStyle w:val="MediumGrid2-Accent5"/>
        <w:tblW w:w="9180" w:type="dxa"/>
        <w:tblLayout w:type="fixed"/>
        <w:tblLook w:val="04A0" w:firstRow="1" w:lastRow="0" w:firstColumn="1" w:lastColumn="0" w:noHBand="0" w:noVBand="1"/>
      </w:tblPr>
      <w:tblGrid>
        <w:gridCol w:w="1134"/>
        <w:gridCol w:w="4503"/>
        <w:gridCol w:w="1701"/>
        <w:gridCol w:w="1842"/>
      </w:tblGrid>
      <w:tr w:rsidR="00865BC0"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34" w:type="dxa"/>
            <w:tcBorders>
              <w:bottom w:val="single" w:sz="8" w:space="0" w:color="A7BFDE"/>
              <w:right w:val="single" w:sz="8" w:space="0" w:color="A7BFDE"/>
            </w:tcBorders>
            <w:vAlign w:val="center"/>
            <w:hideMark/>
          </w:tcPr>
          <w:p w:rsidR="00865BC0" w:rsidRPr="00D050E9" w:rsidRDefault="00865BC0"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Priglasitelj</w:t>
            </w:r>
          </w:p>
        </w:tc>
        <w:tc>
          <w:tcPr>
            <w:tcW w:w="4503"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Naziv</w:t>
            </w:r>
          </w:p>
        </w:tc>
        <w:tc>
          <w:tcPr>
            <w:tcW w:w="17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865BC0" w:rsidRPr="00D050E9" w:rsidRDefault="00865BC0"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Skupaj 2015–2017</w:t>
            </w: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8" w:space="0" w:color="A7BFDE"/>
              <w:bottom w:val="single" w:sz="8" w:space="0" w:color="A7BFDE"/>
              <w:right w:val="single" w:sz="8" w:space="0" w:color="A7BFDE"/>
            </w:tcBorders>
            <w:vAlign w:val="center"/>
            <w:hideMark/>
          </w:tcPr>
          <w:p w:rsidR="00865BC0" w:rsidRPr="00D050E9" w:rsidRDefault="00865BC0"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rPr>
              <w:t>Eko sklad</w:t>
            </w:r>
          </w:p>
        </w:tc>
        <w:tc>
          <w:tcPr>
            <w:tcW w:w="4503"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rPr>
              <w:t>Spodbude EKO sklada j.s. (nakup okolju prijaznih prevoznih sredstev)</w:t>
            </w:r>
          </w:p>
        </w:tc>
        <w:tc>
          <w:tcPr>
            <w:tcW w:w="1701"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264.750,00</w:t>
            </w:r>
          </w:p>
        </w:tc>
      </w:tr>
      <w:tr w:rsidR="00865BC0"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8" w:space="0" w:color="A7BFDE"/>
              <w:bottom w:val="single" w:sz="8" w:space="0" w:color="A7BFDE"/>
              <w:right w:val="single" w:sz="8" w:space="0" w:color="A7BFDE"/>
            </w:tcBorders>
            <w:vAlign w:val="center"/>
          </w:tcPr>
          <w:p w:rsidR="00865BC0" w:rsidRPr="00D050E9" w:rsidRDefault="00865BC0" w:rsidP="00A720EA">
            <w:pPr>
              <w:spacing w:line="276" w:lineRule="auto"/>
              <w:rPr>
                <w:rFonts w:asciiTheme="minorHAnsi" w:hAnsiTheme="minorHAnsi" w:cs="Arial"/>
                <w:color w:val="auto"/>
                <w:sz w:val="18"/>
                <w:szCs w:val="18"/>
              </w:rPr>
            </w:pPr>
          </w:p>
        </w:tc>
        <w:tc>
          <w:tcPr>
            <w:tcW w:w="4503"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bCs/>
                <w:sz w:val="18"/>
                <w:szCs w:val="18"/>
              </w:rPr>
              <w:t>Nakup okolju prijaznih prevoznih sredstev</w:t>
            </w:r>
          </w:p>
        </w:tc>
        <w:tc>
          <w:tcPr>
            <w:tcW w:w="1701"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865BC0" w:rsidRPr="00D050E9" w:rsidRDefault="00865BC0"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865BC0" w:rsidRPr="00D050E9" w:rsidRDefault="00865BC0"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1.971.218,04</w:t>
            </w:r>
          </w:p>
        </w:tc>
      </w:tr>
      <w:tr w:rsidR="00865BC0"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7BFDE"/>
              <w:right w:val="single" w:sz="8" w:space="0" w:color="A7BFDE"/>
            </w:tcBorders>
            <w:vAlign w:val="center"/>
          </w:tcPr>
          <w:p w:rsidR="00865BC0" w:rsidRPr="00D050E9" w:rsidRDefault="00865BC0" w:rsidP="00A720EA">
            <w:pPr>
              <w:spacing w:line="276" w:lineRule="auto"/>
              <w:rPr>
                <w:rFonts w:asciiTheme="minorHAnsi" w:hAnsiTheme="minorHAnsi" w:cs="Arial"/>
                <w:color w:val="auto"/>
                <w:sz w:val="18"/>
                <w:szCs w:val="18"/>
              </w:rPr>
            </w:pPr>
          </w:p>
        </w:tc>
        <w:tc>
          <w:tcPr>
            <w:tcW w:w="4503"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rPr>
            </w:pPr>
            <w:r w:rsidRPr="00D050E9">
              <w:rPr>
                <w:rFonts w:asciiTheme="minorHAnsi" w:hAnsiTheme="minorHAnsi" w:cs="Arial"/>
                <w:b/>
                <w:sz w:val="18"/>
                <w:szCs w:val="18"/>
                <w:lang w:eastAsia="sl-SI"/>
              </w:rPr>
              <w:t>SKUPAJ</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865BC0" w:rsidRPr="00D050E9" w:rsidRDefault="00865BC0"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p>
        </w:tc>
        <w:tc>
          <w:tcPr>
            <w:tcW w:w="184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865BC0" w:rsidRPr="00D050E9" w:rsidRDefault="00865BC0"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sz w:val="18"/>
                <w:szCs w:val="18"/>
                <w:lang w:eastAsia="sl-SI"/>
              </w:rPr>
              <w:t>2.235.968,04</w:t>
            </w:r>
          </w:p>
        </w:tc>
      </w:tr>
    </w:tbl>
    <w:p w:rsidR="00272384" w:rsidRDefault="00272384" w:rsidP="00272384">
      <w:pPr>
        <w:spacing w:after="0" w:line="276" w:lineRule="auto"/>
        <w:rPr>
          <w:rFonts w:asciiTheme="minorHAnsi" w:hAnsiTheme="minorHAnsi" w:cs="Arial"/>
        </w:rPr>
      </w:pPr>
    </w:p>
    <w:p w:rsidR="00865BC0" w:rsidRPr="00D050E9" w:rsidRDefault="00865BC0" w:rsidP="00865BC0">
      <w:pPr>
        <w:spacing w:line="276" w:lineRule="auto"/>
        <w:rPr>
          <w:rFonts w:asciiTheme="minorHAnsi" w:hAnsiTheme="minorHAnsi" w:cs="Arial"/>
        </w:rPr>
      </w:pPr>
      <w:r w:rsidRPr="00D050E9">
        <w:rPr>
          <w:rFonts w:asciiTheme="minorHAnsi" w:hAnsiTheme="minorHAnsi" w:cs="Arial"/>
        </w:rPr>
        <w:t>Ciljno izhodišče za obe shemi je doseganje 18</w:t>
      </w:r>
      <w:r w:rsidR="00E1733C">
        <w:rPr>
          <w:rFonts w:asciiTheme="minorHAnsi" w:hAnsiTheme="minorHAnsi" w:cs="Arial"/>
        </w:rPr>
        <w:t>-%</w:t>
      </w:r>
      <w:r w:rsidRPr="00D050E9">
        <w:rPr>
          <w:rFonts w:asciiTheme="minorHAnsi" w:hAnsiTheme="minorHAnsi" w:cs="Arial"/>
        </w:rPr>
        <w:t xml:space="preserve"> zmanjšanja emisij CO</w:t>
      </w:r>
      <w:r w:rsidRPr="00D050E9">
        <w:rPr>
          <w:rFonts w:asciiTheme="minorHAnsi" w:hAnsiTheme="minorHAnsi" w:cs="Arial"/>
          <w:vertAlign w:val="subscript"/>
        </w:rPr>
        <w:t>2</w:t>
      </w:r>
      <w:r w:rsidRPr="00D050E9">
        <w:rPr>
          <w:rFonts w:asciiTheme="minorHAnsi" w:hAnsiTheme="minorHAnsi" w:cs="Arial"/>
        </w:rPr>
        <w:t xml:space="preserve"> v letu 2015 in njegovo postopno zviševanje do 40 % v letu 2020. </w:t>
      </w:r>
    </w:p>
    <w:p w:rsidR="00865BC0" w:rsidRPr="00D050E9" w:rsidRDefault="00865BC0" w:rsidP="00865BC0">
      <w:pPr>
        <w:spacing w:line="276" w:lineRule="auto"/>
        <w:rPr>
          <w:rFonts w:asciiTheme="minorHAnsi" w:hAnsiTheme="minorHAnsi" w:cs="Arial"/>
          <w:b/>
          <w:i/>
        </w:rPr>
      </w:pPr>
      <w:r w:rsidRPr="00D050E9">
        <w:rPr>
          <w:rFonts w:asciiTheme="minorHAnsi" w:hAnsiTheme="minorHAnsi" w:cs="Arial"/>
          <w:b/>
          <w:i/>
        </w:rPr>
        <w:t>Za prvo shemo je bil v letu 2015 presežen zastavljeni cilj v višini zahtevanega zmanjšanja letne količine emisij CO</w:t>
      </w:r>
      <w:r w:rsidRPr="00D050E9">
        <w:rPr>
          <w:rFonts w:asciiTheme="minorHAnsi" w:hAnsiTheme="minorHAnsi" w:cs="Arial"/>
          <w:b/>
          <w:i/>
          <w:vertAlign w:val="subscript"/>
        </w:rPr>
        <w:t>2</w:t>
      </w:r>
      <w:r w:rsidRPr="00D050E9">
        <w:rPr>
          <w:rFonts w:asciiTheme="minorHAnsi" w:hAnsiTheme="minorHAnsi" w:cs="Arial"/>
          <w:b/>
          <w:i/>
        </w:rPr>
        <w:t xml:space="preserve"> za to leto. Dosežena učinkovitost izplačanih sredstev je 146 % glede na predvideno učinkovitost, skupni učinek izplačanih državnih pomoči je ocenjen kot pozitiven. </w:t>
      </w:r>
      <w:r w:rsidRPr="00D050E9">
        <w:rPr>
          <w:rFonts w:asciiTheme="minorHAnsi" w:hAnsiTheme="minorHAnsi" w:cs="Arial"/>
        </w:rPr>
        <w:t>V letih 2016 in 2017 novih izplačil pomoči ni bilo.</w:t>
      </w:r>
      <w:r w:rsidRPr="00D050E9">
        <w:rPr>
          <w:rFonts w:asciiTheme="minorHAnsi" w:hAnsiTheme="minorHAnsi" w:cs="Arial"/>
          <w:b/>
          <w:i/>
        </w:rPr>
        <w:t xml:space="preserve">   </w:t>
      </w:r>
    </w:p>
    <w:p w:rsidR="00865BC0" w:rsidRDefault="00865BC0" w:rsidP="00865BC0">
      <w:pPr>
        <w:spacing w:line="276" w:lineRule="auto"/>
        <w:rPr>
          <w:rFonts w:asciiTheme="minorHAnsi" w:hAnsiTheme="minorHAnsi" w:cs="Arial"/>
          <w:b/>
          <w:i/>
        </w:rPr>
      </w:pPr>
      <w:r w:rsidRPr="00D050E9">
        <w:rPr>
          <w:rFonts w:asciiTheme="minorHAnsi" w:hAnsiTheme="minorHAnsi" w:cs="Arial"/>
          <w:b/>
          <w:i/>
        </w:rPr>
        <w:t>V okviru druge sheme so bile leta 2017 izplačane pomoči na podlagi objave dveh javnih pozivov. Dosežen rezultat glede na predviden cilj je povprečno 115,5 % in skupni učinek izplačanih državnih pomoči ocenjen kot pozitiven.</w:t>
      </w:r>
    </w:p>
    <w:p w:rsidR="001417F9" w:rsidRPr="00D050E9" w:rsidRDefault="001417F9" w:rsidP="001417F9">
      <w:pPr>
        <w:spacing w:after="0" w:line="276" w:lineRule="auto"/>
        <w:rPr>
          <w:rFonts w:asciiTheme="minorHAnsi" w:hAnsiTheme="minorHAnsi" w:cs="Arial"/>
          <w:b/>
          <w:i/>
        </w:rPr>
      </w:pPr>
    </w:p>
    <w:p w:rsidR="00865BC0" w:rsidRPr="00D050E9" w:rsidRDefault="00865BC0" w:rsidP="00B9182A">
      <w:pPr>
        <w:pStyle w:val="Heading3USPENOST"/>
        <w:numPr>
          <w:ilvl w:val="2"/>
          <w:numId w:val="16"/>
        </w:numPr>
      </w:pPr>
      <w:bookmarkStart w:id="156" w:name="_Toc470776357"/>
      <w:bookmarkStart w:id="157" w:name="_Toc497749225"/>
      <w:bookmarkStart w:id="158" w:name="_Toc501099232"/>
      <w:bookmarkStart w:id="159" w:name="_Toc530654568"/>
      <w:r w:rsidRPr="00D050E9">
        <w:t>Zaposlovanje</w:t>
      </w:r>
      <w:bookmarkEnd w:id="156"/>
      <w:bookmarkEnd w:id="157"/>
      <w:bookmarkEnd w:id="158"/>
      <w:bookmarkEnd w:id="159"/>
    </w:p>
    <w:p w:rsidR="001F2E50" w:rsidRPr="00D050E9" w:rsidRDefault="001F2E50" w:rsidP="001F2E50">
      <w:pPr>
        <w:spacing w:after="0" w:line="276" w:lineRule="auto"/>
        <w:rPr>
          <w:rFonts w:asciiTheme="minorHAnsi" w:hAnsiTheme="minorHAnsi" w:cs="Arial"/>
        </w:rPr>
      </w:pPr>
    </w:p>
    <w:p w:rsidR="00865BC0" w:rsidRPr="00D050E9" w:rsidRDefault="00865BC0" w:rsidP="00865BC0">
      <w:pPr>
        <w:spacing w:line="276" w:lineRule="auto"/>
        <w:rPr>
          <w:rFonts w:asciiTheme="minorHAnsi" w:hAnsiTheme="minorHAnsi" w:cs="Arial"/>
        </w:rPr>
      </w:pPr>
      <w:r w:rsidRPr="00D050E9">
        <w:rPr>
          <w:rFonts w:asciiTheme="minorHAnsi" w:hAnsiTheme="minorHAnsi" w:cs="Arial"/>
        </w:rPr>
        <w:t>Pomoči, ki se dodeljujejo za spodbujanje zaposlovanja, naj bi spodbujale podjetja k povečanju stopnje zaposlenosti nekaterih kategorij prikrajšanih in invalidnih delavcev, še posebej mladih. Ker stroški dela tvorijo del običajnih poslovnih stroškov podjetja, bi morala imeti pomoč za sofinanciranje stroškov plače pozitiven vpliv na stopnjo zaposlenosti teh kategorij delavcev.</w:t>
      </w: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Pomoč za zaposlovanje invalidov</w:t>
      </w:r>
      <w:r w:rsidRPr="00D050E9">
        <w:rPr>
          <w:rFonts w:asciiTheme="minorHAnsi" w:hAnsiTheme="minorHAnsi" w:cs="Arial"/>
        </w:rPr>
        <w:t xml:space="preserve"> </w:t>
      </w:r>
      <w:r w:rsidRPr="00D050E9">
        <w:rPr>
          <w:rFonts w:asciiTheme="minorHAnsi" w:hAnsiTheme="minorHAnsi" w:cs="Arial"/>
          <w:sz w:val="20"/>
          <w:szCs w:val="20"/>
        </w:rPr>
        <w:t>(BE03-5022860-2010 in BE01-5022860-2015)</w:t>
      </w:r>
    </w:p>
    <w:p w:rsidR="00A720EA" w:rsidRPr="00D050E9" w:rsidRDefault="00A720EA" w:rsidP="00EB5110">
      <w:pPr>
        <w:spacing w:after="0" w:line="276" w:lineRule="auto"/>
        <w:rPr>
          <w:rFonts w:asciiTheme="minorHAnsi" w:hAnsiTheme="minorHAnsi" w:cs="Arial"/>
        </w:rPr>
      </w:pPr>
      <w:r w:rsidRPr="00D050E9">
        <w:rPr>
          <w:rFonts w:asciiTheme="minorHAnsi" w:hAnsiTheme="minorHAnsi" w:cs="Arial"/>
        </w:rPr>
        <w:t>Namen pomoči je povečati zaposljivost invalidov in vzpostaviti pogoje za njihovo enakovredno udeležbo na trgu dela z odstranjevanjem ovir in ustvarjanjem enakih možnosti. Da bi se ohranila delovna mesta in ustvarjala nova za invalide Ministrstvo za delo, družino, socialne zadeve in enake možnosti (v nadaljevanju: MDDSZ) izvaja naslednje ukrepe:</w:t>
      </w:r>
    </w:p>
    <w:p w:rsidR="00A720EA" w:rsidRPr="00D050E9" w:rsidRDefault="00A720EA" w:rsidP="00EB5110">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 xml:space="preserve">sofinanciranje plač strokovnih delavcev in sodelavcev v zaposlitvenih centrih; </w:t>
      </w:r>
    </w:p>
    <w:p w:rsidR="00A720EA" w:rsidRPr="00D050E9" w:rsidRDefault="00A720EA" w:rsidP="00C93FA7">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oprostitev prispevkov za socialno varnost (pokojninsko in invalidsko zavarovanje, zdravstveno varstvo, starševsko varstvo) zaradi zaposlenih invalidov;</w:t>
      </w:r>
    </w:p>
    <w:p w:rsidR="00A720EA" w:rsidRPr="00D050E9" w:rsidRDefault="00A720EA" w:rsidP="00C93FA7">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subvencije plač invalidom;</w:t>
      </w:r>
    </w:p>
    <w:p w:rsidR="00A720EA" w:rsidRPr="00D050E9" w:rsidRDefault="00A720EA" w:rsidP="00C93FA7">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plačilo stroškov prilagoditve delovnega mesta in sredstev za delo;</w:t>
      </w:r>
    </w:p>
    <w:p w:rsidR="00A720EA" w:rsidRPr="00D050E9" w:rsidRDefault="00A720EA" w:rsidP="00C93FA7">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plačilo stroškov podpornih storitev;</w:t>
      </w:r>
    </w:p>
    <w:p w:rsidR="00A720EA" w:rsidRPr="00D050E9" w:rsidRDefault="00A720EA" w:rsidP="00C93FA7">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 xml:space="preserve">oprostitev plačila prispevkov za pokojninsko in invalidsko zavarovanje; </w:t>
      </w:r>
    </w:p>
    <w:p w:rsidR="00A720EA" w:rsidRPr="00D050E9" w:rsidRDefault="00A720EA" w:rsidP="00C93FA7">
      <w:pPr>
        <w:numPr>
          <w:ilvl w:val="0"/>
          <w:numId w:val="20"/>
        </w:numPr>
        <w:tabs>
          <w:tab w:val="left" w:pos="851"/>
        </w:tabs>
        <w:spacing w:after="0" w:line="276" w:lineRule="auto"/>
        <w:rPr>
          <w:rFonts w:asciiTheme="minorHAnsi" w:hAnsiTheme="minorHAnsi" w:cs="Arial"/>
        </w:rPr>
      </w:pPr>
      <w:r w:rsidRPr="00D050E9">
        <w:rPr>
          <w:rFonts w:asciiTheme="minorHAnsi" w:hAnsiTheme="minorHAnsi" w:cs="Arial"/>
        </w:rPr>
        <w:t>nagrada za preseganje kvote.</w:t>
      </w:r>
    </w:p>
    <w:p w:rsidR="00EB5110" w:rsidRPr="00D050E9" w:rsidRDefault="00EB5110" w:rsidP="00EB5110">
      <w:pPr>
        <w:tabs>
          <w:tab w:val="left" w:pos="284"/>
        </w:tabs>
        <w:autoSpaceDE w:val="0"/>
        <w:autoSpaceDN w:val="0"/>
        <w:adjustRightInd w:val="0"/>
        <w:spacing w:after="0" w:line="276" w:lineRule="auto"/>
        <w:rPr>
          <w:rFonts w:asciiTheme="minorHAnsi" w:hAnsiTheme="minorHAnsi" w:cs="Arial"/>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Cilji priglašene sheme: ohraniti ves čas trajanja sheme enak ali manjši odstotek brezposelnih invalidov glede na druge brezposelne delavce.</w:t>
      </w:r>
    </w:p>
    <w:tbl>
      <w:tblPr>
        <w:tblStyle w:val="MediumGrid2-Accent1"/>
        <w:tblW w:w="0" w:type="auto"/>
        <w:tblLook w:val="04A0" w:firstRow="1" w:lastRow="0" w:firstColumn="1" w:lastColumn="0" w:noHBand="0" w:noVBand="1"/>
      </w:tblPr>
      <w:tblGrid>
        <w:gridCol w:w="998"/>
        <w:gridCol w:w="4507"/>
        <w:gridCol w:w="2258"/>
        <w:gridCol w:w="1637"/>
      </w:tblGrid>
      <w:tr w:rsidR="00A720EA" w:rsidRPr="00D050E9" w:rsidTr="00CC2F8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auto"/>
            <w:hideMark/>
          </w:tcPr>
          <w:p w:rsidR="00A720EA" w:rsidRPr="00D050E9" w:rsidRDefault="00A720EA" w:rsidP="00A720EA">
            <w:pPr>
              <w:jc w:val="center"/>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Priglasitelj</w:t>
            </w:r>
          </w:p>
        </w:tc>
        <w:tc>
          <w:tcPr>
            <w:tcW w:w="0" w:type="auto"/>
            <w:hideMark/>
          </w:tcPr>
          <w:p w:rsidR="00A720EA" w:rsidRPr="00D050E9" w:rsidRDefault="00A720EA" w:rsidP="00A72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Namen</w:t>
            </w:r>
          </w:p>
        </w:tc>
        <w:tc>
          <w:tcPr>
            <w:tcW w:w="2258" w:type="dxa"/>
            <w:hideMark/>
          </w:tcPr>
          <w:p w:rsidR="00A720EA" w:rsidRPr="00D050E9" w:rsidRDefault="00A720EA" w:rsidP="00A72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Instrument</w:t>
            </w:r>
          </w:p>
        </w:tc>
        <w:tc>
          <w:tcPr>
            <w:tcW w:w="1637" w:type="dxa"/>
            <w:hideMark/>
          </w:tcPr>
          <w:p w:rsidR="00A720EA" w:rsidRPr="00D050E9" w:rsidRDefault="00A720EA" w:rsidP="00A720E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Skupaj 2015–2017</w:t>
            </w:r>
          </w:p>
        </w:tc>
      </w:tr>
      <w:tr w:rsidR="00A720EA" w:rsidRPr="00D050E9" w:rsidTr="00CC2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A720EA" w:rsidRPr="00D050E9" w:rsidRDefault="00A720EA" w:rsidP="00A720EA">
            <w:pPr>
              <w:jc w:val="center"/>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MDDSZ</w:t>
            </w:r>
          </w:p>
        </w:tc>
        <w:tc>
          <w:tcPr>
            <w:tcW w:w="0" w:type="auto"/>
            <w:vMerge w:val="restart"/>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Pomoč za nadomestilo dodatnih stroškov zaradi zaposlovanja invalidnih delavcev</w:t>
            </w:r>
          </w:p>
        </w:tc>
        <w:tc>
          <w:tcPr>
            <w:tcW w:w="2258" w:type="dxa"/>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Subvencije</w:t>
            </w:r>
          </w:p>
        </w:tc>
        <w:tc>
          <w:tcPr>
            <w:tcW w:w="1637" w:type="dxa"/>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5.814.036,91</w:t>
            </w:r>
          </w:p>
        </w:tc>
      </w:tr>
      <w:tr w:rsidR="00A720EA" w:rsidRPr="00D050E9" w:rsidTr="00CC2F87">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A720EA" w:rsidRPr="00D050E9" w:rsidRDefault="00A720EA" w:rsidP="00A720EA">
            <w:pPr>
              <w:rPr>
                <w:rFonts w:asciiTheme="minorHAnsi" w:eastAsia="Times New Roman" w:hAnsiTheme="minorHAnsi" w:cs="Arial"/>
                <w:color w:val="000000"/>
                <w:sz w:val="18"/>
                <w:szCs w:val="18"/>
                <w:lang w:eastAsia="sl-SI"/>
              </w:rPr>
            </w:pPr>
          </w:p>
        </w:tc>
        <w:tc>
          <w:tcPr>
            <w:tcW w:w="0" w:type="auto"/>
            <w:vMerge/>
            <w:hideMark/>
          </w:tcPr>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p>
        </w:tc>
        <w:tc>
          <w:tcPr>
            <w:tcW w:w="2258" w:type="dxa"/>
            <w:hideMark/>
          </w:tcPr>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Znižanje prispevkov za socialno varnost</w:t>
            </w:r>
          </w:p>
        </w:tc>
        <w:tc>
          <w:tcPr>
            <w:tcW w:w="1637" w:type="dxa"/>
            <w:hideMark/>
          </w:tcPr>
          <w:p w:rsidR="00A720EA" w:rsidRPr="00D050E9" w:rsidRDefault="00A720EA" w:rsidP="00A720E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48.388.267</w:t>
            </w:r>
          </w:p>
        </w:tc>
      </w:tr>
      <w:tr w:rsidR="00A720EA" w:rsidRPr="00D050E9" w:rsidTr="00CC2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A720EA" w:rsidRPr="00D050E9" w:rsidRDefault="00A720EA" w:rsidP="00A720EA">
            <w:pPr>
              <w:rPr>
                <w:rFonts w:asciiTheme="minorHAnsi" w:eastAsia="Times New Roman" w:hAnsiTheme="minorHAnsi" w:cs="Arial"/>
                <w:color w:val="000000"/>
                <w:sz w:val="18"/>
                <w:szCs w:val="18"/>
                <w:lang w:eastAsia="sl-SI"/>
              </w:rPr>
            </w:pPr>
          </w:p>
        </w:tc>
        <w:tc>
          <w:tcPr>
            <w:tcW w:w="0" w:type="auto"/>
            <w:vMerge w:val="restart"/>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Pomoč za zaposlovanje invalidnih delavcev v obliki subvencij plač</w:t>
            </w:r>
          </w:p>
        </w:tc>
        <w:tc>
          <w:tcPr>
            <w:tcW w:w="2258" w:type="dxa"/>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Subvencije</w:t>
            </w:r>
          </w:p>
        </w:tc>
        <w:tc>
          <w:tcPr>
            <w:tcW w:w="1637" w:type="dxa"/>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44.588.289,27</w:t>
            </w:r>
          </w:p>
        </w:tc>
      </w:tr>
      <w:tr w:rsidR="00A720EA" w:rsidRPr="00D050E9" w:rsidTr="00CC2F87">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rsidR="00A720EA" w:rsidRPr="00D050E9" w:rsidRDefault="00A720EA" w:rsidP="00A720EA">
            <w:pPr>
              <w:rPr>
                <w:rFonts w:asciiTheme="minorHAnsi" w:eastAsia="Times New Roman" w:hAnsiTheme="minorHAnsi" w:cs="Arial"/>
                <w:color w:val="000000"/>
                <w:sz w:val="18"/>
                <w:szCs w:val="18"/>
                <w:lang w:eastAsia="sl-SI"/>
              </w:rPr>
            </w:pPr>
          </w:p>
        </w:tc>
        <w:tc>
          <w:tcPr>
            <w:tcW w:w="0" w:type="auto"/>
            <w:vMerge/>
            <w:hideMark/>
          </w:tcPr>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p>
        </w:tc>
        <w:tc>
          <w:tcPr>
            <w:tcW w:w="2258" w:type="dxa"/>
            <w:hideMark/>
          </w:tcPr>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Znižanje prispevkov za socialno varnost</w:t>
            </w:r>
          </w:p>
        </w:tc>
        <w:tc>
          <w:tcPr>
            <w:tcW w:w="1637" w:type="dxa"/>
            <w:hideMark/>
          </w:tcPr>
          <w:p w:rsidR="00A720EA" w:rsidRPr="00D050E9" w:rsidRDefault="00A720EA" w:rsidP="00A720E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175.998.295</w:t>
            </w:r>
          </w:p>
        </w:tc>
      </w:tr>
      <w:tr w:rsidR="00A720EA" w:rsidRPr="00D050E9" w:rsidTr="00CC2F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A720EA" w:rsidRPr="00D050E9" w:rsidRDefault="00A720EA" w:rsidP="00A720EA">
            <w:pPr>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SKUPAJ</w:t>
            </w:r>
          </w:p>
        </w:tc>
        <w:tc>
          <w:tcPr>
            <w:tcW w:w="0" w:type="auto"/>
            <w:noWrap/>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sl-SI"/>
              </w:rPr>
            </w:pPr>
            <w:r w:rsidRPr="00D050E9">
              <w:rPr>
                <w:rFonts w:asciiTheme="minorHAnsi" w:eastAsia="Times New Roman" w:hAnsiTheme="minorHAnsi" w:cs="Arial"/>
                <w:b/>
                <w:bCs/>
                <w:color w:val="000000"/>
                <w:sz w:val="18"/>
                <w:szCs w:val="18"/>
                <w:lang w:eastAsia="sl-SI"/>
              </w:rPr>
              <w:t> </w:t>
            </w:r>
          </w:p>
        </w:tc>
        <w:tc>
          <w:tcPr>
            <w:tcW w:w="2258" w:type="dxa"/>
            <w:noWrap/>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sl-SI"/>
              </w:rPr>
            </w:pPr>
            <w:r w:rsidRPr="00D050E9">
              <w:rPr>
                <w:rFonts w:asciiTheme="minorHAnsi" w:eastAsia="Times New Roman" w:hAnsiTheme="minorHAnsi" w:cs="Arial"/>
                <w:b/>
                <w:bCs/>
                <w:color w:val="000000"/>
                <w:sz w:val="18"/>
                <w:szCs w:val="18"/>
                <w:lang w:eastAsia="sl-SI"/>
              </w:rPr>
              <w:t> </w:t>
            </w:r>
          </w:p>
        </w:tc>
        <w:tc>
          <w:tcPr>
            <w:tcW w:w="1637" w:type="dxa"/>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274.788.888,2</w:t>
            </w:r>
          </w:p>
        </w:tc>
      </w:tr>
    </w:tbl>
    <w:p w:rsidR="00A720EA" w:rsidRPr="00D050E9" w:rsidRDefault="00A720EA" w:rsidP="001F2E50">
      <w:pPr>
        <w:tabs>
          <w:tab w:val="left" w:pos="284"/>
        </w:tabs>
        <w:autoSpaceDE w:val="0"/>
        <w:autoSpaceDN w:val="0"/>
        <w:adjustRightInd w:val="0"/>
        <w:spacing w:after="0" w:line="276" w:lineRule="auto"/>
        <w:rPr>
          <w:rFonts w:asciiTheme="minorHAnsi" w:hAnsiTheme="minorHAnsi" w:cs="Arial"/>
        </w:rPr>
      </w:pPr>
    </w:p>
    <w:p w:rsidR="00A720EA" w:rsidRPr="00D050E9" w:rsidRDefault="00A720EA" w:rsidP="00A720EA">
      <w:pPr>
        <w:autoSpaceDE w:val="0"/>
        <w:autoSpaceDN w:val="0"/>
        <w:adjustRightInd w:val="0"/>
        <w:spacing w:line="276" w:lineRule="auto"/>
        <w:rPr>
          <w:rFonts w:asciiTheme="minorHAnsi" w:hAnsiTheme="minorHAnsi" w:cs="Arial"/>
          <w:b/>
          <w:i/>
          <w:color w:val="000000"/>
          <w:lang w:eastAsia="sl-SI"/>
        </w:rPr>
      </w:pPr>
      <w:r w:rsidRPr="00D050E9">
        <w:rPr>
          <w:rFonts w:asciiTheme="minorHAnsi" w:hAnsiTheme="minorHAnsi" w:cs="Arial"/>
          <w:b/>
          <w:i/>
          <w:color w:val="000000"/>
          <w:lang w:eastAsia="sl-SI"/>
        </w:rPr>
        <w:t>Podatki iz uradnih evidenc na dan 31. 12. 2017 kažejo, da je bilo v Sloveniji zaposlenih skupaj 863.403 delavcev, od tega 33.248 invalidov, kar predstavlja 3,85 % zaposlenih invalidov od skupnega števila vseh zaposlenih v Sloveniji. Primerjalno z letom 2016 se je delež zaposlenih invalidov ohranil ob hkratnem povečanju števila zaposlenih invalidov; v letu 2017 se je število zaposlenih invalidov povišalo za 1.177 glede na leto 2016. Na podlagi tega resorno ministrstvo ocenjuje, da so imele izplačane državne pomoči odlične pozitivne učinke.</w:t>
      </w:r>
    </w:p>
    <w:p w:rsidR="00A720EA" w:rsidRPr="00D050E9" w:rsidRDefault="00A720EA" w:rsidP="00EB5110">
      <w:pPr>
        <w:spacing w:before="20" w:after="0" w:line="276" w:lineRule="auto"/>
        <w:rPr>
          <w:rFonts w:asciiTheme="minorHAnsi" w:hAnsiTheme="minorHAnsi" w:cs="Arial"/>
          <w:sz w:val="20"/>
          <w:szCs w:val="20"/>
        </w:rPr>
      </w:pPr>
      <w:r w:rsidRPr="00D050E9">
        <w:rPr>
          <w:rFonts w:asciiTheme="minorHAnsi" w:hAnsiTheme="minorHAnsi" w:cs="Arial"/>
          <w:b/>
          <w:i/>
          <w:u w:val="single"/>
        </w:rPr>
        <w:t>Programi zaposlovanja</w:t>
      </w:r>
      <w:r w:rsidRPr="00D050E9">
        <w:rPr>
          <w:rFonts w:asciiTheme="minorHAnsi" w:hAnsiTheme="minorHAnsi" w:cs="Arial"/>
        </w:rPr>
        <w:t xml:space="preserve"> </w:t>
      </w:r>
      <w:r w:rsidRPr="00D050E9">
        <w:rPr>
          <w:rFonts w:asciiTheme="minorHAnsi" w:hAnsiTheme="minorHAnsi" w:cs="Arial"/>
          <w:sz w:val="20"/>
          <w:szCs w:val="20"/>
        </w:rPr>
        <w:t>(BE01-5022860-2012)</w:t>
      </w:r>
    </w:p>
    <w:p w:rsidR="001F2E50" w:rsidRPr="00D050E9" w:rsidRDefault="001F2E50" w:rsidP="001F2E50">
      <w:pPr>
        <w:tabs>
          <w:tab w:val="left" w:pos="284"/>
        </w:tabs>
        <w:autoSpaceDE w:val="0"/>
        <w:autoSpaceDN w:val="0"/>
        <w:adjustRightInd w:val="0"/>
        <w:spacing w:after="0" w:line="276" w:lineRule="auto"/>
        <w:rPr>
          <w:rFonts w:asciiTheme="minorHAnsi" w:hAnsiTheme="minorHAnsi" w:cs="Arial"/>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 xml:space="preserve">Namen sheme je spodbujanje zaposlovanja težje zaposljivih brezposelnih oseb. Ciljna skupina so delodajalci izven javnega sektorja, ki so za polni delovni čas za najmanj eno leto zaposlili osebe s statusom brezposelne osebe, ki so izpolnjevale vsaj enega izmed razpisanih kriterijev. </w:t>
      </w:r>
    </w:p>
    <w:tbl>
      <w:tblPr>
        <w:tblStyle w:val="MediumGrid2-Accent5"/>
        <w:tblW w:w="0" w:type="auto"/>
        <w:tblBorders>
          <w:top w:val="single" w:sz="8" w:space="0" w:color="A7BFDE"/>
          <w:left w:val="none" w:sz="0" w:space="0" w:color="auto"/>
          <w:bottom w:val="single" w:sz="8" w:space="0" w:color="A7BFDE"/>
          <w:right w:val="single" w:sz="8" w:space="0" w:color="A7BFDE"/>
          <w:insideH w:val="single" w:sz="8" w:space="0" w:color="A7BFDE"/>
          <w:insideV w:val="single" w:sz="8" w:space="0" w:color="A7BFDE"/>
        </w:tblBorders>
        <w:tblLook w:val="04A0" w:firstRow="1" w:lastRow="0" w:firstColumn="1" w:lastColumn="0" w:noHBand="0" w:noVBand="1"/>
      </w:tblPr>
      <w:tblGrid>
        <w:gridCol w:w="998"/>
        <w:gridCol w:w="5110"/>
        <w:gridCol w:w="1230"/>
        <w:gridCol w:w="1842"/>
      </w:tblGrid>
      <w:tr w:rsidR="00A720EA" w:rsidRPr="00D050E9" w:rsidTr="001F2E5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0" w:type="auto"/>
            <w:tcBorders>
              <w:left w:val="none" w:sz="0" w:space="0" w:color="auto"/>
              <w:bottom w:val="none" w:sz="0" w:space="0" w:color="auto"/>
              <w:right w:val="none" w:sz="0" w:space="0" w:color="auto"/>
            </w:tcBorders>
            <w:vAlign w:val="center"/>
            <w:hideMark/>
          </w:tcPr>
          <w:p w:rsidR="00A720EA" w:rsidRPr="00D050E9" w:rsidRDefault="00A720EA" w:rsidP="00A720EA">
            <w:pPr>
              <w:spacing w:line="276" w:lineRule="auto"/>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0" w:type="auto"/>
            <w:tcBorders>
              <w:top w:val="single" w:sz="8" w:space="0" w:color="4BACC6" w:themeColor="accent5"/>
              <w:bottom w:val="single" w:sz="8" w:space="0" w:color="4BACC6" w:themeColor="accent5"/>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230" w:type="dxa"/>
            <w:tcBorders>
              <w:top w:val="single" w:sz="8" w:space="0" w:color="4BACC6" w:themeColor="accent5"/>
              <w:bottom w:val="single" w:sz="8" w:space="0" w:color="4BACC6" w:themeColor="accent5"/>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4BACC6" w:themeColor="accent5"/>
              <w:bottom w:val="single" w:sz="8" w:space="0" w:color="4BACC6" w:themeColor="accent5"/>
              <w:right w:val="single" w:sz="8" w:space="0" w:color="4BACC6" w:themeColor="accent5"/>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MDDSZ</w:t>
            </w:r>
          </w:p>
        </w:tc>
        <w:tc>
          <w:tcPr>
            <w:tcW w:w="0" w:type="auto"/>
            <w:tcBorders>
              <w:top w:val="single" w:sz="8" w:space="0" w:color="4BACC6" w:themeColor="accent5"/>
              <w:left w:val="none" w:sz="0" w:space="0" w:color="auto"/>
              <w:bottom w:val="single" w:sz="8" w:space="0" w:color="4BACC6" w:themeColor="accent5"/>
              <w:right w:val="none" w:sz="0" w:space="0" w:color="auto"/>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zaposlovanje prikrajšanih delavcev v obliki subvencij plač</w:t>
            </w:r>
          </w:p>
        </w:tc>
        <w:tc>
          <w:tcPr>
            <w:tcW w:w="1230" w:type="dxa"/>
            <w:tcBorders>
              <w:top w:val="single" w:sz="8" w:space="0" w:color="4BACC6" w:themeColor="accent5"/>
              <w:left w:val="none" w:sz="0" w:space="0" w:color="auto"/>
              <w:bottom w:val="single" w:sz="8" w:space="0" w:color="4BACC6" w:themeColor="accent5"/>
              <w:right w:val="none" w:sz="0" w:space="0" w:color="auto"/>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4BACC6" w:themeColor="accent5"/>
              <w:left w:val="none" w:sz="0" w:space="0" w:color="auto"/>
              <w:bottom w:val="single" w:sz="8" w:space="0" w:color="4BACC6" w:themeColor="accent5"/>
              <w:right w:val="single" w:sz="8" w:space="0" w:color="4BACC6" w:themeColor="accent5"/>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296.786,62</w:t>
            </w:r>
          </w:p>
        </w:tc>
      </w:tr>
    </w:tbl>
    <w:p w:rsidR="00EB5110" w:rsidRPr="00D050E9" w:rsidRDefault="00EB5110" w:rsidP="00EB5110">
      <w:pPr>
        <w:tabs>
          <w:tab w:val="left" w:pos="284"/>
        </w:tabs>
        <w:autoSpaceDE w:val="0"/>
        <w:autoSpaceDN w:val="0"/>
        <w:adjustRightInd w:val="0"/>
        <w:spacing w:after="0" w:line="276" w:lineRule="auto"/>
        <w:rPr>
          <w:rFonts w:asciiTheme="minorHAnsi" w:hAnsiTheme="minorHAnsi" w:cs="Arial"/>
          <w:b/>
          <w:i/>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i/>
        </w:rPr>
      </w:pPr>
      <w:r w:rsidRPr="00D050E9">
        <w:rPr>
          <w:rFonts w:asciiTheme="minorHAnsi" w:hAnsiTheme="minorHAnsi" w:cs="Arial"/>
          <w:b/>
          <w:i/>
        </w:rPr>
        <w:t xml:space="preserve">Cilj ukrepa je bil ohraniti 30-odstotno zaposlitev težje zaposljivih brezposelnih oseb eno leto po izteku pogodbe. V letih 2014 in 2015 se je število težje zaposljivih brezposelnih znižalo za 5,2 % glede na referenčno leto 2013, t.j. na 91.012 oseb. Učinek ukrepa je ocenjen kot pozitiven. </w:t>
      </w:r>
      <w:r w:rsidRPr="00D050E9">
        <w:rPr>
          <w:rFonts w:asciiTheme="minorHAnsi" w:hAnsiTheme="minorHAnsi" w:cs="Arial"/>
        </w:rPr>
        <w:t>V letih 2016 in 2017 ni bilo izplačil pomoči po tej shemi. Ta ukrep se v zadnjih dveh letih ni izvajal, ker podjetja niso zagotovila neto povečanja števila delovnih mest, kar je eden izmed pogojev za dodelitev sredstev.</w:t>
      </w:r>
    </w:p>
    <w:p w:rsidR="001F2E50" w:rsidRPr="00D050E9" w:rsidRDefault="001F2E50" w:rsidP="001F2E50">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Razvojne podpore Pomurski regiji, zaposlovanje</w:t>
      </w:r>
      <w:r w:rsidRPr="00D050E9">
        <w:rPr>
          <w:rFonts w:asciiTheme="minorHAnsi" w:hAnsiTheme="minorHAnsi" w:cs="Arial"/>
        </w:rPr>
        <w:t xml:space="preserve"> </w:t>
      </w:r>
      <w:r w:rsidRPr="00D050E9">
        <w:rPr>
          <w:rFonts w:asciiTheme="minorHAnsi" w:hAnsiTheme="minorHAnsi" w:cs="Arial"/>
          <w:sz w:val="20"/>
          <w:szCs w:val="20"/>
        </w:rPr>
        <w:t>(BE01-5022860-2010)</w:t>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 xml:space="preserve">Namen sheme je ustvarjanje novih delovnih mest, odpravljanje posledic gospodarske in finančne krize v Pomurju ter zaposlitev brezposelnih oseb. Ciljno skupino predstavljajo delodajalci, ki za najmanj dve leti zaposlijo prikrajšanega delavca. </w:t>
      </w:r>
    </w:p>
    <w:tbl>
      <w:tblPr>
        <w:tblStyle w:val="MediumGrid2-Accent5"/>
        <w:tblW w:w="9180" w:type="dxa"/>
        <w:tblLayout w:type="fixed"/>
        <w:tblLook w:val="04A0" w:firstRow="1" w:lastRow="0" w:firstColumn="1" w:lastColumn="0" w:noHBand="0" w:noVBand="1"/>
      </w:tblPr>
      <w:tblGrid>
        <w:gridCol w:w="1020"/>
        <w:gridCol w:w="4191"/>
        <w:gridCol w:w="2268"/>
        <w:gridCol w:w="170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020"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19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2268"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7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0" w:type="dxa"/>
            <w:vMerge w:val="restart"/>
            <w:tcBorders>
              <w:top w:val="single" w:sz="8" w:space="0" w:color="A7BFDE"/>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MDDSZ</w:t>
            </w:r>
          </w:p>
        </w:tc>
        <w:tc>
          <w:tcPr>
            <w:tcW w:w="4191"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Razvojne podpore Pomurski regiji za zaposlovanje prikrajšanih delavcev v obliki subvencij plač</w:t>
            </w:r>
          </w:p>
        </w:tc>
        <w:tc>
          <w:tcPr>
            <w:tcW w:w="226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Znižanje prispevkov za socialno varnost</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5.221,30</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020" w:type="dxa"/>
            <w:vMerge/>
            <w:tcBorders>
              <w:top w:val="single" w:sz="8" w:space="0" w:color="A7BFDE"/>
              <w:bottom w:val="single" w:sz="8" w:space="0" w:color="A7BFDE"/>
              <w:right w:val="single" w:sz="8" w:space="0" w:color="A7BFDE"/>
            </w:tcBorders>
            <w:hideMark/>
          </w:tcPr>
          <w:p w:rsidR="00A720EA" w:rsidRPr="00D050E9" w:rsidRDefault="00A720EA" w:rsidP="00A720EA">
            <w:pPr>
              <w:spacing w:line="276" w:lineRule="auto"/>
              <w:rPr>
                <w:rFonts w:asciiTheme="minorHAnsi" w:hAnsiTheme="minorHAnsi" w:cs="Arial"/>
                <w:color w:val="auto"/>
                <w:sz w:val="18"/>
                <w:szCs w:val="18"/>
                <w:lang w:eastAsia="sl-SI"/>
              </w:rPr>
            </w:pPr>
          </w:p>
        </w:tc>
        <w:tc>
          <w:tcPr>
            <w:tcW w:w="4191" w:type="dxa"/>
            <w:vMerge/>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2268"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Davčne olajšave</w:t>
            </w:r>
          </w:p>
        </w:tc>
        <w:tc>
          <w:tcPr>
            <w:tcW w:w="17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59.544,07</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020" w:type="dxa"/>
            <w:tcBorders>
              <w:top w:val="single" w:sz="8" w:space="0" w:color="A7BFDE"/>
              <w:right w:val="single" w:sz="8" w:space="0" w:color="A7BFDE"/>
            </w:tcBorders>
            <w:vAlign w:val="center"/>
          </w:tcPr>
          <w:p w:rsidR="00A720EA" w:rsidRPr="00D050E9" w:rsidRDefault="00A720EA" w:rsidP="001F2E50">
            <w:pPr>
              <w:rPr>
                <w:rFonts w:asciiTheme="minorHAnsi" w:eastAsia="Times New Roman" w:hAnsiTheme="minorHAnsi" w:cs="Arial"/>
                <w:color w:val="000000"/>
                <w:sz w:val="18"/>
                <w:szCs w:val="18"/>
                <w:lang w:eastAsia="sl-SI"/>
              </w:rPr>
            </w:pPr>
          </w:p>
        </w:tc>
        <w:tc>
          <w:tcPr>
            <w:tcW w:w="4191" w:type="dxa"/>
            <w:tcBorders>
              <w:top w:val="single" w:sz="8" w:space="0" w:color="A7BFDE"/>
              <w:left w:val="single" w:sz="8" w:space="0" w:color="A7BFDE"/>
              <w:bottom w:val="single" w:sz="8" w:space="0" w:color="A7BFDE"/>
              <w:right w:val="nil"/>
            </w:tcBorders>
            <w:shd w:val="clear" w:color="auto" w:fill="D3DFEE"/>
            <w:vAlign w:val="center"/>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SKUPAJ</w:t>
            </w:r>
          </w:p>
        </w:tc>
        <w:tc>
          <w:tcPr>
            <w:tcW w:w="2268" w:type="dxa"/>
            <w:tcBorders>
              <w:top w:val="single" w:sz="8" w:space="0" w:color="A7BFDE"/>
              <w:left w:val="nil"/>
              <w:bottom w:val="single" w:sz="8" w:space="0" w:color="A7BFDE"/>
              <w:right w:val="single" w:sz="8" w:space="0" w:color="A7BFDE"/>
            </w:tcBorders>
            <w:shd w:val="clear" w:color="auto" w:fill="D3DFEE"/>
            <w:vAlign w:val="center"/>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1F2E5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64.765,37</w:t>
            </w:r>
          </w:p>
        </w:tc>
      </w:tr>
    </w:tbl>
    <w:p w:rsidR="001F2E50" w:rsidRPr="00D050E9" w:rsidRDefault="001F2E50" w:rsidP="00A720EA">
      <w:pPr>
        <w:tabs>
          <w:tab w:val="left" w:pos="284"/>
        </w:tabs>
        <w:autoSpaceDE w:val="0"/>
        <w:autoSpaceDN w:val="0"/>
        <w:adjustRightInd w:val="0"/>
        <w:spacing w:line="276" w:lineRule="auto"/>
        <w:rPr>
          <w:rFonts w:asciiTheme="minorHAnsi" w:hAnsiTheme="minorHAnsi" w:cs="Arial"/>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Cilj ukrepa je bil ohraniti 30-odstotno zaposlitev brezposelnih oseb eno leto po izteku pogodbe.</w:t>
      </w:r>
    </w:p>
    <w:p w:rsidR="00A720EA" w:rsidRPr="00D050E9" w:rsidRDefault="00A720EA" w:rsidP="001F2E50">
      <w:pPr>
        <w:spacing w:after="0"/>
        <w:rPr>
          <w:rFonts w:asciiTheme="minorHAnsi" w:hAnsiTheme="minorHAnsi" w:cs="Arial"/>
          <w:i/>
        </w:rPr>
      </w:pPr>
      <w:r w:rsidRPr="00D050E9">
        <w:rPr>
          <w:rFonts w:asciiTheme="minorHAnsi" w:hAnsiTheme="minorHAnsi" w:cs="Arial"/>
          <w:b/>
          <w:i/>
        </w:rPr>
        <w:t xml:space="preserve">V letih 2014 in 2015 se je število težje zaposljivih brezposelnih v Pomurju znižalo za 1,7 % glede na referenčno leto 2012, t.j. na 7.395 oseb. Učinek ukrepa je ocenjen kot pozitiven. </w:t>
      </w:r>
      <w:r w:rsidRPr="00D050E9">
        <w:rPr>
          <w:rFonts w:asciiTheme="minorHAnsi" w:hAnsiTheme="minorHAnsi" w:cs="Arial"/>
        </w:rPr>
        <w:t>V letih 2016 in 2017 po tej shemi ni bilo izplačil pomoči.</w:t>
      </w:r>
    </w:p>
    <w:p w:rsidR="00EB5110" w:rsidRPr="00D050E9" w:rsidRDefault="00EB5110" w:rsidP="00EB5110">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b/>
          <w:i/>
          <w:u w:val="single"/>
        </w:rPr>
      </w:pPr>
      <w:r w:rsidRPr="00D050E9">
        <w:rPr>
          <w:rFonts w:asciiTheme="minorHAnsi" w:hAnsiTheme="minorHAnsi" w:cs="Arial"/>
          <w:b/>
          <w:i/>
          <w:u w:val="single"/>
        </w:rPr>
        <w:t>Povračilo prispevkov delodajalcem, zaposlovanje</w:t>
      </w:r>
      <w:r w:rsidRPr="00D050E9">
        <w:rPr>
          <w:rFonts w:asciiTheme="minorHAnsi" w:hAnsiTheme="minorHAnsi" w:cs="Arial"/>
        </w:rPr>
        <w:t xml:space="preserve"> </w:t>
      </w:r>
      <w:r w:rsidRPr="00D050E9">
        <w:rPr>
          <w:rFonts w:asciiTheme="minorHAnsi" w:hAnsiTheme="minorHAnsi" w:cs="Arial"/>
          <w:sz w:val="20"/>
          <w:szCs w:val="20"/>
        </w:rPr>
        <w:t>(BE01-2067064-2012 in BE04-2399245-2014)</w:t>
      </w:r>
      <w:r w:rsidRPr="00D050E9">
        <w:rPr>
          <w:rFonts w:asciiTheme="minorHAnsi" w:hAnsiTheme="minorHAnsi" w:cs="Arial"/>
          <w:b/>
          <w:i/>
          <w:u w:val="single"/>
        </w:rPr>
        <w:t xml:space="preserve">   </w:t>
      </w:r>
    </w:p>
    <w:p w:rsidR="00A720EA"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Z ukrepi v okviru priglašenih shem se spodbuja zaposlovanje na problemskem območju z visoko brezposelnostjo in sicer s povračilom plačanih prispevkov delodajalca za novo zaposlene težje zaposljive brezposelne osebe. Pri tem je pomembno le, da izbrane osebe ustrezajo ciljnim skupinam ter da se zaposlijo oziroma opravljajo delo na problemskem območju in to najmanj za dobo 12 mesecev.</w:t>
      </w:r>
    </w:p>
    <w:p w:rsidR="001417F9" w:rsidRPr="00D050E9" w:rsidRDefault="001417F9" w:rsidP="00A720EA">
      <w:pPr>
        <w:tabs>
          <w:tab w:val="left" w:pos="284"/>
        </w:tabs>
        <w:autoSpaceDE w:val="0"/>
        <w:autoSpaceDN w:val="0"/>
        <w:adjustRightInd w:val="0"/>
        <w:spacing w:line="276" w:lineRule="auto"/>
        <w:rPr>
          <w:rFonts w:asciiTheme="minorHAnsi" w:hAnsiTheme="minorHAnsi" w:cs="Arial"/>
        </w:rPr>
      </w:pPr>
    </w:p>
    <w:tbl>
      <w:tblPr>
        <w:tblStyle w:val="MediumGrid2-Accent5"/>
        <w:tblW w:w="9180" w:type="dxa"/>
        <w:tblBorders>
          <w:top w:val="single" w:sz="8" w:space="0" w:color="A7BFDE"/>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1242"/>
        <w:gridCol w:w="2103"/>
        <w:gridCol w:w="2292"/>
        <w:gridCol w:w="1984"/>
        <w:gridCol w:w="1559"/>
      </w:tblGrid>
      <w:tr w:rsidR="00A720EA" w:rsidRPr="00D050E9" w:rsidTr="001F2E5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242" w:type="dxa"/>
            <w:tcBorders>
              <w:top w:val="none" w:sz="0" w:space="0" w:color="auto"/>
              <w:bottom w:val="none" w:sz="0" w:space="0" w:color="auto"/>
              <w:right w:val="none" w:sz="0" w:space="0" w:color="auto"/>
            </w:tcBorders>
            <w:hideMark/>
          </w:tcPr>
          <w:p w:rsidR="00A720EA" w:rsidRPr="00D050E9" w:rsidRDefault="00A720EA" w:rsidP="001F2E50">
            <w:pPr>
              <w:spacing w:line="276" w:lineRule="auto"/>
              <w:jc w:val="left"/>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2103" w:type="dxa"/>
            <w:shd w:val="clear" w:color="auto" w:fill="D3DFEE"/>
          </w:tcPr>
          <w:p w:rsidR="00A720EA" w:rsidRPr="00D050E9" w:rsidRDefault="00A720EA" w:rsidP="001F2E50">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Naziv</w:t>
            </w:r>
          </w:p>
        </w:tc>
        <w:tc>
          <w:tcPr>
            <w:tcW w:w="2292" w:type="dxa"/>
            <w:shd w:val="clear" w:color="auto" w:fill="D3DFEE"/>
            <w:hideMark/>
          </w:tcPr>
          <w:p w:rsidR="00A720EA" w:rsidRPr="00D050E9" w:rsidRDefault="00A720EA" w:rsidP="001F2E50">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Namen</w:t>
            </w:r>
          </w:p>
        </w:tc>
        <w:tc>
          <w:tcPr>
            <w:tcW w:w="1984" w:type="dxa"/>
            <w:shd w:val="clear" w:color="auto" w:fill="D3DFEE"/>
            <w:hideMark/>
          </w:tcPr>
          <w:p w:rsidR="00A720EA" w:rsidRPr="00D050E9" w:rsidRDefault="00A720EA" w:rsidP="001F2E50">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Instrument</w:t>
            </w:r>
          </w:p>
        </w:tc>
        <w:tc>
          <w:tcPr>
            <w:tcW w:w="1559" w:type="dxa"/>
            <w:shd w:val="clear" w:color="auto" w:fill="D3DFEE"/>
            <w:hideMark/>
          </w:tcPr>
          <w:p w:rsidR="00A720EA" w:rsidRPr="00D050E9" w:rsidRDefault="00A720EA" w:rsidP="001F2E50">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Skupaj 2015–2017</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bottom w:val="none" w:sz="0" w:space="0" w:color="auto"/>
              <w:right w:val="none" w:sz="0" w:space="0" w:color="auto"/>
            </w:tcBorders>
            <w:vAlign w:val="center"/>
            <w:hideMark/>
          </w:tcPr>
          <w:p w:rsidR="00A720EA" w:rsidRPr="00D050E9" w:rsidRDefault="00A720EA" w:rsidP="001F2E50">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2103" w:type="dxa"/>
            <w:vMerge w:val="restart"/>
            <w:tcBorders>
              <w:left w:val="none" w:sz="0" w:space="0" w:color="auto"/>
              <w:right w:val="none" w:sz="0" w:space="0" w:color="auto"/>
            </w:tcBorders>
            <w:shd w:val="clear" w:color="auto" w:fill="A7BFDE"/>
          </w:tcPr>
          <w:p w:rsidR="00A720EA" w:rsidRPr="00D050E9" w:rsidRDefault="00A720EA" w:rsidP="001F2E50">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Spodbude za zaposlovanje</w:t>
            </w:r>
          </w:p>
        </w:tc>
        <w:tc>
          <w:tcPr>
            <w:tcW w:w="2292" w:type="dxa"/>
            <w:vMerge w:val="restart"/>
            <w:tcBorders>
              <w:left w:val="none" w:sz="0" w:space="0" w:color="auto"/>
              <w:right w:val="none" w:sz="0" w:space="0" w:color="auto"/>
            </w:tcBorders>
            <w:shd w:val="clear" w:color="auto" w:fill="A7BFDE"/>
            <w:hideMark/>
          </w:tcPr>
          <w:p w:rsidR="00A720EA" w:rsidRPr="00D050E9" w:rsidRDefault="00A720EA" w:rsidP="001F2E50">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zaposlovanje prikrajšanih delavcev v obliki subvencij plač</w:t>
            </w:r>
          </w:p>
        </w:tc>
        <w:tc>
          <w:tcPr>
            <w:tcW w:w="1984" w:type="dxa"/>
            <w:tcBorders>
              <w:left w:val="none" w:sz="0" w:space="0" w:color="auto"/>
              <w:right w:val="none" w:sz="0" w:space="0" w:color="auto"/>
            </w:tcBorders>
            <w:shd w:val="clear" w:color="auto" w:fill="A7BFDE"/>
          </w:tcPr>
          <w:p w:rsidR="00A720EA" w:rsidRPr="00D050E9" w:rsidRDefault="00A720EA" w:rsidP="001F2E50">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Znižanje prispevkov za socialno varnost</w:t>
            </w:r>
          </w:p>
        </w:tc>
        <w:tc>
          <w:tcPr>
            <w:tcW w:w="1559" w:type="dxa"/>
            <w:tcBorders>
              <w:left w:val="none" w:sz="0" w:space="0" w:color="auto"/>
            </w:tcBorders>
            <w:shd w:val="clear" w:color="auto" w:fill="A7BFDE"/>
            <w:vAlign w:val="center"/>
          </w:tcPr>
          <w:p w:rsidR="00A720EA" w:rsidRPr="00D050E9" w:rsidRDefault="00A720EA" w:rsidP="001F2E50">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12.794,88</w:t>
            </w:r>
          </w:p>
        </w:tc>
      </w:tr>
      <w:tr w:rsidR="00A720EA" w:rsidRPr="00D050E9" w:rsidTr="001F2E50">
        <w:trPr>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none" w:sz="0" w:space="0" w:color="auto"/>
              <w:right w:val="none" w:sz="0" w:space="0" w:color="auto"/>
            </w:tcBorders>
            <w:hideMark/>
          </w:tcPr>
          <w:p w:rsidR="00A720EA" w:rsidRPr="00D050E9" w:rsidRDefault="00A720EA" w:rsidP="001F2E50">
            <w:pPr>
              <w:spacing w:line="276" w:lineRule="auto"/>
              <w:jc w:val="left"/>
              <w:rPr>
                <w:rFonts w:asciiTheme="minorHAnsi" w:hAnsiTheme="minorHAnsi" w:cs="Arial"/>
                <w:color w:val="auto"/>
                <w:sz w:val="18"/>
                <w:szCs w:val="18"/>
                <w:lang w:eastAsia="sl-SI"/>
              </w:rPr>
            </w:pPr>
          </w:p>
        </w:tc>
        <w:tc>
          <w:tcPr>
            <w:tcW w:w="2103" w:type="dxa"/>
            <w:vMerge/>
            <w:shd w:val="clear" w:color="auto" w:fill="D3DFEE"/>
          </w:tcPr>
          <w:p w:rsidR="00A720EA" w:rsidRPr="00D050E9" w:rsidRDefault="00A720EA" w:rsidP="001F2E50">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2292" w:type="dxa"/>
            <w:vMerge/>
            <w:shd w:val="clear" w:color="auto" w:fill="D3DFEE"/>
            <w:hideMark/>
          </w:tcPr>
          <w:p w:rsidR="00A720EA" w:rsidRPr="00D050E9" w:rsidRDefault="00A720EA" w:rsidP="001F2E50">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984" w:type="dxa"/>
            <w:shd w:val="clear" w:color="auto" w:fill="D3DFEE"/>
            <w:hideMark/>
          </w:tcPr>
          <w:p w:rsidR="00A720EA" w:rsidRPr="00D050E9" w:rsidRDefault="00A720EA" w:rsidP="001F2E50">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Davčne olajšave</w:t>
            </w:r>
          </w:p>
        </w:tc>
        <w:tc>
          <w:tcPr>
            <w:tcW w:w="1559" w:type="dxa"/>
            <w:shd w:val="clear" w:color="auto" w:fill="D3DFEE"/>
            <w:vAlign w:val="center"/>
            <w:hideMark/>
          </w:tcPr>
          <w:p w:rsidR="00A720EA" w:rsidRPr="00D050E9" w:rsidRDefault="00A720EA" w:rsidP="001F2E5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126.926,64</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none" w:sz="0" w:space="0" w:color="auto"/>
              <w:right w:val="none" w:sz="0" w:space="0" w:color="auto"/>
            </w:tcBorders>
          </w:tcPr>
          <w:p w:rsidR="00A720EA" w:rsidRPr="00D050E9" w:rsidRDefault="00A720EA" w:rsidP="001F2E50">
            <w:pPr>
              <w:spacing w:before="240" w:line="276" w:lineRule="auto"/>
              <w:jc w:val="left"/>
              <w:rPr>
                <w:rFonts w:asciiTheme="minorHAnsi" w:hAnsiTheme="minorHAnsi" w:cs="Arial"/>
                <w:sz w:val="18"/>
                <w:szCs w:val="18"/>
                <w:lang w:eastAsia="sl-SI"/>
              </w:rPr>
            </w:pPr>
          </w:p>
        </w:tc>
        <w:tc>
          <w:tcPr>
            <w:tcW w:w="2103" w:type="dxa"/>
            <w:vMerge w:val="restart"/>
            <w:tcBorders>
              <w:left w:val="none" w:sz="0" w:space="0" w:color="auto"/>
              <w:right w:val="none" w:sz="0" w:space="0" w:color="auto"/>
            </w:tcBorders>
            <w:shd w:val="clear" w:color="auto" w:fill="D3DFEE"/>
          </w:tcPr>
          <w:p w:rsidR="00A720EA" w:rsidRPr="00D050E9" w:rsidRDefault="00A720EA" w:rsidP="001F2E50">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Povračilo prispevkov delodajalca in davčna olajšava za zaposlovanje</w:t>
            </w:r>
          </w:p>
        </w:tc>
        <w:tc>
          <w:tcPr>
            <w:tcW w:w="2292" w:type="dxa"/>
            <w:vMerge w:val="restart"/>
            <w:tcBorders>
              <w:left w:val="none" w:sz="0" w:space="0" w:color="auto"/>
              <w:right w:val="none" w:sz="0" w:space="0" w:color="auto"/>
            </w:tcBorders>
            <w:shd w:val="clear" w:color="auto" w:fill="D3DFEE"/>
          </w:tcPr>
          <w:p w:rsidR="00A720EA" w:rsidRPr="00D050E9" w:rsidRDefault="00A720EA" w:rsidP="001F2E50">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zaposlovanje prikrajšanih delavcev v obliki subvencij plač</w:t>
            </w:r>
          </w:p>
        </w:tc>
        <w:tc>
          <w:tcPr>
            <w:tcW w:w="1984" w:type="dxa"/>
            <w:tcBorders>
              <w:left w:val="none" w:sz="0" w:space="0" w:color="auto"/>
              <w:bottom w:val="single" w:sz="8" w:space="0" w:color="A7BFDE"/>
              <w:right w:val="none" w:sz="0" w:space="0" w:color="auto"/>
            </w:tcBorders>
            <w:shd w:val="clear" w:color="auto" w:fill="A7BFDE"/>
          </w:tcPr>
          <w:p w:rsidR="00A720EA" w:rsidRPr="00D050E9" w:rsidRDefault="00A720EA" w:rsidP="001F2E50">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Znižanje prispevkov za socialno varnost</w:t>
            </w:r>
          </w:p>
        </w:tc>
        <w:tc>
          <w:tcPr>
            <w:tcW w:w="1559" w:type="dxa"/>
            <w:tcBorders>
              <w:left w:val="none" w:sz="0" w:space="0" w:color="auto"/>
              <w:bottom w:val="single" w:sz="8" w:space="0" w:color="A7BFDE"/>
            </w:tcBorders>
            <w:shd w:val="clear" w:color="auto" w:fill="A7BFDE"/>
            <w:vAlign w:val="center"/>
          </w:tcPr>
          <w:p w:rsidR="00A720EA" w:rsidRPr="00D050E9" w:rsidRDefault="00A720EA" w:rsidP="001F2E50">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1.680.356,00</w:t>
            </w:r>
          </w:p>
        </w:tc>
      </w:tr>
      <w:tr w:rsidR="00A720EA" w:rsidRPr="00D050E9" w:rsidTr="001F2E50">
        <w:trPr>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8" w:space="0" w:color="A7BFDE"/>
              <w:right w:val="none" w:sz="0" w:space="0" w:color="auto"/>
            </w:tcBorders>
          </w:tcPr>
          <w:p w:rsidR="00A720EA" w:rsidRPr="00D050E9" w:rsidRDefault="00A720EA" w:rsidP="001F2E50">
            <w:pPr>
              <w:spacing w:before="240" w:line="276" w:lineRule="auto"/>
              <w:jc w:val="left"/>
              <w:rPr>
                <w:rFonts w:asciiTheme="minorHAnsi" w:hAnsiTheme="minorHAnsi" w:cs="Arial"/>
                <w:sz w:val="18"/>
                <w:szCs w:val="18"/>
                <w:lang w:eastAsia="sl-SI"/>
              </w:rPr>
            </w:pPr>
          </w:p>
        </w:tc>
        <w:tc>
          <w:tcPr>
            <w:tcW w:w="2103" w:type="dxa"/>
            <w:vMerge/>
          </w:tcPr>
          <w:p w:rsidR="00A720EA" w:rsidRPr="00D050E9" w:rsidRDefault="00A720EA" w:rsidP="001F2E50">
            <w:pPr>
              <w:spacing w:before="12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lang w:eastAsia="sl-SI"/>
              </w:rPr>
            </w:pPr>
          </w:p>
        </w:tc>
        <w:tc>
          <w:tcPr>
            <w:tcW w:w="2292" w:type="dxa"/>
            <w:vMerge/>
          </w:tcPr>
          <w:p w:rsidR="00A720EA" w:rsidRPr="00D050E9" w:rsidRDefault="00A720EA" w:rsidP="001F2E50">
            <w:pPr>
              <w:spacing w:before="12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lang w:eastAsia="sl-SI"/>
              </w:rPr>
            </w:pPr>
          </w:p>
        </w:tc>
        <w:tc>
          <w:tcPr>
            <w:tcW w:w="1984" w:type="dxa"/>
            <w:shd w:val="clear" w:color="auto" w:fill="D3DFEE"/>
          </w:tcPr>
          <w:p w:rsidR="00A720EA" w:rsidRPr="00D050E9" w:rsidRDefault="00A720EA" w:rsidP="001F2E50">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Davčne olajšave</w:t>
            </w:r>
          </w:p>
        </w:tc>
        <w:tc>
          <w:tcPr>
            <w:tcW w:w="1559" w:type="dxa"/>
            <w:shd w:val="clear" w:color="auto" w:fill="D3DFEE"/>
            <w:vAlign w:val="center"/>
          </w:tcPr>
          <w:p w:rsidR="00A720EA" w:rsidRPr="00D050E9" w:rsidRDefault="00A720EA" w:rsidP="001F2E5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537.203,35</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tcPr>
          <w:p w:rsidR="00A720EA" w:rsidRPr="00D050E9" w:rsidRDefault="00A720EA" w:rsidP="001F2E50">
            <w:pPr>
              <w:rPr>
                <w:rFonts w:asciiTheme="minorHAnsi" w:eastAsia="Times New Roman" w:hAnsiTheme="minorHAnsi" w:cs="Arial"/>
                <w:color w:val="000000"/>
                <w:sz w:val="18"/>
                <w:szCs w:val="18"/>
                <w:lang w:eastAsia="sl-SI"/>
              </w:rPr>
            </w:pPr>
          </w:p>
        </w:tc>
        <w:tc>
          <w:tcPr>
            <w:tcW w:w="2103" w:type="dxa"/>
            <w:tcBorders>
              <w:left w:val="none" w:sz="0" w:space="0" w:color="auto"/>
              <w:right w:val="none" w:sz="0" w:space="0" w:color="auto"/>
            </w:tcBorders>
            <w:shd w:val="clear" w:color="auto" w:fill="A7BFDE"/>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8"/>
                <w:szCs w:val="18"/>
                <w:lang w:eastAsia="sl-SI"/>
              </w:rPr>
            </w:pPr>
            <w:r w:rsidRPr="00D050E9">
              <w:rPr>
                <w:rFonts w:asciiTheme="minorHAnsi" w:eastAsia="Times New Roman" w:hAnsiTheme="minorHAnsi" w:cs="Arial"/>
                <w:b/>
                <w:bCs/>
                <w:color w:val="000000"/>
                <w:sz w:val="18"/>
                <w:szCs w:val="18"/>
                <w:lang w:eastAsia="sl-SI"/>
              </w:rPr>
              <w:t>SKUPAJ</w:t>
            </w:r>
          </w:p>
        </w:tc>
        <w:tc>
          <w:tcPr>
            <w:tcW w:w="2292" w:type="dxa"/>
            <w:tcBorders>
              <w:left w:val="none" w:sz="0" w:space="0" w:color="auto"/>
              <w:right w:val="none" w:sz="0" w:space="0" w:color="auto"/>
            </w:tcBorders>
            <w:shd w:val="clear" w:color="auto" w:fill="A7BFDE"/>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p>
        </w:tc>
        <w:tc>
          <w:tcPr>
            <w:tcW w:w="1984" w:type="dxa"/>
            <w:tcBorders>
              <w:left w:val="none" w:sz="0" w:space="0" w:color="auto"/>
              <w:right w:val="none" w:sz="0" w:space="0" w:color="auto"/>
            </w:tcBorders>
            <w:shd w:val="clear" w:color="auto" w:fill="A7BFDE"/>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p>
        </w:tc>
        <w:tc>
          <w:tcPr>
            <w:tcW w:w="1559" w:type="dxa"/>
            <w:tcBorders>
              <w:left w:val="none" w:sz="0" w:space="0" w:color="auto"/>
            </w:tcBorders>
            <w:shd w:val="clear" w:color="auto" w:fill="A7BFDE"/>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2.357.280,87</w:t>
            </w:r>
          </w:p>
        </w:tc>
      </w:tr>
    </w:tbl>
    <w:p w:rsidR="00A720EA" w:rsidRPr="00D050E9" w:rsidRDefault="00A720EA" w:rsidP="001F2E50">
      <w:pPr>
        <w:spacing w:after="0"/>
        <w:rPr>
          <w:rFonts w:asciiTheme="minorHAnsi" w:hAnsiTheme="minorHAnsi" w:cs="Arial"/>
          <w:b/>
        </w:rPr>
      </w:pPr>
    </w:p>
    <w:p w:rsidR="00A720EA" w:rsidRPr="00D050E9" w:rsidRDefault="00A720EA" w:rsidP="001F2E50">
      <w:pPr>
        <w:tabs>
          <w:tab w:val="left" w:pos="284"/>
        </w:tabs>
        <w:autoSpaceDE w:val="0"/>
        <w:autoSpaceDN w:val="0"/>
        <w:adjustRightInd w:val="0"/>
        <w:spacing w:after="0" w:line="276" w:lineRule="auto"/>
        <w:rPr>
          <w:rFonts w:asciiTheme="minorHAnsi" w:hAnsiTheme="minorHAnsi"/>
          <w:b/>
          <w:i/>
        </w:rPr>
      </w:pPr>
      <w:r w:rsidRPr="00D050E9">
        <w:rPr>
          <w:rFonts w:asciiTheme="minorHAnsi" w:hAnsiTheme="minorHAnsi"/>
        </w:rPr>
        <w:t>V okviru sheme</w:t>
      </w:r>
      <w:r w:rsidRPr="00D050E9">
        <w:rPr>
          <w:rFonts w:asciiTheme="minorHAnsi" w:hAnsiTheme="minorHAnsi"/>
          <w:b/>
          <w:i/>
        </w:rPr>
        <w:t xml:space="preserve"> </w:t>
      </w:r>
      <w:r w:rsidRPr="00D050E9">
        <w:rPr>
          <w:rFonts w:asciiTheme="minorHAnsi" w:hAnsiTheme="minorHAnsi"/>
          <w:b/>
        </w:rPr>
        <w:t xml:space="preserve">»Spodbude za zaposlovanje«, </w:t>
      </w:r>
      <w:r w:rsidRPr="00D050E9">
        <w:rPr>
          <w:rFonts w:asciiTheme="minorHAnsi" w:hAnsiTheme="minorHAnsi"/>
        </w:rPr>
        <w:t>ki temelji na Zakonu o spodbujanju skladnega regionalnega razvoja</w:t>
      </w:r>
      <w:r w:rsidRPr="00D050E9">
        <w:rPr>
          <w:rFonts w:asciiTheme="minorHAnsi" w:hAnsiTheme="minorHAnsi"/>
          <w:b/>
          <w:i/>
        </w:rPr>
        <w:t xml:space="preserve"> </w:t>
      </w:r>
      <w:r w:rsidRPr="00D050E9">
        <w:rPr>
          <w:rFonts w:asciiTheme="minorHAnsi" w:hAnsiTheme="minorHAnsi"/>
        </w:rPr>
        <w:t>(problemsko območje Pokolpje)</w:t>
      </w:r>
      <w:r w:rsidRPr="00D050E9">
        <w:rPr>
          <w:rFonts w:asciiTheme="minorHAnsi" w:hAnsiTheme="minorHAnsi"/>
          <w:b/>
          <w:i/>
        </w:rPr>
        <w:t xml:space="preserve">: </w:t>
      </w:r>
    </w:p>
    <w:p w:rsidR="00A720EA" w:rsidRPr="00D050E9" w:rsidRDefault="00A720EA" w:rsidP="001F2E50">
      <w:pPr>
        <w:pStyle w:val="ListParagraph"/>
        <w:numPr>
          <w:ilvl w:val="0"/>
          <w:numId w:val="21"/>
        </w:num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 xml:space="preserve">je bilo v </w:t>
      </w:r>
      <w:r w:rsidRPr="00382AF7">
        <w:rPr>
          <w:rFonts w:asciiTheme="minorHAnsi" w:hAnsiTheme="minorHAnsi"/>
        </w:rPr>
        <w:t xml:space="preserve">letu 2015 realiziranih 84.680 EUR </w:t>
      </w:r>
      <w:r w:rsidR="00B700FF" w:rsidRPr="00382AF7">
        <w:rPr>
          <w:rFonts w:asciiTheme="minorHAnsi" w:hAnsiTheme="minorHAnsi"/>
        </w:rPr>
        <w:t xml:space="preserve">povračil prispevkov </w:t>
      </w:r>
      <w:r w:rsidRPr="00382AF7">
        <w:rPr>
          <w:rFonts w:asciiTheme="minorHAnsi" w:hAnsiTheme="minorHAnsi"/>
        </w:rPr>
        <w:t>za 19 oseb iz ciljne</w:t>
      </w:r>
      <w:r w:rsidRPr="00D050E9">
        <w:rPr>
          <w:rFonts w:asciiTheme="minorHAnsi" w:hAnsiTheme="minorHAnsi"/>
        </w:rPr>
        <w:t xml:space="preserve"> skupine, za katere so delodajalci predložili vlogo Zavodu za zaposlovanje. </w:t>
      </w:r>
    </w:p>
    <w:p w:rsidR="00A720EA" w:rsidRPr="00D050E9" w:rsidRDefault="00A720EA" w:rsidP="00C93FA7">
      <w:pPr>
        <w:pStyle w:val="ListParagraph"/>
        <w:numPr>
          <w:ilvl w:val="0"/>
          <w:numId w:val="21"/>
        </w:num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V letu 2016 po tej shemi ni bilo več izplačil pomoči.</w:t>
      </w:r>
    </w:p>
    <w:p w:rsidR="002F606A" w:rsidRDefault="002F606A" w:rsidP="002F606A">
      <w:pPr>
        <w:autoSpaceDE w:val="0"/>
        <w:autoSpaceDN w:val="0"/>
        <w:spacing w:after="0" w:line="276" w:lineRule="auto"/>
        <w:rPr>
          <w:rFonts w:asciiTheme="minorHAnsi" w:hAnsiTheme="minorHAnsi"/>
        </w:rPr>
      </w:pPr>
    </w:p>
    <w:p w:rsidR="00382AF7" w:rsidRPr="00382AF7" w:rsidRDefault="00382AF7" w:rsidP="002F606A">
      <w:pPr>
        <w:autoSpaceDE w:val="0"/>
        <w:autoSpaceDN w:val="0"/>
        <w:spacing w:after="0" w:line="276" w:lineRule="auto"/>
        <w:rPr>
          <w:rFonts w:asciiTheme="minorHAnsi" w:hAnsiTheme="minorHAnsi"/>
        </w:rPr>
      </w:pPr>
      <w:r w:rsidRPr="00382AF7">
        <w:rPr>
          <w:rFonts w:asciiTheme="minorHAnsi" w:hAnsiTheme="minorHAnsi"/>
        </w:rPr>
        <w:t>V letu 2017 so bila po shemi</w:t>
      </w:r>
      <w:r w:rsidRPr="00382AF7">
        <w:rPr>
          <w:rFonts w:asciiTheme="minorHAnsi" w:hAnsiTheme="minorHAnsi"/>
          <w:b/>
          <w:bCs/>
          <w:i/>
          <w:iCs/>
        </w:rPr>
        <w:t xml:space="preserve"> </w:t>
      </w:r>
      <w:r w:rsidRPr="00382AF7">
        <w:rPr>
          <w:rFonts w:asciiTheme="minorHAnsi" w:hAnsiTheme="minorHAnsi"/>
          <w:b/>
          <w:bCs/>
        </w:rPr>
        <w:t>»Povračilo prispevkov delodajalca in davčna olajšava za zaposlovanje«</w:t>
      </w:r>
      <w:r w:rsidRPr="00382AF7">
        <w:rPr>
          <w:rFonts w:asciiTheme="minorHAnsi" w:hAnsiTheme="minorHAnsi"/>
          <w:b/>
          <w:bCs/>
          <w:i/>
          <w:iCs/>
        </w:rPr>
        <w:t xml:space="preserve"> </w:t>
      </w:r>
      <w:r w:rsidRPr="00382AF7">
        <w:rPr>
          <w:rFonts w:asciiTheme="minorHAnsi" w:hAnsiTheme="minorHAnsi"/>
        </w:rPr>
        <w:t xml:space="preserve">(problemska območja Pokolpje, Maribor z okolico, Hrastnik, Radeče in Trbovlje ter Pomurska regija) sredstva izplačana za dva ukrepa: </w:t>
      </w:r>
    </w:p>
    <w:p w:rsidR="00382AF7" w:rsidRPr="00382AF7" w:rsidRDefault="00382AF7" w:rsidP="00382AF7">
      <w:pPr>
        <w:numPr>
          <w:ilvl w:val="0"/>
          <w:numId w:val="41"/>
        </w:numPr>
        <w:spacing w:after="0" w:line="276" w:lineRule="auto"/>
        <w:rPr>
          <w:rFonts w:asciiTheme="minorHAnsi" w:eastAsia="Times New Roman" w:hAnsiTheme="minorHAnsi"/>
        </w:rPr>
      </w:pPr>
      <w:r w:rsidRPr="00382AF7">
        <w:rPr>
          <w:rFonts w:asciiTheme="minorHAnsi" w:eastAsia="Times New Roman" w:hAnsiTheme="minorHAnsi"/>
        </w:rPr>
        <w:t xml:space="preserve">povračilo prispevkov na podlagi Zakona o spodbujanju skladnega regionalnega razvoja ZSRR-2: </w:t>
      </w:r>
      <w:r w:rsidRPr="00382AF7">
        <w:rPr>
          <w:rFonts w:asciiTheme="minorHAnsi" w:eastAsia="Times New Roman" w:hAnsiTheme="minorHAnsi"/>
          <w:b/>
          <w:bCs/>
          <w:i/>
          <w:iCs/>
        </w:rPr>
        <w:t>249.716,47 EUR za 148 oseb iz ciljne skupine, kar je 22 % manj od planiranih zaposlitev</w:t>
      </w:r>
      <w:r w:rsidRPr="00382AF7">
        <w:rPr>
          <w:rFonts w:asciiTheme="minorHAnsi" w:eastAsia="Times New Roman" w:hAnsiTheme="minorHAnsi"/>
        </w:rPr>
        <w:t xml:space="preserve"> </w:t>
      </w:r>
      <w:r w:rsidRPr="00382AF7">
        <w:rPr>
          <w:rFonts w:asciiTheme="minorHAnsi" w:eastAsia="Times New Roman" w:hAnsiTheme="minorHAnsi"/>
          <w:b/>
          <w:bCs/>
          <w:i/>
          <w:iCs/>
        </w:rPr>
        <w:t xml:space="preserve">in ocenjena je 50-odstotna ohranitev zaposlitev tudi po letu, za katerega so bili povrnjeni plačani prispevki; učinek je pozitiven, </w:t>
      </w:r>
      <w:r w:rsidRPr="00382AF7">
        <w:rPr>
          <w:rFonts w:asciiTheme="minorHAnsi" w:eastAsia="Times New Roman" w:hAnsiTheme="minorHAnsi"/>
          <w:i/>
          <w:iCs/>
        </w:rPr>
        <w:t>saj se je število težje zaposljivih v Pokolpju, Mariboru z okolico, Hrastniku, Radečah in Trbovljah v letu  2017 zmanjšalo kar za četrtino glede na leto 2015, in sicer na 11.016 oseb  (dec. 2017)</w:t>
      </w:r>
      <w:r w:rsidRPr="00382AF7">
        <w:rPr>
          <w:rFonts w:asciiTheme="minorHAnsi" w:eastAsia="Times New Roman" w:hAnsiTheme="minorHAnsi"/>
        </w:rPr>
        <w:t>; in</w:t>
      </w:r>
    </w:p>
    <w:p w:rsidR="00382AF7" w:rsidRPr="00382AF7" w:rsidRDefault="00382AF7" w:rsidP="00382AF7">
      <w:pPr>
        <w:numPr>
          <w:ilvl w:val="0"/>
          <w:numId w:val="41"/>
        </w:numPr>
        <w:spacing w:after="0" w:line="276" w:lineRule="auto"/>
        <w:rPr>
          <w:rFonts w:asciiTheme="minorHAnsi" w:eastAsia="Times New Roman" w:hAnsiTheme="minorHAnsi"/>
        </w:rPr>
      </w:pPr>
      <w:r w:rsidRPr="00382AF7">
        <w:rPr>
          <w:rFonts w:asciiTheme="minorHAnsi" w:eastAsia="Times New Roman" w:hAnsiTheme="minorHAnsi"/>
        </w:rPr>
        <w:t xml:space="preserve">povračilo prispevkov na podlagi Zakona o razvojni podpori Pomurski regiji v obdobju 2010–2015: </w:t>
      </w:r>
      <w:r w:rsidRPr="00382AF7">
        <w:rPr>
          <w:rFonts w:asciiTheme="minorHAnsi" w:eastAsia="Times New Roman" w:hAnsiTheme="minorHAnsi"/>
          <w:b/>
          <w:bCs/>
          <w:i/>
          <w:iCs/>
        </w:rPr>
        <w:t xml:space="preserve">800.480,29 EUR za 327 oseb iz ciljne skupine, kar je 26 % več od planiranih zaposlitev; učinek je pozitiven, </w:t>
      </w:r>
      <w:r w:rsidRPr="00382AF7">
        <w:rPr>
          <w:rFonts w:asciiTheme="minorHAnsi" w:eastAsia="Times New Roman" w:hAnsiTheme="minorHAnsi"/>
          <w:i/>
          <w:iCs/>
        </w:rPr>
        <w:t>saj se je število težje zaposljivih brezposelnih v Pomurju v 2017 zmanjšalo za četrtino na 6.302 v primerjavi z dec. 2014</w:t>
      </w:r>
      <w:r w:rsidRPr="00382AF7">
        <w:rPr>
          <w:rFonts w:asciiTheme="minorHAnsi" w:eastAsia="Times New Roman" w:hAnsiTheme="minorHAnsi"/>
          <w:b/>
          <w:bCs/>
          <w:i/>
          <w:iCs/>
        </w:rPr>
        <w:t>.</w:t>
      </w:r>
    </w:p>
    <w:p w:rsidR="00382AF7" w:rsidRPr="00382AF7" w:rsidRDefault="00382AF7" w:rsidP="00382AF7">
      <w:pPr>
        <w:spacing w:line="276" w:lineRule="auto"/>
        <w:ind w:left="720"/>
        <w:rPr>
          <w:rFonts w:asciiTheme="minorHAnsi" w:hAnsiTheme="minorHAnsi"/>
        </w:rPr>
      </w:pPr>
      <w:r w:rsidRPr="00382AF7">
        <w:rPr>
          <w:rFonts w:asciiTheme="minorHAnsi" w:hAnsiTheme="minorHAnsi"/>
        </w:rPr>
        <w:t>V zadnjih dveh letih (2016 in 2017) se je zanimanje delodajalcev za predmetno pomoč precej povečalo, kar nakazuje tudi rezultat realiziranih zaposlitev, predvsem na račun zaposlovanja prikrajšanih delavcev v pomurski družbi ARUM d.o.o. Podjetje je namreč poleg drugega zaposlovanja, ki ni predmet tega poročila, s finančno pomočjo države v preteklih dveh letih zaposlilo kar 197 prikrajšanih delavcev, s čimer si država prizadeva k znižanju stroškov dela delodajalcev in s tem k ohranitvi pomurske tekstilne industrije.</w:t>
      </w:r>
    </w:p>
    <w:p w:rsidR="00382AF7" w:rsidRDefault="00382AF7" w:rsidP="001F2E50">
      <w:pPr>
        <w:tabs>
          <w:tab w:val="left" w:pos="284"/>
        </w:tabs>
        <w:autoSpaceDE w:val="0"/>
        <w:autoSpaceDN w:val="0"/>
        <w:adjustRightInd w:val="0"/>
        <w:spacing w:after="0" w:line="276" w:lineRule="auto"/>
        <w:rPr>
          <w:rFonts w:asciiTheme="minorHAnsi" w:hAnsiTheme="minorHAnsi"/>
          <w:highlight w:val="lightGray"/>
        </w:rPr>
      </w:pPr>
    </w:p>
    <w:p w:rsidR="00A720EA" w:rsidRPr="00D050E9" w:rsidRDefault="00A720EA" w:rsidP="00B9182A">
      <w:pPr>
        <w:pStyle w:val="Heading3USPENOST"/>
        <w:numPr>
          <w:ilvl w:val="2"/>
          <w:numId w:val="16"/>
        </w:numPr>
      </w:pPr>
      <w:bookmarkStart w:id="160" w:name="_Toc530654569"/>
      <w:bookmarkStart w:id="161" w:name="_Toc465170744"/>
      <w:bookmarkStart w:id="162" w:name="_Toc470776358"/>
      <w:bookmarkStart w:id="163" w:name="_Toc497749226"/>
      <w:bookmarkStart w:id="164" w:name="_Toc501099233"/>
      <w:r w:rsidRPr="00D050E9">
        <w:t>Raziskave in razvoj ter inovacije</w:t>
      </w:r>
      <w:bookmarkEnd w:id="160"/>
    </w:p>
    <w:p w:rsidR="00EB5110" w:rsidRPr="00D050E9" w:rsidRDefault="00EB5110" w:rsidP="00EB5110">
      <w:pPr>
        <w:spacing w:after="0" w:line="276" w:lineRule="auto"/>
        <w:rPr>
          <w:rFonts w:asciiTheme="minorHAnsi" w:hAnsiTheme="minorHAnsi" w:cs="Arial"/>
        </w:rPr>
      </w:pPr>
    </w:p>
    <w:p w:rsidR="00A720EA" w:rsidRDefault="00A720EA" w:rsidP="00A720EA">
      <w:pPr>
        <w:spacing w:line="276" w:lineRule="auto"/>
        <w:rPr>
          <w:rFonts w:asciiTheme="minorHAnsi" w:hAnsiTheme="minorHAnsi" w:cs="Arial"/>
        </w:rPr>
      </w:pPr>
      <w:r w:rsidRPr="00D050E9">
        <w:rPr>
          <w:rFonts w:asciiTheme="minorHAnsi" w:hAnsiTheme="minorHAnsi" w:cs="Arial"/>
        </w:rPr>
        <w:t xml:space="preserve">Pomoč za raziskave in razvoj ter pomoč za inovacije lahko prispevata k trajnostni gospodarski rasti, okrepita konkurenčnost in spodbudita zaposlovanje. Pri pomočeh za raziskovalne in razvojne projekte se pomoči delijo na kategorije temeljnih raziskav, industrijskih raziskav ali eksperimentalnega razvoja. Javne raziskovalne infrastrukture bi morale v čim večji meri nadaljevati partnerstvo z industrijskimi raziskavami. </w:t>
      </w:r>
    </w:p>
    <w:p w:rsidR="002F606A" w:rsidRPr="00D050E9" w:rsidRDefault="002F606A" w:rsidP="00A720EA">
      <w:pPr>
        <w:spacing w:line="276" w:lineRule="auto"/>
        <w:rPr>
          <w:rFonts w:asciiTheme="minorHAnsi" w:hAnsiTheme="minorHAnsi" w:cs="Arial"/>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Programi spodbujanja tehnološkega razvoja</w:t>
      </w:r>
      <w:r w:rsidRPr="00D050E9">
        <w:rPr>
          <w:rFonts w:asciiTheme="minorHAnsi" w:hAnsiTheme="minorHAnsi" w:cs="Arial"/>
          <w:sz w:val="20"/>
          <w:szCs w:val="20"/>
        </w:rPr>
        <w:t xml:space="preserve"> (0001-2045419-2006 in BE01-2399245-2012)</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Osnovo za usmerjanje dejavnosti na področju tehnološkega razvoja v Sloveniji predstavljata Program za spodbujanje tehnološkega razvoja ter informacijske družbe za obdobje </w:t>
      </w:r>
      <w:r w:rsidR="00E91284">
        <w:rPr>
          <w:rFonts w:asciiTheme="minorHAnsi" w:hAnsiTheme="minorHAnsi" w:cs="Arial"/>
        </w:rPr>
        <w:t>2007–2012</w:t>
      </w:r>
      <w:r w:rsidRPr="00D050E9">
        <w:rPr>
          <w:rFonts w:asciiTheme="minorHAnsi" w:hAnsiTheme="minorHAnsi" w:cs="Arial"/>
        </w:rPr>
        <w:t xml:space="preserve"> (v nadaljevanju: Program ukrepov </w:t>
      </w:r>
      <w:r w:rsidR="00E91284">
        <w:rPr>
          <w:rFonts w:asciiTheme="minorHAnsi" w:hAnsiTheme="minorHAnsi" w:cs="Arial"/>
        </w:rPr>
        <w:t>2007–2012</w:t>
      </w:r>
      <w:r w:rsidRPr="00D050E9">
        <w:rPr>
          <w:rFonts w:asciiTheme="minorHAnsi" w:hAnsiTheme="minorHAnsi" w:cs="Arial"/>
        </w:rPr>
        <w:t>) in Program za spodbujanje tehnološkega razvoja in inovacij v letu 2013 in 2014 (v nadaljevanju: Program ukrepov 2013</w:t>
      </w:r>
      <w:r w:rsidR="00CC2F87">
        <w:rPr>
          <w:rFonts w:asciiTheme="minorHAnsi" w:hAnsiTheme="minorHAnsi" w:cs="Arial"/>
        </w:rPr>
        <w:t>–</w:t>
      </w:r>
      <w:r w:rsidRPr="00D050E9">
        <w:rPr>
          <w:rFonts w:asciiTheme="minorHAnsi" w:hAnsiTheme="minorHAnsi" w:cs="Arial"/>
        </w:rPr>
        <w:t xml:space="preserve">2014). Izvajata ju MIZŠ in MGRT. Oba programa predstavlja akcijska dokumenta za izvedbo ukrepov, ki so zapisani v strategijah razvoja Slovenije. </w:t>
      </w:r>
    </w:p>
    <w:p w:rsidR="00A720EA" w:rsidRPr="00D050E9" w:rsidRDefault="00A720EA" w:rsidP="00EB5110">
      <w:pPr>
        <w:spacing w:after="0" w:line="276" w:lineRule="auto"/>
        <w:rPr>
          <w:rFonts w:asciiTheme="minorHAnsi" w:hAnsiTheme="minorHAnsi" w:cs="Arial"/>
          <w:lang w:eastAsia="sl-SI"/>
        </w:rPr>
      </w:pPr>
      <w:r w:rsidRPr="00D050E9">
        <w:rPr>
          <w:rFonts w:asciiTheme="minorHAnsi" w:hAnsiTheme="minorHAnsi" w:cs="Arial"/>
          <w:b/>
        </w:rPr>
        <w:t xml:space="preserve">Program ukrepov </w:t>
      </w:r>
      <w:r w:rsidR="00E91284">
        <w:rPr>
          <w:rFonts w:asciiTheme="minorHAnsi" w:hAnsiTheme="minorHAnsi" w:cs="Arial"/>
          <w:b/>
        </w:rPr>
        <w:t>2007</w:t>
      </w:r>
      <w:r w:rsidR="00CC2F87">
        <w:rPr>
          <w:rFonts w:asciiTheme="minorHAnsi" w:hAnsiTheme="minorHAnsi" w:cs="Arial"/>
          <w:b/>
        </w:rPr>
        <w:t>–</w:t>
      </w:r>
      <w:r w:rsidR="00E91284">
        <w:rPr>
          <w:rFonts w:asciiTheme="minorHAnsi" w:hAnsiTheme="minorHAnsi" w:cs="Arial"/>
          <w:b/>
        </w:rPr>
        <w:t>2012</w:t>
      </w:r>
      <w:r w:rsidRPr="00D050E9">
        <w:rPr>
          <w:rFonts w:asciiTheme="minorHAnsi" w:hAnsiTheme="minorHAnsi" w:cs="Arial"/>
          <w:b/>
        </w:rPr>
        <w:t xml:space="preserve"> </w:t>
      </w:r>
      <w:r w:rsidRPr="00D050E9">
        <w:rPr>
          <w:rFonts w:asciiTheme="minorHAnsi" w:hAnsiTheme="minorHAnsi" w:cs="Arial"/>
        </w:rPr>
        <w:t>je sestavljen iz dveh sklopov: Z</w:t>
      </w:r>
      <w:r w:rsidRPr="00D050E9">
        <w:rPr>
          <w:rFonts w:asciiTheme="minorHAnsi" w:hAnsiTheme="minorHAnsi" w:cs="Arial"/>
          <w:lang w:eastAsia="sl-SI"/>
        </w:rPr>
        <w:t>nanje za razvoj in Izboljšanje konkurenčnih sposobnosti podjetij z namenom doseganja dolgoročnih ciljev:</w:t>
      </w:r>
    </w:p>
    <w:p w:rsidR="00A720EA" w:rsidRPr="00D050E9" w:rsidRDefault="00A720EA" w:rsidP="00EB5110">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povečati vlaganja v raziskave in razvoj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povečati delež inovativnih podjetij,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dvigniti delež visokih tehnologij v izvozu in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spodbuditi povezovanje znanja in kompetenc podjetij in raziskovalnih organizacij. </w:t>
      </w:r>
    </w:p>
    <w:p w:rsidR="00A720EA" w:rsidRPr="00D050E9" w:rsidRDefault="00A720EA" w:rsidP="00A720EA">
      <w:pPr>
        <w:spacing w:line="276" w:lineRule="auto"/>
        <w:contextualSpacing/>
        <w:rPr>
          <w:rFonts w:asciiTheme="minorHAnsi" w:hAnsiTheme="minorHAnsi" w:cs="Arial"/>
          <w:lang w:eastAsia="x-none"/>
        </w:rPr>
      </w:pPr>
    </w:p>
    <w:p w:rsidR="00A720EA" w:rsidRPr="00D050E9" w:rsidRDefault="00A720EA" w:rsidP="00A720EA">
      <w:pPr>
        <w:spacing w:line="276" w:lineRule="auto"/>
        <w:contextualSpacing/>
        <w:rPr>
          <w:rFonts w:asciiTheme="minorHAnsi" w:hAnsiTheme="minorHAnsi" w:cs="Arial"/>
          <w:lang w:eastAsia="x-none"/>
        </w:rPr>
      </w:pPr>
      <w:r w:rsidRPr="00D050E9">
        <w:rPr>
          <w:rFonts w:asciiTheme="minorHAnsi" w:hAnsiTheme="minorHAnsi" w:cs="Arial"/>
          <w:lang w:eastAsia="x-none"/>
        </w:rPr>
        <w:t>Letni pričakovani rezultati so podpreti 50 novih mladih raziskovalcev za gospodarstvo in 20 novih mednarodnih industrijskih projektov. Uporabljeni kazalniki za merjenje učinkovitosti so:</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število podprtih razvojnih timov za industrijske raziskave v podjetjih (cilj je 10 na leto),</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število novih delovnih mest v podprtih podjetjih (cilj je bil 200 do konca leta 2013),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višja rast dodane vrednosti v podprtih podjetjih od povprečja v panogi (preseganje za 3 %),</w:t>
      </w:r>
    </w:p>
    <w:p w:rsidR="00A720EA" w:rsidRPr="00D050E9" w:rsidRDefault="00A720EA" w:rsidP="00C93FA7">
      <w:pPr>
        <w:numPr>
          <w:ilvl w:val="0"/>
          <w:numId w:val="23"/>
        </w:numPr>
        <w:spacing w:after="0" w:line="276" w:lineRule="auto"/>
        <w:contextualSpacing/>
        <w:rPr>
          <w:rFonts w:asciiTheme="minorHAnsi" w:hAnsiTheme="minorHAnsi" w:cs="Arial"/>
          <w:lang w:eastAsia="sl-SI"/>
        </w:rPr>
      </w:pPr>
      <w:r w:rsidRPr="00D050E9">
        <w:rPr>
          <w:rFonts w:asciiTheme="minorHAnsi" w:hAnsiTheme="minorHAnsi" w:cs="Arial"/>
          <w:lang w:eastAsia="x-none"/>
        </w:rPr>
        <w:t>letno število prijavljenih evropskih patentov na milijon prebivalcev v Sloveniji (100 ob koncu leta 2013).</w:t>
      </w:r>
    </w:p>
    <w:p w:rsidR="00EB5110" w:rsidRPr="00D050E9" w:rsidRDefault="00EB5110" w:rsidP="00EB5110">
      <w:pPr>
        <w:spacing w:after="0" w:line="276" w:lineRule="auto"/>
        <w:rPr>
          <w:rFonts w:asciiTheme="minorHAnsi" w:hAnsiTheme="minorHAnsi" w:cs="Arial"/>
          <w:b/>
          <w:lang w:eastAsia="sl-SI"/>
        </w:rPr>
      </w:pPr>
    </w:p>
    <w:p w:rsidR="00A720EA" w:rsidRPr="00D050E9" w:rsidRDefault="00A720EA" w:rsidP="00EB5110">
      <w:pPr>
        <w:spacing w:after="0" w:line="276" w:lineRule="auto"/>
        <w:rPr>
          <w:rFonts w:asciiTheme="minorHAnsi" w:hAnsiTheme="minorHAnsi" w:cs="Arial"/>
          <w:lang w:eastAsia="sl-SI"/>
        </w:rPr>
      </w:pPr>
      <w:r w:rsidRPr="00D050E9">
        <w:rPr>
          <w:rFonts w:asciiTheme="minorHAnsi" w:hAnsiTheme="minorHAnsi" w:cs="Arial"/>
          <w:b/>
          <w:lang w:eastAsia="sl-SI"/>
        </w:rPr>
        <w:t>Program ukrepov 2013</w:t>
      </w:r>
      <w:r w:rsidR="00CC2F87">
        <w:rPr>
          <w:rFonts w:asciiTheme="minorHAnsi" w:hAnsiTheme="minorHAnsi" w:cs="Arial"/>
          <w:b/>
          <w:lang w:eastAsia="sl-SI"/>
        </w:rPr>
        <w:t>–</w:t>
      </w:r>
      <w:r w:rsidRPr="00D050E9">
        <w:rPr>
          <w:rFonts w:asciiTheme="minorHAnsi" w:hAnsiTheme="minorHAnsi" w:cs="Arial"/>
          <w:b/>
          <w:lang w:eastAsia="sl-SI"/>
        </w:rPr>
        <w:t>2014</w:t>
      </w:r>
      <w:r w:rsidRPr="00D050E9">
        <w:rPr>
          <w:rFonts w:asciiTheme="minorHAnsi" w:hAnsiTheme="minorHAnsi" w:cs="Arial"/>
          <w:lang w:eastAsia="sl-SI"/>
        </w:rPr>
        <w:t xml:space="preserve"> opredeljuje ukrepe za vzpostavitev inovativnega gospodarstva ter za vzpostavitev zmogljivosti v podporo raziskavam in inovacijam. Pri tem zasleduje cilje: </w:t>
      </w:r>
    </w:p>
    <w:p w:rsidR="00A720EA" w:rsidRPr="00D050E9" w:rsidRDefault="00A720EA" w:rsidP="00EB5110">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povečanje dodane vrednosti na zaposlenega za dve odstotni točki,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povečanje prihodkov v letu prejetja pomoči glede na predhodno leto na nivoju posameznih prejemnikov pomoči za pet odstotnih točk,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ohranitev števila raziskovalno razvojnega kadra v gospodarstvu oziroma povečanje za približno eno odstotno točko in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povečanje izdatkov poslovnega sektorja za raziskave, razvoj in inovacije za eno odstotno točko na nivoju celotne Slovenije. </w:t>
      </w:r>
    </w:p>
    <w:p w:rsidR="00A720EA" w:rsidRPr="00D050E9" w:rsidRDefault="00A720EA" w:rsidP="002F606A">
      <w:pPr>
        <w:spacing w:after="0" w:line="276" w:lineRule="auto"/>
        <w:rPr>
          <w:rFonts w:asciiTheme="minorHAnsi" w:hAnsiTheme="minorHAnsi" w:cs="Arial"/>
        </w:rPr>
      </w:pPr>
    </w:p>
    <w:tbl>
      <w:tblPr>
        <w:tblStyle w:val="MediumGrid2-Accent5"/>
        <w:tblW w:w="8613" w:type="dxa"/>
        <w:tblBorders>
          <w:top w:val="none" w:sz="0" w:space="0" w:color="auto"/>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1101"/>
        <w:gridCol w:w="3827"/>
        <w:gridCol w:w="1276"/>
        <w:gridCol w:w="2409"/>
      </w:tblGrid>
      <w:tr w:rsidR="00A720EA" w:rsidRPr="00D050E9" w:rsidTr="001F2E5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1101" w:type="dxa"/>
            <w:shd w:val="clear" w:color="auto" w:fill="auto"/>
            <w:vAlign w:val="center"/>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827"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276"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Instrument</w:t>
            </w:r>
          </w:p>
        </w:tc>
        <w:tc>
          <w:tcPr>
            <w:tcW w:w="2409"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8" w:space="0" w:color="A7BFDE"/>
              <w:bottom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bCs w:val="0"/>
                <w:color w:val="auto"/>
                <w:sz w:val="18"/>
                <w:szCs w:val="18"/>
                <w:lang w:eastAsia="sl-SI"/>
              </w:rPr>
            </w:pPr>
            <w:r w:rsidRPr="00D050E9">
              <w:rPr>
                <w:rFonts w:asciiTheme="minorHAnsi" w:hAnsiTheme="minorHAnsi" w:cs="Arial"/>
                <w:sz w:val="18"/>
                <w:szCs w:val="18"/>
                <w:lang w:eastAsia="sl-SI"/>
              </w:rPr>
              <w:t>MIZŠ</w:t>
            </w:r>
          </w:p>
        </w:tc>
        <w:tc>
          <w:tcPr>
            <w:tcW w:w="3827" w:type="dxa"/>
            <w:tcBorders>
              <w:top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sz w:val="18"/>
                <w:szCs w:val="18"/>
                <w:lang w:eastAsia="sl-SI"/>
              </w:rPr>
              <w:t>Industrijske raziskave</w:t>
            </w:r>
          </w:p>
        </w:tc>
        <w:tc>
          <w:tcPr>
            <w:tcW w:w="1276" w:type="dxa"/>
            <w:vMerge w:val="restart"/>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Subvencije</w:t>
            </w:r>
          </w:p>
        </w:tc>
        <w:tc>
          <w:tcPr>
            <w:tcW w:w="2409" w:type="dxa"/>
            <w:tcBorders>
              <w:top w:val="single" w:sz="8" w:space="0" w:color="A7BFDE"/>
              <w:lef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2.202.049,97</w:t>
            </w:r>
          </w:p>
        </w:tc>
      </w:tr>
      <w:tr w:rsidR="00A720EA" w:rsidRPr="00D050E9" w:rsidTr="001F2E50">
        <w:trPr>
          <w:trHeight w:val="283"/>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b w:val="0"/>
                <w:bCs w:val="0"/>
                <w:color w:val="auto"/>
                <w:sz w:val="18"/>
                <w:szCs w:val="18"/>
                <w:highlight w:val="yellow"/>
                <w:lang w:eastAsia="sl-SI"/>
              </w:rPr>
            </w:pPr>
          </w:p>
        </w:tc>
        <w:tc>
          <w:tcPr>
            <w:tcW w:w="3827" w:type="dxa"/>
            <w:tcBorders>
              <w:bottom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Temeljne raziskave</w:t>
            </w:r>
          </w:p>
        </w:tc>
        <w:tc>
          <w:tcPr>
            <w:tcW w:w="1276" w:type="dxa"/>
            <w:vMerge/>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2409" w:type="dxa"/>
            <w:tcBorders>
              <w:bottom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526.311,50</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b w:val="0"/>
                <w:bCs w:val="0"/>
                <w:color w:val="auto"/>
                <w:sz w:val="18"/>
                <w:szCs w:val="18"/>
                <w:highlight w:val="yellow"/>
                <w:lang w:eastAsia="sl-SI"/>
              </w:rPr>
            </w:pPr>
          </w:p>
        </w:tc>
        <w:tc>
          <w:tcPr>
            <w:tcW w:w="3827" w:type="dxa"/>
            <w:tcBorders>
              <w:top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Eksperimentalni razvoj</w:t>
            </w:r>
          </w:p>
        </w:tc>
        <w:tc>
          <w:tcPr>
            <w:tcW w:w="1276" w:type="dxa"/>
            <w:vMerge/>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p>
        </w:tc>
        <w:tc>
          <w:tcPr>
            <w:tcW w:w="2409" w:type="dxa"/>
            <w:tcBorders>
              <w:top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713.625,63</w:t>
            </w:r>
          </w:p>
        </w:tc>
      </w:tr>
      <w:tr w:rsidR="00A720EA" w:rsidRPr="00D050E9" w:rsidTr="001F2E50">
        <w:trPr>
          <w:trHeight w:val="283"/>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b w:val="0"/>
                <w:bCs w:val="0"/>
                <w:color w:val="auto"/>
                <w:sz w:val="18"/>
                <w:szCs w:val="18"/>
                <w:highlight w:val="yellow"/>
                <w:lang w:eastAsia="sl-SI"/>
              </w:rPr>
            </w:pPr>
          </w:p>
        </w:tc>
        <w:tc>
          <w:tcPr>
            <w:tcW w:w="3827" w:type="dxa"/>
            <w:tcBorders>
              <w:bottom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raziskovalne in razvojne projekte</w:t>
            </w:r>
          </w:p>
        </w:tc>
        <w:tc>
          <w:tcPr>
            <w:tcW w:w="1276" w:type="dxa"/>
            <w:vMerge/>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2409" w:type="dxa"/>
            <w:tcBorders>
              <w:bottom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26.722,03</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nil"/>
              <w:bottom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3827" w:type="dxa"/>
            <w:tcBorders>
              <w:top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Industrijske raziskave</w:t>
            </w:r>
          </w:p>
        </w:tc>
        <w:tc>
          <w:tcPr>
            <w:tcW w:w="1276" w:type="dxa"/>
            <w:vMerge/>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p>
        </w:tc>
        <w:tc>
          <w:tcPr>
            <w:tcW w:w="2409" w:type="dxa"/>
            <w:tcBorders>
              <w:top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9.792.137,35</w:t>
            </w:r>
          </w:p>
        </w:tc>
      </w:tr>
      <w:tr w:rsidR="00A720EA" w:rsidRPr="00D050E9" w:rsidTr="001F2E50">
        <w:trPr>
          <w:trHeight w:val="283"/>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tcBorders>
            <w:shd w:val="clear" w:color="auto" w:fill="auto"/>
            <w:vAlign w:val="center"/>
          </w:tcPr>
          <w:p w:rsidR="00A720EA" w:rsidRPr="00D050E9" w:rsidRDefault="00A720EA" w:rsidP="00A720EA">
            <w:pPr>
              <w:spacing w:line="276" w:lineRule="auto"/>
              <w:rPr>
                <w:rFonts w:asciiTheme="minorHAnsi" w:hAnsiTheme="minorHAnsi" w:cs="Arial"/>
                <w:color w:val="auto"/>
                <w:sz w:val="18"/>
                <w:szCs w:val="18"/>
                <w:lang w:eastAsia="sl-SI"/>
              </w:rPr>
            </w:pPr>
          </w:p>
        </w:tc>
        <w:tc>
          <w:tcPr>
            <w:tcW w:w="3827" w:type="dxa"/>
            <w:tcBorders>
              <w:bottom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Eksperimentalni razvoj</w:t>
            </w:r>
          </w:p>
        </w:tc>
        <w:tc>
          <w:tcPr>
            <w:tcW w:w="1276" w:type="dxa"/>
            <w:vMerge/>
            <w:tcBorders>
              <w:bottom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2409" w:type="dxa"/>
            <w:tcBorders>
              <w:bottom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10.303,14</w:t>
            </w:r>
          </w:p>
        </w:tc>
      </w:tr>
      <w:tr w:rsidR="00A720EA" w:rsidRPr="00D050E9" w:rsidTr="001F2E5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A7BFDE"/>
            </w:tcBorders>
            <w:shd w:val="clear" w:color="auto" w:fill="auto"/>
            <w:vAlign w:val="center"/>
          </w:tcPr>
          <w:p w:rsidR="00A720EA" w:rsidRPr="00D050E9" w:rsidRDefault="00A720EA" w:rsidP="001F2E50">
            <w:pPr>
              <w:rPr>
                <w:rFonts w:asciiTheme="minorHAnsi" w:eastAsia="Times New Roman" w:hAnsiTheme="minorHAnsi" w:cs="Arial"/>
                <w:color w:val="000000"/>
                <w:sz w:val="18"/>
                <w:szCs w:val="18"/>
                <w:lang w:eastAsia="sl-SI"/>
              </w:rPr>
            </w:pPr>
          </w:p>
        </w:tc>
        <w:tc>
          <w:tcPr>
            <w:tcW w:w="3827" w:type="dxa"/>
            <w:tcBorders>
              <w:top w:val="single" w:sz="8" w:space="0" w:color="A7BFDE"/>
              <w:right w:val="nil"/>
            </w:tcBorders>
            <w:shd w:val="clear" w:color="auto" w:fill="A7BFDE"/>
            <w:vAlign w:val="center"/>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r w:rsidRPr="00D050E9">
              <w:rPr>
                <w:rFonts w:asciiTheme="minorHAnsi" w:eastAsia="Times New Roman" w:hAnsiTheme="minorHAnsi" w:cs="Arial"/>
                <w:color w:val="000000"/>
                <w:sz w:val="18"/>
                <w:szCs w:val="18"/>
                <w:lang w:eastAsia="sl-SI"/>
              </w:rPr>
              <w:t>SKUPAJ</w:t>
            </w:r>
          </w:p>
        </w:tc>
        <w:tc>
          <w:tcPr>
            <w:tcW w:w="1276" w:type="dxa"/>
            <w:tcBorders>
              <w:top w:val="single" w:sz="8" w:space="0" w:color="A7BFDE"/>
              <w:left w:val="nil"/>
              <w:right w:val="nil"/>
            </w:tcBorders>
            <w:shd w:val="clear" w:color="auto" w:fill="A7BFDE"/>
            <w:vAlign w:val="center"/>
          </w:tcPr>
          <w:p w:rsidR="00A720EA" w:rsidRPr="00D050E9" w:rsidRDefault="00A720EA" w:rsidP="001F2E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8"/>
                <w:szCs w:val="18"/>
                <w:lang w:eastAsia="sl-SI"/>
              </w:rPr>
            </w:pPr>
          </w:p>
        </w:tc>
        <w:tc>
          <w:tcPr>
            <w:tcW w:w="2409" w:type="dxa"/>
            <w:tcBorders>
              <w:top w:val="single" w:sz="8" w:space="0" w:color="A7BFDE"/>
              <w:left w:val="nil"/>
            </w:tcBorders>
            <w:shd w:val="clear" w:color="auto" w:fill="A7BFDE"/>
          </w:tcPr>
          <w:p w:rsidR="00A720EA" w:rsidRPr="00D050E9" w:rsidRDefault="00A720EA" w:rsidP="001F2E5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18"/>
                <w:szCs w:val="18"/>
                <w:lang w:eastAsia="sl-SI"/>
              </w:rPr>
            </w:pPr>
            <w:r w:rsidRPr="00D050E9">
              <w:rPr>
                <w:rFonts w:asciiTheme="minorHAnsi" w:eastAsia="Times New Roman" w:hAnsiTheme="minorHAnsi" w:cs="Arial"/>
                <w:b/>
                <w:color w:val="000000"/>
                <w:sz w:val="18"/>
                <w:szCs w:val="18"/>
                <w:lang w:eastAsia="sl-SI"/>
              </w:rPr>
              <w:t>13.271.149,62</w:t>
            </w:r>
          </w:p>
        </w:tc>
      </w:tr>
    </w:tbl>
    <w:p w:rsidR="00A720EA" w:rsidRPr="00D050E9" w:rsidRDefault="00A720EA" w:rsidP="00A720EA">
      <w:pPr>
        <w:spacing w:line="276" w:lineRule="auto"/>
        <w:rPr>
          <w:rFonts w:asciiTheme="minorHAnsi" w:hAnsiTheme="minorHAnsi" w:cs="Arial"/>
        </w:rPr>
      </w:pPr>
    </w:p>
    <w:p w:rsidR="00A720EA" w:rsidRPr="00D050E9" w:rsidRDefault="00A720EA" w:rsidP="00A720EA">
      <w:pPr>
        <w:pStyle w:val="Default"/>
        <w:spacing w:line="276" w:lineRule="auto"/>
        <w:jc w:val="both"/>
        <w:rPr>
          <w:rFonts w:asciiTheme="minorHAnsi" w:hAnsiTheme="minorHAnsi" w:cs="Arial"/>
          <w:sz w:val="22"/>
          <w:szCs w:val="22"/>
        </w:rPr>
      </w:pPr>
      <w:r w:rsidRPr="00D050E9">
        <w:rPr>
          <w:rFonts w:asciiTheme="minorHAnsi" w:eastAsia="Times New Roman" w:hAnsiTheme="minorHAnsi" w:cs="Arial"/>
          <w:sz w:val="22"/>
          <w:szCs w:val="22"/>
          <w:lang w:eastAsia="sl-SI"/>
        </w:rPr>
        <w:t xml:space="preserve">Tudi v obdobju </w:t>
      </w:r>
      <w:r w:rsidR="00F474CF" w:rsidRPr="00F474CF">
        <w:rPr>
          <w:rFonts w:asciiTheme="minorHAnsi" w:eastAsia="Times New Roman" w:hAnsiTheme="minorHAnsi" w:cs="Arial"/>
          <w:i/>
          <w:sz w:val="22"/>
          <w:szCs w:val="22"/>
          <w:lang w:eastAsia="sl-SI"/>
        </w:rPr>
        <w:t>2015–2017</w:t>
      </w:r>
      <w:r w:rsidRPr="00D050E9">
        <w:rPr>
          <w:rFonts w:asciiTheme="minorHAnsi" w:eastAsia="Times New Roman" w:hAnsiTheme="minorHAnsi" w:cs="Arial"/>
          <w:sz w:val="22"/>
          <w:szCs w:val="22"/>
          <w:lang w:eastAsia="sl-SI"/>
        </w:rPr>
        <w:t xml:space="preserve"> je bila med ključnimi cilji </w:t>
      </w:r>
      <w:r w:rsidRPr="00D050E9">
        <w:rPr>
          <w:rFonts w:asciiTheme="minorHAnsi" w:hAnsiTheme="minorHAnsi" w:cs="Arial"/>
          <w:sz w:val="22"/>
          <w:szCs w:val="22"/>
        </w:rPr>
        <w:t xml:space="preserve">ohranitev stopnje vlaganja v raziskave in razvoj v podjetjih. To podjetjem tudi v času krize omogoča konkuriranje na svetovnih trgih z njihovimi izdelki, storitvami in predvsem razpoložljivim znanjem. Sofinancirala sta se ukrepa: </w:t>
      </w:r>
    </w:p>
    <w:p w:rsidR="00A720EA" w:rsidRPr="00D050E9" w:rsidRDefault="00A720EA" w:rsidP="00C93FA7">
      <w:pPr>
        <w:numPr>
          <w:ilvl w:val="0"/>
          <w:numId w:val="26"/>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Mladi temeljni raziskovalci v podjetjih (po Programu ukrepov 2007-2013),</w:t>
      </w:r>
    </w:p>
    <w:p w:rsidR="00A720EA" w:rsidRPr="00D050E9" w:rsidRDefault="00A720EA" w:rsidP="00C93FA7">
      <w:pPr>
        <w:numPr>
          <w:ilvl w:val="0"/>
          <w:numId w:val="26"/>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 xml:space="preserve">Sodelovanje v programu EUREKA in v programih Evropske unije (po Programu ukrepov 2013-2014). </w:t>
      </w:r>
    </w:p>
    <w:p w:rsidR="00A720EA" w:rsidRPr="00D050E9" w:rsidRDefault="00A720EA" w:rsidP="00A720EA">
      <w:pPr>
        <w:pStyle w:val="Default"/>
        <w:spacing w:line="276" w:lineRule="auto"/>
        <w:jc w:val="both"/>
        <w:rPr>
          <w:rFonts w:asciiTheme="minorHAnsi" w:hAnsiTheme="minorHAnsi" w:cs="Arial"/>
          <w:color w:val="auto"/>
          <w:sz w:val="22"/>
          <w:szCs w:val="22"/>
        </w:rPr>
      </w:pPr>
    </w:p>
    <w:p w:rsidR="00A720EA" w:rsidRPr="00D050E9" w:rsidRDefault="00A720EA" w:rsidP="00A720EA">
      <w:pPr>
        <w:pStyle w:val="Default"/>
        <w:spacing w:line="276" w:lineRule="auto"/>
        <w:ind w:left="709" w:hanging="709"/>
        <w:jc w:val="both"/>
        <w:rPr>
          <w:rFonts w:asciiTheme="minorHAnsi" w:eastAsia="Times New Roman" w:hAnsiTheme="minorHAnsi" w:cs="Arial"/>
          <w:color w:val="auto"/>
          <w:sz w:val="22"/>
          <w:szCs w:val="22"/>
        </w:rPr>
      </w:pPr>
      <w:r w:rsidRPr="00D050E9">
        <w:rPr>
          <w:rFonts w:asciiTheme="minorHAnsi" w:eastAsia="Times New Roman" w:hAnsiTheme="minorHAnsi" w:cs="Arial"/>
          <w:color w:val="auto"/>
          <w:sz w:val="22"/>
          <w:szCs w:val="22"/>
        </w:rPr>
        <w:t xml:space="preserve">k 1.) </w:t>
      </w:r>
      <w:r w:rsidRPr="00D050E9">
        <w:rPr>
          <w:rFonts w:asciiTheme="minorHAnsi" w:eastAsia="Times New Roman" w:hAnsiTheme="minorHAnsi" w:cs="Arial"/>
          <w:color w:val="auto"/>
          <w:sz w:val="22"/>
          <w:szCs w:val="22"/>
        </w:rPr>
        <w:tab/>
        <w:t xml:space="preserve">V okviru instrumentov mladi raziskovalci iz gospodarstva 2007, 2008, 2009 in 2010, se je sofinanciralo usposabljanje so se sofinancirali stroški raziskovalnega dela in z njim povezan podiplomski študij do pridobitve naslova doktor znanosti 339 mladim raziskovalcem. V letu 2016 se je sofinanciralo usposabljanje 13 operacij pri 12 podjetjih (pri enem podjetju sta se sofinancirala 2 mlada raziskovalca). </w:t>
      </w:r>
      <w:r w:rsidRPr="00D050E9">
        <w:rPr>
          <w:rFonts w:asciiTheme="minorHAnsi" w:hAnsiTheme="minorHAnsi" w:cs="Arial"/>
          <w:sz w:val="22"/>
        </w:rPr>
        <w:t xml:space="preserve">Odobrenih je bilo dvakrat več projektov od načrtovanih. </w:t>
      </w:r>
    </w:p>
    <w:p w:rsidR="00A720EA" w:rsidRPr="00D050E9" w:rsidRDefault="00A720EA" w:rsidP="00A720EA">
      <w:pPr>
        <w:spacing w:line="276" w:lineRule="auto"/>
        <w:ind w:left="709"/>
        <w:rPr>
          <w:rFonts w:asciiTheme="minorHAnsi" w:hAnsiTheme="minorHAnsi" w:cs="Arial"/>
        </w:rPr>
      </w:pPr>
      <w:r w:rsidRPr="00D050E9">
        <w:rPr>
          <w:rFonts w:asciiTheme="minorHAnsi" w:hAnsiTheme="minorHAnsi" w:cs="Arial"/>
          <w:b/>
          <w:i/>
        </w:rPr>
        <w:t>Ocenjen učinek je pozitiven, saj je bilo odobrenih 2x več projektov od načrtovanih, njihova realizacija pa 100-odstotna.</w:t>
      </w:r>
      <w:r w:rsidRPr="00D050E9">
        <w:rPr>
          <w:rFonts w:asciiTheme="minorHAnsi" w:hAnsiTheme="minorHAnsi" w:cs="Arial"/>
        </w:rPr>
        <w:t xml:space="preserve"> </w:t>
      </w:r>
    </w:p>
    <w:p w:rsidR="00A720EA" w:rsidRPr="00D050E9" w:rsidRDefault="00A720EA" w:rsidP="00A720EA">
      <w:pPr>
        <w:pStyle w:val="BodyText22"/>
        <w:spacing w:line="276" w:lineRule="auto"/>
        <w:ind w:left="709" w:hanging="709"/>
        <w:rPr>
          <w:rFonts w:asciiTheme="minorHAnsi" w:hAnsiTheme="minorHAnsi" w:cs="Arial"/>
          <w:color w:val="000000"/>
          <w:sz w:val="22"/>
          <w:szCs w:val="22"/>
        </w:rPr>
      </w:pPr>
      <w:r w:rsidRPr="00D050E9">
        <w:rPr>
          <w:rFonts w:asciiTheme="minorHAnsi" w:hAnsiTheme="minorHAnsi" w:cs="Arial"/>
          <w:sz w:val="22"/>
          <w:szCs w:val="22"/>
        </w:rPr>
        <w:t xml:space="preserve">k 2.) </w:t>
      </w:r>
      <w:r w:rsidRPr="00D050E9">
        <w:rPr>
          <w:rFonts w:asciiTheme="minorHAnsi" w:hAnsiTheme="minorHAnsi" w:cs="Arial"/>
          <w:sz w:val="22"/>
          <w:szCs w:val="22"/>
        </w:rPr>
        <w:tab/>
      </w:r>
      <w:r w:rsidRPr="00D050E9">
        <w:rPr>
          <w:rFonts w:asciiTheme="minorHAnsi" w:hAnsiTheme="minorHAnsi" w:cs="Arial"/>
          <w:color w:val="000000"/>
          <w:sz w:val="22"/>
          <w:szCs w:val="22"/>
        </w:rPr>
        <w:t>V letu 2016 je MGRT sofinanciralo 29, v letu 2017 pa 10 tehnološko razvojnih projektov EUREKA in Eurostars.</w:t>
      </w:r>
    </w:p>
    <w:p w:rsidR="00A720EA" w:rsidRPr="00D050E9" w:rsidRDefault="00A720EA" w:rsidP="00A720EA">
      <w:pPr>
        <w:spacing w:line="276" w:lineRule="auto"/>
        <w:ind w:left="709"/>
        <w:rPr>
          <w:rFonts w:asciiTheme="minorHAnsi" w:hAnsiTheme="minorHAnsi" w:cs="Arial"/>
          <w:b/>
          <w:i/>
        </w:rPr>
      </w:pPr>
      <w:r w:rsidRPr="00D050E9">
        <w:rPr>
          <w:rFonts w:asciiTheme="minorHAnsi" w:hAnsiTheme="minorHAnsi" w:cs="Arial"/>
          <w:b/>
          <w:i/>
        </w:rPr>
        <w:t xml:space="preserve">Ocenjen učinek je pozitiven, saj je bilo odobrenih več projektov od skupno načrtovanih 106, in realizacija 100-odstotna. </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Nekaj projektov (EUREKA 2014) je še v fazi izvajanja, zato na ravni podjetij učinkov podpore še ni pričakovati. Dodaten razlog za to je tudi dejstvo, da imajo skladno s pogoji razpisa in programa podjetja dodatni dve leti časa, da zagotovijo trženje novo razvitih produktov. Navedeno pomeni, da je dejanske vrednostne učinke v podjetjih pričakovati v roku 2-3 let. Nedvomno pa je pozitivni učinek vlaganja gospodarstva v raziskave in razvoj in njihovega mednarodnega povezovanja že dosežen. Vsa podjetja pa so bila očitno uspešna pri svojem delu v mednarodnem konzorciju, saj ni prišlo do odpovedi ali nerealizacije predvidenih nalog in ciljev.</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Projekt (EUROSTARS 2014) je sicer zaključen, vendar ima podjetje dodatni dve leti časa, da svojo novo rešitev spravi na trg. Neposredni učinki na ravni podjetja bodo torej vidni šele takrat. Nedvomen pa je pozitiven učinek vlaganja gospodarstva v raziskave in razvoj in njihovega mednarodnega povezovanja.</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Za določene projekte v okviru programa oz. sheme MIZŠ še ni bilo možno izmeriti učinkov, ki naj bi bili doseženi do konca leta 2013 oz. do konca izvajanja programa (višina dodeljenih sredstev na prejemnika je prenizka za pričakovanje učinka na zaposlenega, podjetja še niso zaključila projektov). Zato resorno pristojno ministrstvo ocenjuje, da bodo podjetja ciljno vrednost glede števila novih delovnih mest (1.200 do konca leta 2013 za vse ukrepe) zelo težko dosegla, bodo pa zagotovo presegla načrtovano višjo rast dodane vrednosti glede na rast dodane vrednosti v panogah, iz katerih so prejemniki sredstev.</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Cilj, ki si ga je zadala Slovenija, da se do konca leta 2013 prijavi 100 evropskih patentov na milijon prebivalcev, ni bil dosežen, saj je bilo prijavljenih le 66 patentov. Tudi v naslednjih letih se stanje glede na leto 2013 slabša, saj je bilo v letu 2014 61 prijav, v letu 2015 pa 57. Vzrok za nedoseganje zastavljenih ciljev je možno iskati predvsem v gospodarski in finančni krizi, ki sta zelo verjetno povzročili krčenje števila zaposlenih in preusmeritev sredstev za prijave patentov na druga področja. </w:t>
      </w: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Program iz</w:t>
      </w:r>
      <w:r w:rsidR="00CC2F87">
        <w:rPr>
          <w:rFonts w:asciiTheme="minorHAnsi" w:hAnsiTheme="minorHAnsi" w:cs="Arial"/>
          <w:b/>
          <w:i/>
          <w:u w:val="single"/>
        </w:rPr>
        <w:t>vajanja finančnih spodbud MGRT -</w:t>
      </w:r>
      <w:r w:rsidRPr="00D050E9">
        <w:rPr>
          <w:rFonts w:asciiTheme="minorHAnsi" w:hAnsiTheme="minorHAnsi" w:cs="Arial"/>
          <w:b/>
          <w:i/>
          <w:u w:val="single"/>
        </w:rPr>
        <w:t xml:space="preserve"> Raziskave, razvoj in inovacije</w:t>
      </w:r>
      <w:r w:rsidRPr="00D050E9">
        <w:rPr>
          <w:rFonts w:asciiTheme="minorHAnsi" w:hAnsiTheme="minorHAnsi" w:cs="Arial"/>
          <w:sz w:val="20"/>
          <w:szCs w:val="20"/>
        </w:rPr>
        <w:t xml:space="preserve"> (BE01-2399245-2015)</w:t>
      </w:r>
    </w:p>
    <w:p w:rsidR="00A720EA" w:rsidRPr="00D050E9" w:rsidRDefault="00A720EA" w:rsidP="00EB5110">
      <w:pPr>
        <w:spacing w:after="0" w:line="276" w:lineRule="auto"/>
        <w:ind w:right="-79"/>
        <w:rPr>
          <w:rFonts w:asciiTheme="minorHAnsi" w:hAnsiTheme="minorHAnsi" w:cs="Arial"/>
          <w:lang w:eastAsia="x-none"/>
        </w:rPr>
      </w:pPr>
      <w:r w:rsidRPr="00D050E9">
        <w:rPr>
          <w:rFonts w:asciiTheme="minorHAnsi" w:hAnsiTheme="minorHAnsi" w:cs="Arial"/>
          <w:lang w:eastAsia="sl-SI"/>
        </w:rPr>
        <w:t xml:space="preserve">Spodbude podjetjem so namenjene za </w:t>
      </w:r>
      <w:r w:rsidRPr="00D050E9">
        <w:rPr>
          <w:rFonts w:asciiTheme="minorHAnsi" w:hAnsiTheme="minorHAnsi" w:cs="Arial"/>
          <w:lang w:eastAsia="x-none"/>
        </w:rPr>
        <w:t>raziskovalne in razvojne projekte (industrijske raziskave in eksperimentalni razvoj, študije izvedljivosti), za inovacijske grozde, za inovacije za MSP ter za procesne in organizacijske inovacije. Sofinancirani so ukrepi:</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Mreženje in krepitev vezi ter sinergij v inovacijskem procesu;</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Spodbujanje inovacijskih procesov in z njim povezanih naložb;</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Komercializacija razvitih rešitev in spodbujanje povpraševanja;</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Krepitev kompetenc in inovacijskih potencialov podjetij;</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Spodbujanje nadgrajevanja internacionalizacije podjetij.</w:t>
      </w:r>
    </w:p>
    <w:p w:rsidR="00A720EA" w:rsidRPr="00D050E9" w:rsidRDefault="00A720EA" w:rsidP="00A720EA">
      <w:pPr>
        <w:spacing w:line="276" w:lineRule="auto"/>
        <w:rPr>
          <w:rFonts w:asciiTheme="minorHAnsi" w:hAnsiTheme="minorHAnsi" w:cs="Arial"/>
        </w:rPr>
      </w:pPr>
    </w:p>
    <w:p w:rsidR="00A720EA" w:rsidRPr="00D050E9" w:rsidRDefault="00A720EA" w:rsidP="00EB5110">
      <w:pPr>
        <w:spacing w:after="0" w:line="276" w:lineRule="auto"/>
        <w:rPr>
          <w:rFonts w:asciiTheme="minorHAnsi" w:hAnsiTheme="minorHAnsi" w:cs="Arial"/>
          <w:color w:val="000000"/>
        </w:rPr>
      </w:pPr>
      <w:r w:rsidRPr="00D050E9">
        <w:rPr>
          <w:rFonts w:asciiTheme="minorHAnsi" w:hAnsiTheme="minorHAnsi" w:cs="Arial"/>
        </w:rPr>
        <w:t xml:space="preserve">Dolgoročni cilji so povečati globalno konkurenčnost Slovenije s spodbujanjem inovativnosti in podjetniških vlaganj v raziskave in tehnološki razvoj, </w:t>
      </w:r>
      <w:r w:rsidRPr="00D050E9">
        <w:rPr>
          <w:rFonts w:asciiTheme="minorHAnsi" w:hAnsiTheme="minorHAnsi" w:cs="Arial"/>
          <w:color w:val="000000"/>
        </w:rPr>
        <w:t>dvosmerni pretok in uporaba znanja za gospodarski razvoj in kakovostna delovna mesta. Merjeni bodo na podlagi deležev:</w:t>
      </w:r>
    </w:p>
    <w:p w:rsidR="00A720EA" w:rsidRPr="00D050E9" w:rsidRDefault="00A720EA" w:rsidP="00EB5110">
      <w:pPr>
        <w:pStyle w:val="ListParagraph"/>
        <w:numPr>
          <w:ilvl w:val="0"/>
          <w:numId w:val="27"/>
        </w:numPr>
        <w:spacing w:after="0" w:line="276" w:lineRule="auto"/>
        <w:ind w:left="714" w:hanging="357"/>
        <w:rPr>
          <w:rFonts w:asciiTheme="minorHAnsi" w:hAnsiTheme="minorHAnsi" w:cs="Arial"/>
        </w:rPr>
      </w:pPr>
      <w:r w:rsidRPr="00D050E9">
        <w:rPr>
          <w:rFonts w:asciiTheme="minorHAnsi" w:hAnsiTheme="minorHAnsi" w:cs="Arial"/>
          <w:lang w:eastAsia="sl-SI"/>
        </w:rPr>
        <w:t>sredstev gospodarskih družb za financiranje raziskovalno razvojnih dejavnosti v BDP (ciljna vrednost v letu 2023 je 2 %)</w:t>
      </w:r>
    </w:p>
    <w:p w:rsidR="00A720EA" w:rsidRPr="00D050E9" w:rsidRDefault="00A720EA" w:rsidP="00C93FA7">
      <w:pPr>
        <w:pStyle w:val="ListParagraph"/>
        <w:numPr>
          <w:ilvl w:val="0"/>
          <w:numId w:val="27"/>
        </w:numPr>
        <w:spacing w:after="80" w:line="276" w:lineRule="auto"/>
        <w:rPr>
          <w:rFonts w:asciiTheme="minorHAnsi" w:hAnsiTheme="minorHAnsi" w:cs="Arial"/>
        </w:rPr>
      </w:pPr>
      <w:r w:rsidRPr="00D050E9">
        <w:rPr>
          <w:rFonts w:asciiTheme="minorHAnsi" w:hAnsiTheme="minorHAnsi" w:cs="Arial"/>
          <w:lang w:eastAsia="sl-SI"/>
        </w:rPr>
        <w:t>inovacijsko aktivnih podjetij (ciljna vrednost v letu 2023 je 55 %).</w:t>
      </w:r>
    </w:p>
    <w:p w:rsidR="00EB5110" w:rsidRPr="00D050E9" w:rsidRDefault="00EB5110" w:rsidP="00EB5110">
      <w:pPr>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Zaradi nastopa globalne krize v letu 2008 se je v Sloveniji skoraj izničil napredek v gospodarskem razvoju, zato so se nekateri dolgoročni cilji spremenili. Cilj do leta 2013 povečati vlaganja v raziskave in razvoj okoli 3 % BDP se je tako zamaknil na leto 2020.</w:t>
      </w:r>
    </w:p>
    <w:tbl>
      <w:tblPr>
        <w:tblStyle w:val="MediumGrid2-Accent5"/>
        <w:tblW w:w="8613" w:type="dxa"/>
        <w:tblBorders>
          <w:top w:val="none" w:sz="0" w:space="0" w:color="auto"/>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1101"/>
        <w:gridCol w:w="3827"/>
        <w:gridCol w:w="1276"/>
        <w:gridCol w:w="2409"/>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01" w:type="dxa"/>
            <w:shd w:val="clear" w:color="auto" w:fill="auto"/>
            <w:vAlign w:val="center"/>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827"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276"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Instrument</w:t>
            </w:r>
          </w:p>
        </w:tc>
        <w:tc>
          <w:tcPr>
            <w:tcW w:w="2409"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bCs w:val="0"/>
                <w:color w:val="auto"/>
                <w:sz w:val="18"/>
                <w:szCs w:val="18"/>
                <w:lang w:eastAsia="sl-SI"/>
              </w:rPr>
            </w:pPr>
            <w:r w:rsidRPr="00D050E9">
              <w:rPr>
                <w:rFonts w:asciiTheme="minorHAnsi" w:hAnsiTheme="minorHAnsi" w:cs="Arial"/>
                <w:sz w:val="18"/>
                <w:szCs w:val="18"/>
                <w:lang w:eastAsia="sl-SI"/>
              </w:rPr>
              <w:t>MGRT</w:t>
            </w:r>
          </w:p>
        </w:tc>
        <w:tc>
          <w:tcPr>
            <w:tcW w:w="3827" w:type="dxa"/>
            <w:tcBorders>
              <w:top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sz w:val="18"/>
                <w:szCs w:val="18"/>
                <w:lang w:eastAsia="sl-SI"/>
              </w:rPr>
              <w:t>Industrijske raziskave</w:t>
            </w:r>
          </w:p>
        </w:tc>
        <w:tc>
          <w:tcPr>
            <w:tcW w:w="1276" w:type="dxa"/>
            <w:vMerge w:val="restart"/>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Subvencije</w:t>
            </w:r>
          </w:p>
        </w:tc>
        <w:tc>
          <w:tcPr>
            <w:tcW w:w="2409" w:type="dxa"/>
            <w:tcBorders>
              <w:top w:val="single" w:sz="8" w:space="0" w:color="A7BFDE"/>
              <w:lef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336.310,67</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A720EA" w:rsidRPr="00D050E9" w:rsidRDefault="00A720EA" w:rsidP="00A720EA">
            <w:pPr>
              <w:spacing w:line="276" w:lineRule="auto"/>
              <w:jc w:val="center"/>
              <w:rPr>
                <w:rFonts w:asciiTheme="minorHAnsi" w:hAnsiTheme="minorHAnsi" w:cs="Arial"/>
                <w:b w:val="0"/>
                <w:bCs w:val="0"/>
                <w:color w:val="auto"/>
                <w:sz w:val="18"/>
                <w:szCs w:val="18"/>
                <w:highlight w:val="yellow"/>
                <w:lang w:eastAsia="sl-SI"/>
              </w:rPr>
            </w:pPr>
          </w:p>
        </w:tc>
        <w:tc>
          <w:tcPr>
            <w:tcW w:w="3827" w:type="dxa"/>
            <w:tcBorders>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Eksperimentalni razvoj</w:t>
            </w:r>
          </w:p>
        </w:tc>
        <w:tc>
          <w:tcPr>
            <w:tcW w:w="1276" w:type="dxa"/>
            <w:vMerge/>
            <w:tcBorders>
              <w:left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2409" w:type="dxa"/>
            <w:tcBorders>
              <w:left w:val="single" w:sz="8" w:space="0" w:color="A7BFDE"/>
              <w:bottom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7.792.384,87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A720EA" w:rsidRPr="00D050E9" w:rsidRDefault="00A720EA" w:rsidP="00A720EA">
            <w:pPr>
              <w:spacing w:line="276" w:lineRule="auto"/>
              <w:jc w:val="center"/>
              <w:rPr>
                <w:rFonts w:asciiTheme="minorHAnsi" w:hAnsiTheme="minorHAnsi" w:cs="Arial"/>
                <w:b w:val="0"/>
                <w:bCs w:val="0"/>
                <w:color w:val="auto"/>
                <w:sz w:val="18"/>
                <w:szCs w:val="18"/>
                <w:highlight w:val="yellow"/>
                <w:lang w:eastAsia="sl-SI"/>
              </w:rPr>
            </w:pPr>
          </w:p>
        </w:tc>
        <w:tc>
          <w:tcPr>
            <w:tcW w:w="3827" w:type="dxa"/>
            <w:tcBorders>
              <w:top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Pomoč za inovacijske grozde</w:t>
            </w:r>
          </w:p>
        </w:tc>
        <w:tc>
          <w:tcPr>
            <w:tcW w:w="1276" w:type="dxa"/>
            <w:vMerge/>
            <w:tcBorders>
              <w:left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p>
        </w:tc>
        <w:tc>
          <w:tcPr>
            <w:tcW w:w="2409" w:type="dxa"/>
            <w:tcBorders>
              <w:top w:val="single" w:sz="8" w:space="0" w:color="A7BFDE"/>
              <w:lef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593.562,91</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rsidR="00A720EA" w:rsidRPr="00D050E9" w:rsidRDefault="00A720EA" w:rsidP="00A720EA">
            <w:pPr>
              <w:spacing w:line="276" w:lineRule="auto"/>
              <w:jc w:val="center"/>
              <w:rPr>
                <w:rFonts w:asciiTheme="minorHAnsi" w:hAnsiTheme="minorHAnsi" w:cs="Arial"/>
                <w:b w:val="0"/>
                <w:bCs w:val="0"/>
                <w:color w:val="auto"/>
                <w:sz w:val="18"/>
                <w:szCs w:val="18"/>
                <w:highlight w:val="yellow"/>
                <w:lang w:eastAsia="sl-SI"/>
              </w:rPr>
            </w:pPr>
          </w:p>
        </w:tc>
        <w:tc>
          <w:tcPr>
            <w:tcW w:w="3827" w:type="dxa"/>
            <w:tcBorders>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Študije o tehnični izvedljivosti</w:t>
            </w:r>
          </w:p>
        </w:tc>
        <w:tc>
          <w:tcPr>
            <w:tcW w:w="1276" w:type="dxa"/>
            <w:vMerge/>
            <w:tcBorders>
              <w:left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2409" w:type="dxa"/>
            <w:tcBorders>
              <w:left w:val="single" w:sz="8" w:space="0" w:color="A7BFDE"/>
              <w:bottom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highlight w:val="yellow"/>
                <w:lang w:eastAsia="sl-SI"/>
              </w:rPr>
            </w:pPr>
            <w:r w:rsidRPr="00D050E9">
              <w:rPr>
                <w:rFonts w:asciiTheme="minorHAnsi" w:hAnsiTheme="minorHAnsi" w:cs="Arial"/>
                <w:bCs/>
                <w:sz w:val="18"/>
                <w:szCs w:val="18"/>
                <w:lang w:eastAsia="sl-SI"/>
              </w:rPr>
              <w:t>210.000,00</w:t>
            </w:r>
          </w:p>
        </w:tc>
      </w:tr>
      <w:tr w:rsidR="00A720EA" w:rsidRPr="00D050E9" w:rsidTr="009702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A7BFDE"/>
            </w:tcBorders>
            <w:shd w:val="clear" w:color="auto" w:fill="auto"/>
            <w:vAlign w:val="center"/>
          </w:tcPr>
          <w:p w:rsidR="00A720EA" w:rsidRPr="00D050E9" w:rsidRDefault="00A720EA" w:rsidP="001F2E50">
            <w:pPr>
              <w:spacing w:line="276" w:lineRule="auto"/>
              <w:rPr>
                <w:rFonts w:asciiTheme="minorHAnsi" w:hAnsiTheme="minorHAnsi" w:cs="Arial"/>
                <w:color w:val="auto"/>
                <w:sz w:val="18"/>
                <w:szCs w:val="18"/>
                <w:lang w:eastAsia="sl-SI"/>
              </w:rPr>
            </w:pPr>
          </w:p>
        </w:tc>
        <w:tc>
          <w:tcPr>
            <w:tcW w:w="3827" w:type="dxa"/>
            <w:tcBorders>
              <w:top w:val="single" w:sz="8" w:space="0" w:color="A7BFDE"/>
              <w:right w:val="nil"/>
            </w:tcBorders>
            <w:shd w:val="clear" w:color="auto" w:fill="A7BFDE"/>
            <w:vAlign w:val="center"/>
          </w:tcPr>
          <w:p w:rsidR="00A720EA" w:rsidRPr="00D050E9" w:rsidRDefault="00A720EA" w:rsidP="001F2E5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SKUPAJ</w:t>
            </w:r>
          </w:p>
        </w:tc>
        <w:tc>
          <w:tcPr>
            <w:tcW w:w="1276" w:type="dxa"/>
            <w:tcBorders>
              <w:top w:val="single" w:sz="8" w:space="0" w:color="A7BFDE"/>
              <w:left w:val="nil"/>
              <w:right w:val="nil"/>
            </w:tcBorders>
            <w:shd w:val="clear" w:color="auto" w:fill="A7BFDE"/>
            <w:vAlign w:val="center"/>
          </w:tcPr>
          <w:p w:rsidR="00A720EA" w:rsidRPr="00D050E9" w:rsidRDefault="00A720EA" w:rsidP="001F2E5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p>
        </w:tc>
        <w:tc>
          <w:tcPr>
            <w:tcW w:w="2409" w:type="dxa"/>
            <w:tcBorders>
              <w:top w:val="single" w:sz="8" w:space="0" w:color="A7BFDE"/>
              <w:left w:val="nil"/>
            </w:tcBorders>
            <w:shd w:val="clear" w:color="auto" w:fill="A7BFDE"/>
            <w:vAlign w:val="center"/>
          </w:tcPr>
          <w:p w:rsidR="00A720EA" w:rsidRPr="00D050E9" w:rsidRDefault="00A720EA" w:rsidP="0097025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8.932.258,45</w:t>
            </w:r>
          </w:p>
        </w:tc>
      </w:tr>
    </w:tbl>
    <w:p w:rsidR="00A720EA" w:rsidRPr="00D050E9" w:rsidRDefault="00A720EA" w:rsidP="001F2E50">
      <w:pPr>
        <w:spacing w:line="276" w:lineRule="auto"/>
        <w:ind w:right="-82"/>
        <w:rPr>
          <w:rFonts w:asciiTheme="minorHAnsi" w:hAnsiTheme="minorHAnsi" w:cs="Arial"/>
        </w:rPr>
      </w:pPr>
    </w:p>
    <w:p w:rsidR="00A720EA" w:rsidRPr="00D050E9" w:rsidRDefault="00A720EA" w:rsidP="002F606A">
      <w:pPr>
        <w:spacing w:after="0" w:line="276" w:lineRule="auto"/>
        <w:rPr>
          <w:rFonts w:asciiTheme="minorHAnsi" w:hAnsiTheme="minorHAnsi" w:cs="Arial"/>
          <w:bCs/>
          <w:color w:val="000000"/>
        </w:rPr>
      </w:pPr>
      <w:r w:rsidRPr="00D050E9">
        <w:rPr>
          <w:rFonts w:asciiTheme="minorHAnsi" w:hAnsiTheme="minorHAnsi" w:cs="Arial"/>
          <w:bCs/>
          <w:color w:val="000000"/>
        </w:rPr>
        <w:t xml:space="preserve">V okviru Programa izvajanja finančnih spodbud MGRT – Raziskave, razvoj in inovacije so bili podprti naslednji ukrepi: </w:t>
      </w:r>
    </w:p>
    <w:p w:rsidR="00A720EA" w:rsidRPr="00D050E9" w:rsidRDefault="00A720EA" w:rsidP="001F2E50">
      <w:pPr>
        <w:pStyle w:val="ListParagraph"/>
        <w:numPr>
          <w:ilvl w:val="0"/>
          <w:numId w:val="28"/>
        </w:numPr>
        <w:spacing w:after="0" w:line="276" w:lineRule="auto"/>
        <w:rPr>
          <w:rFonts w:asciiTheme="minorHAnsi" w:hAnsiTheme="minorHAnsi"/>
        </w:rPr>
      </w:pPr>
      <w:r w:rsidRPr="00D050E9">
        <w:rPr>
          <w:rFonts w:asciiTheme="minorHAnsi" w:hAnsiTheme="minorHAnsi"/>
        </w:rPr>
        <w:t xml:space="preserve">EUREKA 2016 - </w:t>
      </w:r>
      <w:r w:rsidRPr="00D050E9">
        <w:rPr>
          <w:rFonts w:asciiTheme="minorHAnsi" w:hAnsiTheme="minorHAnsi" w:cs="Arial"/>
        </w:rPr>
        <w:t>Projekti so še v fazi izvajanja, zato na ravni podjetij učinkov podpore še ni pričakovati, nedvomno pa je pozitivni učinek vlaganja gospodarstva v raziskave in razvoj in njihovega mednarodnega povezovanja že dosežen. Črpanje sredstev je bilo skoraj 80%, kar ob upoštevanju, da je šlo v večini primerov za začetno fazo izvajanja projektov in da gre za sredstva strukturnih skladov, katerih črpanje je za podjetja bolj zapleteno, po mnenju resornega ministrstva pomeni velik uspeh javnega razpisa.</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 xml:space="preserve">EUROSTARS 2016 - </w:t>
      </w:r>
      <w:r w:rsidRPr="00D050E9">
        <w:rPr>
          <w:rFonts w:asciiTheme="minorHAnsi" w:hAnsiTheme="minorHAnsi" w:cs="Arial"/>
        </w:rPr>
        <w:t>Projekti so še v fazi izvajanja zato na ravni podjetij učinkov podpore še ni pričakovati, nedvomno pa je pozitivni učinek vlaganja gospodarstva v raziskave in razvoj in njihovega mednarodnega povezovanja že dosežen.</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 xml:space="preserve">EUROSTARS 2017 - </w:t>
      </w:r>
      <w:r w:rsidRPr="00D050E9">
        <w:rPr>
          <w:rFonts w:asciiTheme="minorHAnsi" w:hAnsiTheme="minorHAnsi" w:cs="Arial"/>
        </w:rPr>
        <w:t>Projekti so še v fazi izvajanja zato na ravni podjetij učinkov podpore še ni pričakovati, nedvomno pa je pozitivni učinek vlaganja gospodarstva v raziskave in razvoj in njihovega mednarodnega povezovanja že dosežen. V letu 2017 je sredstva prejelo šele eno podjetje in tudi to v manjšem obsegu, saj so se projekti začeli izvajati šele ob koncu leta. Dejanska uspešnost črpanja torej v tem primeru kaže na dober trend uspešnosti, vendar je glede na celotna odobrena sredstva za tak zaključek še prezgodaj.</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 xml:space="preserve">KKIPP 2016 - </w:t>
      </w:r>
      <w:r w:rsidRPr="00D050E9">
        <w:rPr>
          <w:rFonts w:asciiTheme="minorHAnsi" w:hAnsiTheme="minorHAnsi" w:cs="Arial"/>
        </w:rPr>
        <w:t>Finančni učinek je bil realiziran v 71,15 % deležu glede na načrtovano in je nižji od predvidenega, saj so bili sklepi o sofinanciranju izdani dva meseca kasneje od planov iz prejetih vlog. Od prijavljenih 81 podjetij jih je 5 podalo odstopno izjavo preden so bili izplačani prvi zahtevki za izplačilo. Od tega so bila 3 podjetja iz vzhodne regije in 2 podjetji iz zahodne regije. V veljavi je ostalo 93,83% pogodb, kar ocenjujemo, da je načrtovan cilj pozitiven.</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 xml:space="preserve">PDP 2016 - </w:t>
      </w:r>
      <w:r w:rsidRPr="00D050E9">
        <w:rPr>
          <w:rFonts w:asciiTheme="minorHAnsi" w:hAnsiTheme="minorHAnsi" w:cs="Arial"/>
        </w:rPr>
        <w:t>Glede na zadan cilj je bilo porabljenih 68,22% manj sredstev od načrtovanih, hkrati pa je bilo  število sofinanciranih podjetij enako načrtovanemu (100%), kar kljub vsemu pomeni, da lahko ukrep ocenimo kot učinkovit, saj smo za 214,66% presegli načrtovan cilj glede na porabljena sredstva.</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 xml:space="preserve">RRI 2016 - </w:t>
      </w:r>
      <w:r w:rsidRPr="00D050E9">
        <w:rPr>
          <w:rFonts w:asciiTheme="minorHAnsi" w:hAnsiTheme="minorHAnsi" w:cs="Arial"/>
        </w:rPr>
        <w:t>Od 73 načrtovanih podjetij (od teh 33 iz Vzhodne  in 40 iz Zahodne regije) so od pogodbe še pred prejemom subvencijskih sredstev odstopila 4 podjetja (od teh 2 iz Vzhodne in 2 iz Zahodne regije), 1 podjetje (iz Vzhodne regije) pa je odstopilo še pred podpisom pogodbe, tako, da je podporo dejansko prejelo 68 podjetij.</w:t>
      </w:r>
    </w:p>
    <w:p w:rsidR="00A720EA" w:rsidRPr="00D050E9" w:rsidRDefault="00A720EA" w:rsidP="001F2E50">
      <w:pPr>
        <w:pStyle w:val="ListParagraph"/>
        <w:spacing w:line="276" w:lineRule="auto"/>
        <w:rPr>
          <w:rFonts w:asciiTheme="minorHAnsi" w:hAnsiTheme="minorHAnsi" w:cs="Arial"/>
        </w:rPr>
      </w:pPr>
      <w:r w:rsidRPr="00D050E9">
        <w:rPr>
          <w:rFonts w:asciiTheme="minorHAnsi" w:hAnsiTheme="minorHAnsi" w:cs="Arial"/>
        </w:rPr>
        <w:t>Glede na zadan cilj je bilo porabljenih 14,2% manj sredstev od načrtovanih, hkrati pa je bilo tudi število sofinanciranih podjetij za  6,9% nižje od načrtovanega, kar kljub vsemu pomeni, da lahko ukrep ocenimo kot učinkovit, saj smo za 8,5% presegli načrtovan cilj glede na porabljena sredstva.</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 xml:space="preserve">SME 2016 - faza 1 - </w:t>
      </w:r>
      <w:r w:rsidRPr="00D050E9">
        <w:rPr>
          <w:rFonts w:asciiTheme="minorHAnsi" w:hAnsiTheme="minorHAnsi" w:cs="Arial"/>
        </w:rPr>
        <w:t>Glede na zadan cilj je bilo porabljenih 80% manj sredstev od načrtovanih. Razlog za to je, da ima javni razpis štiri odpiranja. Vključeni rezultati predstavljajo le rezultate prvega odpiranja. Znane so tudi zaključene operacije drugega odpiranja, ki pa še niso bile izplačane, zato jih v tem trenutku ne moremo upoštevati. Sledili bosta še dve odpiranji (15.5.2018 in 15.5.2019)</w:t>
      </w:r>
    </w:p>
    <w:p w:rsidR="00A720EA" w:rsidRPr="00D050E9" w:rsidRDefault="00A720EA" w:rsidP="001F2E50">
      <w:pPr>
        <w:pStyle w:val="ListParagraph"/>
        <w:numPr>
          <w:ilvl w:val="0"/>
          <w:numId w:val="28"/>
        </w:numPr>
        <w:spacing w:after="0" w:line="276" w:lineRule="auto"/>
        <w:rPr>
          <w:rFonts w:asciiTheme="minorHAnsi" w:hAnsiTheme="minorHAnsi" w:cs="Arial"/>
        </w:rPr>
      </w:pPr>
      <w:r w:rsidRPr="00D050E9">
        <w:rPr>
          <w:rFonts w:asciiTheme="minorHAnsi" w:hAnsiTheme="minorHAnsi"/>
        </w:rPr>
        <w:t>SRIP 2016</w:t>
      </w:r>
      <w:r w:rsidR="00CC2F87">
        <w:rPr>
          <w:rFonts w:asciiTheme="minorHAnsi" w:hAnsiTheme="minorHAnsi"/>
        </w:rPr>
        <w:t>–</w:t>
      </w:r>
      <w:r w:rsidRPr="00D050E9">
        <w:rPr>
          <w:rFonts w:asciiTheme="minorHAnsi" w:hAnsiTheme="minorHAnsi"/>
        </w:rPr>
        <w:t xml:space="preserve">2017 - </w:t>
      </w:r>
      <w:r w:rsidRPr="00D050E9">
        <w:rPr>
          <w:rFonts w:asciiTheme="minorHAnsi" w:hAnsiTheme="minorHAnsi" w:cs="Arial"/>
        </w:rPr>
        <w:t>Glede na zadan cilj je bilo porabljenih 21,3% manj sredstev od načrtovanih. Razlog za to je, da so omejeni upravičeni stroški. SRIP-i so v 1. Fazi pripravili akcijske načrte svojega nadaljnjega delovanja. V 2. Fazi se bodo financirali stroški delovanja posameznega SRIP-a</w:t>
      </w:r>
      <w:r w:rsidRPr="00382AF7">
        <w:rPr>
          <w:rFonts w:asciiTheme="minorHAnsi" w:hAnsiTheme="minorHAnsi" w:cs="Arial"/>
          <w:b/>
        </w:rPr>
        <w:t>.</w:t>
      </w:r>
      <w:r w:rsidRPr="00D050E9">
        <w:rPr>
          <w:rFonts w:asciiTheme="minorHAnsi" w:hAnsiTheme="minorHAnsi" w:cs="Arial"/>
        </w:rPr>
        <w:t xml:space="preserve"> Pri svojem delovanju, se bodo SRIP-i pričeli tudi mednarodno povezovati in s tem se bodo vzpostavila mednarodna partnerstva.</w:t>
      </w:r>
    </w:p>
    <w:p w:rsidR="00EB5110" w:rsidRPr="00D050E9" w:rsidRDefault="00EB5110" w:rsidP="001417F9">
      <w:pPr>
        <w:spacing w:after="0" w:line="276" w:lineRule="auto"/>
        <w:rPr>
          <w:rFonts w:asciiTheme="minorHAnsi" w:hAnsiTheme="minorHAnsi" w:cs="Arial"/>
          <w:b/>
          <w:bCs/>
          <w:i/>
          <w:color w:val="000000"/>
        </w:rPr>
      </w:pPr>
    </w:p>
    <w:p w:rsidR="00A720EA" w:rsidRPr="00D050E9" w:rsidRDefault="00A720EA" w:rsidP="00A720EA">
      <w:pPr>
        <w:spacing w:line="276" w:lineRule="auto"/>
        <w:rPr>
          <w:rFonts w:asciiTheme="minorHAnsi" w:hAnsiTheme="minorHAnsi" w:cs="Arial"/>
          <w:b/>
          <w:bCs/>
          <w:i/>
          <w:color w:val="000000"/>
        </w:rPr>
      </w:pPr>
      <w:r w:rsidRPr="00D050E9">
        <w:rPr>
          <w:rFonts w:asciiTheme="minorHAnsi" w:hAnsiTheme="minorHAnsi" w:cs="Arial"/>
          <w:b/>
          <w:bCs/>
          <w:i/>
          <w:color w:val="000000"/>
        </w:rPr>
        <w:t>Ocenjen učinek navedenih ukrepov je pozitiven.</w:t>
      </w:r>
    </w:p>
    <w:p w:rsidR="00A720EA" w:rsidRDefault="00A720EA" w:rsidP="00A720EA">
      <w:pPr>
        <w:spacing w:line="276" w:lineRule="auto"/>
        <w:rPr>
          <w:rFonts w:asciiTheme="minorHAnsi" w:hAnsiTheme="minorHAnsi" w:cs="Arial"/>
          <w:sz w:val="20"/>
          <w:szCs w:val="20"/>
        </w:rPr>
      </w:pPr>
      <w:r w:rsidRPr="00D050E9">
        <w:rPr>
          <w:rFonts w:asciiTheme="minorHAnsi" w:hAnsiTheme="minorHAnsi" w:cs="Arial"/>
          <w:b/>
          <w:i/>
          <w:u w:val="single"/>
        </w:rPr>
        <w:t>Program za spodbujanje raziskav in razvoja MIZŠ na področju znanosti za obdobje 2016</w:t>
      </w:r>
      <w:r w:rsidR="00CC2F87">
        <w:rPr>
          <w:rFonts w:asciiTheme="minorHAnsi" w:hAnsiTheme="minorHAnsi" w:cs="Arial"/>
          <w:b/>
          <w:i/>
          <w:u w:val="single"/>
        </w:rPr>
        <w:t>–</w:t>
      </w:r>
      <w:r w:rsidRPr="00D050E9">
        <w:rPr>
          <w:rFonts w:asciiTheme="minorHAnsi" w:hAnsiTheme="minorHAnsi" w:cs="Arial"/>
          <w:b/>
          <w:i/>
          <w:u w:val="single"/>
        </w:rPr>
        <w:t>2020</w:t>
      </w:r>
      <w:r w:rsidRPr="00D050E9">
        <w:rPr>
          <w:rFonts w:asciiTheme="minorHAnsi" w:hAnsiTheme="minorHAnsi" w:cs="Arial"/>
          <w:sz w:val="20"/>
          <w:szCs w:val="20"/>
        </w:rPr>
        <w:t xml:space="preserve">  (BE01-2399300-2016)</w:t>
      </w:r>
    </w:p>
    <w:p w:rsidR="009F6E61" w:rsidRPr="00D050E9" w:rsidRDefault="009F6E61" w:rsidP="009F6E61">
      <w:pPr>
        <w:spacing w:after="0" w:line="276" w:lineRule="auto"/>
        <w:rPr>
          <w:rFonts w:asciiTheme="minorHAnsi" w:hAnsiTheme="minorHAnsi" w:cs="Arial"/>
          <w:sz w:val="20"/>
          <w:szCs w:val="20"/>
        </w:rPr>
      </w:pPr>
    </w:p>
    <w:tbl>
      <w:tblPr>
        <w:tblStyle w:val="MediumGrid2-Accent5"/>
        <w:tblW w:w="8876" w:type="dxa"/>
        <w:tblBorders>
          <w:top w:val="none" w:sz="0" w:space="0" w:color="auto"/>
          <w:left w:val="single" w:sz="8" w:space="0" w:color="A7BFDE"/>
          <w:bottom w:val="single" w:sz="8" w:space="0" w:color="A7BFDE"/>
          <w:right w:val="single" w:sz="8" w:space="0" w:color="A7BFDE"/>
          <w:insideH w:val="single" w:sz="8" w:space="0" w:color="A7BFDE"/>
          <w:insideV w:val="single" w:sz="8" w:space="0" w:color="A7BFDE"/>
        </w:tblBorders>
        <w:tblLook w:val="04A0" w:firstRow="1" w:lastRow="0" w:firstColumn="1" w:lastColumn="0" w:noHBand="0" w:noVBand="1"/>
      </w:tblPr>
      <w:tblGrid>
        <w:gridCol w:w="1834"/>
        <w:gridCol w:w="3449"/>
        <w:gridCol w:w="1294"/>
        <w:gridCol w:w="2299"/>
      </w:tblGrid>
      <w:tr w:rsidR="00A720EA" w:rsidRPr="00D050E9" w:rsidTr="009F6E61">
        <w:trPr>
          <w:cnfStyle w:val="100000000000" w:firstRow="1" w:lastRow="0" w:firstColumn="0" w:lastColumn="0" w:oddVBand="0" w:evenVBand="0" w:oddHBand="0" w:evenHBand="0" w:firstRowFirstColumn="0" w:firstRowLastColumn="0" w:lastRowFirstColumn="0" w:lastRowLastColumn="0"/>
          <w:trHeight w:val="22"/>
          <w:tblHeader/>
        </w:trPr>
        <w:tc>
          <w:tcPr>
            <w:cnfStyle w:val="001000000100" w:firstRow="0" w:lastRow="0" w:firstColumn="1" w:lastColumn="0" w:oddVBand="0" w:evenVBand="0" w:oddHBand="0" w:evenHBand="0" w:firstRowFirstColumn="1" w:firstRowLastColumn="0" w:lastRowFirstColumn="0" w:lastRowLastColumn="0"/>
            <w:tcW w:w="1834" w:type="dxa"/>
            <w:shd w:val="clear" w:color="auto" w:fill="auto"/>
            <w:vAlign w:val="center"/>
            <w:hideMark/>
          </w:tcPr>
          <w:p w:rsidR="00A720EA" w:rsidRPr="00D050E9" w:rsidRDefault="00A720EA" w:rsidP="00A720EA">
            <w:pPr>
              <w:spacing w:line="276" w:lineRule="auto"/>
              <w:jc w:val="center"/>
              <w:rPr>
                <w:rFonts w:asciiTheme="minorHAnsi" w:hAnsiTheme="minorHAnsi" w:cs="Arial"/>
                <w:bCs w:val="0"/>
                <w:sz w:val="18"/>
                <w:szCs w:val="18"/>
                <w:lang w:eastAsia="sl-SI"/>
              </w:rPr>
            </w:pPr>
            <w:r w:rsidRPr="00D050E9">
              <w:rPr>
                <w:rFonts w:asciiTheme="minorHAnsi" w:hAnsiTheme="minorHAnsi" w:cs="Arial"/>
                <w:sz w:val="18"/>
                <w:szCs w:val="18"/>
                <w:lang w:eastAsia="sl-SI"/>
              </w:rPr>
              <w:t>Priglasitelj</w:t>
            </w:r>
          </w:p>
        </w:tc>
        <w:tc>
          <w:tcPr>
            <w:tcW w:w="3449" w:type="dxa"/>
            <w:tcBorders>
              <w:top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Namen</w:t>
            </w:r>
          </w:p>
        </w:tc>
        <w:tc>
          <w:tcPr>
            <w:tcW w:w="1294" w:type="dxa"/>
            <w:tcBorders>
              <w:top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Instrument</w:t>
            </w:r>
          </w:p>
        </w:tc>
        <w:tc>
          <w:tcPr>
            <w:tcW w:w="2299" w:type="dxa"/>
            <w:tcBorders>
              <w:top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Skupaj 2015–2017</w:t>
            </w:r>
          </w:p>
        </w:tc>
      </w:tr>
      <w:tr w:rsidR="00A720EA" w:rsidRPr="00D050E9" w:rsidTr="009F6E61">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834" w:type="dxa"/>
            <w:vMerge w:val="restart"/>
            <w:tcBorders>
              <w:top w:val="single" w:sz="8" w:space="0" w:color="A7BFDE"/>
              <w:bottom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sz w:val="18"/>
                <w:szCs w:val="18"/>
                <w:lang w:eastAsia="sl-SI"/>
              </w:rPr>
            </w:pPr>
            <w:r w:rsidRPr="00D050E9">
              <w:rPr>
                <w:rFonts w:asciiTheme="minorHAnsi" w:hAnsiTheme="minorHAnsi" w:cs="Arial"/>
                <w:sz w:val="18"/>
                <w:szCs w:val="18"/>
                <w:lang w:eastAsia="sl-SI"/>
              </w:rPr>
              <w:t>MIZŠ</w:t>
            </w:r>
          </w:p>
        </w:tc>
        <w:tc>
          <w:tcPr>
            <w:tcW w:w="3449" w:type="dxa"/>
            <w:tcBorders>
              <w:top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sz w:val="18"/>
                <w:szCs w:val="18"/>
                <w:lang w:eastAsia="sl-SI"/>
              </w:rPr>
              <w:t>Industrijske raziskave</w:t>
            </w:r>
          </w:p>
        </w:tc>
        <w:tc>
          <w:tcPr>
            <w:tcW w:w="1294" w:type="dxa"/>
            <w:vMerge w:val="restart"/>
            <w:tcBorders>
              <w:top w:val="single" w:sz="8" w:space="0" w:color="A7BFDE"/>
              <w:left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2299" w:type="dxa"/>
            <w:tcBorders>
              <w:top w:val="single" w:sz="8" w:space="0" w:color="A7BFDE"/>
              <w:lef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17.432.500,72</w:t>
            </w:r>
          </w:p>
        </w:tc>
      </w:tr>
      <w:tr w:rsidR="00A720EA" w:rsidRPr="00D050E9" w:rsidTr="009F6E61">
        <w:trPr>
          <w:trHeight w:val="22"/>
        </w:trPr>
        <w:tc>
          <w:tcPr>
            <w:cnfStyle w:val="001000000000" w:firstRow="0" w:lastRow="0" w:firstColumn="1" w:lastColumn="0" w:oddVBand="0" w:evenVBand="0" w:oddHBand="0" w:evenHBand="0" w:firstRowFirstColumn="0" w:firstRowLastColumn="0" w:lastRowFirstColumn="0" w:lastRowLastColumn="0"/>
            <w:tcW w:w="1834" w:type="dxa"/>
            <w:vMerge/>
            <w:tcBorders>
              <w:top w:val="nil"/>
              <w:bottom w:val="single" w:sz="8" w:space="0" w:color="A7BFDE"/>
            </w:tcBorders>
            <w:shd w:val="clear" w:color="auto" w:fill="auto"/>
            <w:vAlign w:val="center"/>
          </w:tcPr>
          <w:p w:rsidR="00A720EA" w:rsidRPr="00D050E9" w:rsidRDefault="00A720EA" w:rsidP="00A720EA">
            <w:pPr>
              <w:spacing w:line="276" w:lineRule="auto"/>
              <w:rPr>
                <w:rFonts w:asciiTheme="minorHAnsi" w:hAnsiTheme="minorHAnsi" w:cs="Arial"/>
                <w:b w:val="0"/>
                <w:sz w:val="18"/>
                <w:szCs w:val="18"/>
                <w:highlight w:val="yellow"/>
                <w:lang w:eastAsia="sl-SI"/>
              </w:rPr>
            </w:pPr>
          </w:p>
        </w:tc>
        <w:tc>
          <w:tcPr>
            <w:tcW w:w="3449" w:type="dxa"/>
            <w:tcBorders>
              <w:bottom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sz w:val="18"/>
                <w:szCs w:val="18"/>
                <w:lang w:eastAsia="sl-SI"/>
              </w:rPr>
              <w:t>Eksperimentalni razvoj</w:t>
            </w:r>
          </w:p>
        </w:tc>
        <w:tc>
          <w:tcPr>
            <w:tcW w:w="1294" w:type="dxa"/>
            <w:vMerge/>
            <w:tcBorders>
              <w:bottom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p>
        </w:tc>
        <w:tc>
          <w:tcPr>
            <w:tcW w:w="2299" w:type="dxa"/>
            <w:tcBorders>
              <w:bottom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689.878,90</w:t>
            </w:r>
          </w:p>
        </w:tc>
      </w:tr>
      <w:tr w:rsidR="00A720EA" w:rsidRPr="00D050E9" w:rsidTr="009F6E61">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834" w:type="dxa"/>
            <w:tcBorders>
              <w:top w:val="single" w:sz="8" w:space="0" w:color="A7BFDE"/>
            </w:tcBorders>
            <w:shd w:val="clear" w:color="auto" w:fill="auto"/>
            <w:vAlign w:val="center"/>
          </w:tcPr>
          <w:p w:rsidR="00A720EA" w:rsidRPr="00D050E9" w:rsidRDefault="00A720EA" w:rsidP="00A720EA">
            <w:pPr>
              <w:spacing w:line="276" w:lineRule="auto"/>
              <w:rPr>
                <w:rFonts w:asciiTheme="minorHAnsi" w:hAnsiTheme="minorHAnsi" w:cs="Arial"/>
                <w:b w:val="0"/>
                <w:sz w:val="18"/>
                <w:szCs w:val="18"/>
                <w:highlight w:val="yellow"/>
                <w:lang w:eastAsia="sl-SI"/>
              </w:rPr>
            </w:pPr>
          </w:p>
        </w:tc>
        <w:tc>
          <w:tcPr>
            <w:tcW w:w="3449" w:type="dxa"/>
            <w:tcBorders>
              <w:top w:val="single" w:sz="8" w:space="0" w:color="A7BFDE"/>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D050E9">
              <w:rPr>
                <w:rFonts w:asciiTheme="minorHAnsi" w:hAnsiTheme="minorHAnsi" w:cs="Arial"/>
                <w:b/>
                <w:sz w:val="18"/>
                <w:szCs w:val="18"/>
              </w:rPr>
              <w:t>SKUPAJ</w:t>
            </w:r>
          </w:p>
        </w:tc>
        <w:tc>
          <w:tcPr>
            <w:tcW w:w="1294" w:type="dxa"/>
            <w:tcBorders>
              <w:top w:val="single" w:sz="8" w:space="0" w:color="A7BFDE"/>
              <w:left w:val="nil"/>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p>
        </w:tc>
        <w:tc>
          <w:tcPr>
            <w:tcW w:w="2299" w:type="dxa"/>
            <w:tcBorders>
              <w:top w:val="single" w:sz="8" w:space="0" w:color="A7BFDE"/>
              <w:left w:val="nil"/>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D050E9">
              <w:rPr>
                <w:rFonts w:asciiTheme="minorHAnsi" w:hAnsiTheme="minorHAnsi" w:cs="Arial"/>
                <w:b/>
                <w:sz w:val="18"/>
                <w:szCs w:val="18"/>
              </w:rPr>
              <w:t>18.122.379,62</w:t>
            </w:r>
          </w:p>
        </w:tc>
      </w:tr>
    </w:tbl>
    <w:p w:rsidR="00A720EA" w:rsidRPr="00D050E9" w:rsidRDefault="00A720EA" w:rsidP="00A720EA">
      <w:pPr>
        <w:pStyle w:val="podpisi"/>
        <w:spacing w:line="276" w:lineRule="auto"/>
        <w:rPr>
          <w:rFonts w:asciiTheme="minorHAnsi" w:hAnsiTheme="minorHAnsi" w:cs="Arial"/>
          <w:sz w:val="22"/>
          <w:szCs w:val="22"/>
          <w:lang w:val="sl-SI"/>
        </w:rPr>
      </w:pPr>
    </w:p>
    <w:p w:rsidR="00A720EA" w:rsidRPr="00D050E9" w:rsidRDefault="00A720EA" w:rsidP="00A720EA">
      <w:pPr>
        <w:autoSpaceDE w:val="0"/>
        <w:autoSpaceDN w:val="0"/>
        <w:adjustRightInd w:val="0"/>
        <w:rPr>
          <w:rFonts w:asciiTheme="minorHAnsi" w:hAnsiTheme="minorHAnsi" w:cs="Arial"/>
          <w:color w:val="000000"/>
        </w:rPr>
      </w:pPr>
      <w:r w:rsidRPr="00D050E9">
        <w:rPr>
          <w:rFonts w:asciiTheme="minorHAnsi" w:hAnsiTheme="minorHAnsi" w:cs="Arial"/>
          <w:color w:val="000000"/>
        </w:rPr>
        <w:t xml:space="preserve">V sklopu priglašene sheme državne pomoči »Program za spodbujanje raziskav in razvoja MIZŠ na področju znanosti za obdobje 2016-2020«, št. priglasitve: BE01-2399300-2016, je bila v letu 2017 dodeljena državna pomoč za spodbujanje raziskav in razvoja na dva načina: </w:t>
      </w:r>
    </w:p>
    <w:p w:rsidR="00A720EA" w:rsidRPr="00D050E9" w:rsidRDefault="00A720EA" w:rsidP="00A720EA">
      <w:pPr>
        <w:autoSpaceDE w:val="0"/>
        <w:autoSpaceDN w:val="0"/>
        <w:adjustRightInd w:val="0"/>
        <w:rPr>
          <w:rFonts w:asciiTheme="minorHAnsi" w:hAnsiTheme="minorHAnsi" w:cs="Arial"/>
          <w:color w:val="000000"/>
        </w:rPr>
      </w:pPr>
      <w:r w:rsidRPr="00D050E9">
        <w:rPr>
          <w:rFonts w:asciiTheme="minorHAnsi" w:hAnsiTheme="minorHAnsi" w:cs="Arial"/>
          <w:color w:val="000000"/>
        </w:rPr>
        <w:t xml:space="preserve"> 1. javno financiranje transnacionalnega in evropskega sodelovanja v okviru večletnih okvirnih programov EU (npr. Obzorje 2020), podpornih programov in drugih ukrepov EU za krepitev skupnega evropskega raziskovalnega prostora. </w:t>
      </w:r>
    </w:p>
    <w:p w:rsidR="00A720EA" w:rsidRPr="00D050E9" w:rsidRDefault="00A720EA" w:rsidP="00EB5110">
      <w:pPr>
        <w:autoSpaceDE w:val="0"/>
        <w:autoSpaceDN w:val="0"/>
        <w:adjustRightInd w:val="0"/>
        <w:spacing w:line="276" w:lineRule="auto"/>
        <w:rPr>
          <w:rFonts w:asciiTheme="minorHAnsi" w:hAnsiTheme="minorHAnsi"/>
        </w:rPr>
      </w:pPr>
      <w:r w:rsidRPr="00D050E9">
        <w:rPr>
          <w:rFonts w:asciiTheme="minorHAnsi" w:hAnsiTheme="minorHAnsi" w:cs="Arial"/>
          <w:color w:val="000000"/>
        </w:rPr>
        <w:t xml:space="preserve">Skladno s tem so s strani MIZŠ kot partnerji konzorcijev evropskih financerskih organizacij (ERA-NET projekti) izvajali skupne transnacionalne javne razpise. V letu 2017 so sofinancirali slovenske partnerje s področja raziskovalne in razvojne dejavnosti v okviru skupnega transnacionalnega razpisa M-ERA.NET 2014. Cilj javnega razpisa v okviru iniciative M-ERA.NET 2014 je spodbujati transnacionalno in evropsko sodelovanje in s tem okrepiti znanstveno skupnost na področju raziskav sodobnih materialov, inženiringa (vključno z mikro in nano tehnologijami) in sodobnih proizvodnih procesov v Evropi in svetu. </w:t>
      </w:r>
      <w:r w:rsidRPr="00D050E9">
        <w:rPr>
          <w:rFonts w:asciiTheme="minorHAnsi" w:hAnsiTheme="minorHAnsi"/>
        </w:rPr>
        <w:t>Skupna višina nepovratnih sredstev izvedbo javnega razpisa, ki so namenjena za sofinanciranje aktivnosti slovenskih partnerjev pri transnacionalnih raziskovalnih projektih, znaša 630.000,00 EUR za celotno obdobje trajanja projektov, posamezni projekt pa je lahko sofinanciran v višini največ 210.000,00 EUR, oziroma največ do 70.000,00 EUR na leto. Na Javnem razpisu sta bila izbrana 2 konzorcija s slovenskimi partnerji. Predvideno obdobje za porabo sredstev so proračunska leta 2016, 2017, 2018 in 2019.</w:t>
      </w:r>
    </w:p>
    <w:p w:rsidR="00A720EA" w:rsidRPr="00D050E9" w:rsidRDefault="00A720EA" w:rsidP="00EB5110">
      <w:pPr>
        <w:autoSpaceDE w:val="0"/>
        <w:autoSpaceDN w:val="0"/>
        <w:adjustRightInd w:val="0"/>
        <w:spacing w:line="276" w:lineRule="auto"/>
        <w:rPr>
          <w:rFonts w:asciiTheme="minorHAnsi" w:hAnsiTheme="minorHAnsi" w:cs="Arial"/>
          <w:color w:val="000000"/>
        </w:rPr>
      </w:pPr>
      <w:r w:rsidRPr="00D050E9">
        <w:rPr>
          <w:rFonts w:asciiTheme="minorHAnsi" w:hAnsiTheme="minorHAnsi" w:cs="Arial"/>
          <w:color w:val="000000"/>
        </w:rPr>
        <w:t xml:space="preserve">2. javno financiranje evropske kohezijske politike. Javno financiranje se izvede v skladu z veljavnimi postopki dodeljevanja javnih sredstev, ki veljajo za evropsko kohezijsko politiko (to je npr. Uredba o porabi sredstev evropske kohezijske politike v Republiki Sloveniji v programskem obdobju 2014–2020 za cilj naložbe za rast in delovna mesta). </w:t>
      </w:r>
    </w:p>
    <w:p w:rsidR="00A720EA" w:rsidRPr="00D050E9" w:rsidRDefault="00A720EA" w:rsidP="00A720EA">
      <w:pPr>
        <w:pStyle w:val="podpisi"/>
        <w:spacing w:line="276" w:lineRule="auto"/>
        <w:jc w:val="both"/>
        <w:rPr>
          <w:rFonts w:asciiTheme="minorHAnsi" w:eastAsiaTheme="minorHAnsi" w:hAnsiTheme="minorHAnsi" w:cs="Arial"/>
          <w:color w:val="000000"/>
          <w:sz w:val="22"/>
          <w:szCs w:val="22"/>
          <w:lang w:val="sl-SI"/>
        </w:rPr>
      </w:pPr>
      <w:r w:rsidRPr="00D050E9">
        <w:rPr>
          <w:rFonts w:asciiTheme="minorHAnsi" w:eastAsiaTheme="minorHAnsi" w:hAnsiTheme="minorHAnsi" w:cs="Arial"/>
          <w:color w:val="000000"/>
          <w:sz w:val="22"/>
          <w:szCs w:val="22"/>
          <w:lang w:val="sl-SI"/>
        </w:rPr>
        <w:t xml:space="preserve">V tem okviru so izvajali Javni razpis za »RRI v verigah in mrežah vrednosti, Sklop 1: Spodbujanje izvajanja raziskovalno-razvojnih programov (TRL 3-6)« (v nadaljevanju: Javni razpis). </w:t>
      </w:r>
      <w:r w:rsidRPr="00D050E9">
        <w:rPr>
          <w:rFonts w:asciiTheme="minorHAnsi" w:hAnsiTheme="minorHAnsi"/>
          <w:sz w:val="22"/>
          <w:szCs w:val="22"/>
          <w:lang w:val="sl-SI"/>
        </w:rPr>
        <w:t xml:space="preserve">Cilj je podpreti programe konzorcijev, ki bodo zajemali projekte, usmerjene k novim produktom in storitvam z visoko dodano vrednostjo in z izkazanim tržnim potencialom na mednarodni ravni ter posledično večje konkurenčnosti udeleženih partnerjev v verigah vrednosti. </w:t>
      </w:r>
      <w:r w:rsidRPr="00D050E9">
        <w:rPr>
          <w:rFonts w:asciiTheme="minorHAnsi" w:hAnsiTheme="minorHAnsi"/>
          <w:sz w:val="23"/>
          <w:szCs w:val="23"/>
          <w:lang w:val="sl-SI"/>
        </w:rPr>
        <w:t xml:space="preserve">Skupna višina nepovratnih sredstev, ki so namenjena za izvedbo javnega razpisa, znaša 55.000.000,00 EUR, posamezni program je lahko sofinanciran v višini največ 6.000.000,00 EUR. </w:t>
      </w:r>
      <w:r w:rsidRPr="00D050E9">
        <w:rPr>
          <w:rFonts w:asciiTheme="minorHAnsi" w:hAnsiTheme="minorHAnsi"/>
          <w:sz w:val="22"/>
          <w:szCs w:val="22"/>
          <w:lang w:val="sl-SI"/>
        </w:rPr>
        <w:t>Na Javnem razpisu je bilo izbranih 9 konzorcijev, v katere je povezanih 160 podjetij in raziskovalnih organizacij. V konzorcijih sodeluje med 10 in 26 partnerjev. Gre za večletne projekte na začetku izvajanja. Konzorciji so v letu 2017 časovno in finančno uspešno izvajali vse razvojno-raziskovalne projekte, ki tečejo znotraj programov in so se v omenjenem obdobju začeli. Učinki dodeljene pomoči bodo analizirani v evalvaciji po koncu izvajanja programov.</w:t>
      </w:r>
    </w:p>
    <w:p w:rsidR="00A720EA" w:rsidRPr="00D050E9" w:rsidRDefault="00A720EA" w:rsidP="00EB5110">
      <w:pPr>
        <w:autoSpaceDE w:val="0"/>
        <w:autoSpaceDN w:val="0"/>
        <w:adjustRightInd w:val="0"/>
        <w:spacing w:after="0"/>
        <w:jc w:val="left"/>
        <w:rPr>
          <w:rFonts w:asciiTheme="minorHAnsi" w:hAnsiTheme="minorHAnsi" w:cs="Arial"/>
          <w:color w:val="000000"/>
          <w:sz w:val="24"/>
          <w:szCs w:val="24"/>
        </w:rPr>
      </w:pPr>
    </w:p>
    <w:p w:rsidR="00A720EA" w:rsidRDefault="00A720EA" w:rsidP="00A720EA">
      <w:pPr>
        <w:spacing w:line="276" w:lineRule="auto"/>
        <w:rPr>
          <w:rFonts w:asciiTheme="minorHAnsi" w:hAnsiTheme="minorHAnsi" w:cs="Arial"/>
          <w:b/>
          <w:bCs/>
          <w:i/>
          <w:color w:val="000000"/>
        </w:rPr>
      </w:pPr>
      <w:r w:rsidRPr="00D050E9">
        <w:rPr>
          <w:rFonts w:asciiTheme="minorHAnsi" w:hAnsiTheme="minorHAnsi"/>
        </w:rPr>
        <w:t xml:space="preserve">Dosežke projekta se bo bolj natančno preverjalo ob izteku projekta, tako glede na učinke, pozitivne vplive na okolje, kot tudi sama kakovost projekta. </w:t>
      </w:r>
      <w:r w:rsidRPr="00D050E9">
        <w:rPr>
          <w:rFonts w:asciiTheme="minorHAnsi" w:hAnsiTheme="minorHAnsi"/>
          <w:b/>
          <w:i/>
        </w:rPr>
        <w:t xml:space="preserve">Dosedanji </w:t>
      </w:r>
      <w:r w:rsidRPr="00D050E9">
        <w:rPr>
          <w:rFonts w:asciiTheme="minorHAnsi" w:hAnsiTheme="minorHAnsi" w:cs="Arial"/>
          <w:b/>
          <w:bCs/>
          <w:i/>
          <w:color w:val="000000"/>
        </w:rPr>
        <w:t>ocenjen učinek navedenih ukrepov je pozitiven.</w:t>
      </w:r>
    </w:p>
    <w:p w:rsidR="00A720EA" w:rsidRPr="00D050E9" w:rsidRDefault="00846E1B" w:rsidP="00A720EA">
      <w:pPr>
        <w:spacing w:line="276" w:lineRule="auto"/>
        <w:rPr>
          <w:rFonts w:asciiTheme="minorHAnsi" w:hAnsiTheme="minorHAnsi" w:cs="Arial"/>
          <w:color w:val="000000"/>
          <w:sz w:val="20"/>
          <w:szCs w:val="20"/>
          <w:lang w:eastAsia="sl-SI"/>
        </w:rPr>
      </w:pPr>
      <w:r w:rsidRPr="002F606A">
        <w:rPr>
          <w:rFonts w:asciiTheme="minorHAnsi" w:hAnsiTheme="minorHAnsi" w:cs="Arial"/>
          <w:b/>
          <w:i/>
          <w:u w:val="single"/>
        </w:rPr>
        <w:t>Raziskovalni projekti temeljnega raziskovanja</w:t>
      </w:r>
      <w:r w:rsidR="00A720EA" w:rsidRPr="002F606A">
        <w:rPr>
          <w:rFonts w:asciiTheme="minorHAnsi" w:hAnsiTheme="minorHAnsi" w:cs="Arial"/>
          <w:sz w:val="20"/>
          <w:szCs w:val="20"/>
        </w:rPr>
        <w:t xml:space="preserve"> (BE01-1937286-2009 in BE01-1937286-2015)</w:t>
      </w:r>
    </w:p>
    <w:tbl>
      <w:tblPr>
        <w:tblStyle w:val="MediumGrid2-Accent5"/>
        <w:tblW w:w="9180" w:type="dxa"/>
        <w:tblLook w:val="04A0" w:firstRow="1" w:lastRow="0" w:firstColumn="1" w:lastColumn="0" w:noHBand="0" w:noVBand="1"/>
      </w:tblPr>
      <w:tblGrid>
        <w:gridCol w:w="1065"/>
        <w:gridCol w:w="3579"/>
        <w:gridCol w:w="1692"/>
        <w:gridCol w:w="1052"/>
        <w:gridCol w:w="1792"/>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065"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579"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Naziv</w:t>
            </w:r>
          </w:p>
        </w:tc>
        <w:tc>
          <w:tcPr>
            <w:tcW w:w="1692"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052"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79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dxa"/>
            <w:vMerge w:val="restart"/>
            <w:tcBorders>
              <w:top w:val="single" w:sz="8" w:space="0" w:color="A7BFDE"/>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ARRS</w:t>
            </w:r>
          </w:p>
        </w:tc>
        <w:tc>
          <w:tcPr>
            <w:tcW w:w="357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Projekti temeljnega in aplikativnega raziskovanja, Ciljni raziskovalni programi in Sofinanciranje mednarodnih raziskav in projektov EUREKA</w:t>
            </w:r>
          </w:p>
        </w:tc>
        <w:tc>
          <w:tcPr>
            <w:tcW w:w="1692"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Temeljne raziskave</w:t>
            </w:r>
          </w:p>
        </w:tc>
        <w:tc>
          <w:tcPr>
            <w:tcW w:w="1052"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792"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bCs/>
                <w:sz w:val="18"/>
                <w:szCs w:val="18"/>
                <w:lang w:eastAsia="sl-SI"/>
              </w:rPr>
              <w:t>15.126.649,21</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065" w:type="dxa"/>
            <w:vMerge/>
            <w:tcBorders>
              <w:bottom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sz w:val="18"/>
                <w:szCs w:val="18"/>
                <w:lang w:eastAsia="sl-SI"/>
              </w:rPr>
            </w:pPr>
          </w:p>
        </w:tc>
        <w:tc>
          <w:tcPr>
            <w:tcW w:w="3579"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Raziskovalni projekti temeljnega raziskovanja</w:t>
            </w:r>
          </w:p>
        </w:tc>
        <w:tc>
          <w:tcPr>
            <w:tcW w:w="1692"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052"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79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color w:val="000000"/>
                <w:sz w:val="18"/>
                <w:szCs w:val="18"/>
              </w:rPr>
              <w:t>7.381.700,92</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dxa"/>
            <w:tcBorders>
              <w:top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sz w:val="18"/>
                <w:szCs w:val="18"/>
                <w:lang w:eastAsia="sl-SI"/>
              </w:rPr>
            </w:pPr>
          </w:p>
        </w:tc>
        <w:tc>
          <w:tcPr>
            <w:tcW w:w="357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169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05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79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eastAsia="sl-SI"/>
              </w:rPr>
            </w:pPr>
            <w:r w:rsidRPr="00D050E9">
              <w:rPr>
                <w:rFonts w:asciiTheme="minorHAnsi" w:hAnsiTheme="minorHAnsi" w:cs="Arial"/>
                <w:b/>
                <w:bCs/>
                <w:sz w:val="18"/>
                <w:szCs w:val="18"/>
                <w:lang w:eastAsia="sl-SI"/>
              </w:rPr>
              <w:t>22.508.350,13</w:t>
            </w:r>
          </w:p>
        </w:tc>
      </w:tr>
    </w:tbl>
    <w:p w:rsidR="00A720EA" w:rsidRPr="00D050E9" w:rsidRDefault="00A720EA" w:rsidP="00A720EA">
      <w:pPr>
        <w:spacing w:line="276" w:lineRule="auto"/>
        <w:rPr>
          <w:rFonts w:asciiTheme="minorHAnsi" w:hAnsiTheme="minorHAnsi" w:cs="Arial"/>
          <w:spacing w:val="-2"/>
        </w:rPr>
      </w:pPr>
      <w:r w:rsidRPr="00D050E9">
        <w:rPr>
          <w:rFonts w:asciiTheme="minorHAnsi" w:hAnsiTheme="minorHAnsi" w:cs="Arial"/>
          <w:spacing w:val="-2"/>
        </w:rPr>
        <w:t>Javna agencija za raziskovalno dejavnost Republike Slovenije je v okviru shem državnih pomoči v letu 2017 sofinancirala 107 različnih projektov, od tega je bilo 28 temeljnih, 66 aplikativnih</w:t>
      </w:r>
      <w:r w:rsidR="00A82B99">
        <w:rPr>
          <w:rStyle w:val="FootnoteReference"/>
          <w:rFonts w:asciiTheme="minorHAnsi" w:hAnsiTheme="minorHAnsi" w:cs="Arial"/>
          <w:spacing w:val="-2"/>
        </w:rPr>
        <w:footnoteReference w:id="29"/>
      </w:r>
      <w:r w:rsidRPr="00D050E9">
        <w:rPr>
          <w:rFonts w:asciiTheme="minorHAnsi" w:hAnsiTheme="minorHAnsi" w:cs="Arial"/>
          <w:spacing w:val="-2"/>
        </w:rPr>
        <w:t xml:space="preserve"> in 4 podoktorski raziskovalni projekti ter 9 ciljnih raziskovalnih programov. Največ raziskovalnih projektov (39) je bilo na področju tehnike. Sledijo raziskovalni projekti na področju biotehnike (21), naravoslovje (13), interdisciplinarne raziskave (12), družboslovje (11), medicina (7) in humanistika (4). Raziskovalni projekti so se oziroma se še bodo v triletnem obdobju izvajali v gospodarskih družbah samostojno ali v sodelovanju z raziskovalnimi organizacijami v državnem ali visokošolskem sektorju ali zasebnem nepridobitnem sektorju, ali pa so jih gospodarske družbe sofinancirale. V letu 2017 se je zaključilo 35 </w:t>
      </w:r>
      <w:r w:rsidRPr="009F6E61">
        <w:rPr>
          <w:rFonts w:asciiTheme="minorHAnsi" w:hAnsiTheme="minorHAnsi" w:cs="Arial"/>
          <w:spacing w:val="-2"/>
        </w:rPr>
        <w:t xml:space="preserve">raziskovalnih projektov, pri katerih </w:t>
      </w:r>
      <w:r w:rsidRPr="009F6E61">
        <w:rPr>
          <w:rFonts w:asciiTheme="minorHAnsi" w:hAnsiTheme="minorHAnsi"/>
        </w:rPr>
        <w:t>je sodelovalo 52 različnih izvajalskih raziskovalnih organizacij (kot v predhodnih letih tudi v letu 2017 glede na obseg v FTE</w:t>
      </w:r>
      <w:r w:rsidR="0034783E" w:rsidRPr="009F6E61">
        <w:rPr>
          <w:rFonts w:asciiTheme="minorHAnsi" w:hAnsiTheme="minorHAnsi"/>
        </w:rPr>
        <w:t xml:space="preserve"> (full-time equivalent oziroma ekvivalent polne zaposlenosti)</w:t>
      </w:r>
      <w:r w:rsidRPr="009F6E61">
        <w:rPr>
          <w:rFonts w:asciiTheme="minorHAnsi" w:hAnsiTheme="minorHAnsi"/>
        </w:rPr>
        <w:t xml:space="preserve"> izstopa Univerza v Ljubljani, sledi pa Institut "Jožef Stefan").</w:t>
      </w:r>
      <w:r w:rsidRPr="009F6E61">
        <w:rPr>
          <w:rFonts w:asciiTheme="minorHAnsi" w:hAnsiTheme="minorHAnsi" w:cs="Arial"/>
          <w:spacing w:val="-2"/>
        </w:rPr>
        <w:t xml:space="preserve"> Ostali projekti, ki so se (so)financirali v letu 2017, še potekajo v naslednjem letu. </w:t>
      </w:r>
      <w:r w:rsidRPr="009F6E61">
        <w:rPr>
          <w:rFonts w:asciiTheme="minorHAnsi" w:hAnsiTheme="minorHAnsi"/>
        </w:rPr>
        <w:t>Doseženih je bilo 89,5 odstotka zastavljenih</w:t>
      </w:r>
      <w:r w:rsidRPr="00D050E9">
        <w:rPr>
          <w:rFonts w:asciiTheme="minorHAnsi" w:hAnsiTheme="minorHAnsi"/>
        </w:rPr>
        <w:t xml:space="preserve"> ciljev, 10,2 odstotka pa jih bo v naslednjih 3 letih. Od vseh zastavljenih ciljev je bilo do zaključka izvajanja raziskovalnih projektov v celoti uporabljenih skoraj dve tretjini rezultatov (63,7 odstotkov), delno uporabljenih je bilo 14,3 odstotka in 20,7 odstotka rezultatov bo uporabljenih v 3 letih.</w:t>
      </w:r>
    </w:p>
    <w:p w:rsidR="00A720EA" w:rsidRPr="00D050E9" w:rsidRDefault="00A720EA" w:rsidP="00A720EA">
      <w:pPr>
        <w:spacing w:line="276" w:lineRule="auto"/>
        <w:rPr>
          <w:rFonts w:asciiTheme="minorHAnsi" w:hAnsiTheme="minorHAnsi" w:cs="Arial"/>
          <w:b/>
          <w:i/>
          <w:spacing w:val="-2"/>
        </w:rPr>
      </w:pPr>
      <w:r w:rsidRPr="00D050E9">
        <w:rPr>
          <w:rFonts w:asciiTheme="minorHAnsi" w:hAnsiTheme="minorHAnsi" w:cs="Arial"/>
          <w:b/>
          <w:i/>
          <w:spacing w:val="-2"/>
        </w:rPr>
        <w:t>V letu 2017 zaključeni raziskovalni projekti državnih pomoči izkazujejo pozitivne in izredno velike znanstvenoraziskovalne in razvojne rezultate ter pomembne vplive oziroma učinke</w:t>
      </w:r>
      <w:r w:rsidRPr="00D050E9">
        <w:rPr>
          <w:rFonts w:asciiTheme="minorHAnsi" w:hAnsiTheme="minorHAnsi" w:cs="Arial"/>
          <w:spacing w:val="-2"/>
        </w:rPr>
        <w:t xml:space="preserve"> </w:t>
      </w:r>
      <w:r w:rsidRPr="00D050E9">
        <w:rPr>
          <w:rFonts w:asciiTheme="minorHAnsi" w:hAnsiTheme="minorHAnsi" w:cs="Arial"/>
          <w:b/>
          <w:i/>
          <w:spacing w:val="-2"/>
        </w:rPr>
        <w:t>za gospodarski, tehnološki, družbeni, infrastrukturni, okoljski in kulturni razvoj Slovenije.</w:t>
      </w:r>
    </w:p>
    <w:p w:rsidR="00A720EA" w:rsidRPr="00D050E9" w:rsidRDefault="00A720EA" w:rsidP="00A720EA">
      <w:pPr>
        <w:spacing w:line="276" w:lineRule="auto"/>
        <w:rPr>
          <w:rFonts w:asciiTheme="minorHAnsi" w:hAnsiTheme="minorHAnsi" w:cs="Arial"/>
          <w:spacing w:val="-2"/>
        </w:rPr>
      </w:pPr>
      <w:r w:rsidRPr="00D050E9">
        <w:rPr>
          <w:rFonts w:asciiTheme="minorHAnsi" w:hAnsiTheme="minorHAnsi" w:cs="Arial"/>
          <w:b/>
          <w:i/>
          <w:spacing w:val="-2"/>
        </w:rPr>
        <w:t>Javna agencija za raziskovalno dejavnost Republike Slovenije ocenjuje dodeljene državne pomoči po obeh shemah kot zelo uspešne</w:t>
      </w:r>
      <w:r w:rsidRPr="00D050E9">
        <w:rPr>
          <w:rFonts w:asciiTheme="minorHAnsi" w:hAnsiTheme="minorHAnsi" w:cs="Arial"/>
          <w:spacing w:val="-2"/>
        </w:rPr>
        <w:t xml:space="preserve">. </w:t>
      </w:r>
    </w:p>
    <w:p w:rsidR="00A720EA" w:rsidRPr="00D050E9" w:rsidRDefault="00A720EA" w:rsidP="00EB5110">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b/>
          <w:i/>
          <w:u w:val="single"/>
        </w:rPr>
      </w:pPr>
      <w:r w:rsidRPr="00D050E9">
        <w:rPr>
          <w:rFonts w:asciiTheme="minorHAnsi" w:hAnsiTheme="minorHAnsi" w:cs="Arial"/>
          <w:b/>
          <w:i/>
          <w:u w:val="single"/>
        </w:rPr>
        <w:t>Razvojno spodbujevalni programi in posebni pogoji financiranja SID banke</w:t>
      </w:r>
      <w:r w:rsidRPr="00D050E9">
        <w:rPr>
          <w:rFonts w:asciiTheme="minorHAnsi" w:hAnsiTheme="minorHAnsi" w:cs="Arial"/>
        </w:rPr>
        <w:t xml:space="preserve"> </w:t>
      </w:r>
      <w:r w:rsidRPr="00D050E9">
        <w:rPr>
          <w:rFonts w:asciiTheme="minorHAnsi" w:hAnsiTheme="minorHAnsi" w:cs="Arial"/>
          <w:sz w:val="20"/>
          <w:szCs w:val="20"/>
        </w:rPr>
        <w:t>(BE01-5665493-2011, BE03-5665493-2014 in BE02-5665493-2014)</w:t>
      </w:r>
    </w:p>
    <w:p w:rsidR="00A720EA" w:rsidRDefault="00A720EA" w:rsidP="00A720EA">
      <w:pPr>
        <w:tabs>
          <w:tab w:val="left" w:pos="284"/>
        </w:tabs>
        <w:autoSpaceDE w:val="0"/>
        <w:autoSpaceDN w:val="0"/>
        <w:adjustRightInd w:val="0"/>
        <w:spacing w:line="276" w:lineRule="auto"/>
        <w:rPr>
          <w:rStyle w:val="Strong"/>
          <w:rFonts w:asciiTheme="minorHAnsi" w:hAnsiTheme="minorHAnsi" w:cs="Arial"/>
          <w:i w:val="0"/>
          <w:color w:val="auto"/>
        </w:rPr>
      </w:pPr>
      <w:r w:rsidRPr="00D050E9">
        <w:rPr>
          <w:rFonts w:asciiTheme="minorHAnsi" w:hAnsiTheme="minorHAnsi" w:cs="Arial"/>
          <w:bCs/>
          <w:spacing w:val="5"/>
          <w:lang w:eastAsia="sl-SI"/>
        </w:rPr>
        <w:t xml:space="preserve">SID banka namenja finančne spodbude podjetjem ne glede na velikost </w:t>
      </w:r>
      <w:r w:rsidRPr="00D050E9">
        <w:rPr>
          <w:rFonts w:asciiTheme="minorHAnsi" w:hAnsiTheme="minorHAnsi" w:cs="Arial"/>
          <w:bCs/>
          <w:i/>
          <w:spacing w:val="5"/>
          <w:lang w:eastAsia="sl-SI"/>
        </w:rPr>
        <w:t>za n</w:t>
      </w:r>
      <w:r w:rsidRPr="00D050E9">
        <w:rPr>
          <w:rStyle w:val="Strong"/>
          <w:rFonts w:asciiTheme="minorHAnsi" w:hAnsiTheme="minorHAnsi" w:cs="Arial"/>
          <w:i w:val="0"/>
          <w:color w:val="auto"/>
        </w:rPr>
        <w:t>ove naložbe za uvajanje novih produktov na trg ali uvajanje novih rešitev v podjetju ter za razvijanje in uvajanje tehnoloških inovacij.</w:t>
      </w:r>
    </w:p>
    <w:tbl>
      <w:tblPr>
        <w:tblStyle w:val="MediumGrid2-Accent5"/>
        <w:tblW w:w="0" w:type="auto"/>
        <w:tblLayout w:type="fixed"/>
        <w:tblLook w:val="04A0" w:firstRow="1" w:lastRow="0" w:firstColumn="1" w:lastColumn="0" w:noHBand="0" w:noVBand="1"/>
      </w:tblPr>
      <w:tblGrid>
        <w:gridCol w:w="1101"/>
        <w:gridCol w:w="2268"/>
        <w:gridCol w:w="1984"/>
        <w:gridCol w:w="567"/>
        <w:gridCol w:w="567"/>
        <w:gridCol w:w="1276"/>
        <w:gridCol w:w="1417"/>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01" w:type="dxa"/>
            <w:vMerge w:val="restart"/>
            <w:tcBorders>
              <w:right w:val="single" w:sz="8" w:space="0" w:color="A7BFDE"/>
            </w:tcBorders>
            <w:vAlign w:val="center"/>
            <w:hideMark/>
          </w:tcPr>
          <w:p w:rsidR="00A720EA" w:rsidRDefault="00A720EA" w:rsidP="00A720EA">
            <w:pPr>
              <w:spacing w:line="276" w:lineRule="auto"/>
              <w:jc w:val="center"/>
              <w:rPr>
                <w:rFonts w:asciiTheme="minorHAnsi" w:hAnsiTheme="minorHAnsi" w:cs="Arial"/>
                <w:sz w:val="18"/>
                <w:szCs w:val="18"/>
                <w:lang w:eastAsia="sl-SI"/>
              </w:rPr>
            </w:pPr>
            <w:r w:rsidRPr="00D050E9">
              <w:rPr>
                <w:rFonts w:asciiTheme="minorHAnsi" w:hAnsiTheme="minorHAnsi" w:cs="Arial"/>
                <w:sz w:val="18"/>
                <w:szCs w:val="18"/>
                <w:lang w:eastAsia="sl-SI"/>
              </w:rPr>
              <w:t>Priglasitelj</w:t>
            </w:r>
          </w:p>
          <w:p w:rsidR="00EE57AD" w:rsidRPr="00D050E9" w:rsidRDefault="00EE57AD" w:rsidP="00A720EA">
            <w:pPr>
              <w:spacing w:line="276" w:lineRule="auto"/>
              <w:jc w:val="center"/>
              <w:rPr>
                <w:rFonts w:asciiTheme="minorHAnsi" w:hAnsiTheme="minorHAnsi" w:cs="Arial"/>
                <w:color w:val="auto"/>
                <w:sz w:val="18"/>
                <w:szCs w:val="18"/>
                <w:lang w:eastAsia="sl-SI"/>
              </w:rPr>
            </w:pPr>
            <w:r>
              <w:rPr>
                <w:rFonts w:asciiTheme="minorHAnsi" w:hAnsiTheme="minorHAnsi" w:cs="Arial"/>
                <w:sz w:val="18"/>
                <w:szCs w:val="18"/>
                <w:lang w:eastAsia="sl-SI"/>
              </w:rPr>
              <w:t>SID banka</w:t>
            </w:r>
          </w:p>
        </w:tc>
        <w:tc>
          <w:tcPr>
            <w:tcW w:w="2268"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Naziv</w:t>
            </w:r>
          </w:p>
        </w:tc>
        <w:tc>
          <w:tcPr>
            <w:tcW w:w="1984"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4" w:type="dxa"/>
            <w:gridSpan w:val="2"/>
            <w:vMerge w:val="restart"/>
            <w:tcBorders>
              <w:top w:val="single" w:sz="8" w:space="0" w:color="A7BFDE"/>
              <w:left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Instrument</w:t>
            </w:r>
          </w:p>
        </w:tc>
        <w:tc>
          <w:tcPr>
            <w:tcW w:w="2693" w:type="dxa"/>
            <w:gridSpan w:val="2"/>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01" w:type="dxa"/>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2268"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984"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134" w:type="dxa"/>
            <w:gridSpan w:val="2"/>
            <w:vMerge/>
            <w:tcBorders>
              <w:left w:val="single" w:sz="8" w:space="0" w:color="A7BFDE"/>
              <w:bottom w:val="single" w:sz="8" w:space="0" w:color="A7BFDE"/>
              <w:right w:val="single" w:sz="8" w:space="0" w:color="A7BFDE"/>
            </w:tcBorders>
            <w:shd w:val="clear" w:color="auto" w:fill="D3DFEE"/>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276"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lang w:eastAsia="sl-SI"/>
              </w:rPr>
            </w:pPr>
            <w:r w:rsidRPr="00D050E9">
              <w:rPr>
                <w:rFonts w:asciiTheme="minorHAnsi" w:hAnsiTheme="minorHAnsi" w:cs="Arial"/>
                <w:sz w:val="18"/>
                <w:szCs w:val="18"/>
                <w:lang w:eastAsia="sl-SI"/>
              </w:rPr>
              <w:t>Bruto znesek</w:t>
            </w:r>
          </w:p>
        </w:tc>
        <w:tc>
          <w:tcPr>
            <w:tcW w:w="141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rPr>
              <w:t>Državna pomoč</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color w:val="auto"/>
                <w:sz w:val="18"/>
                <w:szCs w:val="18"/>
                <w:lang w:eastAsia="sl-SI"/>
              </w:rPr>
            </w:pPr>
          </w:p>
        </w:tc>
        <w:tc>
          <w:tcPr>
            <w:tcW w:w="2268"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Posebni pogoji financiranja inovacijske dejavnosti malih in srednje velikih podjetij</w:t>
            </w:r>
          </w:p>
        </w:tc>
        <w:tc>
          <w:tcPr>
            <w:tcW w:w="198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Eksperimentalni razvoj</w:t>
            </w:r>
          </w:p>
        </w:tc>
        <w:tc>
          <w:tcPr>
            <w:tcW w:w="1134" w:type="dxa"/>
            <w:gridSpan w:val="2"/>
            <w:vMerge w:val="restart"/>
            <w:tcBorders>
              <w:left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Ugodna posojila</w:t>
            </w:r>
          </w:p>
        </w:tc>
        <w:tc>
          <w:tcPr>
            <w:tcW w:w="1276"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2.730.000,00</w:t>
            </w:r>
          </w:p>
        </w:tc>
        <w:tc>
          <w:tcPr>
            <w:tcW w:w="1417"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472.020,19</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color w:val="auto"/>
                <w:sz w:val="18"/>
                <w:szCs w:val="18"/>
                <w:lang w:eastAsia="sl-SI"/>
              </w:rPr>
            </w:pPr>
          </w:p>
        </w:tc>
        <w:tc>
          <w:tcPr>
            <w:tcW w:w="2268"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984"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Pomoč za procesne in organizacijske inovacije v storitvah</w:t>
            </w:r>
          </w:p>
        </w:tc>
        <w:tc>
          <w:tcPr>
            <w:tcW w:w="1134" w:type="dxa"/>
            <w:gridSpan w:val="2"/>
            <w:vMerge/>
            <w:tcBorders>
              <w:left w:val="single" w:sz="8" w:space="0" w:color="A7BFDE"/>
              <w:right w:val="single" w:sz="8" w:space="0" w:color="A7BFDE"/>
            </w:tcBorders>
            <w:shd w:val="clear" w:color="auto" w:fill="D3DFEE"/>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p>
        </w:tc>
        <w:tc>
          <w:tcPr>
            <w:tcW w:w="1276"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p>
        </w:tc>
        <w:tc>
          <w:tcPr>
            <w:tcW w:w="141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95.304,48</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color w:val="auto"/>
                <w:sz w:val="18"/>
                <w:szCs w:val="18"/>
                <w:lang w:eastAsia="sl-SI"/>
              </w:rPr>
            </w:pPr>
          </w:p>
        </w:tc>
        <w:tc>
          <w:tcPr>
            <w:tcW w:w="2268"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Posebni pogoji financiranja tehnološko-razvojnih projektov (Raziskave in razvoj)</w:t>
            </w:r>
          </w:p>
        </w:tc>
        <w:tc>
          <w:tcPr>
            <w:tcW w:w="198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Industrijske raziskave</w:t>
            </w:r>
          </w:p>
        </w:tc>
        <w:tc>
          <w:tcPr>
            <w:tcW w:w="1134" w:type="dxa"/>
            <w:gridSpan w:val="2"/>
            <w:vMerge/>
            <w:tcBorders>
              <w:left w:val="single" w:sz="8" w:space="0" w:color="A7BFDE"/>
              <w:right w:val="single" w:sz="8" w:space="0" w:color="A7BFDE"/>
            </w:tcBorders>
            <w:shd w:val="clear" w:color="auto" w:fill="A7BFDE"/>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p>
        </w:tc>
        <w:tc>
          <w:tcPr>
            <w:tcW w:w="1276"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11.191.720,50</w:t>
            </w:r>
          </w:p>
        </w:tc>
        <w:tc>
          <w:tcPr>
            <w:tcW w:w="1417"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399.672,63</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nil"/>
              <w:bottom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sz w:val="18"/>
                <w:szCs w:val="18"/>
                <w:lang w:eastAsia="sl-SI"/>
              </w:rPr>
            </w:pPr>
          </w:p>
        </w:tc>
        <w:tc>
          <w:tcPr>
            <w:tcW w:w="2268" w:type="dxa"/>
            <w:vMerge/>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984"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lang w:eastAsia="sl-SI"/>
              </w:rPr>
              <w:t>Eksperimentalni razvoj</w:t>
            </w:r>
          </w:p>
        </w:tc>
        <w:tc>
          <w:tcPr>
            <w:tcW w:w="1134" w:type="dxa"/>
            <w:gridSpan w:val="2"/>
            <w:vMerge/>
            <w:tcBorders>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p>
        </w:tc>
        <w:tc>
          <w:tcPr>
            <w:tcW w:w="1276" w:type="dxa"/>
            <w:vMerge/>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p>
        </w:tc>
        <w:tc>
          <w:tcPr>
            <w:tcW w:w="141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466.198,19</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A7BFDE"/>
              <w:right w:val="single" w:sz="8" w:space="0" w:color="A7BFDE"/>
            </w:tcBorders>
            <w:vAlign w:val="center"/>
          </w:tcPr>
          <w:p w:rsidR="00A720EA" w:rsidRPr="00D050E9" w:rsidRDefault="00A720EA" w:rsidP="00970253">
            <w:pPr>
              <w:spacing w:line="276" w:lineRule="auto"/>
              <w:rPr>
                <w:rFonts w:asciiTheme="minorHAnsi" w:hAnsiTheme="minorHAnsi" w:cs="Arial"/>
                <w:b w:val="0"/>
                <w:sz w:val="18"/>
                <w:szCs w:val="18"/>
                <w:lang w:eastAsia="sl-SI"/>
              </w:rPr>
            </w:pPr>
          </w:p>
        </w:tc>
        <w:tc>
          <w:tcPr>
            <w:tcW w:w="2268"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97025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198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97025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567" w:type="dxa"/>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97025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567" w:type="dxa"/>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97025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1276"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97025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13.921.720,50</w:t>
            </w:r>
          </w:p>
        </w:tc>
        <w:tc>
          <w:tcPr>
            <w:tcW w:w="1417"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97025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1.433.195,49</w:t>
            </w:r>
          </w:p>
        </w:tc>
      </w:tr>
    </w:tbl>
    <w:p w:rsidR="009F6E61" w:rsidRDefault="009F6E61" w:rsidP="00A720EA">
      <w:pPr>
        <w:autoSpaceDE w:val="0"/>
        <w:autoSpaceDN w:val="0"/>
        <w:adjustRightInd w:val="0"/>
        <w:spacing w:line="276" w:lineRule="auto"/>
        <w:rPr>
          <w:rFonts w:asciiTheme="minorHAnsi" w:hAnsiTheme="minorHAnsi" w:cs="Arial"/>
          <w:spacing w:val="-2"/>
        </w:rPr>
      </w:pPr>
    </w:p>
    <w:p w:rsidR="00A720EA" w:rsidRPr="00D050E9" w:rsidRDefault="00A720EA" w:rsidP="00A720EA">
      <w:pPr>
        <w:autoSpaceDE w:val="0"/>
        <w:autoSpaceDN w:val="0"/>
        <w:adjustRightInd w:val="0"/>
        <w:spacing w:line="276" w:lineRule="auto"/>
        <w:rPr>
          <w:rFonts w:asciiTheme="minorHAnsi" w:hAnsiTheme="minorHAnsi" w:cs="Arial"/>
          <w:spacing w:val="-2"/>
        </w:rPr>
      </w:pPr>
      <w:r w:rsidRPr="00D050E9">
        <w:rPr>
          <w:rFonts w:asciiTheme="minorHAnsi" w:hAnsiTheme="minorHAnsi" w:cs="Arial"/>
          <w:spacing w:val="-2"/>
        </w:rPr>
        <w:t>Na osnovi sheme »</w:t>
      </w:r>
      <w:r w:rsidRPr="00D050E9">
        <w:rPr>
          <w:rFonts w:asciiTheme="minorHAnsi" w:hAnsiTheme="minorHAnsi" w:cs="Arial"/>
          <w:b/>
          <w:spacing w:val="-2"/>
        </w:rPr>
        <w:t>Razvojno - spodbujevalni program SID banke za financiranje tehnološko - razvojnih projektov 2011–2013«</w:t>
      </w:r>
      <w:r w:rsidRPr="00D050E9">
        <w:rPr>
          <w:rFonts w:asciiTheme="minorHAnsi" w:hAnsiTheme="minorHAnsi" w:cs="Arial"/>
          <w:spacing w:val="-2"/>
        </w:rPr>
        <w:t>, ki se je že zaključila, so se dodeljevale naslednje spodbude za raziskave in razvoj:</w:t>
      </w:r>
    </w:p>
    <w:p w:rsidR="00A720EA" w:rsidRPr="00D050E9" w:rsidRDefault="00A720EA" w:rsidP="00C93FA7">
      <w:pPr>
        <w:numPr>
          <w:ilvl w:val="0"/>
          <w:numId w:val="24"/>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Naložbe v industrijske raziskave, katerih namen je pridobivanje novega znanja in spretnosti za razvoj novih proizvodov, procesov ali storitev, ali za znatno izboljšanje obstoječih proizvodov, procesov ali storitev, vključno z oblikovanjem komponent kompleksnih sistemov, ki so potrebni za industrijske raziskave, zlasti za vrednotenje generične tehnologije, pri čemer so izključeni prototipi. </w:t>
      </w:r>
    </w:p>
    <w:p w:rsidR="00A720EA" w:rsidRPr="00D050E9" w:rsidRDefault="00A720EA" w:rsidP="00C93FA7">
      <w:pPr>
        <w:numPr>
          <w:ilvl w:val="0"/>
          <w:numId w:val="24"/>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Naložbe v eksperimentalni razvoj, katerega namen je pridobivanje, združevanje, oblikovanje ter uporaba obstoječega znanstvenega, tehnološkega, poslovnega ali drugega ustreznega znanja in spretnosti za namene izdelovanja načrtov ter ureditev ali oblikovanja za nove, spremenjene ali izboljšane proizvode, procese ali storitve, kar lahko vključuje tudi druge dejavnosti, usmerjene v konceptualne opredelitve, načrtovanje in dokumentacijo novih proizvodov, procesov in storitev. </w:t>
      </w:r>
    </w:p>
    <w:p w:rsidR="00A720EA" w:rsidRPr="00D050E9" w:rsidRDefault="00A720EA" w:rsidP="00EB5110">
      <w:pPr>
        <w:tabs>
          <w:tab w:val="left" w:pos="1100"/>
        </w:tabs>
        <w:spacing w:after="0" w:line="276" w:lineRule="auto"/>
        <w:rPr>
          <w:rFonts w:asciiTheme="minorHAnsi" w:hAnsiTheme="minorHAnsi" w:cs="Arial"/>
          <w:spacing w:val="-2"/>
        </w:rPr>
      </w:pPr>
    </w:p>
    <w:p w:rsidR="00A720EA" w:rsidRPr="00D050E9" w:rsidRDefault="00A720EA" w:rsidP="00A720EA">
      <w:pPr>
        <w:pStyle w:val="Header"/>
        <w:spacing w:line="276" w:lineRule="auto"/>
        <w:rPr>
          <w:rFonts w:asciiTheme="minorHAnsi" w:hAnsiTheme="minorHAnsi" w:cs="Arial"/>
          <w:lang w:eastAsia="sl-SI"/>
        </w:rPr>
      </w:pPr>
      <w:r w:rsidRPr="00D050E9">
        <w:rPr>
          <w:rFonts w:asciiTheme="minorHAnsi" w:hAnsiTheme="minorHAnsi" w:cs="Arial"/>
          <w:lang w:eastAsia="sl-SI"/>
        </w:rPr>
        <w:t>Cilja sheme sta</w:t>
      </w:r>
      <w:r w:rsidR="00064A8B" w:rsidRPr="00D050E9">
        <w:rPr>
          <w:rFonts w:asciiTheme="minorHAnsi" w:hAnsiTheme="minorHAnsi" w:cs="Arial"/>
          <w:lang w:eastAsia="sl-SI"/>
        </w:rPr>
        <w:t xml:space="preserve"> bila</w:t>
      </w:r>
      <w:r w:rsidRPr="00D050E9">
        <w:rPr>
          <w:rFonts w:asciiTheme="minorHAnsi" w:hAnsiTheme="minorHAnsi" w:cs="Arial"/>
          <w:lang w:eastAsia="sl-SI"/>
        </w:rPr>
        <w:t xml:space="preserve"> nove naložbe za uvajanje novih produktov na trg ali uvajanje novih rešitev v podjetju. Učinkovitost se ugotavlja kot vpliv izdatkov za raziskovalno-razvojno dejavnost prejemnikov državne pomoči v okviru programa SID banke, na izdatke poslovnega sektorja za raziskave in razvoj in s tem bruto domače izdatke za raziskave in razvoj kot % BDP.</w:t>
      </w:r>
    </w:p>
    <w:p w:rsidR="00A720EA" w:rsidRPr="00D050E9" w:rsidRDefault="00A720EA" w:rsidP="00A720EA">
      <w:pPr>
        <w:pStyle w:val="Header"/>
        <w:spacing w:line="276" w:lineRule="auto"/>
        <w:rPr>
          <w:rFonts w:asciiTheme="minorHAnsi" w:hAnsiTheme="minorHAnsi" w:cs="Arial"/>
          <w:lang w:eastAsia="sl-SI"/>
        </w:rPr>
      </w:pPr>
    </w:p>
    <w:p w:rsidR="00A720EA" w:rsidRPr="00D050E9" w:rsidRDefault="00A720EA" w:rsidP="00A720EA">
      <w:pPr>
        <w:spacing w:line="276" w:lineRule="auto"/>
        <w:rPr>
          <w:rFonts w:asciiTheme="minorHAnsi" w:hAnsiTheme="minorHAnsi" w:cs="Arial"/>
          <w:b/>
          <w:i/>
        </w:rPr>
      </w:pPr>
      <w:r w:rsidRPr="00D050E9">
        <w:rPr>
          <w:rFonts w:asciiTheme="minorHAnsi" w:hAnsiTheme="minorHAnsi" w:cs="Arial"/>
          <w:b/>
          <w:i/>
        </w:rPr>
        <w:t>Zadnje izplačilo v okviru tega ukrepa je bilo v letu 2014. SID banka ocenjuje učinkovitost sheme kot 26,2-odstotna (bolj ko ocenjena vrednost odstopa navzdol od 100 %, večja je učinkovitost) in učinek sheme kot pozitiven.</w:t>
      </w:r>
    </w:p>
    <w:p w:rsidR="00A720EA" w:rsidRPr="00D050E9" w:rsidRDefault="00A720EA" w:rsidP="00EB5110">
      <w:pPr>
        <w:tabs>
          <w:tab w:val="left" w:pos="284"/>
        </w:tabs>
        <w:autoSpaceDE w:val="0"/>
        <w:autoSpaceDN w:val="0"/>
        <w:adjustRightInd w:val="0"/>
        <w:spacing w:after="0" w:line="276" w:lineRule="auto"/>
        <w:rPr>
          <w:rFonts w:asciiTheme="minorHAnsi" w:hAnsiTheme="minorHAnsi" w:cs="Arial"/>
          <w:lang w:eastAsia="sl-SI"/>
        </w:rPr>
      </w:pPr>
      <w:r w:rsidRPr="00D050E9">
        <w:rPr>
          <w:rFonts w:asciiTheme="minorHAnsi" w:hAnsiTheme="minorHAnsi" w:cs="Arial"/>
        </w:rPr>
        <w:t xml:space="preserve">Pomoči po shemi </w:t>
      </w:r>
      <w:r w:rsidRPr="00D050E9">
        <w:rPr>
          <w:rFonts w:asciiTheme="minorHAnsi" w:hAnsiTheme="minorHAnsi" w:cs="Arial"/>
          <w:b/>
        </w:rPr>
        <w:t xml:space="preserve">»Posebni pogoji financiranja inovacijske dejavnosti malih in srednje velikih podjetij« </w:t>
      </w:r>
      <w:r w:rsidRPr="00D050E9">
        <w:rPr>
          <w:rFonts w:asciiTheme="minorHAnsi" w:hAnsiTheme="minorHAnsi" w:cs="Arial"/>
        </w:rPr>
        <w:t xml:space="preserve">so namenjene </w:t>
      </w:r>
      <w:r w:rsidRPr="00D050E9">
        <w:rPr>
          <w:rFonts w:asciiTheme="minorHAnsi" w:hAnsiTheme="minorHAnsi" w:cs="Arial"/>
          <w:bCs/>
        </w:rPr>
        <w:t>spodbujanju razvoja malih in srednje velikih podjetij na področju raziskav, razvoja in inovacij in se bodo dodeljevale za</w:t>
      </w:r>
      <w:r w:rsidRPr="00D050E9">
        <w:rPr>
          <w:rFonts w:asciiTheme="minorHAnsi" w:hAnsiTheme="minorHAnsi" w:cs="Arial"/>
          <w:lang w:eastAsia="sl-SI"/>
        </w:rPr>
        <w:t>:</w:t>
      </w:r>
    </w:p>
    <w:p w:rsidR="00A720EA" w:rsidRPr="00D050E9" w:rsidRDefault="00A720EA" w:rsidP="00EB5110">
      <w:pPr>
        <w:numPr>
          <w:ilvl w:val="0"/>
          <w:numId w:val="24"/>
        </w:numPr>
        <w:spacing w:after="0" w:line="276" w:lineRule="auto"/>
        <w:contextualSpacing/>
        <w:rPr>
          <w:rFonts w:asciiTheme="minorHAnsi" w:hAnsiTheme="minorHAnsi" w:cs="Arial"/>
          <w:lang w:eastAsia="x-none"/>
        </w:rPr>
      </w:pPr>
      <w:r w:rsidRPr="00D050E9">
        <w:rPr>
          <w:rFonts w:asciiTheme="minorHAnsi" w:hAnsiTheme="minorHAnsi" w:cs="Arial"/>
          <w:lang w:eastAsia="x-none"/>
        </w:rPr>
        <w:t>raziskovalne in razvojne projekte;</w:t>
      </w:r>
    </w:p>
    <w:p w:rsidR="00A720EA" w:rsidRPr="00D050E9" w:rsidRDefault="00A720EA" w:rsidP="00C93FA7">
      <w:pPr>
        <w:numPr>
          <w:ilvl w:val="0"/>
          <w:numId w:val="24"/>
        </w:numPr>
        <w:spacing w:after="0" w:line="276" w:lineRule="auto"/>
        <w:contextualSpacing/>
        <w:rPr>
          <w:rFonts w:asciiTheme="minorHAnsi" w:hAnsiTheme="minorHAnsi" w:cs="Arial"/>
          <w:lang w:eastAsia="x-none"/>
        </w:rPr>
      </w:pPr>
      <w:r w:rsidRPr="00D050E9">
        <w:rPr>
          <w:rFonts w:asciiTheme="minorHAnsi" w:hAnsiTheme="minorHAnsi" w:cs="Arial"/>
          <w:lang w:eastAsia="x-none"/>
        </w:rPr>
        <w:t>inovacije za mala in srednje velika podjetja (v nadaljevanju: MSP);</w:t>
      </w:r>
    </w:p>
    <w:p w:rsidR="00A720EA" w:rsidRPr="00D050E9" w:rsidRDefault="00A720EA" w:rsidP="00C93FA7">
      <w:pPr>
        <w:numPr>
          <w:ilvl w:val="0"/>
          <w:numId w:val="24"/>
        </w:numPr>
        <w:spacing w:after="0" w:line="276" w:lineRule="auto"/>
        <w:contextualSpacing/>
        <w:rPr>
          <w:rFonts w:asciiTheme="minorHAnsi" w:hAnsiTheme="minorHAnsi" w:cs="Arial"/>
          <w:lang w:eastAsia="x-none"/>
        </w:rPr>
      </w:pPr>
      <w:r w:rsidRPr="00D050E9">
        <w:rPr>
          <w:rFonts w:asciiTheme="minorHAnsi" w:hAnsiTheme="minorHAnsi" w:cs="Arial"/>
          <w:lang w:eastAsia="x-none"/>
        </w:rPr>
        <w:t>procesne in organizacijske inovacije.</w:t>
      </w:r>
    </w:p>
    <w:p w:rsidR="00EB5110" w:rsidRPr="00D050E9" w:rsidRDefault="00EB5110" w:rsidP="00EB5110">
      <w:pPr>
        <w:tabs>
          <w:tab w:val="left" w:pos="1100"/>
        </w:tabs>
        <w:spacing w:after="0" w:line="276" w:lineRule="auto"/>
        <w:rPr>
          <w:rFonts w:asciiTheme="minorHAnsi" w:hAnsiTheme="minorHAnsi" w:cs="Arial"/>
          <w:spacing w:val="-2"/>
        </w:rPr>
      </w:pPr>
    </w:p>
    <w:p w:rsidR="00A720EA" w:rsidRPr="00D050E9" w:rsidRDefault="00A720EA" w:rsidP="00064A8B">
      <w:pPr>
        <w:tabs>
          <w:tab w:val="left" w:pos="1100"/>
        </w:tabs>
        <w:spacing w:after="0" w:line="276" w:lineRule="auto"/>
        <w:rPr>
          <w:rFonts w:asciiTheme="minorHAnsi" w:hAnsiTheme="minorHAnsi" w:cs="Arial"/>
        </w:rPr>
      </w:pPr>
      <w:r w:rsidRPr="00D050E9">
        <w:rPr>
          <w:rFonts w:asciiTheme="minorHAnsi" w:hAnsiTheme="minorHAnsi" w:cs="Arial"/>
          <w:spacing w:val="-2"/>
        </w:rPr>
        <w:t xml:space="preserve">Cilja sheme sta </w:t>
      </w:r>
      <w:r w:rsidRPr="00D050E9">
        <w:rPr>
          <w:rFonts w:asciiTheme="minorHAnsi" w:hAnsiTheme="minorHAnsi" w:cs="Arial"/>
        </w:rPr>
        <w:t xml:space="preserve">stopnji rasti dodane vrednosti financiranih podjetij in na nacionalni ravni. </w:t>
      </w:r>
    </w:p>
    <w:p w:rsidR="00A720EA" w:rsidRPr="00D050E9" w:rsidRDefault="00A720EA" w:rsidP="00064A8B">
      <w:pPr>
        <w:spacing w:after="0" w:line="276" w:lineRule="auto"/>
        <w:rPr>
          <w:rFonts w:asciiTheme="minorHAnsi" w:hAnsiTheme="minorHAnsi" w:cs="Arial"/>
          <w:b/>
          <w:i/>
        </w:rPr>
      </w:pPr>
      <w:r w:rsidRPr="00D050E9">
        <w:rPr>
          <w:rFonts w:asciiTheme="minorHAnsi" w:hAnsiTheme="minorHAnsi" w:cs="Arial"/>
          <w:b/>
          <w:i/>
        </w:rPr>
        <w:t>Shema še ni dosegla mejnika za poročanje.</w:t>
      </w:r>
    </w:p>
    <w:p w:rsidR="00A56826" w:rsidRPr="00D050E9" w:rsidRDefault="00A56826" w:rsidP="00A56826">
      <w:pPr>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lang w:eastAsia="x-none"/>
        </w:rPr>
      </w:pPr>
      <w:r w:rsidRPr="00D050E9">
        <w:rPr>
          <w:rFonts w:asciiTheme="minorHAnsi" w:hAnsiTheme="minorHAnsi" w:cs="Arial"/>
        </w:rPr>
        <w:t xml:space="preserve">Pomoči po shemi </w:t>
      </w:r>
      <w:r w:rsidRPr="00D050E9">
        <w:rPr>
          <w:rFonts w:asciiTheme="minorHAnsi" w:hAnsiTheme="minorHAnsi" w:cs="Arial"/>
          <w:b/>
        </w:rPr>
        <w:t xml:space="preserve">»Posebni pogoji financiranja tehnološko-razvojnih projektov (Raziskave in razvoj)« </w:t>
      </w:r>
      <w:r w:rsidRPr="00D050E9">
        <w:rPr>
          <w:rFonts w:asciiTheme="minorHAnsi" w:hAnsiTheme="minorHAnsi" w:cs="Arial"/>
        </w:rPr>
        <w:t>so</w:t>
      </w:r>
      <w:r w:rsidRPr="00D050E9">
        <w:rPr>
          <w:rFonts w:asciiTheme="minorHAnsi" w:hAnsiTheme="minorHAnsi" w:cs="Arial"/>
          <w:b/>
        </w:rPr>
        <w:t xml:space="preserve"> </w:t>
      </w:r>
      <w:r w:rsidRPr="00D050E9">
        <w:rPr>
          <w:rFonts w:asciiTheme="minorHAnsi" w:hAnsiTheme="minorHAnsi" w:cs="Arial"/>
        </w:rPr>
        <w:t xml:space="preserve">namenjene </w:t>
      </w:r>
      <w:r w:rsidRPr="00D050E9">
        <w:rPr>
          <w:rFonts w:asciiTheme="minorHAnsi" w:hAnsiTheme="minorHAnsi" w:cs="Arial"/>
          <w:bCs/>
        </w:rPr>
        <w:t>spodbujanju razvoja MSP na področju raziskav, razvoja in inovacij</w:t>
      </w:r>
      <w:r w:rsidRPr="00D050E9">
        <w:rPr>
          <w:rFonts w:asciiTheme="minorHAnsi" w:hAnsiTheme="minorHAnsi" w:cs="Arial"/>
        </w:rPr>
        <w:t xml:space="preserve">. </w:t>
      </w:r>
      <w:r w:rsidRPr="00D050E9">
        <w:rPr>
          <w:rFonts w:asciiTheme="minorHAnsi" w:hAnsiTheme="minorHAnsi" w:cs="Arial"/>
          <w:lang w:eastAsia="sl-SI"/>
        </w:rPr>
        <w:t xml:space="preserve">Na osnovi priglašene sheme se bodo dodeljevale pomoči za </w:t>
      </w:r>
      <w:r w:rsidRPr="00D050E9">
        <w:rPr>
          <w:rFonts w:asciiTheme="minorHAnsi" w:hAnsiTheme="minorHAnsi" w:cs="Arial"/>
          <w:lang w:eastAsia="x-none"/>
        </w:rPr>
        <w:t xml:space="preserve">industrijske raziskave in eksperimentalni razvoj. </w:t>
      </w:r>
    </w:p>
    <w:p w:rsidR="00A720EA" w:rsidRPr="00D050E9" w:rsidRDefault="00A720EA" w:rsidP="00064A8B">
      <w:pPr>
        <w:spacing w:after="0" w:line="276" w:lineRule="auto"/>
        <w:rPr>
          <w:rFonts w:asciiTheme="minorHAnsi" w:hAnsiTheme="minorHAnsi" w:cs="Arial"/>
        </w:rPr>
      </w:pPr>
      <w:r w:rsidRPr="00D050E9">
        <w:rPr>
          <w:rFonts w:asciiTheme="minorHAnsi" w:hAnsiTheme="minorHAnsi" w:cs="Arial"/>
          <w:spacing w:val="-2"/>
        </w:rPr>
        <w:t xml:space="preserve">Cilja sheme sta </w:t>
      </w:r>
      <w:r w:rsidRPr="00D050E9">
        <w:rPr>
          <w:rFonts w:asciiTheme="minorHAnsi" w:hAnsiTheme="minorHAnsi" w:cs="Arial"/>
        </w:rPr>
        <w:t xml:space="preserve">stopnja rasti dodane vrednosti financiranih podjetij in na nacionalni ravni. </w:t>
      </w:r>
    </w:p>
    <w:p w:rsidR="00A720EA" w:rsidRPr="00D050E9" w:rsidRDefault="00A720EA" w:rsidP="00064A8B">
      <w:pPr>
        <w:spacing w:after="0" w:line="276" w:lineRule="auto"/>
        <w:rPr>
          <w:rFonts w:asciiTheme="minorHAnsi" w:hAnsiTheme="minorHAnsi" w:cs="Arial"/>
          <w:b/>
          <w:i/>
        </w:rPr>
      </w:pPr>
      <w:r w:rsidRPr="00D050E9">
        <w:rPr>
          <w:rFonts w:asciiTheme="minorHAnsi" w:hAnsiTheme="minorHAnsi" w:cs="Arial"/>
          <w:b/>
          <w:i/>
        </w:rPr>
        <w:t>Shema še ni dosegla mejnika za poročanje.</w:t>
      </w:r>
    </w:p>
    <w:p w:rsidR="00A720EA" w:rsidRPr="00D050E9" w:rsidRDefault="00A720EA" w:rsidP="00A720EA">
      <w:pPr>
        <w:spacing w:line="276" w:lineRule="auto"/>
        <w:rPr>
          <w:rFonts w:asciiTheme="minorHAnsi" w:hAnsiTheme="minorHAnsi" w:cs="Arial"/>
        </w:rPr>
      </w:pPr>
    </w:p>
    <w:p w:rsidR="00A720EA" w:rsidRPr="00D050E9" w:rsidRDefault="00A720EA" w:rsidP="00A720EA">
      <w:pPr>
        <w:spacing w:line="276" w:lineRule="auto"/>
        <w:rPr>
          <w:rFonts w:asciiTheme="minorHAnsi" w:hAnsiTheme="minorHAnsi" w:cs="Arial"/>
          <w:sz w:val="20"/>
          <w:szCs w:val="20"/>
        </w:rPr>
      </w:pPr>
      <w:r w:rsidRPr="00D050E9">
        <w:rPr>
          <w:rFonts w:asciiTheme="minorHAnsi" w:hAnsiTheme="minorHAnsi" w:cs="Arial"/>
          <w:b/>
          <w:i/>
          <w:u w:val="single"/>
        </w:rPr>
        <w:t>Javni razpis raziskovalni vavčer</w:t>
      </w:r>
      <w:r w:rsidRPr="00D050E9">
        <w:rPr>
          <w:rFonts w:asciiTheme="minorHAnsi" w:hAnsiTheme="minorHAnsi" w:cs="Arial"/>
          <w:sz w:val="20"/>
          <w:szCs w:val="20"/>
        </w:rPr>
        <w:t xml:space="preserve"> (BE01-2045419-2012)</w:t>
      </w:r>
    </w:p>
    <w:p w:rsidR="00A720EA" w:rsidRPr="00D050E9" w:rsidRDefault="00A720EA" w:rsidP="00A720EA">
      <w:pPr>
        <w:spacing w:line="276" w:lineRule="auto"/>
        <w:rPr>
          <w:rFonts w:asciiTheme="minorHAnsi" w:eastAsia="ACaslonPro-Regular" w:hAnsiTheme="minorHAnsi" w:cs="Arial"/>
        </w:rPr>
      </w:pPr>
      <w:r w:rsidRPr="00D050E9">
        <w:rPr>
          <w:rFonts w:asciiTheme="minorHAnsi" w:hAnsiTheme="minorHAnsi" w:cs="Arial"/>
          <w:lang w:eastAsia="sl-SI"/>
        </w:rPr>
        <w:t xml:space="preserve">V okviru te sheme se sofinancirajo upravičeni stroški industrijskih raziskav, ki jih za podjetja izvedejo izbrane raziskovalne organizacije </w:t>
      </w:r>
      <w:r w:rsidRPr="00D050E9">
        <w:rPr>
          <w:rFonts w:asciiTheme="minorHAnsi" w:eastAsia="ACaslonPro-Regular" w:hAnsiTheme="minorHAnsi" w:cs="Arial"/>
        </w:rPr>
        <w:t xml:space="preserve">in sicer predvsem spodbujanje </w:t>
      </w:r>
      <w:r w:rsidRPr="00D050E9">
        <w:rPr>
          <w:rFonts w:asciiTheme="minorHAnsi" w:eastAsia="ACaslonPro-Bold" w:hAnsiTheme="minorHAnsi" w:cs="Arial"/>
          <w:bCs/>
        </w:rPr>
        <w:t>raziskovalno-razvojnih aktivnosti v podjetjih</w:t>
      </w:r>
      <w:r w:rsidRPr="00D050E9">
        <w:rPr>
          <w:rFonts w:asciiTheme="minorHAnsi" w:eastAsia="ACaslonPro-Regular" w:hAnsiTheme="minorHAnsi" w:cs="Arial"/>
        </w:rPr>
        <w:t>, ki imajo strateško pomembne in z vidika inovativnosti kvalitetne celovite poslovne zamisli in projekte.</w:t>
      </w:r>
    </w:p>
    <w:tbl>
      <w:tblPr>
        <w:tblStyle w:val="MediumGrid2-Accent5"/>
        <w:tblW w:w="9039" w:type="dxa"/>
        <w:tblLook w:val="04A0" w:firstRow="1" w:lastRow="0" w:firstColumn="1" w:lastColumn="0" w:noHBand="0" w:noVBand="1"/>
      </w:tblPr>
      <w:tblGrid>
        <w:gridCol w:w="1384"/>
        <w:gridCol w:w="3827"/>
        <w:gridCol w:w="1843"/>
        <w:gridCol w:w="1985"/>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384"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827"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843"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985"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MIZŠ</w:t>
            </w:r>
          </w:p>
        </w:tc>
        <w:tc>
          <w:tcPr>
            <w:tcW w:w="3827"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Industrijske raziskave</w:t>
            </w:r>
          </w:p>
        </w:tc>
        <w:tc>
          <w:tcPr>
            <w:tcW w:w="1843"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985"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947.196,24</w:t>
            </w:r>
          </w:p>
        </w:tc>
      </w:tr>
    </w:tbl>
    <w:p w:rsidR="00A720EA" w:rsidRPr="00D050E9" w:rsidRDefault="00A720EA" w:rsidP="00A720EA">
      <w:pPr>
        <w:spacing w:line="276" w:lineRule="auto"/>
        <w:rPr>
          <w:rFonts w:asciiTheme="minorHAnsi" w:eastAsia="ACaslonPro-Regular" w:hAnsiTheme="minorHAnsi" w:cs="Arial"/>
        </w:rPr>
      </w:pPr>
    </w:p>
    <w:p w:rsidR="00A720EA" w:rsidRPr="00D050E9" w:rsidRDefault="00A720EA" w:rsidP="00A720EA">
      <w:pPr>
        <w:spacing w:line="276" w:lineRule="auto"/>
        <w:rPr>
          <w:rFonts w:asciiTheme="minorHAnsi" w:hAnsiTheme="minorHAnsi" w:cs="Arial"/>
        </w:rPr>
      </w:pPr>
      <w:r w:rsidRPr="00D050E9">
        <w:rPr>
          <w:rFonts w:asciiTheme="minorHAnsi" w:eastAsia="ACaslonPro-Regular" w:hAnsiTheme="minorHAnsi" w:cs="Arial"/>
        </w:rPr>
        <w:t xml:space="preserve">Sofinanciranje razvojno-raziskovalnih aktivnosti poteka preko podjetij, ki tudi prevzemajo odgovornost za njihovo uspešno izvedbo. </w:t>
      </w:r>
      <w:r w:rsidRPr="00D050E9">
        <w:rPr>
          <w:rFonts w:asciiTheme="minorHAnsi" w:hAnsiTheme="minorHAnsi" w:cs="Arial"/>
        </w:rPr>
        <w:t xml:space="preserve">Do pomoči so upravičena podjetja, ki za namen izvajanja svojih industrijskih raziskav, potrebnih za njihov razvoj ali na splošno v gospodarstvu, za manjkajoča visoko strokovna znanja, celovitejši in hitrejši razvoj najemajo raziskovalne organizacije kot zunanje izvajalce. Rezultati dela raziskovalnih organizacij so neposredno uporabni za potrebe podjetij. </w:t>
      </w:r>
    </w:p>
    <w:p w:rsidR="00A720EA" w:rsidRPr="00D050E9" w:rsidRDefault="00A720EA" w:rsidP="00064A8B">
      <w:pPr>
        <w:spacing w:after="0" w:line="276" w:lineRule="auto"/>
        <w:rPr>
          <w:rFonts w:asciiTheme="minorHAnsi" w:hAnsiTheme="minorHAnsi" w:cs="Arial"/>
        </w:rPr>
      </w:pPr>
      <w:r w:rsidRPr="00D050E9">
        <w:rPr>
          <w:rFonts w:asciiTheme="minorHAnsi" w:hAnsiTheme="minorHAnsi" w:cs="Arial"/>
        </w:rPr>
        <w:t>Cilji:</w:t>
      </w:r>
    </w:p>
    <w:p w:rsidR="00A720EA" w:rsidRPr="00D050E9" w:rsidRDefault="00A720EA" w:rsidP="00064A8B">
      <w:pPr>
        <w:numPr>
          <w:ilvl w:val="0"/>
          <w:numId w:val="25"/>
        </w:numPr>
        <w:spacing w:after="0" w:line="276" w:lineRule="auto"/>
        <w:contextualSpacing/>
        <w:rPr>
          <w:rFonts w:asciiTheme="minorHAnsi" w:hAnsiTheme="minorHAnsi" w:cs="Arial"/>
          <w:lang w:eastAsia="x-none"/>
        </w:rPr>
      </w:pPr>
      <w:r w:rsidRPr="00D050E9">
        <w:rPr>
          <w:rFonts w:asciiTheme="minorHAnsi" w:hAnsiTheme="minorHAnsi" w:cs="Arial"/>
          <w:lang w:eastAsia="x-none"/>
        </w:rPr>
        <w:t>povečanje zasebnega vlaganja v raziskave in razvoj,</w:t>
      </w:r>
    </w:p>
    <w:p w:rsidR="00A720EA" w:rsidRPr="00D050E9" w:rsidRDefault="00A720EA" w:rsidP="00C93FA7">
      <w:pPr>
        <w:numPr>
          <w:ilvl w:val="0"/>
          <w:numId w:val="25"/>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povečanje obsega sodelovanja med podjetji in raziskovalnimi organizacijami in </w:t>
      </w:r>
    </w:p>
    <w:p w:rsidR="00A720EA" w:rsidRPr="00D050E9" w:rsidRDefault="00A720EA" w:rsidP="00C93FA7">
      <w:pPr>
        <w:numPr>
          <w:ilvl w:val="0"/>
          <w:numId w:val="25"/>
        </w:numPr>
        <w:spacing w:after="0" w:line="276" w:lineRule="auto"/>
        <w:contextualSpacing/>
        <w:rPr>
          <w:rFonts w:asciiTheme="minorHAnsi" w:hAnsiTheme="minorHAnsi" w:cs="Arial"/>
          <w:lang w:eastAsia="x-none"/>
        </w:rPr>
      </w:pPr>
      <w:r w:rsidRPr="00D050E9">
        <w:rPr>
          <w:rFonts w:asciiTheme="minorHAnsi" w:hAnsiTheme="minorHAnsi" w:cs="Arial"/>
          <w:lang w:eastAsia="x-none"/>
        </w:rPr>
        <w:t>hitrejša rast in razvoj inovativnih podjetij.</w:t>
      </w:r>
    </w:p>
    <w:p w:rsidR="00A720EA" w:rsidRPr="00D050E9" w:rsidRDefault="00A720EA" w:rsidP="00064A8B">
      <w:pPr>
        <w:spacing w:after="0" w:line="276" w:lineRule="auto"/>
        <w:rPr>
          <w:rFonts w:asciiTheme="minorHAnsi" w:hAnsiTheme="minorHAnsi" w:cs="Arial"/>
          <w:highlight w:val="yellow"/>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Potrjenih je bilo 180 operacij. Predvidena višina pomoči za najem izvedbe raziskave raziskovalne organizacije je od 30.000 EUR do 190.000 EUR po podjetju oziroma po višini upravičenih stroškov. Zaključenih je 172 projektov.</w:t>
      </w:r>
    </w:p>
    <w:p w:rsidR="00A720EA" w:rsidRPr="00D050E9" w:rsidRDefault="00A720EA" w:rsidP="00A720EA">
      <w:pPr>
        <w:spacing w:line="276" w:lineRule="auto"/>
        <w:rPr>
          <w:rFonts w:asciiTheme="minorHAnsi" w:hAnsiTheme="minorHAnsi" w:cs="Arial"/>
          <w:b/>
          <w:i/>
        </w:rPr>
      </w:pPr>
      <w:r w:rsidRPr="00D050E9">
        <w:rPr>
          <w:rFonts w:asciiTheme="minorHAnsi" w:hAnsiTheme="minorHAnsi" w:cs="Arial"/>
          <w:b/>
          <w:i/>
        </w:rPr>
        <w:t>V letu 2015 se je izvajalo 67 od načrtovanih 68 operacij. Učinki izvajanja ukrepa se kažejo v povečanem vlaganju v raziskovalno razvojno dejavnost s strani zasebnega sektorja - podjetij. Uspešno izvajanje industrijskih raziskav je podlaga za nove izboljšane produkte in tehnologije, ki so uporabni za takojšnjo izvedbo in so ciljno usmerjeni. S tem se povečuje kakovost sodelovanja med gospodarstvom in institucijami znanja. V letu 2016 in 2017 po tej shemi ni bilo izplačanih pomoči.</w:t>
      </w:r>
    </w:p>
    <w:p w:rsidR="00064A8B" w:rsidRPr="00D050E9" w:rsidRDefault="00064A8B" w:rsidP="00064A8B">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Davčna olajšava za raziskave in razvoj</w:t>
      </w:r>
      <w:r w:rsidRPr="00D050E9">
        <w:rPr>
          <w:rFonts w:asciiTheme="minorHAnsi" w:hAnsiTheme="minorHAnsi" w:cs="Arial"/>
        </w:rPr>
        <w:t xml:space="preserve"> </w:t>
      </w:r>
      <w:r w:rsidRPr="00D050E9">
        <w:rPr>
          <w:rFonts w:asciiTheme="minorHAnsi" w:hAnsiTheme="minorHAnsi" w:cs="Arial"/>
          <w:sz w:val="20"/>
          <w:szCs w:val="20"/>
        </w:rPr>
        <w:t>(0001-2045419-2007)</w:t>
      </w: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 xml:space="preserve">Z uvedbo enotne splošne davčne olajšave za vlaganja v raziskave in razvoj na podlagi Zakona o spremembi Zakona o davku od dohodkov pravnih oseb (Uradni list RS, št. </w:t>
      </w:r>
      <w:hyperlink r:id="rId74" w:tgtFrame="_blank" w:tooltip="Zakon o spremembi Zakona o spremembi Zakona o davku od dohodkov pravnih oseb (ZDDPO-2G)" w:history="1">
        <w:r w:rsidRPr="00D050E9">
          <w:rPr>
            <w:rFonts w:asciiTheme="minorHAnsi" w:hAnsiTheme="minorHAnsi" w:cs="Arial"/>
            <w:lang w:eastAsia="sl-SI"/>
          </w:rPr>
          <w:t>24/12</w:t>
        </w:r>
      </w:hyperlink>
      <w:r w:rsidRPr="00D050E9">
        <w:rPr>
          <w:rFonts w:asciiTheme="minorHAnsi" w:hAnsiTheme="minorHAnsi" w:cs="Arial"/>
          <w:lang w:eastAsia="sl-SI"/>
        </w:rPr>
        <w:t xml:space="preserve">) je bila regijska davčna olajšava ukinjena oz. omejena zgolj na uveljavljanje že pred uveljavitvijo tega zakona (t.j. pred 1. 1. 2012) pridobljenih pravic. </w:t>
      </w:r>
    </w:p>
    <w:tbl>
      <w:tblPr>
        <w:tblStyle w:val="MediumGrid2-Accent5"/>
        <w:tblW w:w="9180" w:type="dxa"/>
        <w:tblLook w:val="04A0" w:firstRow="1" w:lastRow="0" w:firstColumn="1" w:lastColumn="0" w:noHBand="0" w:noVBand="1"/>
      </w:tblPr>
      <w:tblGrid>
        <w:gridCol w:w="1384"/>
        <w:gridCol w:w="2835"/>
        <w:gridCol w:w="2410"/>
        <w:gridCol w:w="2551"/>
      </w:tblGrid>
      <w:tr w:rsidR="00A720EA" w:rsidRPr="00D050E9" w:rsidTr="00AD30E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384" w:type="dxa"/>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2835"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241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551" w:type="dxa"/>
            <w:tcBorders>
              <w:top w:val="single" w:sz="8" w:space="0" w:color="A7BFDE"/>
              <w:left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D3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MIZŠ</w:t>
            </w:r>
          </w:p>
        </w:tc>
        <w:tc>
          <w:tcPr>
            <w:tcW w:w="2835"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Temeljne raziskave</w:t>
            </w:r>
          </w:p>
        </w:tc>
        <w:tc>
          <w:tcPr>
            <w:tcW w:w="2410"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Davčne olajšave</w:t>
            </w:r>
          </w:p>
        </w:tc>
        <w:tc>
          <w:tcPr>
            <w:tcW w:w="2551"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412.662,64</w:t>
            </w:r>
          </w:p>
        </w:tc>
      </w:tr>
    </w:tbl>
    <w:p w:rsidR="00A720EA" w:rsidRPr="00D050E9" w:rsidRDefault="00A720EA" w:rsidP="00A720EA">
      <w:pPr>
        <w:spacing w:line="276" w:lineRule="auto"/>
        <w:rPr>
          <w:rFonts w:asciiTheme="minorHAnsi" w:hAnsiTheme="minorHAnsi" w:cs="Arial"/>
          <w:lang w:eastAsia="sl-SI"/>
        </w:rPr>
      </w:pP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 xml:space="preserve">Nova, povečana 100-odstotna davčna olajšava za vlaganja v raziskave in razvoj je bila uvedena za vse gospodarske družbe in samostojne podjetnike in zato ne predstavlja državne pomoči. Tako za regionalno davčno olajšavo za raziskave in razvoj v letih njenega polnega izvajanja, kot za sedanjo splošno davčno olajšavo za raziskave in razvoj, </w:t>
      </w:r>
      <w:r w:rsidRPr="001417F9">
        <w:rPr>
          <w:rFonts w:asciiTheme="minorHAnsi" w:hAnsiTheme="minorHAnsi" w:cs="Arial"/>
          <w:lang w:eastAsia="sl-SI"/>
        </w:rPr>
        <w:t>dosegljivi kazalci kažejo, da davčni zavezanci, ki jo koristijo, poslujejo bolje od povprečja gospodarskih družb. Študija</w:t>
      </w:r>
      <w:r w:rsidRPr="00D050E9">
        <w:rPr>
          <w:rFonts w:asciiTheme="minorHAnsi" w:hAnsiTheme="minorHAnsi" w:cs="Arial"/>
          <w:lang w:eastAsia="sl-SI"/>
        </w:rPr>
        <w:t xml:space="preserve"> Evropske komisije je v letu 2014 ugotovila, da je ta olajšava preprosta in učinkovita.</w:t>
      </w:r>
      <w:r w:rsidR="00CC2F87">
        <w:rPr>
          <w:rFonts w:asciiTheme="minorHAnsi" w:hAnsiTheme="minorHAnsi" w:cs="Arial"/>
          <w:lang w:eastAsia="sl-SI"/>
        </w:rPr>
        <w:t xml:space="preserve"> </w:t>
      </w:r>
    </w:p>
    <w:p w:rsidR="00A720EA" w:rsidRPr="00D050E9" w:rsidRDefault="00A720EA" w:rsidP="00A720EA">
      <w:pPr>
        <w:tabs>
          <w:tab w:val="left" w:pos="284"/>
        </w:tabs>
        <w:autoSpaceDE w:val="0"/>
        <w:autoSpaceDN w:val="0"/>
        <w:adjustRightInd w:val="0"/>
        <w:spacing w:line="276" w:lineRule="auto"/>
        <w:rPr>
          <w:rFonts w:asciiTheme="minorHAnsi" w:hAnsiTheme="minorHAnsi" w:cs="Arial"/>
          <w:b/>
          <w:i/>
          <w:lang w:eastAsia="sl-SI"/>
        </w:rPr>
      </w:pPr>
      <w:r w:rsidRPr="00D050E9">
        <w:rPr>
          <w:rFonts w:asciiTheme="minorHAnsi" w:hAnsiTheme="minorHAnsi" w:cs="Arial"/>
          <w:b/>
          <w:i/>
          <w:lang w:eastAsia="sl-SI"/>
        </w:rPr>
        <w:t>Izplačila po tej shemi se občutno znižujejo, saj shema ni več v veljavi: v letu 2017 je bilo izplačanih 48.610,50 EUR državnih pomoči, kar je v primerjavi z letom 2016 za 34 % manj in glede na leto 2015 za 83,3 % manj.</w:t>
      </w:r>
      <w:bookmarkEnd w:id="161"/>
      <w:bookmarkEnd w:id="162"/>
      <w:bookmarkEnd w:id="163"/>
      <w:bookmarkEnd w:id="164"/>
    </w:p>
    <w:p w:rsidR="00A720EA" w:rsidRPr="00D050E9" w:rsidRDefault="00A720EA" w:rsidP="001417F9">
      <w:pPr>
        <w:spacing w:after="0"/>
        <w:rPr>
          <w:rFonts w:asciiTheme="minorHAnsi" w:hAnsiTheme="minorHAnsi"/>
        </w:rPr>
      </w:pPr>
    </w:p>
    <w:p w:rsidR="00A720EA" w:rsidRPr="00D050E9" w:rsidRDefault="00A720EA" w:rsidP="00B9182A">
      <w:pPr>
        <w:pStyle w:val="Heading3USPENOST"/>
        <w:numPr>
          <w:ilvl w:val="2"/>
          <w:numId w:val="16"/>
        </w:numPr>
      </w:pPr>
      <w:bookmarkStart w:id="165" w:name="_Toc465170738"/>
      <w:bookmarkStart w:id="166" w:name="_Toc470776359"/>
      <w:bookmarkStart w:id="167" w:name="_Toc497749227"/>
      <w:bookmarkStart w:id="168" w:name="_Toc501099234"/>
      <w:bookmarkStart w:id="169" w:name="_Toc530654570"/>
      <w:r w:rsidRPr="00D050E9">
        <w:t>Regionalne pomoči</w:t>
      </w:r>
      <w:bookmarkEnd w:id="165"/>
      <w:bookmarkEnd w:id="166"/>
      <w:bookmarkEnd w:id="167"/>
      <w:bookmarkEnd w:id="168"/>
      <w:bookmarkEnd w:id="169"/>
    </w:p>
    <w:p w:rsidR="00A720EA" w:rsidRPr="00D050E9" w:rsidRDefault="00A720EA" w:rsidP="00064A8B">
      <w:pPr>
        <w:tabs>
          <w:tab w:val="left" w:pos="284"/>
        </w:tabs>
        <w:autoSpaceDE w:val="0"/>
        <w:autoSpaceDN w:val="0"/>
        <w:adjustRightInd w:val="0"/>
        <w:spacing w:after="0" w:line="276" w:lineRule="auto"/>
        <w:rPr>
          <w:rFonts w:asciiTheme="minorHAnsi" w:hAnsiTheme="minorHAnsi" w:cs="Arial"/>
          <w:highlight w:val="yellow"/>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 xml:space="preserve">Namen regionalne pomoči je pomagati pri razvoju najbolj prikrajšanih območij, tako da na trajnosten način podpira naložbe in ustvarja delovna mesta. Z odpravljanjem omejitev prikrajšanih regij regionalna pomoč spodbuja gospodarsko, socialno in ozemeljsko kohezijo držav članic ter EU kot celote. Regionalna pomoč se lahko dodeli za spodbujanje vzpostavitve novih poslovnih enot, širitev zmogljivosti obstoječih poslovnih enot, diverzifikacijo proizvodnje poslovne enote ali bistveno spremembo v celotnem proizvodnem procesu obstoječe poslovne enote. </w:t>
      </w:r>
    </w:p>
    <w:p w:rsidR="00064A8B" w:rsidRPr="00D050E9" w:rsidRDefault="00064A8B" w:rsidP="009F6E61">
      <w:pPr>
        <w:spacing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b/>
          <w:i/>
          <w:u w:val="single"/>
        </w:rPr>
      </w:pPr>
      <w:r w:rsidRPr="00D050E9">
        <w:rPr>
          <w:rFonts w:asciiTheme="minorHAnsi" w:hAnsiTheme="minorHAnsi" w:cs="Arial"/>
          <w:b/>
          <w:i/>
          <w:u w:val="single"/>
        </w:rPr>
        <w:t>Regionalne sheme državnih pomoči</w:t>
      </w:r>
      <w:r w:rsidRPr="00D050E9">
        <w:rPr>
          <w:rFonts w:asciiTheme="minorHAnsi" w:hAnsiTheme="minorHAnsi" w:cs="Arial"/>
          <w:sz w:val="20"/>
          <w:szCs w:val="20"/>
        </w:rPr>
        <w:t xml:space="preserve"> (</w:t>
      </w:r>
      <w:r w:rsidR="00935F5D">
        <w:rPr>
          <w:rFonts w:asciiTheme="minorHAnsi" w:hAnsiTheme="minorHAnsi" w:cs="Arial"/>
          <w:sz w:val="20"/>
          <w:szCs w:val="20"/>
        </w:rPr>
        <w:t xml:space="preserve">BE01-1783262-2007, </w:t>
      </w:r>
      <w:r w:rsidRPr="00D050E9">
        <w:rPr>
          <w:rFonts w:asciiTheme="minorHAnsi" w:hAnsiTheme="minorHAnsi" w:cs="Arial"/>
          <w:sz w:val="20"/>
          <w:szCs w:val="20"/>
        </w:rPr>
        <w:t>BE02-2399245-2014)</w:t>
      </w:r>
      <w:r w:rsidRPr="00D050E9">
        <w:rPr>
          <w:rFonts w:asciiTheme="minorHAnsi" w:hAnsiTheme="minorHAnsi" w:cs="Arial"/>
        </w:rPr>
        <w:t xml:space="preserve">             </w:t>
      </w:r>
    </w:p>
    <w:p w:rsidR="00A720EA" w:rsidRPr="00D050E9" w:rsidRDefault="00A720EA" w:rsidP="00A720EA">
      <w:pPr>
        <w:tabs>
          <w:tab w:val="left" w:pos="284"/>
        </w:tabs>
        <w:autoSpaceDE w:val="0"/>
        <w:autoSpaceDN w:val="0"/>
        <w:adjustRightInd w:val="0"/>
        <w:spacing w:line="276" w:lineRule="auto"/>
        <w:contextualSpacing/>
        <w:rPr>
          <w:rFonts w:asciiTheme="minorHAnsi" w:hAnsiTheme="minorHAnsi" w:cs="Arial"/>
          <w:lang w:eastAsia="sl-SI"/>
        </w:rPr>
      </w:pPr>
      <w:r w:rsidRPr="00D050E9">
        <w:rPr>
          <w:rFonts w:asciiTheme="minorHAnsi" w:hAnsiTheme="minorHAnsi" w:cs="Arial"/>
          <w:lang w:eastAsia="sl-SI"/>
        </w:rPr>
        <w:t>Regionalna politika kot strukturna politika obsega razvojne dejavnosti in programe za doseganje skladnega regionalnega razvoja ter se izvaja z ukrepi endogene regionalne politike in z usklajevanjem razvojnih politik, ki pomembno vplivajo na regionalni razvoj na podlagi teritorialnega razvojnega dialoga. Osnovni dolgoročni cilj dodeljevanja regionalnih državnih pomoči je zmanjševanje razvojnega zaostanka Slovenije in slovenskih regij za povprečjem Evropske unije, ob doseganju visokega življenjskega standarda in kvalitete življenja ter boljšega zdravja prebivalcev vseh slovenskih regij. Državne pomoči se dodeljujejo podjetjem za odpravljanje ugotovljenih strukturnih neskladij.</w:t>
      </w:r>
    </w:p>
    <w:p w:rsidR="00A720EA" w:rsidRPr="00D050E9" w:rsidRDefault="00A720EA" w:rsidP="00A720EA">
      <w:pPr>
        <w:tabs>
          <w:tab w:val="left" w:pos="284"/>
        </w:tabs>
        <w:autoSpaceDE w:val="0"/>
        <w:autoSpaceDN w:val="0"/>
        <w:adjustRightInd w:val="0"/>
        <w:spacing w:line="276" w:lineRule="auto"/>
        <w:contextualSpacing/>
        <w:rPr>
          <w:rFonts w:asciiTheme="minorHAnsi" w:hAnsiTheme="minorHAnsi" w:cs="Arial"/>
          <w:lang w:eastAsia="sl-SI"/>
        </w:rPr>
      </w:pPr>
      <w:r w:rsidRPr="00D050E9">
        <w:rPr>
          <w:rFonts w:asciiTheme="minorHAnsi" w:hAnsiTheme="minorHAnsi" w:cs="Arial"/>
          <w:lang w:eastAsia="sl-SI"/>
        </w:rPr>
        <w:t>Predvideni ukrepi endogene regionalne politike v Sloveniji so naslednji:</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sofinanciranje regijskih projektov v skladu z dogovori za razvoj regij;</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dodatni ukrepi za obmejna problemska območja;</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dodatni začasni ukrepi za problemska območja z visoko brezposelnostjo;</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prenos državnega premoženja v razvojne namene;</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nujni ukrepi regionalne politike;</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drugi ukrepi, ki se določijo z zakonom, državnim proračunom ter poslovnim in finančnim načrtom Slovenskega regionalno razvojnega sklada.</w:t>
      </w:r>
    </w:p>
    <w:p w:rsidR="00A720EA" w:rsidRDefault="00A720EA" w:rsidP="001417F9">
      <w:pPr>
        <w:tabs>
          <w:tab w:val="left" w:pos="284"/>
        </w:tabs>
        <w:autoSpaceDE w:val="0"/>
        <w:autoSpaceDN w:val="0"/>
        <w:adjustRightInd w:val="0"/>
        <w:spacing w:after="0" w:line="276" w:lineRule="auto"/>
        <w:rPr>
          <w:rFonts w:asciiTheme="minorHAnsi" w:hAnsiTheme="minorHAnsi" w:cs="Arial"/>
        </w:rPr>
      </w:pPr>
    </w:p>
    <w:tbl>
      <w:tblPr>
        <w:tblStyle w:val="MediumGrid2-Accent5"/>
        <w:tblW w:w="9039" w:type="dxa"/>
        <w:shd w:val="clear" w:color="auto" w:fill="D3DFEE"/>
        <w:tblLook w:val="04A0" w:firstRow="1" w:lastRow="0" w:firstColumn="1" w:lastColumn="0" w:noHBand="0" w:noVBand="1"/>
      </w:tblPr>
      <w:tblGrid>
        <w:gridCol w:w="1084"/>
        <w:gridCol w:w="3986"/>
        <w:gridCol w:w="1842"/>
        <w:gridCol w:w="2127"/>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116"/>
          <w:tblHeader/>
        </w:trPr>
        <w:tc>
          <w:tcPr>
            <w:cnfStyle w:val="001000000100" w:firstRow="0" w:lastRow="0" w:firstColumn="1" w:lastColumn="0" w:oddVBand="0" w:evenVBand="0" w:oddHBand="0" w:evenHBand="0" w:firstRowFirstColumn="1" w:firstRowLastColumn="0" w:lastRowFirstColumn="0" w:lastRowLastColumn="0"/>
            <w:tcW w:w="1084" w:type="dxa"/>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986" w:type="dxa"/>
            <w:tcBorders>
              <w:top w:val="single" w:sz="8" w:space="0" w:color="A7BFDE"/>
              <w:left w:val="nil"/>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842" w:type="dxa"/>
            <w:tcBorders>
              <w:top w:val="single" w:sz="8" w:space="0" w:color="A7BFDE"/>
              <w:left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12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4" w:type="dxa"/>
            <w:vMerge w:val="restart"/>
            <w:tcBorders>
              <w:top w:val="single" w:sz="8" w:space="0" w:color="A7BFDE"/>
              <w:bottom w:val="single" w:sz="8" w:space="0" w:color="A7BFDE"/>
              <w:right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sz w:val="18"/>
                <w:szCs w:val="18"/>
                <w:lang w:eastAsia="sl-SI"/>
              </w:rPr>
            </w:pPr>
            <w:r w:rsidRPr="00D050E9">
              <w:rPr>
                <w:rFonts w:asciiTheme="minorHAnsi" w:hAnsiTheme="minorHAnsi" w:cs="Arial"/>
                <w:sz w:val="18"/>
                <w:szCs w:val="18"/>
                <w:lang w:eastAsia="sl-SI"/>
              </w:rPr>
              <w:t>MGRT</w:t>
            </w:r>
          </w:p>
        </w:tc>
        <w:tc>
          <w:tcPr>
            <w:tcW w:w="3986"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Naložbe in ustvarjanje delovnih mest zaradi naložb</w:t>
            </w: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Ugodna posojila</w:t>
            </w:r>
          </w:p>
        </w:tc>
        <w:tc>
          <w:tcPr>
            <w:tcW w:w="212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312.190,71</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084" w:type="dxa"/>
            <w:vMerge/>
            <w:tcBorders>
              <w:top w:val="single" w:sz="8" w:space="0" w:color="A7BFDE"/>
              <w:bottom w:val="single" w:sz="8" w:space="0" w:color="A7BFDE"/>
              <w:right w:val="single" w:sz="8" w:space="0" w:color="A7BFDE"/>
            </w:tcBorders>
            <w:shd w:val="clear" w:color="auto" w:fill="auto"/>
            <w:vAlign w:val="center"/>
          </w:tcPr>
          <w:p w:rsidR="00A720EA" w:rsidRPr="00D050E9" w:rsidRDefault="00A720EA" w:rsidP="00A720EA">
            <w:pPr>
              <w:spacing w:line="276" w:lineRule="auto"/>
              <w:rPr>
                <w:rFonts w:asciiTheme="minorHAnsi" w:hAnsiTheme="minorHAnsi" w:cs="Arial"/>
                <w:sz w:val="18"/>
                <w:szCs w:val="18"/>
                <w:lang w:eastAsia="sl-SI"/>
              </w:rPr>
            </w:pPr>
          </w:p>
        </w:tc>
        <w:tc>
          <w:tcPr>
            <w:tcW w:w="3986"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84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Subvencije</w:t>
            </w:r>
          </w:p>
        </w:tc>
        <w:tc>
          <w:tcPr>
            <w:tcW w:w="2127"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1675DB"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1675DB">
              <w:rPr>
                <w:rFonts w:asciiTheme="minorHAnsi" w:hAnsiTheme="minorHAnsi" w:cs="Arial"/>
                <w:sz w:val="18"/>
                <w:szCs w:val="18"/>
              </w:rPr>
              <w:t>22.166.779,26</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84" w:type="dxa"/>
            <w:vMerge/>
            <w:tcBorders>
              <w:top w:val="single" w:sz="8" w:space="0" w:color="A7BFDE"/>
              <w:bottom w:val="single" w:sz="8" w:space="0" w:color="A7BFDE"/>
              <w:right w:val="single" w:sz="8" w:space="0" w:color="A7BFDE"/>
            </w:tcBorders>
            <w:shd w:val="clear" w:color="auto" w:fill="auto"/>
            <w:vAlign w:val="center"/>
          </w:tcPr>
          <w:p w:rsidR="00A720EA" w:rsidRPr="00D050E9" w:rsidRDefault="00A720EA" w:rsidP="00A720EA">
            <w:pPr>
              <w:spacing w:line="276" w:lineRule="auto"/>
              <w:rPr>
                <w:rFonts w:asciiTheme="minorHAnsi" w:hAnsiTheme="minorHAnsi" w:cs="Arial"/>
                <w:sz w:val="18"/>
                <w:szCs w:val="18"/>
                <w:lang w:eastAsia="sl-SI"/>
              </w:rPr>
            </w:pPr>
          </w:p>
        </w:tc>
        <w:tc>
          <w:tcPr>
            <w:tcW w:w="3986"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Davčne olajšave</w:t>
            </w:r>
          </w:p>
        </w:tc>
        <w:tc>
          <w:tcPr>
            <w:tcW w:w="212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1675DB"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1675DB">
              <w:rPr>
                <w:rFonts w:asciiTheme="minorHAnsi" w:hAnsiTheme="minorHAnsi" w:cs="Arial"/>
                <w:sz w:val="18"/>
                <w:szCs w:val="18"/>
              </w:rPr>
              <w:t>8.804.947,76</w:t>
            </w:r>
          </w:p>
        </w:tc>
      </w:tr>
      <w:tr w:rsidR="00A720EA" w:rsidRPr="00D050E9" w:rsidTr="00AD30E1">
        <w:trPr>
          <w:trHeight w:val="20"/>
        </w:trPr>
        <w:tc>
          <w:tcPr>
            <w:cnfStyle w:val="001000000000" w:firstRow="0" w:lastRow="0" w:firstColumn="1" w:lastColumn="0" w:oddVBand="0" w:evenVBand="0" w:oddHBand="0" w:evenHBand="0" w:firstRowFirstColumn="0" w:firstRowLastColumn="0" w:lastRowFirstColumn="0" w:lastRowLastColumn="0"/>
            <w:tcW w:w="1084" w:type="dxa"/>
            <w:tcBorders>
              <w:top w:val="single" w:sz="8" w:space="0" w:color="A7BFDE"/>
              <w:right w:val="single" w:sz="8" w:space="0" w:color="A7BFDE"/>
            </w:tcBorders>
            <w:shd w:val="clear" w:color="auto" w:fill="auto"/>
            <w:vAlign w:val="center"/>
          </w:tcPr>
          <w:p w:rsidR="00A720EA" w:rsidRPr="00D050E9" w:rsidRDefault="00A720EA" w:rsidP="00A56826">
            <w:pPr>
              <w:spacing w:line="276" w:lineRule="auto"/>
              <w:rPr>
                <w:rFonts w:asciiTheme="minorHAnsi" w:hAnsiTheme="minorHAnsi" w:cs="Arial"/>
                <w:b w:val="0"/>
                <w:sz w:val="18"/>
                <w:szCs w:val="18"/>
                <w:lang w:eastAsia="sl-SI"/>
              </w:rPr>
            </w:pPr>
          </w:p>
        </w:tc>
        <w:tc>
          <w:tcPr>
            <w:tcW w:w="3986"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5682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5682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lang w:eastAsia="sl-SI"/>
              </w:rPr>
            </w:pPr>
          </w:p>
        </w:tc>
        <w:tc>
          <w:tcPr>
            <w:tcW w:w="212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D30E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31.283.917,73</w:t>
            </w:r>
          </w:p>
        </w:tc>
      </w:tr>
    </w:tbl>
    <w:p w:rsidR="00A720EA" w:rsidRPr="00D050E9" w:rsidRDefault="00A720EA" w:rsidP="001417F9">
      <w:pPr>
        <w:tabs>
          <w:tab w:val="left" w:pos="284"/>
        </w:tabs>
        <w:autoSpaceDE w:val="0"/>
        <w:autoSpaceDN w:val="0"/>
        <w:adjustRightInd w:val="0"/>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Regionalne razlike, ki so v Sloveniji majhne, so se v krizi še zmanjšale in ostale stabilne. To je predvsem posledica hitrejšega zmanjševanja prednosti v ekonomsko razvitejših regijah in manj ukrepov politike skladnejšega regionalnega razvoja. Naraščanje razlik med regijami v razpoložljivem dohodku se blaži z večjimi socialnimi transferji revnejšim regijam. K manjšim regionalnim razlikam prispevajo tudi naraščajoče dnevne delovne migracije, ki omogočajo ustvarjanje dohodkov v razvitejših regijah in trošenje v revnejših. Dodatno so dolgotrajna gospodarska kriza, rast brezposelnosti in zniževanje dohodka povečali stopnjo tveganja socialne izključenosti v večini regij.</w:t>
      </w:r>
    </w:p>
    <w:p w:rsidR="00A720EA" w:rsidRPr="00D050E9" w:rsidRDefault="00A720EA" w:rsidP="00A720EA">
      <w:pPr>
        <w:spacing w:line="276" w:lineRule="auto"/>
        <w:rPr>
          <w:rFonts w:asciiTheme="minorHAnsi" w:hAnsiTheme="minorHAnsi" w:cs="Arial"/>
          <w:b/>
          <w:i/>
          <w:lang w:eastAsia="sl-SI"/>
        </w:rPr>
      </w:pPr>
      <w:r w:rsidRPr="00D050E9">
        <w:rPr>
          <w:rFonts w:asciiTheme="minorHAnsi" w:hAnsiTheme="minorHAnsi" w:cs="Arial"/>
          <w:lang w:eastAsia="sl-SI"/>
        </w:rPr>
        <w:t>Prva plačila so bila realizirana v letu 2015, dejanski učinki pa so izmerjeni oz. poročani za leto 2016.</w:t>
      </w:r>
      <w:r w:rsidRPr="00D050E9">
        <w:rPr>
          <w:rFonts w:asciiTheme="minorHAnsi" w:hAnsiTheme="minorHAnsi" w:cs="Arial"/>
          <w:b/>
          <w:i/>
          <w:lang w:eastAsia="sl-SI"/>
        </w:rPr>
        <w:t xml:space="preserve"> </w:t>
      </w:r>
      <w:r w:rsidRPr="00D050E9">
        <w:rPr>
          <w:rFonts w:asciiTheme="minorHAnsi" w:hAnsiTheme="minorHAnsi" w:cs="Arial"/>
          <w:b/>
        </w:rPr>
        <w:t>Učinkovitost dodeljenih državnih pomoči</w:t>
      </w:r>
      <w:r w:rsidRPr="00D050E9">
        <w:rPr>
          <w:rFonts w:asciiTheme="minorHAnsi" w:hAnsiTheme="minorHAnsi" w:cs="Arial"/>
        </w:rPr>
        <w:t xml:space="preserve">, merjena s kazalci bruto družbenega proizvoda (BDP), bruto investicije v nova osnovna sredstva in stopnje brezposelnosti je po mnenju resornega ministrstva </w:t>
      </w:r>
      <w:r w:rsidRPr="00D050E9">
        <w:rPr>
          <w:rFonts w:asciiTheme="minorHAnsi" w:hAnsiTheme="minorHAnsi" w:cs="Arial"/>
          <w:b/>
        </w:rPr>
        <w:t>v povprečju negativna</w:t>
      </w:r>
      <w:r w:rsidRPr="00D050E9">
        <w:rPr>
          <w:rFonts w:asciiTheme="minorHAnsi" w:hAnsiTheme="minorHAnsi" w:cs="Arial"/>
        </w:rPr>
        <w:t>. Delež bruto investicij v nova osnovna sredstva v BDP je 13 % in je nižji od slovenskega povprečja, ki je 14 %. Pri analizi rezultatov poslovanja je treba poudariti, da višina dodeljenih državnih pomoči predstavlja le manjši delež v vrednosti investicije. Kljub temu je pri analizi upoštevana rast oziroma padec vrednosti kazalnikov uspešnosti poslovanja podjetja oziroma samostojnega podjetnika kot posledico dodeljene državne pomoči ob predpostavki, da podjetja oziroma samostojni podjetniki investicije ne bi začeli, če državne pomoči ne bi prejeli.</w:t>
      </w:r>
    </w:p>
    <w:p w:rsidR="00064A8B" w:rsidRPr="00D050E9" w:rsidRDefault="00064A8B" w:rsidP="00064A8B">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Program ukrepov za spodbujanje podjetništva in konkurenčnosti za obdobje 2007-2013</w:t>
      </w:r>
      <w:r w:rsidRPr="00D050E9">
        <w:rPr>
          <w:rFonts w:asciiTheme="minorHAnsi" w:hAnsiTheme="minorHAnsi" w:cs="Arial"/>
        </w:rPr>
        <w:t xml:space="preserve"> </w:t>
      </w:r>
      <w:r w:rsidRPr="00D050E9">
        <w:rPr>
          <w:rFonts w:asciiTheme="minorHAnsi" w:hAnsiTheme="minorHAnsi" w:cs="Arial"/>
          <w:sz w:val="20"/>
          <w:szCs w:val="20"/>
        </w:rPr>
        <w:t>(BE05-5715334-2007)</w:t>
      </w:r>
    </w:p>
    <w:p w:rsidR="00A720EA" w:rsidRPr="00D050E9" w:rsidRDefault="00A720EA" w:rsidP="00064A8B">
      <w:pPr>
        <w:tabs>
          <w:tab w:val="left" w:pos="284"/>
        </w:tabs>
        <w:autoSpaceDE w:val="0"/>
        <w:autoSpaceDN w:val="0"/>
        <w:adjustRightInd w:val="0"/>
        <w:spacing w:after="0" w:line="276" w:lineRule="auto"/>
        <w:rPr>
          <w:rFonts w:asciiTheme="minorHAnsi" w:hAnsiTheme="minorHAnsi" w:cs="Arial"/>
        </w:rPr>
      </w:pPr>
      <w:r w:rsidRPr="00D050E9">
        <w:rPr>
          <w:rFonts w:asciiTheme="minorHAnsi" w:hAnsiTheme="minorHAnsi" w:cs="Arial"/>
        </w:rPr>
        <w:t>Pomoči po tej shemi so bile namenjene (so)financiranju ukrepov:</w:t>
      </w:r>
    </w:p>
    <w:p w:rsidR="00A720EA" w:rsidRPr="00D050E9" w:rsidRDefault="00A720EA" w:rsidP="00064A8B">
      <w:pPr>
        <w:numPr>
          <w:ilvl w:val="0"/>
          <w:numId w:val="22"/>
        </w:numPr>
        <w:spacing w:after="0" w:line="276" w:lineRule="auto"/>
        <w:ind w:left="360" w:hanging="357"/>
        <w:contextualSpacing/>
        <w:jc w:val="left"/>
        <w:rPr>
          <w:rFonts w:asciiTheme="minorHAnsi" w:hAnsiTheme="minorHAnsi" w:cs="Arial"/>
          <w:lang w:eastAsia="sl-SI"/>
        </w:rPr>
      </w:pPr>
      <w:r w:rsidRPr="00D050E9">
        <w:rPr>
          <w:rFonts w:asciiTheme="minorHAnsi" w:hAnsiTheme="minorHAnsi" w:cs="Arial"/>
          <w:lang w:eastAsia="sl-SI"/>
        </w:rPr>
        <w:t>Spodbujanje investicij v gospodarsko-razvojno-logističnih platformah:</w:t>
      </w:r>
    </w:p>
    <w:p w:rsidR="00A720EA" w:rsidRPr="00D050E9" w:rsidRDefault="00A720EA" w:rsidP="00064A8B">
      <w:pPr>
        <w:numPr>
          <w:ilvl w:val="0"/>
          <w:numId w:val="18"/>
        </w:numPr>
        <w:tabs>
          <w:tab w:val="left" w:pos="284"/>
        </w:tabs>
        <w:autoSpaceDE w:val="0"/>
        <w:autoSpaceDN w:val="0"/>
        <w:adjustRightInd w:val="0"/>
        <w:spacing w:after="0" w:line="276" w:lineRule="auto"/>
        <w:ind w:hanging="357"/>
        <w:contextualSpacing/>
        <w:jc w:val="left"/>
        <w:rPr>
          <w:rFonts w:asciiTheme="minorHAnsi" w:hAnsiTheme="minorHAnsi" w:cs="Arial"/>
          <w:lang w:eastAsia="sl-SI"/>
        </w:rPr>
      </w:pPr>
      <w:r w:rsidRPr="00D050E9">
        <w:rPr>
          <w:rFonts w:asciiTheme="minorHAnsi" w:hAnsiTheme="minorHAnsi" w:cs="Arial"/>
          <w:lang w:eastAsia="sl-SI"/>
        </w:rPr>
        <w:t>število popolnoma vzpostavljenih tehnoloških parkov v Sloveniji,</w:t>
      </w:r>
    </w:p>
    <w:p w:rsidR="00A720EA" w:rsidRPr="00D050E9" w:rsidRDefault="00A720EA" w:rsidP="00C93FA7">
      <w:pPr>
        <w:numPr>
          <w:ilvl w:val="0"/>
          <w:numId w:val="18"/>
        </w:numPr>
        <w:tabs>
          <w:tab w:val="left" w:pos="284"/>
        </w:tabs>
        <w:autoSpaceDE w:val="0"/>
        <w:autoSpaceDN w:val="0"/>
        <w:adjustRightInd w:val="0"/>
        <w:spacing w:after="0" w:line="276" w:lineRule="auto"/>
        <w:ind w:hanging="357"/>
        <w:contextualSpacing/>
        <w:jc w:val="left"/>
        <w:rPr>
          <w:rFonts w:asciiTheme="minorHAnsi" w:hAnsiTheme="minorHAnsi" w:cs="Arial"/>
          <w:lang w:eastAsia="sl-SI"/>
        </w:rPr>
      </w:pPr>
      <w:r w:rsidRPr="00D050E9">
        <w:rPr>
          <w:rFonts w:asciiTheme="minorHAnsi" w:hAnsiTheme="minorHAnsi" w:cs="Arial"/>
          <w:lang w:eastAsia="sl-SI"/>
        </w:rPr>
        <w:t>število popolnoma vzpostavljenih regionalnih podjetniških inkubatorjev in</w:t>
      </w:r>
    </w:p>
    <w:p w:rsidR="00A720EA" w:rsidRPr="00D050E9" w:rsidRDefault="00A720EA" w:rsidP="00C93FA7">
      <w:pPr>
        <w:numPr>
          <w:ilvl w:val="0"/>
          <w:numId w:val="18"/>
        </w:numPr>
        <w:tabs>
          <w:tab w:val="left" w:pos="284"/>
        </w:tabs>
        <w:autoSpaceDE w:val="0"/>
        <w:autoSpaceDN w:val="0"/>
        <w:adjustRightInd w:val="0"/>
        <w:spacing w:after="0" w:line="276" w:lineRule="auto"/>
        <w:ind w:hanging="357"/>
        <w:contextualSpacing/>
        <w:jc w:val="left"/>
        <w:rPr>
          <w:rFonts w:asciiTheme="minorHAnsi" w:hAnsiTheme="minorHAnsi" w:cs="Arial"/>
          <w:lang w:eastAsia="sl-SI"/>
        </w:rPr>
      </w:pPr>
      <w:r w:rsidRPr="00D050E9">
        <w:rPr>
          <w:rFonts w:asciiTheme="minorHAnsi" w:hAnsiTheme="minorHAnsi" w:cs="Arial"/>
          <w:lang w:eastAsia="sl-SI"/>
        </w:rPr>
        <w:t>število novih zaposlitev.</w:t>
      </w:r>
    </w:p>
    <w:p w:rsidR="00A720EA" w:rsidRPr="00D050E9" w:rsidRDefault="00A720EA" w:rsidP="00C93FA7">
      <w:pPr>
        <w:numPr>
          <w:ilvl w:val="0"/>
          <w:numId w:val="22"/>
        </w:numPr>
        <w:spacing w:after="0" w:line="276" w:lineRule="auto"/>
        <w:ind w:left="360" w:hanging="357"/>
        <w:contextualSpacing/>
        <w:jc w:val="left"/>
        <w:rPr>
          <w:rFonts w:asciiTheme="minorHAnsi" w:hAnsiTheme="minorHAnsi" w:cs="Arial"/>
          <w:lang w:eastAsia="sl-SI"/>
        </w:rPr>
      </w:pPr>
      <w:r w:rsidRPr="00D050E9">
        <w:rPr>
          <w:rFonts w:asciiTheme="minorHAnsi" w:hAnsiTheme="minorHAnsi" w:cs="Arial"/>
          <w:lang w:eastAsia="sl-SI"/>
        </w:rPr>
        <w:t xml:space="preserve">Spodbujanje raziskovalno razvojne dejavnosti v podjetjih. </w:t>
      </w:r>
    </w:p>
    <w:p w:rsidR="00A720EA" w:rsidRPr="00D050E9" w:rsidRDefault="00A720EA" w:rsidP="00C93FA7">
      <w:pPr>
        <w:numPr>
          <w:ilvl w:val="0"/>
          <w:numId w:val="22"/>
        </w:numPr>
        <w:spacing w:after="0" w:line="276" w:lineRule="auto"/>
        <w:ind w:left="360" w:hanging="357"/>
        <w:contextualSpacing/>
        <w:jc w:val="left"/>
        <w:rPr>
          <w:rFonts w:asciiTheme="minorHAnsi" w:hAnsiTheme="minorHAnsi" w:cs="Arial"/>
          <w:lang w:eastAsia="sl-SI"/>
        </w:rPr>
      </w:pPr>
      <w:r w:rsidRPr="00D050E9">
        <w:rPr>
          <w:rFonts w:asciiTheme="minorHAnsi" w:hAnsiTheme="minorHAnsi" w:cs="Arial"/>
          <w:lang w:eastAsia="sl-SI"/>
        </w:rPr>
        <w:t>Spodbujanje tehnoloških investicij:</w:t>
      </w:r>
    </w:p>
    <w:p w:rsidR="00A720EA" w:rsidRPr="00D050E9" w:rsidRDefault="00A720EA" w:rsidP="00C93FA7">
      <w:pPr>
        <w:numPr>
          <w:ilvl w:val="0"/>
          <w:numId w:val="18"/>
        </w:numPr>
        <w:tabs>
          <w:tab w:val="left" w:pos="284"/>
        </w:tabs>
        <w:autoSpaceDE w:val="0"/>
        <w:autoSpaceDN w:val="0"/>
        <w:adjustRightInd w:val="0"/>
        <w:spacing w:after="0" w:line="276" w:lineRule="auto"/>
        <w:ind w:hanging="357"/>
        <w:contextualSpacing/>
        <w:jc w:val="left"/>
        <w:rPr>
          <w:rFonts w:asciiTheme="minorHAnsi" w:hAnsiTheme="minorHAnsi" w:cs="Arial"/>
          <w:lang w:eastAsia="sl-SI"/>
        </w:rPr>
      </w:pPr>
      <w:r w:rsidRPr="00D050E9">
        <w:rPr>
          <w:rFonts w:asciiTheme="minorHAnsi" w:hAnsiTheme="minorHAnsi" w:cs="Arial"/>
          <w:lang w:eastAsia="sl-SI"/>
        </w:rPr>
        <w:t>število delovnih mest v podprtih podjetjih,</w:t>
      </w:r>
    </w:p>
    <w:p w:rsidR="00A720EA" w:rsidRPr="00D050E9" w:rsidRDefault="00A720EA" w:rsidP="00C93FA7">
      <w:pPr>
        <w:numPr>
          <w:ilvl w:val="0"/>
          <w:numId w:val="18"/>
        </w:numPr>
        <w:tabs>
          <w:tab w:val="left" w:pos="284"/>
        </w:tabs>
        <w:autoSpaceDE w:val="0"/>
        <w:autoSpaceDN w:val="0"/>
        <w:adjustRightInd w:val="0"/>
        <w:spacing w:after="0" w:line="276" w:lineRule="auto"/>
        <w:ind w:hanging="357"/>
        <w:contextualSpacing/>
        <w:jc w:val="left"/>
        <w:rPr>
          <w:rFonts w:asciiTheme="minorHAnsi" w:hAnsiTheme="minorHAnsi" w:cs="Arial"/>
          <w:lang w:eastAsia="sl-SI"/>
        </w:rPr>
      </w:pPr>
      <w:r w:rsidRPr="00D050E9">
        <w:rPr>
          <w:rFonts w:asciiTheme="minorHAnsi" w:hAnsiTheme="minorHAnsi" w:cs="Arial"/>
          <w:lang w:eastAsia="sl-SI"/>
        </w:rPr>
        <w:t>povprečno povečanje dodane vrednosti na zaposlenega in</w:t>
      </w:r>
    </w:p>
    <w:p w:rsidR="00A720EA" w:rsidRPr="00D050E9" w:rsidRDefault="00A720EA" w:rsidP="00C93FA7">
      <w:pPr>
        <w:numPr>
          <w:ilvl w:val="0"/>
          <w:numId w:val="18"/>
        </w:numPr>
        <w:tabs>
          <w:tab w:val="left" w:pos="284"/>
        </w:tabs>
        <w:autoSpaceDE w:val="0"/>
        <w:autoSpaceDN w:val="0"/>
        <w:adjustRightInd w:val="0"/>
        <w:spacing w:after="0" w:line="276" w:lineRule="auto"/>
        <w:ind w:hanging="357"/>
        <w:contextualSpacing/>
        <w:jc w:val="left"/>
        <w:rPr>
          <w:rFonts w:asciiTheme="minorHAnsi" w:hAnsiTheme="minorHAnsi" w:cs="Arial"/>
          <w:lang w:eastAsia="sl-SI"/>
        </w:rPr>
      </w:pPr>
      <w:r w:rsidRPr="00D050E9">
        <w:rPr>
          <w:rFonts w:asciiTheme="minorHAnsi" w:hAnsiTheme="minorHAnsi" w:cs="Arial"/>
          <w:lang w:eastAsia="sl-SI"/>
        </w:rPr>
        <w:t>število podprtih projektov.</w:t>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p>
    <w:tbl>
      <w:tblPr>
        <w:tblStyle w:val="MediumGrid2-Accent5"/>
        <w:tblW w:w="9180" w:type="dxa"/>
        <w:tblLayout w:type="fixed"/>
        <w:tblLook w:val="04A0" w:firstRow="1" w:lastRow="0" w:firstColumn="1" w:lastColumn="0" w:noHBand="0" w:noVBand="1"/>
      </w:tblPr>
      <w:tblGrid>
        <w:gridCol w:w="1085"/>
        <w:gridCol w:w="4835"/>
        <w:gridCol w:w="1418"/>
        <w:gridCol w:w="1842"/>
      </w:tblGrid>
      <w:tr w:rsidR="00A720EA" w:rsidRPr="00D050E9" w:rsidTr="00AD30E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085" w:type="dxa"/>
            <w:tcBorders>
              <w:bottom w:val="single" w:sz="6"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835" w:type="dxa"/>
            <w:tcBorders>
              <w:top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D3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5" w:type="dxa"/>
            <w:tcBorders>
              <w:top w:val="single" w:sz="6" w:space="0" w:color="A7BFDE"/>
              <w:right w:val="single" w:sz="6"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4835" w:type="dxa"/>
            <w:tcBorders>
              <w:top w:val="single" w:sz="8" w:space="0" w:color="A7BFDE"/>
              <w:left w:val="single" w:sz="6"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Naložbe in ustvarjanje delovnih mest zaradi naložb</w:t>
            </w:r>
          </w:p>
        </w:tc>
        <w:tc>
          <w:tcPr>
            <w:tcW w:w="141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5.795.763,17</w:t>
            </w:r>
          </w:p>
        </w:tc>
      </w:tr>
    </w:tbl>
    <w:p w:rsidR="00A720EA" w:rsidRPr="00D050E9" w:rsidRDefault="00A720EA" w:rsidP="009F6E61">
      <w:pPr>
        <w:autoSpaceDE w:val="0"/>
        <w:autoSpaceDN w:val="0"/>
        <w:spacing w:after="0" w:line="276" w:lineRule="auto"/>
        <w:rPr>
          <w:rFonts w:asciiTheme="minorHAnsi" w:hAnsiTheme="minorHAnsi"/>
        </w:rPr>
      </w:pPr>
    </w:p>
    <w:p w:rsidR="00A720EA" w:rsidRPr="00D050E9" w:rsidRDefault="00A720EA" w:rsidP="00A720EA">
      <w:pPr>
        <w:autoSpaceDE w:val="0"/>
        <w:autoSpaceDN w:val="0"/>
        <w:spacing w:line="276" w:lineRule="auto"/>
        <w:rPr>
          <w:rFonts w:asciiTheme="minorHAnsi" w:hAnsiTheme="minorHAnsi"/>
        </w:rPr>
      </w:pPr>
      <w:r w:rsidRPr="00D050E9">
        <w:rPr>
          <w:rFonts w:asciiTheme="minorHAnsi" w:hAnsiTheme="minorHAnsi"/>
        </w:rPr>
        <w:t>Pri kazalnikih ukrepa investicije v gospodarsko-razvojno-logističnih platformah je trenutno na razpolago podatek o enem vzpostavljenem regionalnem podjetniškem inkubatorju (planiranih 12) in enem vzpostavljenem tehnološkem parku (planiranih 5) ter o zaposlitvi 100 novih delavcev (planiranih 82). Glede števila vzpostavljenih tehnoloških parkov in regionalnih podjetniških inkubatorjev je veliko odstopanje od zastavljenih ciljnih vrednosti predvsem posledica sprememb v financiranju projektov in znatnega zmanjšanja sredstev za ta ukrep, zaradi česar tudi ni možno pričakovati, da bodo zastavljeni cilji realizirani. Načrtovano število novih zaposlitev pa je preseženo.</w:t>
      </w:r>
    </w:p>
    <w:p w:rsidR="00A720EA" w:rsidRPr="00D050E9" w:rsidRDefault="00A720EA" w:rsidP="00A720EA">
      <w:pPr>
        <w:autoSpaceDE w:val="0"/>
        <w:autoSpaceDN w:val="0"/>
        <w:adjustRightInd w:val="0"/>
        <w:spacing w:line="276" w:lineRule="auto"/>
        <w:rPr>
          <w:rFonts w:asciiTheme="minorHAnsi" w:hAnsiTheme="minorHAnsi" w:cs="Arial"/>
        </w:rPr>
      </w:pPr>
      <w:r w:rsidRPr="00D050E9">
        <w:rPr>
          <w:rFonts w:asciiTheme="minorHAnsi" w:hAnsiTheme="minorHAnsi" w:cs="Arial"/>
        </w:rPr>
        <w:t>V okviru ukrepa spodbujanja tehnoloških investicij je v obdobju 2008-2015 presežena ciljna vrednost tako glede števila podprtih projektov (skupaj podprtih 833 projektov) kot tudi novih zaposlitev (2.827 delavcev od predvidenih 2.300 novih zaposlitev). Glede povprečnega povečanja dodane vrednosti na zaposlenega resorno ministrstvo ugotavlja, da so dosegli zastavljene ciljne vrednosti zgolj pri prejemnikih z zaključenimi projekti v letu 2014. In dodatno, da je 314 prejemnikov od skupno 688 povprečno povečalo dodano vrednost na zaposlenega za vsaj 8 %. Pri tem ukrepu se zasledujeta dva izključujoča se cilja (povečanje dodane vrednosti na zaposlenega in povečanje št. zaposlenih), zato se z izboljšanjem vrednosti enega cilja poslabša vrednost pri drugem.</w:t>
      </w:r>
    </w:p>
    <w:p w:rsidR="00A720EA" w:rsidRPr="00D050E9" w:rsidRDefault="00A720EA" w:rsidP="00A720EA">
      <w:pPr>
        <w:tabs>
          <w:tab w:val="left" w:pos="284"/>
        </w:tabs>
        <w:autoSpaceDE w:val="0"/>
        <w:autoSpaceDN w:val="0"/>
        <w:adjustRightInd w:val="0"/>
        <w:spacing w:line="276" w:lineRule="auto"/>
        <w:rPr>
          <w:rFonts w:asciiTheme="minorHAnsi" w:hAnsiTheme="minorHAnsi" w:cs="Arial"/>
          <w:b/>
          <w:i/>
        </w:rPr>
      </w:pPr>
      <w:r w:rsidRPr="00D050E9">
        <w:rPr>
          <w:rFonts w:asciiTheme="minorHAnsi" w:hAnsiTheme="minorHAnsi" w:cs="Arial"/>
          <w:b/>
          <w:i/>
        </w:rPr>
        <w:t>Kljub temu, da zastavljeni cilji niso bili doseženi v celoti, predvsem zaradi gospodarske in finančne krize, resorno ministrstvo ugotavlja, da so učinki državnih pomoči pozitivni tako na področju novih zaposlitev kot tudi povečanja dodane vrednosti na zaposlenega in lahko oceni shemo oz. ukrepe kot uspešne. V letu 2016 in 2017 ni bilo več izplačil po tej shemi, saj se je slednja iztekla leta 2014.</w:t>
      </w:r>
    </w:p>
    <w:p w:rsidR="00A720EA" w:rsidRPr="00D050E9" w:rsidRDefault="00A720EA" w:rsidP="00064A8B">
      <w:pPr>
        <w:spacing w:before="20" w:after="0" w:line="276" w:lineRule="auto"/>
        <w:ind w:left="4956" w:hanging="4950"/>
        <w:rPr>
          <w:rFonts w:asciiTheme="minorHAnsi" w:hAnsiTheme="minorHAnsi" w:cs="Arial"/>
        </w:rPr>
      </w:pPr>
    </w:p>
    <w:p w:rsidR="00A720EA" w:rsidRPr="00D050E9" w:rsidRDefault="00A720EA" w:rsidP="00064A8B">
      <w:pPr>
        <w:spacing w:before="20" w:line="276" w:lineRule="auto"/>
        <w:ind w:left="4956" w:hanging="4950"/>
        <w:jc w:val="left"/>
        <w:rPr>
          <w:rFonts w:asciiTheme="minorHAnsi" w:hAnsiTheme="minorHAnsi" w:cs="Arial"/>
          <w:sz w:val="20"/>
          <w:szCs w:val="20"/>
        </w:rPr>
      </w:pPr>
      <w:r w:rsidRPr="00D050E9">
        <w:rPr>
          <w:rFonts w:asciiTheme="minorHAnsi" w:hAnsiTheme="minorHAnsi" w:cs="Arial"/>
          <w:b/>
          <w:i/>
          <w:u w:val="single"/>
        </w:rPr>
        <w:t>Finančne spodbude za tuje neposredne investicije</w:t>
      </w:r>
      <w:r w:rsidRPr="00D050E9">
        <w:rPr>
          <w:rFonts w:asciiTheme="minorHAnsi" w:hAnsiTheme="minorHAnsi" w:cs="Arial"/>
          <w:sz w:val="20"/>
          <w:szCs w:val="20"/>
        </w:rPr>
        <w:t xml:space="preserve"> (BE03-5715334-2007 in BE01-2399245</w:t>
      </w:r>
      <w:r w:rsidRPr="00D050E9">
        <w:rPr>
          <w:rFonts w:asciiTheme="minorHAnsi" w:hAnsiTheme="minorHAnsi" w:cs="Arial"/>
        </w:rPr>
        <w:t>-</w:t>
      </w:r>
      <w:r w:rsidR="00064A8B" w:rsidRPr="00D050E9">
        <w:rPr>
          <w:rFonts w:asciiTheme="minorHAnsi" w:hAnsiTheme="minorHAnsi" w:cs="Arial"/>
          <w:sz w:val="20"/>
          <w:szCs w:val="20"/>
        </w:rPr>
        <w:t>2014)</w:t>
      </w:r>
    </w:p>
    <w:p w:rsidR="00A720EA" w:rsidRPr="00D050E9" w:rsidRDefault="00A720EA" w:rsidP="00064A8B">
      <w:pPr>
        <w:autoSpaceDE w:val="0"/>
        <w:autoSpaceDN w:val="0"/>
        <w:adjustRightInd w:val="0"/>
        <w:spacing w:after="0" w:line="276" w:lineRule="auto"/>
        <w:rPr>
          <w:rFonts w:asciiTheme="minorHAnsi" w:hAnsiTheme="minorHAnsi" w:cs="Arial"/>
          <w:lang w:eastAsia="sl-SI"/>
        </w:rPr>
      </w:pPr>
      <w:r w:rsidRPr="00D050E9">
        <w:rPr>
          <w:rFonts w:asciiTheme="minorHAnsi" w:hAnsiTheme="minorHAnsi" w:cs="Arial"/>
          <w:lang w:eastAsia="sl-SI"/>
        </w:rPr>
        <w:t>Namen ukrepa pomoči je privabljanje tujih investitorjev k neposrednemu investiranju na območju Slovenije, katerih investicije bodo:</w:t>
      </w:r>
    </w:p>
    <w:p w:rsidR="00A720EA" w:rsidRPr="00D050E9" w:rsidRDefault="00A720EA" w:rsidP="00064A8B">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zagotavljale nova delovna mesta, predvsem v panogah z višjo dodano vrednostjo,</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prispevale k prenosu znanja in tehnologij in k sodelovanju znanstveno-raziskovalnih podjetij in ustanov na območju Slovenije s tujimi investitorji,</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prispevale k skladnejšemu regionalnemu razvoju,</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prispevale k povečanju sinergičnih učinkov povezovanja tujih investitorjev s slovenskimi podjetji, predvsem na področju dobav tujim investitorjem in izmenjave znanj in tehnologij.</w:t>
      </w:r>
    </w:p>
    <w:p w:rsidR="00A720EA" w:rsidRPr="00D050E9" w:rsidRDefault="00A720EA" w:rsidP="00A720EA">
      <w:pPr>
        <w:tabs>
          <w:tab w:val="left" w:pos="284"/>
        </w:tabs>
        <w:autoSpaceDE w:val="0"/>
        <w:autoSpaceDN w:val="0"/>
        <w:adjustRightInd w:val="0"/>
        <w:spacing w:line="276" w:lineRule="auto"/>
        <w:contextualSpacing/>
        <w:rPr>
          <w:rFonts w:asciiTheme="minorHAnsi" w:hAnsiTheme="minorHAnsi" w:cs="Arial"/>
          <w:lang w:eastAsia="sl-SI"/>
        </w:rPr>
      </w:pPr>
    </w:p>
    <w:p w:rsidR="00A720EA" w:rsidRPr="00D050E9" w:rsidRDefault="00A720EA" w:rsidP="00A720EA">
      <w:pPr>
        <w:spacing w:line="276" w:lineRule="auto"/>
        <w:rPr>
          <w:rFonts w:asciiTheme="minorHAnsi" w:hAnsiTheme="minorHAnsi" w:cs="Arial"/>
          <w:bCs/>
        </w:rPr>
      </w:pPr>
      <w:r w:rsidRPr="00D050E9">
        <w:rPr>
          <w:rFonts w:asciiTheme="minorHAnsi" w:hAnsiTheme="minorHAnsi" w:cs="Arial"/>
          <w:bCs/>
        </w:rPr>
        <w:t>Cilja dodeljevanja spodbud sta povečanje števila vhodnih tujih neposrednih investicij na območju Slovenije in na tej podlagi povečanje števila ustvarjenih novih delovnih mest.</w:t>
      </w:r>
    </w:p>
    <w:tbl>
      <w:tblPr>
        <w:tblStyle w:val="MediumGrid2-Accent5"/>
        <w:tblW w:w="9180" w:type="dxa"/>
        <w:tblLayout w:type="fixed"/>
        <w:tblLook w:val="04A0" w:firstRow="1" w:lastRow="0" w:firstColumn="1" w:lastColumn="0" w:noHBand="0" w:noVBand="1"/>
      </w:tblPr>
      <w:tblGrid>
        <w:gridCol w:w="1085"/>
        <w:gridCol w:w="4552"/>
        <w:gridCol w:w="1417"/>
        <w:gridCol w:w="2126"/>
      </w:tblGrid>
      <w:tr w:rsidR="00A720EA" w:rsidRPr="00D050E9" w:rsidTr="00AD30E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085" w:type="dxa"/>
            <w:tcBorders>
              <w:bottom w:val="single" w:sz="6"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552" w:type="dxa"/>
            <w:tcBorders>
              <w:top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417"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126"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D3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5" w:type="dxa"/>
            <w:tcBorders>
              <w:top w:val="single" w:sz="6" w:space="0" w:color="A7BFDE"/>
              <w:right w:val="single" w:sz="6"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4552" w:type="dxa"/>
            <w:tcBorders>
              <w:top w:val="single" w:sz="8" w:space="0" w:color="A7BFDE"/>
              <w:left w:val="single" w:sz="6"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Naložbe in ustvarjanje delovnih mest zaradi naložb</w:t>
            </w:r>
          </w:p>
        </w:tc>
        <w:tc>
          <w:tcPr>
            <w:tcW w:w="1417"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2126"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F34136">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27.</w:t>
            </w:r>
            <w:r w:rsidR="00F34136">
              <w:rPr>
                <w:rFonts w:asciiTheme="minorHAnsi" w:hAnsiTheme="minorHAnsi" w:cs="Arial"/>
                <w:b/>
                <w:bCs/>
                <w:color w:val="000000"/>
                <w:sz w:val="18"/>
                <w:szCs w:val="18"/>
              </w:rPr>
              <w:t>483.216,00</w:t>
            </w:r>
          </w:p>
        </w:tc>
      </w:tr>
    </w:tbl>
    <w:p w:rsidR="00A720EA" w:rsidRPr="00D050E9" w:rsidRDefault="00A720EA" w:rsidP="00A720EA">
      <w:pPr>
        <w:tabs>
          <w:tab w:val="left" w:pos="3402"/>
        </w:tabs>
        <w:spacing w:line="276" w:lineRule="auto"/>
        <w:rPr>
          <w:rFonts w:asciiTheme="minorHAnsi" w:hAnsiTheme="minorHAnsi" w:cs="Arial"/>
          <w:highlight w:val="yellow"/>
          <w:lang w:eastAsia="sl-SI"/>
        </w:rPr>
      </w:pPr>
    </w:p>
    <w:p w:rsidR="00A720EA" w:rsidRPr="009F6E61" w:rsidRDefault="00A720EA" w:rsidP="00A720EA">
      <w:pPr>
        <w:tabs>
          <w:tab w:val="left" w:pos="3402"/>
        </w:tabs>
        <w:spacing w:line="276" w:lineRule="auto"/>
        <w:rPr>
          <w:rFonts w:asciiTheme="minorHAnsi" w:hAnsiTheme="minorHAnsi" w:cs="Arial"/>
          <w:b/>
          <w:i/>
          <w:lang w:eastAsia="sl-SI"/>
        </w:rPr>
      </w:pPr>
      <w:r w:rsidRPr="009F6E61">
        <w:rPr>
          <w:rFonts w:asciiTheme="minorHAnsi" w:hAnsiTheme="minorHAnsi" w:cs="Arial"/>
          <w:b/>
          <w:i/>
          <w:lang w:eastAsia="sl-SI"/>
        </w:rPr>
        <w:t>Splošna ocena o učinkovitosti:</w:t>
      </w:r>
    </w:p>
    <w:p w:rsidR="00A720EA" w:rsidRPr="009F6E61" w:rsidRDefault="00A720EA" w:rsidP="00A720EA">
      <w:pPr>
        <w:tabs>
          <w:tab w:val="left" w:pos="3402"/>
        </w:tabs>
        <w:spacing w:line="276" w:lineRule="auto"/>
        <w:rPr>
          <w:rFonts w:asciiTheme="minorHAnsi" w:hAnsiTheme="minorHAnsi" w:cs="Arial"/>
          <w:lang w:eastAsia="sl-SI"/>
        </w:rPr>
      </w:pPr>
      <w:r w:rsidRPr="009F6E61">
        <w:rPr>
          <w:rFonts w:asciiTheme="minorHAnsi" w:hAnsiTheme="minorHAnsi" w:cs="Arial"/>
          <w:lang w:eastAsia="sl-SI"/>
        </w:rPr>
        <w:t>Učinka po shemi pomoči Finančne spodbude za tuje neposredne investicije – regionalna pomoč (BE01-2399245-2014) še ni možno določiti, ker so investicije in ustvarjanje novih del</w:t>
      </w:r>
      <w:r w:rsidR="003A6D39" w:rsidRPr="009F6E61">
        <w:rPr>
          <w:rFonts w:asciiTheme="minorHAnsi" w:hAnsiTheme="minorHAnsi" w:cs="Arial"/>
          <w:lang w:eastAsia="sl-SI"/>
        </w:rPr>
        <w:t>ovnih mest še v teku. V okviru 5</w:t>
      </w:r>
      <w:r w:rsidRPr="009F6E61">
        <w:rPr>
          <w:rFonts w:asciiTheme="minorHAnsi" w:hAnsiTheme="minorHAnsi" w:cs="Arial"/>
          <w:lang w:eastAsia="sl-SI"/>
        </w:rPr>
        <w:t xml:space="preserve"> podprtih investicij v skladu s 7.b členom Zakona o spodbujanju tujih neposrednih investicij in internacionalizacije podjetij </w:t>
      </w:r>
      <w:r w:rsidR="00903389" w:rsidRPr="009F6E61">
        <w:rPr>
          <w:rFonts w:asciiTheme="minorHAnsi" w:hAnsiTheme="minorHAnsi" w:cs="Arial"/>
          <w:lang w:eastAsia="sl-SI"/>
        </w:rPr>
        <w:t>(</w:t>
      </w:r>
      <w:r w:rsidR="00903389" w:rsidRPr="009F6E61">
        <w:rPr>
          <w:rFonts w:asciiTheme="minorHAnsi" w:hAnsiTheme="minorHAnsi" w:cs="Arial"/>
          <w:b/>
          <w:lang w:eastAsia="sl-SI"/>
        </w:rPr>
        <w:t>Novem car, d.o.o.,</w:t>
      </w:r>
      <w:r w:rsidR="00903389" w:rsidRPr="009F6E61">
        <w:rPr>
          <w:rFonts w:asciiTheme="minorHAnsi" w:hAnsiTheme="minorHAnsi" w:cs="Arial"/>
          <w:lang w:eastAsia="sl-SI"/>
        </w:rPr>
        <w:t xml:space="preserve"> </w:t>
      </w:r>
      <w:r w:rsidRPr="009F6E61">
        <w:rPr>
          <w:rFonts w:asciiTheme="minorHAnsi" w:hAnsiTheme="minorHAnsi" w:cs="Arial"/>
          <w:b/>
          <w:lang w:eastAsia="sl-SI"/>
        </w:rPr>
        <w:t>Lek d.d., GKN d.o.o., Magna d.o.o., Yaskawa d.o.o.</w:t>
      </w:r>
      <w:r w:rsidRPr="009F6E61">
        <w:rPr>
          <w:rFonts w:asciiTheme="minorHAnsi" w:hAnsiTheme="minorHAnsi" w:cs="Arial"/>
          <w:lang w:eastAsia="sl-SI"/>
        </w:rPr>
        <w:t>) bodo podjetja ustvarila najkasneje v treh</w:t>
      </w:r>
      <w:r w:rsidR="00CC02FA" w:rsidRPr="009F6E61">
        <w:rPr>
          <w:rFonts w:asciiTheme="minorHAnsi" w:hAnsiTheme="minorHAnsi" w:cs="Arial"/>
          <w:lang w:eastAsia="sl-SI"/>
        </w:rPr>
        <w:t xml:space="preserve"> letih po zaključku investicij 8</w:t>
      </w:r>
      <w:r w:rsidRPr="009F6E61">
        <w:rPr>
          <w:rFonts w:asciiTheme="minorHAnsi" w:hAnsiTheme="minorHAnsi" w:cs="Arial"/>
          <w:lang w:eastAsia="sl-SI"/>
        </w:rPr>
        <w:t>53 pogodbenih novih delovnih mest; z javnim razpisom pa je bil podprt en investicijski projekt (</w:t>
      </w:r>
      <w:r w:rsidRPr="009F6E61">
        <w:rPr>
          <w:rFonts w:asciiTheme="minorHAnsi" w:hAnsiTheme="minorHAnsi" w:cs="Arial"/>
          <w:b/>
          <w:lang w:eastAsia="sl-SI"/>
        </w:rPr>
        <w:t>Steris Ast d.o.o.</w:t>
      </w:r>
      <w:r w:rsidRPr="009F6E61">
        <w:rPr>
          <w:rFonts w:asciiTheme="minorHAnsi" w:hAnsiTheme="minorHAnsi" w:cs="Arial"/>
          <w:lang w:eastAsia="sl-SI"/>
        </w:rPr>
        <w:t xml:space="preserve">), s pomočjo katerega bodo ustvarili najkasneje v treh letih po zaključku investicije 41 novih delovnih mest. </w:t>
      </w:r>
      <w:r w:rsidRPr="009F6E61">
        <w:rPr>
          <w:rFonts w:asciiTheme="minorHAnsi" w:hAnsiTheme="minorHAnsi" w:cs="Arial"/>
        </w:rPr>
        <w:t>Do konca leta 2017 je bilo v okviru naved</w:t>
      </w:r>
      <w:r w:rsidR="001A12D6" w:rsidRPr="009F6E61">
        <w:rPr>
          <w:rFonts w:asciiTheme="minorHAnsi" w:hAnsiTheme="minorHAnsi" w:cs="Arial"/>
        </w:rPr>
        <w:t>enih investicij ustvarjenih že 2</w:t>
      </w:r>
      <w:r w:rsidRPr="009F6E61">
        <w:rPr>
          <w:rFonts w:asciiTheme="minorHAnsi" w:hAnsiTheme="minorHAnsi" w:cs="Arial"/>
        </w:rPr>
        <w:t>02 delovnih mest, kar pomeni, da je bil cilj 10 delovnih mest na milijon EUR dodeljenih spodbud v 1.</w:t>
      </w:r>
      <w:r w:rsidR="001A12D6" w:rsidRPr="009F6E61">
        <w:rPr>
          <w:rFonts w:asciiTheme="minorHAnsi" w:hAnsiTheme="minorHAnsi" w:cs="Arial"/>
        </w:rPr>
        <w:t xml:space="preserve"> in 2.</w:t>
      </w:r>
      <w:r w:rsidRPr="009F6E61">
        <w:rPr>
          <w:rFonts w:asciiTheme="minorHAnsi" w:hAnsiTheme="minorHAnsi" w:cs="Arial"/>
        </w:rPr>
        <w:t xml:space="preserve"> l</w:t>
      </w:r>
      <w:r w:rsidR="00B71F50" w:rsidRPr="009F6E61">
        <w:rPr>
          <w:rFonts w:asciiTheme="minorHAnsi" w:hAnsiTheme="minorHAnsi" w:cs="Arial"/>
        </w:rPr>
        <w:t xml:space="preserve">etu dosežen oz. presežen za 222,83 </w:t>
      </w:r>
      <w:r w:rsidRPr="009F6E61">
        <w:rPr>
          <w:rFonts w:asciiTheme="minorHAnsi" w:hAnsiTheme="minorHAnsi" w:cs="Arial"/>
        </w:rPr>
        <w:t>%.</w:t>
      </w:r>
    </w:p>
    <w:p w:rsidR="00A720EA" w:rsidRPr="009F6E61" w:rsidRDefault="00A720EA" w:rsidP="00064A8B">
      <w:pPr>
        <w:tabs>
          <w:tab w:val="left" w:pos="3402"/>
        </w:tabs>
        <w:spacing w:after="0" w:line="276" w:lineRule="auto"/>
        <w:rPr>
          <w:rFonts w:asciiTheme="minorHAnsi" w:hAnsiTheme="minorHAnsi" w:cs="Arial"/>
          <w:lang w:eastAsia="sl-SI"/>
        </w:rPr>
      </w:pPr>
      <w:r w:rsidRPr="009F6E61">
        <w:rPr>
          <w:rFonts w:asciiTheme="minorHAnsi" w:hAnsiTheme="minorHAnsi" w:cs="Arial"/>
          <w:lang w:eastAsia="sl-SI"/>
        </w:rPr>
        <w:t xml:space="preserve">Od leta 2006 do 2016 je resorno ministrstvo sofinanciralo 8 večjih investicijskih projektov. Prejemniki spodbud so se zavezali, da bodo skupno ustvarili 1.452 novih delovnih mest. Do konca leta 2016 je bilo realiziranih 860 novih delovnih mest, medtem ko je bilo konec leta 2015 ustvarjenih in ohranjenih 382 realiziranih novih delovnih mest. Razloga za zmanjšanje števila novo ustvarjenih delovnih mest v tem obdobju sta: </w:t>
      </w:r>
    </w:p>
    <w:p w:rsidR="00A720EA" w:rsidRPr="009F6E61" w:rsidRDefault="00A720EA" w:rsidP="00064A8B">
      <w:pPr>
        <w:numPr>
          <w:ilvl w:val="0"/>
          <w:numId w:val="18"/>
        </w:numPr>
        <w:tabs>
          <w:tab w:val="left" w:pos="284"/>
        </w:tabs>
        <w:autoSpaceDE w:val="0"/>
        <w:autoSpaceDN w:val="0"/>
        <w:adjustRightInd w:val="0"/>
        <w:spacing w:after="0" w:line="276" w:lineRule="auto"/>
        <w:ind w:left="714" w:hanging="357"/>
        <w:contextualSpacing/>
        <w:rPr>
          <w:rFonts w:asciiTheme="minorHAnsi" w:hAnsiTheme="minorHAnsi" w:cs="Arial"/>
          <w:lang w:eastAsia="sl-SI"/>
        </w:rPr>
      </w:pPr>
      <w:r w:rsidRPr="009F6E61">
        <w:rPr>
          <w:rFonts w:asciiTheme="minorHAnsi" w:hAnsiTheme="minorHAnsi" w:cs="Arial"/>
          <w:lang w:eastAsia="sl-SI"/>
        </w:rPr>
        <w:t xml:space="preserve">družba Revoz d.d. je leta 2013 predčasno zaključila projekt Renault Wind; od odobrenih 12,89 mio EUR finančne spodbude je vrnila sredstva v višini 4,45 mio EUR in leta 2013 zmanjšala število zaposlenih (na projektu je ustvarila 50 novih delovnih mest); </w:t>
      </w:r>
    </w:p>
    <w:p w:rsidR="00A720EA" w:rsidRPr="009F6E61" w:rsidRDefault="00A720EA" w:rsidP="00064A8B">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9F6E61">
        <w:rPr>
          <w:rFonts w:asciiTheme="minorHAnsi" w:hAnsiTheme="minorHAnsi" w:cs="Arial"/>
          <w:lang w:eastAsia="sl-SI"/>
        </w:rPr>
        <w:t xml:space="preserve">družba AHA Mura d.o.o. se je leta 2014 še pred izpolnitvijo pogodbenih obveznosti znašla v stečaju (na projektu je leta 2013 ustvarila 920 novih delovnih mest). </w:t>
      </w:r>
    </w:p>
    <w:p w:rsidR="00A720EA" w:rsidRPr="009F6E61" w:rsidRDefault="00A720EA" w:rsidP="00064A8B">
      <w:pPr>
        <w:tabs>
          <w:tab w:val="left" w:pos="284"/>
        </w:tabs>
        <w:autoSpaceDE w:val="0"/>
        <w:autoSpaceDN w:val="0"/>
        <w:adjustRightInd w:val="0"/>
        <w:spacing w:after="0" w:line="276" w:lineRule="auto"/>
        <w:contextualSpacing/>
        <w:rPr>
          <w:rFonts w:asciiTheme="minorHAnsi" w:hAnsiTheme="minorHAnsi" w:cs="Arial"/>
          <w:lang w:eastAsia="sl-SI"/>
        </w:rPr>
      </w:pPr>
      <w:r w:rsidRPr="009F6E61">
        <w:rPr>
          <w:rFonts w:asciiTheme="minorHAnsi" w:hAnsiTheme="minorHAnsi" w:cs="Arial"/>
          <w:lang w:eastAsia="sl-SI"/>
        </w:rPr>
        <w:t xml:space="preserve">Od 6-ih prejemnikov spodbud (eno podjetje je prejelo finančno spodbudo za 2 projekta) 5 podjetij (t.j. 83,3 %) uspešno posluje v regiji. </w:t>
      </w:r>
    </w:p>
    <w:p w:rsidR="00A720EA" w:rsidRPr="009F6E61" w:rsidRDefault="00A720EA" w:rsidP="00A720EA">
      <w:pPr>
        <w:tabs>
          <w:tab w:val="left" w:pos="284"/>
        </w:tabs>
        <w:autoSpaceDE w:val="0"/>
        <w:autoSpaceDN w:val="0"/>
        <w:adjustRightInd w:val="0"/>
        <w:spacing w:line="276" w:lineRule="auto"/>
        <w:contextualSpacing/>
        <w:rPr>
          <w:rFonts w:asciiTheme="minorHAnsi" w:hAnsiTheme="minorHAnsi" w:cs="Arial"/>
          <w:b/>
          <w:lang w:eastAsia="sl-SI"/>
        </w:rPr>
      </w:pPr>
    </w:p>
    <w:p w:rsidR="00A720EA" w:rsidRPr="009F6E61" w:rsidRDefault="00A720EA" w:rsidP="00A720EA">
      <w:pPr>
        <w:tabs>
          <w:tab w:val="left" w:pos="3402"/>
        </w:tabs>
        <w:spacing w:line="276" w:lineRule="auto"/>
        <w:rPr>
          <w:rFonts w:asciiTheme="minorHAnsi" w:hAnsiTheme="minorHAnsi" w:cs="Arial"/>
          <w:b/>
          <w:i/>
          <w:lang w:eastAsia="sl-SI"/>
        </w:rPr>
      </w:pPr>
      <w:r w:rsidRPr="009F6E61">
        <w:rPr>
          <w:rFonts w:asciiTheme="minorHAnsi" w:hAnsiTheme="minorHAnsi" w:cs="Arial"/>
          <w:lang w:eastAsia="sl-SI"/>
        </w:rPr>
        <w:t xml:space="preserve">Na podlagi Zakona o spodbujanju tujih neposrednih investicij in internacionalizacije podjetij, ki omogoča dodeljevanje finančnih spodbud tudi </w:t>
      </w:r>
      <w:r w:rsidRPr="009F6E61">
        <w:rPr>
          <w:rFonts w:asciiTheme="minorHAnsi" w:hAnsiTheme="minorHAnsi" w:cs="Arial"/>
          <w:b/>
          <w:lang w:eastAsia="sl-SI"/>
        </w:rPr>
        <w:t>brez javnega razpisa</w:t>
      </w:r>
      <w:r w:rsidRPr="009F6E61">
        <w:rPr>
          <w:rFonts w:asciiTheme="minorHAnsi" w:hAnsiTheme="minorHAnsi" w:cs="Arial"/>
          <w:lang w:eastAsia="sl-SI"/>
        </w:rPr>
        <w:t>,</w:t>
      </w:r>
      <w:r w:rsidRPr="009F6E61">
        <w:rPr>
          <w:rFonts w:asciiTheme="minorHAnsi" w:hAnsiTheme="minorHAnsi" w:cs="Arial"/>
          <w:b/>
          <w:i/>
          <w:lang w:eastAsia="sl-SI"/>
        </w:rPr>
        <w:t xml:space="preserve"> </w:t>
      </w:r>
      <w:r w:rsidRPr="009F6E61">
        <w:rPr>
          <w:rFonts w:asciiTheme="minorHAnsi" w:hAnsiTheme="minorHAnsi" w:cs="Arial"/>
          <w:i/>
          <w:lang w:eastAsia="sl-SI"/>
        </w:rPr>
        <w:t>so bile v</w:t>
      </w:r>
      <w:r w:rsidRPr="009F6E61">
        <w:rPr>
          <w:rFonts w:asciiTheme="minorHAnsi" w:hAnsiTheme="minorHAnsi" w:cs="Arial"/>
          <w:b/>
          <w:i/>
          <w:lang w:eastAsia="sl-SI"/>
        </w:rPr>
        <w:t xml:space="preserve"> letu 2016 izplačane spodbude trem prejemnikom </w:t>
      </w:r>
      <w:r w:rsidRPr="009F6E61">
        <w:rPr>
          <w:rFonts w:asciiTheme="minorHAnsi" w:hAnsiTheme="minorHAnsi" w:cs="Arial"/>
          <w:i/>
          <w:lang w:eastAsia="sl-SI"/>
        </w:rPr>
        <w:t>(leto prej dvema), in sicer</w:t>
      </w:r>
      <w:r w:rsidRPr="009F6E61">
        <w:rPr>
          <w:rFonts w:asciiTheme="minorHAnsi" w:hAnsiTheme="minorHAnsi" w:cs="Arial"/>
          <w:b/>
          <w:i/>
          <w:lang w:eastAsia="sl-SI"/>
        </w:rPr>
        <w:t xml:space="preserve"> družbi Revoz d.d. (na podlagi pogodbe, sklenjene v letu 2013), podjetju Hella Saturnus Slovenija d.o.o. </w:t>
      </w:r>
      <w:r w:rsidRPr="009F6E61">
        <w:rPr>
          <w:rFonts w:asciiTheme="minorHAnsi" w:hAnsiTheme="minorHAnsi" w:cs="Arial"/>
          <w:i/>
          <w:lang w:eastAsia="sl-SI"/>
        </w:rPr>
        <w:t xml:space="preserve">(na podlagi pogodbe, sklenjene v letu 2014) </w:t>
      </w:r>
      <w:r w:rsidR="00D97752" w:rsidRPr="009F6E61">
        <w:rPr>
          <w:rFonts w:asciiTheme="minorHAnsi" w:hAnsiTheme="minorHAnsi" w:cs="Arial"/>
          <w:b/>
          <w:i/>
          <w:lang w:eastAsia="sl-SI"/>
        </w:rPr>
        <w:t>ter podjetju Novem car d.o.o., v letu 2017 pa štirim prejemnikom (Lek d.d., GKN d.o.o., Magna d.o.o., Yaskawa d.o.o.).</w:t>
      </w:r>
    </w:p>
    <w:p w:rsidR="00A720EA" w:rsidRPr="009F6E61" w:rsidRDefault="00A720EA" w:rsidP="00A720EA">
      <w:pPr>
        <w:tabs>
          <w:tab w:val="left" w:pos="3402"/>
        </w:tabs>
        <w:spacing w:line="276" w:lineRule="auto"/>
        <w:rPr>
          <w:rFonts w:asciiTheme="minorHAnsi" w:hAnsiTheme="minorHAnsi" w:cs="Arial"/>
          <w:lang w:eastAsia="sl-SI"/>
        </w:rPr>
      </w:pPr>
      <w:r w:rsidRPr="009F6E61">
        <w:rPr>
          <w:rFonts w:asciiTheme="minorHAnsi" w:hAnsiTheme="minorHAnsi" w:cs="Arial"/>
          <w:lang w:eastAsia="sl-SI"/>
        </w:rPr>
        <w:t>S pomočjo spodbud na podlagi javnega razpisa je bilo od leta 2006 do leta 201</w:t>
      </w:r>
      <w:r w:rsidR="00A30ECA" w:rsidRPr="009F6E61">
        <w:rPr>
          <w:rFonts w:asciiTheme="minorHAnsi" w:hAnsiTheme="minorHAnsi" w:cs="Arial"/>
          <w:lang w:eastAsia="sl-SI"/>
        </w:rPr>
        <w:t>7</w:t>
      </w:r>
      <w:r w:rsidRPr="009F6E61">
        <w:rPr>
          <w:rFonts w:asciiTheme="minorHAnsi" w:hAnsiTheme="minorHAnsi" w:cs="Arial"/>
          <w:lang w:eastAsia="sl-SI"/>
        </w:rPr>
        <w:t xml:space="preserve"> (v letu 2014 in 2015 se sredstva po javnem razpisu nis</w:t>
      </w:r>
      <w:r w:rsidR="00B615A3" w:rsidRPr="009F6E61">
        <w:rPr>
          <w:rFonts w:asciiTheme="minorHAnsi" w:hAnsiTheme="minorHAnsi" w:cs="Arial"/>
          <w:lang w:eastAsia="sl-SI"/>
        </w:rPr>
        <w:t>o dodeljevala) sofinanciranih 84</w:t>
      </w:r>
      <w:r w:rsidRPr="009F6E61">
        <w:rPr>
          <w:rFonts w:asciiTheme="minorHAnsi" w:hAnsiTheme="minorHAnsi" w:cs="Arial"/>
          <w:lang w:eastAsia="sl-SI"/>
        </w:rPr>
        <w:t xml:space="preserve"> projektov, kar pomeni, da je bil presežen cilj števila novih vstopov tujih investitorjev (11 na leto oz. 77 do leta 2013). Prejemniki sredstev so se zavezali ustvariti</w:t>
      </w:r>
      <w:r w:rsidR="009E2080" w:rsidRPr="009F6E61">
        <w:rPr>
          <w:rFonts w:asciiTheme="minorHAnsi" w:hAnsiTheme="minorHAnsi" w:cs="Arial"/>
          <w:lang w:eastAsia="sl-SI"/>
        </w:rPr>
        <w:t xml:space="preserve"> skupno 5.734</w:t>
      </w:r>
      <w:r w:rsidRPr="009F6E61">
        <w:rPr>
          <w:rFonts w:asciiTheme="minorHAnsi" w:hAnsiTheme="minorHAnsi" w:cs="Arial"/>
          <w:lang w:eastAsia="sl-SI"/>
        </w:rPr>
        <w:t xml:space="preserve"> neto novih delovnih mest. </w:t>
      </w:r>
    </w:p>
    <w:p w:rsidR="00A720EA" w:rsidRPr="00D050E9" w:rsidRDefault="00A720EA" w:rsidP="00A720EA">
      <w:pPr>
        <w:tabs>
          <w:tab w:val="left" w:pos="3402"/>
        </w:tabs>
        <w:spacing w:line="276" w:lineRule="auto"/>
        <w:rPr>
          <w:rFonts w:asciiTheme="minorHAnsi" w:hAnsiTheme="minorHAnsi" w:cs="Arial"/>
          <w:b/>
          <w:lang w:eastAsia="sl-SI"/>
        </w:rPr>
      </w:pPr>
      <w:r w:rsidRPr="009F6E61">
        <w:rPr>
          <w:rFonts w:asciiTheme="minorHAnsi" w:hAnsiTheme="minorHAnsi" w:cs="Arial"/>
          <w:b/>
          <w:lang w:eastAsia="sl-SI"/>
        </w:rPr>
        <w:t>O</w:t>
      </w:r>
      <w:r w:rsidR="009E2080" w:rsidRPr="009F6E61">
        <w:rPr>
          <w:rFonts w:asciiTheme="minorHAnsi" w:hAnsiTheme="minorHAnsi" w:cs="Arial"/>
          <w:b/>
          <w:i/>
          <w:lang w:eastAsia="sl-SI"/>
        </w:rPr>
        <w:t>d leta 2006 do konca leta 2017</w:t>
      </w:r>
      <w:r w:rsidR="000F2A3E" w:rsidRPr="009F6E61">
        <w:rPr>
          <w:rFonts w:asciiTheme="minorHAnsi" w:hAnsiTheme="minorHAnsi" w:cs="Arial"/>
          <w:b/>
          <w:i/>
          <w:lang w:eastAsia="sl-SI"/>
        </w:rPr>
        <w:t xml:space="preserve"> je bilo realiziranih 3.067</w:t>
      </w:r>
      <w:r w:rsidRPr="009F6E61">
        <w:rPr>
          <w:rFonts w:asciiTheme="minorHAnsi" w:hAnsiTheme="minorHAnsi" w:cs="Arial"/>
          <w:b/>
          <w:i/>
          <w:lang w:eastAsia="sl-SI"/>
        </w:rPr>
        <w:t xml:space="preserve"> novih delovnih mest. V okviru sofinanciranih projektov je to število nekaj manjše, kot je bilo konec leta 2014 (3.282 novih delovnih mest), kar izhaja iz težav podjetij pri ohranjanju delovnih mest še 3 oz. 5 let po zaključku investicije. Ne glede na navedeno je še vedno dosežen cilj 1.800 novih delovnih mest, vezanih na spodbude za tuje neposredne investicije v obdobju od 2006 do 2013.</w:t>
      </w:r>
    </w:p>
    <w:p w:rsidR="00A720EA" w:rsidRPr="00D050E9" w:rsidRDefault="00A720EA" w:rsidP="00AD30E1">
      <w:pPr>
        <w:spacing w:after="0" w:line="276" w:lineRule="auto"/>
        <w:rPr>
          <w:rFonts w:asciiTheme="minorHAnsi" w:hAnsiTheme="minorHAnsi" w:cs="Arial"/>
          <w:b/>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Razvojne podpore Pomurski regiji  – regionalni cilji</w:t>
      </w:r>
      <w:r w:rsidRPr="00D050E9">
        <w:rPr>
          <w:rFonts w:asciiTheme="minorHAnsi" w:hAnsiTheme="minorHAnsi" w:cs="Arial"/>
        </w:rPr>
        <w:t xml:space="preserve"> </w:t>
      </w:r>
      <w:r w:rsidRPr="00D050E9">
        <w:rPr>
          <w:rFonts w:asciiTheme="minorHAnsi" w:hAnsiTheme="minorHAnsi" w:cs="Arial"/>
          <w:sz w:val="20"/>
          <w:szCs w:val="20"/>
        </w:rPr>
        <w:t>(BE01-1783262-2010)</w:t>
      </w:r>
      <w:r w:rsidRPr="00D050E9">
        <w:rPr>
          <w:rFonts w:asciiTheme="minorHAnsi" w:hAnsiTheme="minorHAnsi" w:cs="Arial"/>
        </w:rPr>
        <w:tab/>
      </w:r>
    </w:p>
    <w:p w:rsidR="00A720EA" w:rsidRPr="00D050E9" w:rsidRDefault="00A720EA" w:rsidP="00AD30E1">
      <w:pPr>
        <w:tabs>
          <w:tab w:val="left" w:pos="284"/>
        </w:tabs>
        <w:autoSpaceDE w:val="0"/>
        <w:autoSpaceDN w:val="0"/>
        <w:adjustRightInd w:val="0"/>
        <w:spacing w:after="0" w:line="276" w:lineRule="auto"/>
        <w:rPr>
          <w:rFonts w:asciiTheme="minorHAnsi" w:hAnsiTheme="minorHAnsi" w:cs="TimesNewRoman"/>
          <w:lang w:eastAsia="sl-SI"/>
        </w:rPr>
      </w:pPr>
      <w:r w:rsidRPr="00D050E9">
        <w:rPr>
          <w:rFonts w:asciiTheme="minorHAnsi" w:hAnsiTheme="minorHAnsi" w:cs="TimesNewRoman"/>
          <w:lang w:eastAsia="sl-SI"/>
        </w:rPr>
        <w:t xml:space="preserve">S sprejetjem Zakona o razvojni podpori Pomurski regiji v obdobju 2010–2019 (Uradni list RS, št. </w:t>
      </w:r>
      <w:hyperlink r:id="rId75" w:tgtFrame="_blank" w:tooltip="Zakon o razvojni podpori Pomurski regiji v obdobju 2010–2019 (ZRPPR1015)" w:history="1">
        <w:r w:rsidRPr="00D050E9">
          <w:rPr>
            <w:rFonts w:asciiTheme="minorHAnsi" w:hAnsiTheme="minorHAnsi" w:cs="TimesNewRoman"/>
            <w:lang w:eastAsia="sl-SI"/>
          </w:rPr>
          <w:t>87/09</w:t>
        </w:r>
      </w:hyperlink>
      <w:r w:rsidRPr="00D050E9">
        <w:rPr>
          <w:rFonts w:asciiTheme="minorHAnsi" w:hAnsiTheme="minorHAnsi" w:cs="TimesNewRoman"/>
          <w:lang w:eastAsia="sl-SI"/>
        </w:rPr>
        <w:t xml:space="preserve">, </w:t>
      </w:r>
      <w:hyperlink r:id="rId76" w:tgtFrame="_blank" w:tooltip="Zakon o spremembah Zakona o razvojni podpori Pomurski regiji v obdobju 2010–2015" w:history="1">
        <w:r w:rsidRPr="00D050E9">
          <w:rPr>
            <w:rFonts w:asciiTheme="minorHAnsi" w:hAnsiTheme="minorHAnsi" w:cs="TimesNewRoman"/>
            <w:lang w:eastAsia="sl-SI"/>
          </w:rPr>
          <w:t>82/15</w:t>
        </w:r>
      </w:hyperlink>
      <w:r w:rsidRPr="00D050E9">
        <w:rPr>
          <w:rFonts w:asciiTheme="minorHAnsi" w:hAnsiTheme="minorHAnsi" w:cs="TimesNewRoman"/>
          <w:lang w:eastAsia="sl-SI"/>
        </w:rPr>
        <w:t xml:space="preserve"> in </w:t>
      </w:r>
      <w:hyperlink r:id="rId77" w:tgtFrame="_blank" w:tooltip="Zakon o spremembah Zakona o razvojni podpori Pomurski regiji v obdobju 2010–2017" w:history="1">
        <w:r w:rsidRPr="00D050E9">
          <w:rPr>
            <w:rFonts w:asciiTheme="minorHAnsi" w:hAnsiTheme="minorHAnsi" w:cs="TimesNewRoman"/>
            <w:lang w:eastAsia="sl-SI"/>
          </w:rPr>
          <w:t>27/17</w:t>
        </w:r>
      </w:hyperlink>
      <w:r w:rsidRPr="00D050E9">
        <w:rPr>
          <w:rFonts w:asciiTheme="minorHAnsi" w:hAnsiTheme="minorHAnsi" w:cs="TimesNewRoman"/>
          <w:lang w:eastAsia="sl-SI"/>
        </w:rPr>
        <w:t>) je bil vzpostavljen institucionalni in finančni okvir za interventno ukrepanje na območju Pomurja (poleg statistične regije Pomurje so bile v okvir zakona zajete še 3 občine iz območja Upravne enote Ormož; skupaj zajema območje 30 občin). Zakon je določil ukrepe razvojne podpore:</w:t>
      </w:r>
    </w:p>
    <w:p w:rsidR="00A720EA" w:rsidRPr="00D050E9" w:rsidRDefault="00A720EA" w:rsidP="00AD30E1">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program spodbujanja konkurenčnosti Pomurske regije v obdobju 2010–2019,</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 xml:space="preserve">spodbude za zaposlovanje, </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davčna olajšava za investiranje in</w:t>
      </w:r>
    </w:p>
    <w:p w:rsidR="00A720EA" w:rsidRPr="00D050E9" w:rsidRDefault="00A720EA" w:rsidP="00C93FA7">
      <w:pPr>
        <w:numPr>
          <w:ilvl w:val="0"/>
          <w:numId w:val="18"/>
        </w:numPr>
        <w:tabs>
          <w:tab w:val="left" w:pos="284"/>
        </w:tabs>
        <w:autoSpaceDE w:val="0"/>
        <w:autoSpaceDN w:val="0"/>
        <w:adjustRightInd w:val="0"/>
        <w:spacing w:after="0" w:line="276" w:lineRule="auto"/>
        <w:contextualSpacing/>
        <w:rPr>
          <w:rFonts w:asciiTheme="minorHAnsi" w:hAnsiTheme="minorHAnsi" w:cs="Arial"/>
          <w:lang w:eastAsia="sl-SI"/>
        </w:rPr>
      </w:pPr>
      <w:r w:rsidRPr="00D050E9">
        <w:rPr>
          <w:rFonts w:asciiTheme="minorHAnsi" w:hAnsiTheme="minorHAnsi" w:cs="Arial"/>
          <w:lang w:eastAsia="sl-SI"/>
        </w:rPr>
        <w:t xml:space="preserve">prednostna obravnava programov in projektov iz Pomurske regije pri kandidiranju za sredstva iz nacionalnih programov, programov evropske kohezijske politike in politike razvoja podeželja. </w:t>
      </w:r>
    </w:p>
    <w:p w:rsidR="00A720EA" w:rsidRPr="00D050E9" w:rsidRDefault="00A720EA" w:rsidP="00A720EA">
      <w:pPr>
        <w:tabs>
          <w:tab w:val="left" w:pos="284"/>
        </w:tabs>
        <w:autoSpaceDE w:val="0"/>
        <w:autoSpaceDN w:val="0"/>
        <w:adjustRightInd w:val="0"/>
        <w:spacing w:line="276" w:lineRule="auto"/>
        <w:rPr>
          <w:rFonts w:asciiTheme="minorHAnsi" w:hAnsiTheme="minorHAnsi" w:cs="Arial"/>
          <w:b/>
          <w:lang w:eastAsia="sl-SI"/>
        </w:rPr>
      </w:pPr>
    </w:p>
    <w:tbl>
      <w:tblPr>
        <w:tblStyle w:val="MediumGrid2-Accent5"/>
        <w:tblW w:w="9039" w:type="dxa"/>
        <w:shd w:val="clear" w:color="auto" w:fill="D3DFEE"/>
        <w:tblLook w:val="04A0" w:firstRow="1" w:lastRow="0" w:firstColumn="1" w:lastColumn="0" w:noHBand="0" w:noVBand="1"/>
      </w:tblPr>
      <w:tblGrid>
        <w:gridCol w:w="1211"/>
        <w:gridCol w:w="3859"/>
        <w:gridCol w:w="1559"/>
        <w:gridCol w:w="2410"/>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211" w:type="dxa"/>
            <w:tcBorders>
              <w:bottom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859" w:type="dxa"/>
            <w:tcBorders>
              <w:top w:val="single" w:sz="8" w:space="0" w:color="A7BFDE"/>
              <w:left w:val="nil"/>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559"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410"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11" w:type="dxa"/>
            <w:vMerge w:val="restart"/>
            <w:tcBorders>
              <w:top w:val="single" w:sz="8" w:space="0" w:color="A7BFDE"/>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3859"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Naložbe in ohranjanje delovnih mest zaradi naložb</w:t>
            </w:r>
          </w:p>
        </w:tc>
        <w:tc>
          <w:tcPr>
            <w:tcW w:w="1559" w:type="dxa"/>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2410" w:type="dxa"/>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0,00</w:t>
            </w:r>
          </w:p>
        </w:tc>
      </w:tr>
      <w:tr w:rsidR="00A720EA" w:rsidRPr="00D050E9" w:rsidTr="00A720EA">
        <w:trPr>
          <w:trHeight w:val="389"/>
        </w:trPr>
        <w:tc>
          <w:tcPr>
            <w:cnfStyle w:val="001000000000" w:firstRow="0" w:lastRow="0" w:firstColumn="1" w:lastColumn="0" w:oddVBand="0" w:evenVBand="0" w:oddHBand="0" w:evenHBand="0" w:firstRowFirstColumn="0" w:firstRowLastColumn="0" w:lastRowFirstColumn="0" w:lastRowLastColumn="0"/>
            <w:tcW w:w="1211" w:type="dxa"/>
            <w:vMerge/>
            <w:tcBorders>
              <w:top w:val="single" w:sz="8" w:space="0" w:color="A7BFDE"/>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rPr>
                <w:rFonts w:asciiTheme="minorHAnsi" w:hAnsiTheme="minorHAnsi" w:cs="Arial"/>
                <w:color w:val="auto"/>
                <w:sz w:val="18"/>
                <w:szCs w:val="18"/>
                <w:lang w:eastAsia="sl-SI"/>
              </w:rPr>
            </w:pPr>
          </w:p>
        </w:tc>
        <w:tc>
          <w:tcPr>
            <w:tcW w:w="3859" w:type="dxa"/>
            <w:vMerge/>
            <w:tcBorders>
              <w:left w:val="single" w:sz="8" w:space="0" w:color="A7BFDE"/>
              <w:bottom w:val="single" w:sz="8" w:space="0" w:color="4BACC6" w:themeColor="accent5"/>
              <w:right w:val="single" w:sz="8" w:space="0" w:color="A7BFDE"/>
            </w:tcBorders>
            <w:shd w:val="clear" w:color="auto" w:fill="D3DFEE"/>
            <w:vAlign w:val="center"/>
            <w:hideMark/>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55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Davčne olajšave</w:t>
            </w:r>
          </w:p>
        </w:tc>
        <w:tc>
          <w:tcPr>
            <w:tcW w:w="2410"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1.883.564,23</w:t>
            </w:r>
          </w:p>
        </w:tc>
      </w:tr>
      <w:tr w:rsidR="00A720EA" w:rsidRPr="00D050E9" w:rsidTr="00437D9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211" w:type="dxa"/>
            <w:tcBorders>
              <w:top w:val="single" w:sz="8" w:space="0" w:color="A7BFDE"/>
              <w:right w:val="single" w:sz="8" w:space="0" w:color="A7BFDE"/>
            </w:tcBorders>
            <w:shd w:val="clear" w:color="auto" w:fill="auto"/>
            <w:vAlign w:val="center"/>
          </w:tcPr>
          <w:p w:rsidR="00A720EA" w:rsidRPr="00D050E9" w:rsidRDefault="00A720EA" w:rsidP="00AD30E1">
            <w:pPr>
              <w:spacing w:line="276" w:lineRule="auto"/>
              <w:rPr>
                <w:rFonts w:asciiTheme="minorHAnsi" w:hAnsiTheme="minorHAnsi" w:cs="Arial"/>
                <w:b w:val="0"/>
                <w:sz w:val="18"/>
                <w:szCs w:val="18"/>
                <w:lang w:eastAsia="sl-SI"/>
              </w:rPr>
            </w:pPr>
          </w:p>
        </w:tc>
        <w:tc>
          <w:tcPr>
            <w:tcW w:w="3859" w:type="dxa"/>
            <w:tcBorders>
              <w:left w:val="single" w:sz="8" w:space="0" w:color="A7BFDE"/>
              <w:right w:val="single" w:sz="8" w:space="0" w:color="A7BFDE"/>
            </w:tcBorders>
            <w:shd w:val="clear" w:color="auto" w:fill="D3DFEE"/>
            <w:vAlign w:val="center"/>
          </w:tcPr>
          <w:p w:rsidR="00A720EA" w:rsidRPr="00D050E9" w:rsidRDefault="00A720EA" w:rsidP="00AD30E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1559"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D30E1">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2410"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437D9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1.883.564,23</w:t>
            </w:r>
          </w:p>
        </w:tc>
      </w:tr>
    </w:tbl>
    <w:p w:rsidR="009F6E61" w:rsidRDefault="009F6E61" w:rsidP="00A720EA">
      <w:pPr>
        <w:tabs>
          <w:tab w:val="left" w:pos="284"/>
        </w:tabs>
        <w:autoSpaceDE w:val="0"/>
        <w:autoSpaceDN w:val="0"/>
        <w:adjustRightInd w:val="0"/>
        <w:spacing w:line="276" w:lineRule="auto"/>
        <w:rPr>
          <w:rFonts w:asciiTheme="minorHAnsi" w:hAnsiTheme="minorHAnsi" w:cs="Arial"/>
          <w:lang w:eastAsia="sl-SI"/>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lang w:eastAsia="sl-SI"/>
        </w:rPr>
      </w:pPr>
      <w:r w:rsidRPr="00D050E9">
        <w:rPr>
          <w:rFonts w:asciiTheme="minorHAnsi" w:hAnsiTheme="minorHAnsi" w:cs="Arial"/>
          <w:lang w:eastAsia="sl-SI"/>
        </w:rPr>
        <w:t xml:space="preserve">Po podatkih iz leta 2015 morajo prejemniki sredstev na podlagi 186 sklenjenih pogodb o sofinanciranju projektov in javnih razpisov v roku 3 let (mala podjetja) oz. 5 let (velika podjetja) ustvariti 747 predvidenih delovnih mest. Iz navedenega sledi, da je bilo za posamezno delovno mesto izplačanih v povprečju 17.254,95 EUR. </w:t>
      </w:r>
    </w:p>
    <w:p w:rsidR="00A720EA" w:rsidRPr="00D050E9" w:rsidRDefault="00A720EA" w:rsidP="00A720EA">
      <w:pPr>
        <w:tabs>
          <w:tab w:val="left" w:pos="284"/>
        </w:tabs>
        <w:autoSpaceDE w:val="0"/>
        <w:autoSpaceDN w:val="0"/>
        <w:adjustRightInd w:val="0"/>
        <w:spacing w:line="276" w:lineRule="auto"/>
        <w:rPr>
          <w:rFonts w:asciiTheme="minorHAnsi" w:hAnsiTheme="minorHAnsi" w:cs="TimesNewRoman"/>
          <w:b/>
          <w:i/>
          <w:lang w:eastAsia="sl-SI"/>
        </w:rPr>
      </w:pPr>
      <w:r w:rsidRPr="00D050E9">
        <w:rPr>
          <w:rFonts w:asciiTheme="minorHAnsi" w:hAnsiTheme="minorHAnsi" w:cs="Arial"/>
          <w:b/>
          <w:i/>
          <w:lang w:eastAsia="sl-SI"/>
        </w:rPr>
        <w:t xml:space="preserve">Novih izplačil po tej shemi v letih 2016 in 2017 ni bilo. </w:t>
      </w:r>
      <w:r w:rsidRPr="00D050E9">
        <w:rPr>
          <w:rFonts w:asciiTheme="minorHAnsi" w:hAnsiTheme="minorHAnsi" w:cs="TimesNewRoman"/>
          <w:b/>
          <w:i/>
          <w:lang w:eastAsia="sl-SI"/>
        </w:rPr>
        <w:t>Vrednotenje učinkov je predvideno v letu 2020.</w:t>
      </w:r>
    </w:p>
    <w:p w:rsidR="00437D9D" w:rsidRPr="00D050E9" w:rsidRDefault="00437D9D" w:rsidP="00437D9D">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 xml:space="preserve">Programi SID banke za financiranje tehnološko razvojnih projektov </w:t>
      </w:r>
      <w:r w:rsidRPr="00D050E9">
        <w:rPr>
          <w:rFonts w:asciiTheme="minorHAnsi" w:hAnsiTheme="minorHAnsi" w:cs="Arial"/>
          <w:sz w:val="20"/>
          <w:szCs w:val="20"/>
        </w:rPr>
        <w:t>(BE01-5665493-2011 in BE01-5665493-2014)</w:t>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 xml:space="preserve">Ukrep </w:t>
      </w:r>
      <w:r w:rsidRPr="00D050E9">
        <w:rPr>
          <w:rFonts w:asciiTheme="minorHAnsi" w:hAnsiTheme="minorHAnsi" w:cs="Arial"/>
          <w:b/>
        </w:rPr>
        <w:t xml:space="preserve">»Posebni pogoji financiranja tehnološko-razvojnih projektov« </w:t>
      </w:r>
      <w:r w:rsidRPr="00D050E9">
        <w:rPr>
          <w:rFonts w:asciiTheme="minorHAnsi" w:hAnsiTheme="minorHAnsi" w:cs="Arial"/>
        </w:rPr>
        <w:t xml:space="preserve">je namenjen </w:t>
      </w:r>
      <w:r w:rsidRPr="00D050E9">
        <w:rPr>
          <w:rFonts w:asciiTheme="minorHAnsi" w:hAnsiTheme="minorHAnsi" w:cs="Arial"/>
          <w:bCs/>
        </w:rPr>
        <w:t>spodbujanju razvoja malih in srednje velikih podjetij</w:t>
      </w:r>
      <w:r w:rsidRPr="00D050E9">
        <w:rPr>
          <w:rFonts w:asciiTheme="minorHAnsi" w:hAnsiTheme="minorHAnsi" w:cs="Arial"/>
        </w:rPr>
        <w:t>, z namenom uvajanja novih produktov na trg ali uvajanja novih rešitev v podjetju. Skupni znesek odobrenih kreditov ne sme presegati 64 mio EUR. Učinkovitost se bo merila na osnovi dveh kazalnikov: nove naložbe in stopnja rasti dodane vrednosti na zaposlenega.</w:t>
      </w:r>
    </w:p>
    <w:tbl>
      <w:tblPr>
        <w:tblStyle w:val="MediumGrid2-Accent5"/>
        <w:tblW w:w="9180" w:type="dxa"/>
        <w:tblLayout w:type="fixed"/>
        <w:tblLook w:val="04A0" w:firstRow="1" w:lastRow="0" w:firstColumn="1" w:lastColumn="0" w:noHBand="0" w:noVBand="1"/>
      </w:tblPr>
      <w:tblGrid>
        <w:gridCol w:w="1101"/>
        <w:gridCol w:w="2535"/>
        <w:gridCol w:w="1575"/>
        <w:gridCol w:w="1131"/>
        <w:gridCol w:w="1421"/>
        <w:gridCol w:w="1417"/>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01" w:type="dxa"/>
            <w:vMerge w:val="restart"/>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2535"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Naziv</w:t>
            </w:r>
          </w:p>
        </w:tc>
        <w:tc>
          <w:tcPr>
            <w:tcW w:w="1575"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1"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Instrument</w:t>
            </w:r>
          </w:p>
        </w:tc>
        <w:tc>
          <w:tcPr>
            <w:tcW w:w="2838" w:type="dxa"/>
            <w:gridSpan w:val="2"/>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01" w:type="dxa"/>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2535"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575"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131"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421"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Bruto znesek</w:t>
            </w:r>
          </w:p>
        </w:tc>
        <w:tc>
          <w:tcPr>
            <w:tcW w:w="141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Državna pomoč</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A7BFDE"/>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SID banka</w:t>
            </w:r>
          </w:p>
        </w:tc>
        <w:tc>
          <w:tcPr>
            <w:tcW w:w="2535"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Posebni pogoji financiranja tehnološko razvojnih projektov</w:t>
            </w:r>
          </w:p>
        </w:tc>
        <w:tc>
          <w:tcPr>
            <w:tcW w:w="1575" w:type="dxa"/>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Naložbe in ustvarjanje delovnih mest zaradi naložb</w:t>
            </w:r>
          </w:p>
        </w:tc>
        <w:tc>
          <w:tcPr>
            <w:tcW w:w="1131" w:type="dxa"/>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Ugodna posojila</w:t>
            </w:r>
          </w:p>
        </w:tc>
        <w:tc>
          <w:tcPr>
            <w:tcW w:w="142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eastAsia="sl-SI"/>
              </w:rPr>
            </w:pPr>
            <w:r w:rsidRPr="00D050E9">
              <w:rPr>
                <w:rFonts w:asciiTheme="minorHAnsi" w:hAnsiTheme="minorHAnsi" w:cs="Arial"/>
                <w:b/>
                <w:bCs/>
                <w:sz w:val="18"/>
                <w:szCs w:val="18"/>
                <w:lang w:eastAsia="sl-SI"/>
              </w:rPr>
              <w:t>13.610.262,50</w:t>
            </w:r>
          </w:p>
        </w:tc>
        <w:tc>
          <w:tcPr>
            <w:tcW w:w="1417"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000000"/>
                <w:sz w:val="18"/>
                <w:szCs w:val="18"/>
              </w:rPr>
            </w:pPr>
            <w:r w:rsidRPr="00D050E9">
              <w:rPr>
                <w:rFonts w:asciiTheme="minorHAnsi" w:hAnsiTheme="minorHAnsi" w:cs="Arial"/>
                <w:b/>
                <w:color w:val="000000"/>
                <w:sz w:val="18"/>
                <w:szCs w:val="18"/>
              </w:rPr>
              <w:t>1.996.634,24</w:t>
            </w:r>
          </w:p>
        </w:tc>
      </w:tr>
    </w:tbl>
    <w:p w:rsidR="00A720EA" w:rsidRPr="00D050E9" w:rsidRDefault="00A720EA" w:rsidP="00437D9D">
      <w:pPr>
        <w:tabs>
          <w:tab w:val="left" w:pos="284"/>
        </w:tabs>
        <w:autoSpaceDE w:val="0"/>
        <w:autoSpaceDN w:val="0"/>
        <w:adjustRightInd w:val="0"/>
        <w:spacing w:after="0" w:line="276" w:lineRule="auto"/>
        <w:rPr>
          <w:rFonts w:asciiTheme="minorHAnsi" w:hAnsiTheme="minorHAnsi" w:cs="Arial"/>
          <w:b/>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b/>
          <w:i/>
        </w:rPr>
        <w:t>Prva izplačila v okviru tega ukrepa so bila v letu 2015. Prvi učinki so pričakovani v letu 2017 in merjenje učinkovitosti leto kasneje</w:t>
      </w:r>
      <w:r w:rsidRPr="00D050E9">
        <w:rPr>
          <w:rFonts w:asciiTheme="minorHAnsi" w:hAnsiTheme="minorHAnsi" w:cs="Arial"/>
          <w:b/>
        </w:rPr>
        <w:t>.</w:t>
      </w:r>
      <w:r w:rsidRPr="00D050E9">
        <w:rPr>
          <w:rFonts w:asciiTheme="minorHAnsi" w:hAnsiTheme="minorHAnsi" w:cs="Arial"/>
        </w:rPr>
        <w:t xml:space="preserve"> </w:t>
      </w:r>
    </w:p>
    <w:p w:rsidR="00437D9D" w:rsidRPr="00D050E9" w:rsidRDefault="00437D9D" w:rsidP="001417F9">
      <w:pPr>
        <w:spacing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 xml:space="preserve">Regionalna garancijska shema sklada za območje Republike Slovenije, za namene MSP </w:t>
      </w:r>
      <w:r w:rsidRPr="00D050E9">
        <w:rPr>
          <w:rFonts w:asciiTheme="minorHAnsi" w:hAnsiTheme="minorHAnsi" w:cs="Arial"/>
          <w:sz w:val="20"/>
          <w:szCs w:val="20"/>
        </w:rPr>
        <w:t>(BE01-5940117-2015)</w:t>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 xml:space="preserve">Namen regijskih garancijskih shem so pospeševanje razvoja malega in srednjega gospodarstva in pridobitne dejavnosti podjetnikov, povečevanje investicijske aktivnosti v regijah, zmanjševanje stopnje brezposelnosti, vzpostavljanje možnosti za prestrukturiranje regijskega gospodarstva, olajšanje dostopa mikro, malim in srednje velikim podjetjem do kreditov z zmanjšanjem bančnih zahtev za zavarovanje kreditov, idr., z zagotavljanjem 50-80 % poroštev za bančna posojila. </w:t>
      </w:r>
    </w:p>
    <w:p w:rsidR="00A720EA" w:rsidRPr="00D050E9" w:rsidRDefault="00A720EA" w:rsidP="00437D9D">
      <w:pPr>
        <w:tabs>
          <w:tab w:val="left" w:pos="284"/>
        </w:tabs>
        <w:autoSpaceDE w:val="0"/>
        <w:autoSpaceDN w:val="0"/>
        <w:adjustRightInd w:val="0"/>
        <w:spacing w:after="0" w:line="276" w:lineRule="auto"/>
        <w:rPr>
          <w:rFonts w:asciiTheme="minorHAnsi" w:hAnsiTheme="minorHAnsi" w:cs="Arial"/>
        </w:rPr>
      </w:pPr>
      <w:r w:rsidRPr="00D050E9">
        <w:rPr>
          <w:rFonts w:asciiTheme="minorHAnsi" w:hAnsiTheme="minorHAnsi" w:cs="Arial"/>
        </w:rPr>
        <w:t>Doseganje ciljev se bo merilo in ocenjevalo preko povečanja:</w:t>
      </w:r>
    </w:p>
    <w:p w:rsidR="00A720EA" w:rsidRPr="00D050E9" w:rsidRDefault="00A720EA" w:rsidP="00437D9D">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dodane vrednosti na zaposlenega (3 % povečanje dodane vrednosti na zaposlenega 2 leti po končani investiciji); </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ustvarjenih novih delovnih mest (5 % povečanje število zaposlenih 2 leti po končani investiciji);</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števila prejemnikov garancij na leto.</w:t>
      </w:r>
    </w:p>
    <w:p w:rsidR="00A720EA" w:rsidRPr="00D050E9" w:rsidRDefault="00A720EA" w:rsidP="0091701F">
      <w:pPr>
        <w:spacing w:after="0" w:line="276" w:lineRule="auto"/>
        <w:contextualSpacing/>
        <w:rPr>
          <w:rFonts w:asciiTheme="minorHAnsi" w:hAnsiTheme="minorHAnsi" w:cs="Arial"/>
          <w:lang w:eastAsia="x-none"/>
        </w:rPr>
      </w:pPr>
    </w:p>
    <w:tbl>
      <w:tblPr>
        <w:tblStyle w:val="MediumGrid2-Accent5"/>
        <w:tblW w:w="9180" w:type="dxa"/>
        <w:tblBorders>
          <w:top w:val="none" w:sz="0" w:space="0" w:color="auto"/>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2376"/>
        <w:gridCol w:w="2694"/>
        <w:gridCol w:w="1134"/>
        <w:gridCol w:w="1417"/>
        <w:gridCol w:w="1559"/>
      </w:tblGrid>
      <w:tr w:rsidR="00A720EA" w:rsidRPr="00D050E9" w:rsidTr="0091701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100" w:firstRow="0" w:lastRow="0" w:firstColumn="1" w:lastColumn="0" w:oddVBand="0" w:evenVBand="0" w:oddHBand="0" w:evenHBand="0" w:firstRowFirstColumn="1" w:firstRowLastColumn="0" w:lastRowFirstColumn="0" w:lastRowLastColumn="0"/>
            <w:tcW w:w="2376" w:type="dxa"/>
            <w:vMerge w:val="restart"/>
            <w:tcBorders>
              <w:right w:val="none" w:sz="0" w:space="0" w:color="auto"/>
            </w:tcBorders>
            <w:shd w:val="clear" w:color="auto" w:fill="auto"/>
            <w:vAlign w:val="center"/>
            <w:hideMark/>
          </w:tcPr>
          <w:p w:rsidR="00A720EA" w:rsidRPr="00D050E9" w:rsidRDefault="00A720EA" w:rsidP="00A720EA">
            <w:pPr>
              <w:spacing w:line="276" w:lineRule="auto"/>
              <w:jc w:val="center"/>
              <w:rPr>
                <w:rFonts w:asciiTheme="minorHAnsi" w:hAnsiTheme="minorHAnsi" w:cs="Arial"/>
                <w:bCs w:val="0"/>
                <w:sz w:val="18"/>
                <w:szCs w:val="18"/>
                <w:lang w:eastAsia="sl-SI"/>
              </w:rPr>
            </w:pPr>
            <w:r w:rsidRPr="00D050E9">
              <w:rPr>
                <w:rFonts w:asciiTheme="minorHAnsi" w:hAnsiTheme="minorHAnsi" w:cs="Arial"/>
                <w:sz w:val="18"/>
                <w:szCs w:val="18"/>
                <w:lang w:eastAsia="sl-SI"/>
              </w:rPr>
              <w:t>Priglasitelj</w:t>
            </w:r>
          </w:p>
        </w:tc>
        <w:tc>
          <w:tcPr>
            <w:tcW w:w="2694" w:type="dxa"/>
            <w:vMerge w:val="restart"/>
            <w:tcBorders>
              <w:top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Namen</w:t>
            </w:r>
          </w:p>
        </w:tc>
        <w:tc>
          <w:tcPr>
            <w:tcW w:w="1134" w:type="dxa"/>
            <w:vMerge w:val="restart"/>
            <w:tcBorders>
              <w:top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Instrument</w:t>
            </w:r>
          </w:p>
        </w:tc>
        <w:tc>
          <w:tcPr>
            <w:tcW w:w="2976" w:type="dxa"/>
            <w:gridSpan w:val="2"/>
            <w:tcBorders>
              <w:top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Skupaj 2015–2017</w:t>
            </w:r>
          </w:p>
        </w:tc>
      </w:tr>
      <w:tr w:rsidR="00A720EA" w:rsidRPr="00D050E9" w:rsidTr="0091701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100" w:firstRow="0" w:lastRow="0" w:firstColumn="1" w:lastColumn="0" w:oddVBand="0" w:evenVBand="0" w:oddHBand="0" w:evenHBand="0" w:firstRowFirstColumn="1" w:firstRowLastColumn="0" w:lastRowFirstColumn="0" w:lastRowLastColumn="0"/>
            <w:tcW w:w="2376" w:type="dxa"/>
            <w:vMerge/>
            <w:tcBorders>
              <w:top w:val="nil"/>
              <w:bottom w:val="single" w:sz="8" w:space="0" w:color="A7BFDE"/>
            </w:tcBorders>
            <w:shd w:val="clear" w:color="auto" w:fill="auto"/>
            <w:vAlign w:val="center"/>
          </w:tcPr>
          <w:p w:rsidR="00A720EA" w:rsidRPr="00D050E9" w:rsidRDefault="00A720EA" w:rsidP="00A720EA">
            <w:pPr>
              <w:spacing w:line="276" w:lineRule="auto"/>
              <w:jc w:val="center"/>
              <w:rPr>
                <w:rFonts w:asciiTheme="minorHAnsi" w:hAnsiTheme="minorHAnsi" w:cs="Arial"/>
                <w:b w:val="0"/>
                <w:bCs w:val="0"/>
                <w:sz w:val="18"/>
                <w:szCs w:val="18"/>
                <w:lang w:eastAsia="sl-SI"/>
              </w:rPr>
            </w:pPr>
          </w:p>
        </w:tc>
        <w:tc>
          <w:tcPr>
            <w:tcW w:w="2694" w:type="dxa"/>
            <w:vMerge/>
            <w:tcBorders>
              <w:top w:val="single" w:sz="8" w:space="0" w:color="A7BFDE"/>
              <w:bottom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lang w:eastAsia="sl-SI"/>
              </w:rPr>
            </w:pPr>
          </w:p>
        </w:tc>
        <w:tc>
          <w:tcPr>
            <w:tcW w:w="1134" w:type="dxa"/>
            <w:vMerge/>
            <w:tcBorders>
              <w:top w:val="single" w:sz="8" w:space="0" w:color="A7BFDE"/>
              <w:bottom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lang w:eastAsia="sl-SI"/>
              </w:rPr>
            </w:pPr>
          </w:p>
        </w:tc>
        <w:tc>
          <w:tcPr>
            <w:tcW w:w="1417" w:type="dxa"/>
            <w:tcBorders>
              <w:top w:val="single" w:sz="8" w:space="0" w:color="A7BFDE"/>
              <w:bottom w:val="single" w:sz="8" w:space="0" w:color="A7BFDE"/>
            </w:tcBorders>
            <w:shd w:val="clear" w:color="auto" w:fill="D3DFEE"/>
            <w:noWrap/>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Bruto znesek</w:t>
            </w:r>
          </w:p>
        </w:tc>
        <w:tc>
          <w:tcPr>
            <w:tcW w:w="1559" w:type="dxa"/>
            <w:tcBorders>
              <w:top w:val="single" w:sz="8" w:space="0" w:color="A7BFDE"/>
              <w:bottom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Državna pomoč</w:t>
            </w:r>
          </w:p>
        </w:tc>
      </w:tr>
      <w:tr w:rsidR="00A720EA" w:rsidRPr="00D050E9" w:rsidTr="009170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7BFDE"/>
              <w:bottom w:val="single" w:sz="8" w:space="0" w:color="A7BFDE"/>
            </w:tcBorders>
            <w:shd w:val="clear" w:color="auto" w:fill="auto"/>
            <w:vAlign w:val="center"/>
            <w:hideMark/>
          </w:tcPr>
          <w:p w:rsidR="00A720EA" w:rsidRPr="00D050E9" w:rsidRDefault="00A720EA" w:rsidP="00A720EA">
            <w:pPr>
              <w:spacing w:line="276" w:lineRule="auto"/>
              <w:rPr>
                <w:rFonts w:asciiTheme="minorHAnsi" w:hAnsiTheme="minorHAnsi" w:cs="Arial"/>
                <w:sz w:val="18"/>
                <w:szCs w:val="18"/>
                <w:lang w:eastAsia="sl-SI"/>
              </w:rPr>
            </w:pPr>
            <w:r w:rsidRPr="00D050E9">
              <w:rPr>
                <w:rFonts w:asciiTheme="minorHAnsi" w:hAnsiTheme="minorHAnsi" w:cs="Arial"/>
                <w:sz w:val="18"/>
                <w:szCs w:val="18"/>
                <w:lang w:eastAsia="sl-SI"/>
              </w:rPr>
              <w:t>JAVNI SKLAD RS ZA</w:t>
            </w:r>
          </w:p>
          <w:p w:rsidR="00A720EA" w:rsidRPr="00D050E9" w:rsidRDefault="00A720EA" w:rsidP="00A720EA">
            <w:pPr>
              <w:spacing w:line="276" w:lineRule="auto"/>
              <w:rPr>
                <w:rFonts w:asciiTheme="minorHAnsi" w:hAnsiTheme="minorHAnsi" w:cs="Arial"/>
                <w:sz w:val="18"/>
                <w:szCs w:val="18"/>
                <w:lang w:eastAsia="sl-SI"/>
              </w:rPr>
            </w:pPr>
            <w:r w:rsidRPr="00D050E9">
              <w:rPr>
                <w:rFonts w:asciiTheme="minorHAnsi" w:hAnsiTheme="minorHAnsi" w:cs="Arial"/>
                <w:sz w:val="18"/>
                <w:szCs w:val="18"/>
                <w:lang w:eastAsia="sl-SI"/>
              </w:rPr>
              <w:t>REGIONALNI RAZVOJ</w:t>
            </w:r>
          </w:p>
          <w:p w:rsidR="00A720EA" w:rsidRPr="00D050E9" w:rsidRDefault="00A720EA" w:rsidP="00A720EA">
            <w:pPr>
              <w:spacing w:line="276" w:lineRule="auto"/>
              <w:rPr>
                <w:rFonts w:asciiTheme="minorHAnsi" w:hAnsiTheme="minorHAnsi" w:cs="Arial"/>
                <w:sz w:val="18"/>
                <w:szCs w:val="18"/>
                <w:lang w:eastAsia="sl-SI"/>
              </w:rPr>
            </w:pPr>
            <w:r w:rsidRPr="00D050E9">
              <w:rPr>
                <w:rFonts w:asciiTheme="minorHAnsi" w:hAnsiTheme="minorHAnsi" w:cs="Arial"/>
                <w:sz w:val="18"/>
                <w:szCs w:val="18"/>
                <w:lang w:eastAsia="sl-SI"/>
              </w:rPr>
              <w:t>IN RAZVOJ PODEŽELJA</w:t>
            </w:r>
          </w:p>
        </w:tc>
        <w:tc>
          <w:tcPr>
            <w:tcW w:w="2694" w:type="dxa"/>
            <w:tcBorders>
              <w:top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Naložbe in ustvarjanje delovnih mest zaradi naložb</w:t>
            </w:r>
          </w:p>
        </w:tc>
        <w:tc>
          <w:tcPr>
            <w:tcW w:w="1134" w:type="dxa"/>
            <w:tcBorders>
              <w:top w:val="single" w:sz="8" w:space="0" w:color="A7BFDE"/>
              <w:left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rPr>
              <w:t>Garancije</w:t>
            </w:r>
          </w:p>
        </w:tc>
        <w:tc>
          <w:tcPr>
            <w:tcW w:w="1417" w:type="dxa"/>
            <w:tcBorders>
              <w:top w:val="single" w:sz="8" w:space="0" w:color="A7BFDE"/>
              <w:left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rPr>
            </w:pPr>
            <w:r w:rsidRPr="00D050E9">
              <w:rPr>
                <w:rFonts w:asciiTheme="minorHAnsi" w:hAnsiTheme="minorHAnsi" w:cs="Arial"/>
                <w:sz w:val="18"/>
                <w:szCs w:val="18"/>
              </w:rPr>
              <w:t>1.756.436,40</w:t>
            </w:r>
          </w:p>
        </w:tc>
        <w:tc>
          <w:tcPr>
            <w:tcW w:w="1559" w:type="dxa"/>
            <w:tcBorders>
              <w:top w:val="single" w:sz="8" w:space="0" w:color="A7BFDE"/>
              <w:lef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rPr>
            </w:pPr>
            <w:r w:rsidRPr="00D050E9">
              <w:rPr>
                <w:rFonts w:asciiTheme="minorHAnsi" w:hAnsiTheme="minorHAnsi" w:cs="Arial"/>
                <w:b/>
                <w:sz w:val="18"/>
                <w:szCs w:val="18"/>
              </w:rPr>
              <w:t>67.503,01</w:t>
            </w:r>
          </w:p>
        </w:tc>
      </w:tr>
    </w:tbl>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Cilj sheme je izdati skupno 720 garancij oziroma 120 garancij letno.</w:t>
      </w:r>
    </w:p>
    <w:p w:rsidR="00A720EA" w:rsidRPr="00D050E9" w:rsidRDefault="00A720EA" w:rsidP="00A720EA">
      <w:pPr>
        <w:tabs>
          <w:tab w:val="left" w:pos="284"/>
        </w:tabs>
        <w:autoSpaceDE w:val="0"/>
        <w:autoSpaceDN w:val="0"/>
        <w:adjustRightInd w:val="0"/>
        <w:spacing w:line="276" w:lineRule="auto"/>
        <w:rPr>
          <w:rFonts w:asciiTheme="minorHAnsi" w:hAnsiTheme="minorHAnsi" w:cs="Arial"/>
          <w:b/>
          <w:i/>
        </w:rPr>
      </w:pPr>
      <w:r w:rsidRPr="00D050E9">
        <w:rPr>
          <w:rFonts w:asciiTheme="minorHAnsi" w:hAnsiTheme="minorHAnsi" w:cs="Arial"/>
          <w:b/>
          <w:i/>
        </w:rPr>
        <w:t>Prvi pričakovani učinki dodeljenih spodbud bodo lahko izmerjeni leta 2018, saj se jih meri dve leti po izvedeni spodbudi.</w:t>
      </w:r>
    </w:p>
    <w:p w:rsidR="00A720EA" w:rsidRPr="00D050E9" w:rsidRDefault="00A720EA" w:rsidP="00B9182A">
      <w:pPr>
        <w:pStyle w:val="Heading3USPENOST"/>
        <w:numPr>
          <w:ilvl w:val="2"/>
          <w:numId w:val="16"/>
        </w:numPr>
      </w:pPr>
      <w:bookmarkStart w:id="170" w:name="_Toc530654571"/>
      <w:r w:rsidRPr="00D050E9">
        <w:t>Mala in srednje velika podjetja ter tvegano financiranje</w:t>
      </w:r>
      <w:bookmarkEnd w:id="170"/>
    </w:p>
    <w:p w:rsidR="00A720EA" w:rsidRPr="00D050E9" w:rsidRDefault="00A720EA" w:rsidP="0091701F">
      <w:pPr>
        <w:tabs>
          <w:tab w:val="left" w:pos="284"/>
        </w:tabs>
        <w:autoSpaceDE w:val="0"/>
        <w:autoSpaceDN w:val="0"/>
        <w:adjustRightInd w:val="0"/>
        <w:spacing w:after="0" w:line="276" w:lineRule="auto"/>
        <w:rPr>
          <w:rFonts w:asciiTheme="minorHAnsi" w:hAnsiTheme="minorHAnsi" w:cs="Arial"/>
          <w:b/>
          <w:i/>
        </w:rPr>
      </w:pPr>
    </w:p>
    <w:p w:rsidR="00960280" w:rsidRPr="00D050E9" w:rsidRDefault="00960280" w:rsidP="00A720EA">
      <w:pPr>
        <w:tabs>
          <w:tab w:val="left" w:pos="284"/>
        </w:tabs>
        <w:autoSpaceDE w:val="0"/>
        <w:autoSpaceDN w:val="0"/>
        <w:adjustRightInd w:val="0"/>
        <w:spacing w:line="276" w:lineRule="auto"/>
        <w:rPr>
          <w:rFonts w:asciiTheme="minorHAnsi" w:hAnsiTheme="minorHAnsi" w:cs="Arial"/>
          <w:b/>
        </w:rPr>
      </w:pPr>
      <w:r w:rsidRPr="00D050E9">
        <w:rPr>
          <w:rFonts w:asciiTheme="minorHAnsi" w:hAnsiTheme="minorHAnsi" w:cs="Arial"/>
          <w:b/>
        </w:rPr>
        <w:t>MALA IN SREDNJE VELIKA PODJETJA</w:t>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Pomoči, ki se dodeljujejo po pravilih za MSP, so po namenih podobne pomočem, ki se dodeljujejo po regionalnih pravilih. Dovoljeno je sofinanciranje pomoči za investicije, nova delovna mesta, udeležbe na sejmih in svetovalne storitve. Maksimalne intenzivnost pri upravičenih stroških se gibljejo pri investicijah in zaposlitvah v višini 20 % za majhna podjetja in 10% za srednje velika podjetja, pri svetovalnih storitvah in sejmih pa do 50 % upravičenih stroškov. Glede na to, da je po regionalnih pravilih za investicije in zaposlitve možno sofinanciranje s strani javnih organov višje – majhna podjetja od 30 % do 45 % in srednje velika podjetja od 20 % do 35 %, se za te namene pomoči dodeljujejo po regionalnih pravilih. MSP lahko kandidirajo za vse kategorije državnih pomoči. Pod kategorijo za MSP pa se v Sloveniji izplačujejo zgolj pomoči za svetovalne storitve in sofinanciranje sodelovanja teh podjetij na sejmih.</w:t>
      </w:r>
    </w:p>
    <w:p w:rsidR="00A720EA" w:rsidRPr="00D050E9" w:rsidRDefault="00A720EA" w:rsidP="001417F9">
      <w:pPr>
        <w:tabs>
          <w:tab w:val="left" w:pos="284"/>
        </w:tabs>
        <w:autoSpaceDE w:val="0"/>
        <w:autoSpaceDN w:val="0"/>
        <w:adjustRightInd w:val="0"/>
        <w:spacing w:after="0" w:line="276" w:lineRule="auto"/>
        <w:rPr>
          <w:rFonts w:asciiTheme="minorHAnsi" w:hAnsiTheme="minorHAnsi" w:cs="Arial"/>
        </w:rPr>
      </w:pPr>
    </w:p>
    <w:p w:rsidR="00A720EA" w:rsidRPr="00D050E9" w:rsidRDefault="00A720EA" w:rsidP="0091701F">
      <w:pPr>
        <w:spacing w:after="0" w:line="276" w:lineRule="auto"/>
        <w:rPr>
          <w:rFonts w:asciiTheme="minorHAnsi" w:hAnsiTheme="minorHAnsi" w:cs="Arial"/>
          <w:color w:val="000000"/>
          <w:lang w:eastAsia="sl-SI"/>
        </w:rPr>
      </w:pPr>
      <w:r w:rsidRPr="00D050E9">
        <w:rPr>
          <w:rFonts w:asciiTheme="minorHAnsi" w:hAnsiTheme="minorHAnsi" w:cs="Arial"/>
          <w:b/>
          <w:i/>
          <w:u w:val="single"/>
        </w:rPr>
        <w:t>Posebni pogoji investicijskega financiranja malih in srednje velikih podjetij</w:t>
      </w:r>
      <w:r w:rsidRPr="00D050E9">
        <w:rPr>
          <w:rFonts w:asciiTheme="minorHAnsi" w:hAnsiTheme="minorHAnsi" w:cs="Arial"/>
          <w:sz w:val="20"/>
          <w:szCs w:val="20"/>
        </w:rPr>
        <w:t xml:space="preserve"> (BE01-5665493-2013)</w:t>
      </w:r>
      <w:r w:rsidRPr="00D050E9">
        <w:rPr>
          <w:rFonts w:asciiTheme="minorHAnsi" w:hAnsiTheme="minorHAnsi" w:cs="Arial"/>
        </w:rPr>
        <w:tab/>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Ukrep je namenjen spodbujanju razvoja MSP v smeri uvajanja tehnoloških inovacij in povečevanja proizvodnih zmogljivosti za obstoječe proizvode in storitve.</w:t>
      </w:r>
    </w:p>
    <w:tbl>
      <w:tblPr>
        <w:tblStyle w:val="MediumGrid2-Accent5"/>
        <w:tblW w:w="0" w:type="auto"/>
        <w:tblLook w:val="04A0" w:firstRow="1" w:lastRow="0" w:firstColumn="1" w:lastColumn="0" w:noHBand="0" w:noVBand="1"/>
      </w:tblPr>
      <w:tblGrid>
        <w:gridCol w:w="998"/>
        <w:gridCol w:w="3319"/>
        <w:gridCol w:w="1701"/>
        <w:gridCol w:w="1559"/>
        <w:gridCol w:w="1559"/>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0" w:type="auto"/>
            <w:vMerge w:val="restart"/>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319"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701"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3118" w:type="dxa"/>
            <w:gridSpan w:val="2"/>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0" w:type="auto"/>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3319"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701"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559"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tabs>
                <w:tab w:val="left" w:pos="193"/>
                <w:tab w:val="center" w:pos="115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sz w:val="18"/>
                <w:szCs w:val="18"/>
                <w:lang w:eastAsia="sl-SI"/>
              </w:rPr>
              <w:t>Bruto znesek (obseg kredita)</w:t>
            </w:r>
          </w:p>
        </w:tc>
        <w:tc>
          <w:tcPr>
            <w:tcW w:w="1559"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tabs>
                <w:tab w:val="left" w:pos="193"/>
                <w:tab w:val="center" w:pos="115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lang w:eastAsia="sl-SI"/>
              </w:rPr>
            </w:pPr>
            <w:r w:rsidRPr="00D050E9">
              <w:rPr>
                <w:rFonts w:asciiTheme="minorHAnsi" w:hAnsiTheme="minorHAnsi" w:cs="Arial"/>
                <w:sz w:val="18"/>
                <w:szCs w:val="18"/>
                <w:lang w:eastAsia="sl-SI"/>
              </w:rPr>
              <w:t>Državna pomoč</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SID Banka</w:t>
            </w:r>
          </w:p>
        </w:tc>
        <w:tc>
          <w:tcPr>
            <w:tcW w:w="331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naložbe in zaposlovanje</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Ugodna posojila</w:t>
            </w:r>
          </w:p>
        </w:tc>
        <w:tc>
          <w:tcPr>
            <w:tcW w:w="155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22.147.913,00</w:t>
            </w:r>
          </w:p>
        </w:tc>
        <w:tc>
          <w:tcPr>
            <w:tcW w:w="155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ind w:right="3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1.861.027,42</w:t>
            </w:r>
          </w:p>
        </w:tc>
      </w:tr>
    </w:tbl>
    <w:p w:rsidR="00A720EA" w:rsidRPr="00D050E9" w:rsidRDefault="00A720EA" w:rsidP="001417F9">
      <w:pPr>
        <w:tabs>
          <w:tab w:val="left" w:pos="284"/>
        </w:tabs>
        <w:autoSpaceDE w:val="0"/>
        <w:autoSpaceDN w:val="0"/>
        <w:adjustRightInd w:val="0"/>
        <w:spacing w:after="0" w:line="276" w:lineRule="auto"/>
        <w:rPr>
          <w:rFonts w:asciiTheme="minorHAnsi" w:hAnsiTheme="minorHAnsi" w:cs="Arial"/>
          <w:highlight w:val="yellow"/>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i/>
        </w:rPr>
      </w:pPr>
      <w:r w:rsidRPr="00D050E9">
        <w:rPr>
          <w:rFonts w:asciiTheme="minorHAnsi" w:hAnsiTheme="minorHAnsi" w:cs="Arial"/>
        </w:rPr>
        <w:t>Učinkovitost se bo merila glede na stopnje rasti dodane vrednosti financiranih podjetij in na nacionalni ravni</w:t>
      </w:r>
      <w:r w:rsidRPr="00D050E9">
        <w:rPr>
          <w:rFonts w:asciiTheme="minorHAnsi" w:hAnsiTheme="minorHAnsi" w:cs="Arial"/>
          <w:b/>
        </w:rPr>
        <w:t xml:space="preserve">. </w:t>
      </w:r>
      <w:r w:rsidRPr="00D050E9">
        <w:rPr>
          <w:rFonts w:asciiTheme="minorHAnsi" w:hAnsiTheme="minorHAnsi" w:cs="Arial"/>
          <w:b/>
          <w:i/>
        </w:rPr>
        <w:t xml:space="preserve">Prvi učinki so pričakovani v letu 2017 in poročilo predvidoma v letu 2018. </w:t>
      </w:r>
    </w:p>
    <w:p w:rsidR="00A720EA" w:rsidRPr="00D050E9" w:rsidRDefault="00A720EA" w:rsidP="001417F9">
      <w:pPr>
        <w:tabs>
          <w:tab w:val="left" w:pos="284"/>
        </w:tabs>
        <w:autoSpaceDE w:val="0"/>
        <w:autoSpaceDN w:val="0"/>
        <w:adjustRightInd w:val="0"/>
        <w:spacing w:after="0" w:line="276" w:lineRule="auto"/>
        <w:rPr>
          <w:rFonts w:asciiTheme="minorHAnsi" w:hAnsiTheme="minorHAnsi" w:cs="Arial"/>
          <w:highlight w:val="green"/>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Program izvajanja finančnih spodbud MGRT</w:t>
      </w:r>
      <w:r w:rsidRPr="00D050E9">
        <w:rPr>
          <w:rFonts w:asciiTheme="minorHAnsi" w:hAnsiTheme="minorHAnsi" w:cs="Arial"/>
        </w:rPr>
        <w:t xml:space="preserve"> </w:t>
      </w:r>
      <w:r w:rsidRPr="00D050E9">
        <w:rPr>
          <w:rFonts w:asciiTheme="minorHAnsi" w:hAnsiTheme="minorHAnsi" w:cs="Arial"/>
          <w:sz w:val="20"/>
          <w:szCs w:val="20"/>
        </w:rPr>
        <w:t>(BE03-2399245-2015)</w:t>
      </w:r>
    </w:p>
    <w:p w:rsidR="00A720EA" w:rsidRPr="00D050E9" w:rsidRDefault="0091701F" w:rsidP="0091701F">
      <w:pPr>
        <w:spacing w:after="0" w:line="276" w:lineRule="auto"/>
        <w:rPr>
          <w:rFonts w:asciiTheme="minorHAnsi" w:hAnsiTheme="minorHAnsi" w:cs="Arial"/>
        </w:rPr>
      </w:pPr>
      <w:r w:rsidRPr="00D050E9">
        <w:rPr>
          <w:rFonts w:asciiTheme="minorHAnsi" w:hAnsiTheme="minorHAnsi" w:cs="Arial"/>
        </w:rPr>
        <w:t>Z</w:t>
      </w:r>
      <w:r w:rsidR="00A720EA" w:rsidRPr="00D050E9">
        <w:rPr>
          <w:rFonts w:asciiTheme="minorHAnsi" w:hAnsiTheme="minorHAnsi" w:cs="Arial"/>
        </w:rPr>
        <w:t>astavljeni cilji priglašene sheme državnih pomoči:</w:t>
      </w:r>
    </w:p>
    <w:p w:rsidR="00A720EA" w:rsidRPr="00D050E9" w:rsidRDefault="00A720EA" w:rsidP="0091701F">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rPr>
        <w:t>spodbuditi podjetja k prenovi poslovnih procesov,</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rPr>
        <w:t>spodbujanje podjetij k zasebnim vlaganjem,</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rPr>
        <w:t>podpreti podjetja pri izdelavi tržne raziskave za namene internacionalizacije;</w:t>
      </w:r>
    </w:p>
    <w:p w:rsidR="00A720EA" w:rsidRPr="00D050E9" w:rsidRDefault="00A720EA" w:rsidP="00A720EA">
      <w:pPr>
        <w:tabs>
          <w:tab w:val="left" w:pos="284"/>
        </w:tabs>
        <w:autoSpaceDE w:val="0"/>
        <w:autoSpaceDN w:val="0"/>
        <w:adjustRightInd w:val="0"/>
        <w:spacing w:line="276" w:lineRule="auto"/>
        <w:rPr>
          <w:rFonts w:asciiTheme="minorHAnsi" w:hAnsiTheme="minorHAnsi" w:cs="Arial"/>
          <w:b/>
          <w:i/>
          <w:highlight w:val="yellow"/>
        </w:rPr>
      </w:pPr>
    </w:p>
    <w:tbl>
      <w:tblPr>
        <w:tblStyle w:val="MediumGrid2-Accent5"/>
        <w:tblW w:w="9180" w:type="dxa"/>
        <w:tblLook w:val="04A0" w:firstRow="1" w:lastRow="0" w:firstColumn="1" w:lastColumn="0" w:noHBand="0" w:noVBand="1"/>
      </w:tblPr>
      <w:tblGrid>
        <w:gridCol w:w="1069"/>
        <w:gridCol w:w="2247"/>
        <w:gridCol w:w="3029"/>
        <w:gridCol w:w="1101"/>
        <w:gridCol w:w="1734"/>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069"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bCs w:val="0"/>
                <w:sz w:val="18"/>
                <w:szCs w:val="18"/>
                <w:lang w:eastAsia="sl-SI"/>
              </w:rPr>
            </w:pPr>
            <w:r w:rsidRPr="00D050E9">
              <w:rPr>
                <w:rFonts w:asciiTheme="minorHAnsi" w:hAnsiTheme="minorHAnsi" w:cs="Arial"/>
                <w:sz w:val="18"/>
                <w:szCs w:val="18"/>
                <w:lang w:eastAsia="sl-SI"/>
              </w:rPr>
              <w:t>Priglasitelj</w:t>
            </w:r>
          </w:p>
        </w:tc>
        <w:tc>
          <w:tcPr>
            <w:tcW w:w="224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Naziv</w:t>
            </w:r>
          </w:p>
        </w:tc>
        <w:tc>
          <w:tcPr>
            <w:tcW w:w="3029"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Namen</w:t>
            </w:r>
          </w:p>
        </w:tc>
        <w:tc>
          <w:tcPr>
            <w:tcW w:w="11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Instrument</w:t>
            </w:r>
          </w:p>
        </w:tc>
        <w:tc>
          <w:tcPr>
            <w:tcW w:w="1734"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9" w:type="dxa"/>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r w:rsidRPr="00D050E9">
              <w:rPr>
                <w:rFonts w:asciiTheme="minorHAnsi" w:hAnsiTheme="minorHAnsi" w:cs="Arial"/>
                <w:sz w:val="18"/>
                <w:szCs w:val="18"/>
                <w:lang w:eastAsia="sl-SI"/>
              </w:rPr>
              <w:t>MGRT</w:t>
            </w:r>
          </w:p>
        </w:tc>
        <w:tc>
          <w:tcPr>
            <w:tcW w:w="2247"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rPr>
              <w:t>Program izvajanja finančnih spodbud MGRT</w:t>
            </w:r>
          </w:p>
        </w:tc>
        <w:tc>
          <w:tcPr>
            <w:tcW w:w="3029"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Pomoč za svetovanje v korist MSP</w:t>
            </w:r>
          </w:p>
        </w:tc>
        <w:tc>
          <w:tcPr>
            <w:tcW w:w="1101"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Subvencije</w:t>
            </w:r>
          </w:p>
        </w:tc>
        <w:tc>
          <w:tcPr>
            <w:tcW w:w="1734"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D050E9">
              <w:rPr>
                <w:rFonts w:asciiTheme="minorHAnsi" w:hAnsiTheme="minorHAnsi" w:cs="Arial"/>
                <w:b/>
                <w:sz w:val="18"/>
                <w:szCs w:val="18"/>
              </w:rPr>
              <w:t>2.527.502,37</w:t>
            </w:r>
          </w:p>
        </w:tc>
      </w:tr>
    </w:tbl>
    <w:p w:rsidR="009F6E61" w:rsidRDefault="009F6E61" w:rsidP="00A720EA">
      <w:pPr>
        <w:spacing w:line="276" w:lineRule="auto"/>
        <w:rPr>
          <w:rFonts w:asciiTheme="minorHAnsi" w:hAnsiTheme="minorHAnsi" w:cs="Arial"/>
          <w:b/>
          <w:i/>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b/>
          <w:i/>
        </w:rPr>
        <w:t>Shema je ocenjena kot učinkovita - ocena 4 (izmed 1-5),</w:t>
      </w:r>
      <w:r w:rsidRPr="00D050E9">
        <w:rPr>
          <w:rFonts w:asciiTheme="minorHAnsi" w:hAnsiTheme="minorHAnsi" w:cs="Arial"/>
        </w:rPr>
        <w:t xml:space="preserve"> r</w:t>
      </w:r>
      <w:r w:rsidRPr="00D050E9">
        <w:rPr>
          <w:rFonts w:asciiTheme="minorHAnsi" w:hAnsiTheme="minorHAnsi" w:cs="Arial"/>
          <w:lang w:eastAsia="sl-SI"/>
        </w:rPr>
        <w:t xml:space="preserve">esorno ministrstvo pa </w:t>
      </w:r>
      <w:r w:rsidRPr="00D050E9">
        <w:rPr>
          <w:rFonts w:asciiTheme="minorHAnsi" w:hAnsiTheme="minorHAnsi" w:cs="Arial"/>
        </w:rPr>
        <w:t xml:space="preserve">ugotavlja pozitivne učinke pri vseh zastavljenih ciljih. </w:t>
      </w:r>
    </w:p>
    <w:p w:rsidR="00A720EA" w:rsidRPr="00D050E9" w:rsidRDefault="00A720EA" w:rsidP="00A720EA">
      <w:pPr>
        <w:spacing w:line="276" w:lineRule="auto"/>
        <w:rPr>
          <w:rFonts w:asciiTheme="minorHAnsi" w:hAnsiTheme="minorHAnsi" w:cs="Arial"/>
          <w:b/>
          <w:i/>
        </w:rPr>
      </w:pPr>
      <w:r w:rsidRPr="00D050E9">
        <w:rPr>
          <w:rFonts w:asciiTheme="minorHAnsi" w:hAnsiTheme="minorHAnsi" w:cs="Arial"/>
        </w:rPr>
        <w:t>Pri prvem načrtovanem cilju (</w:t>
      </w:r>
      <w:r w:rsidRPr="00D050E9">
        <w:rPr>
          <w:rFonts w:asciiTheme="minorHAnsi" w:hAnsiTheme="minorHAnsi" w:cs="Arial"/>
          <w:i/>
        </w:rPr>
        <w:t>spodbuditi podjetja k prenovi poslovnih procesov</w:t>
      </w:r>
      <w:r w:rsidRPr="00D050E9">
        <w:rPr>
          <w:rFonts w:asciiTheme="minorHAnsi" w:hAnsiTheme="minorHAnsi" w:cs="Arial"/>
        </w:rPr>
        <w:t>) je bilo porabljenih 18,3% manj sredstev od načrtovanih, hkrati pa spodbujenih 20% več podjetij od načrtovanih, kar pomeni, da se lahko ukrep v tem delu oceni kot zelo učinkovit, saj je za 46,9% presežen načrtovan cilj glede na porabljena sredstva.</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Glede na naslednji cilj (</w:t>
      </w:r>
      <w:r w:rsidRPr="00D050E9">
        <w:rPr>
          <w:rFonts w:asciiTheme="minorHAnsi" w:hAnsiTheme="minorHAnsi" w:cs="Arial"/>
          <w:i/>
        </w:rPr>
        <w:t>spodbujanje podjetij k zasebnim vlaganjem</w:t>
      </w:r>
      <w:r w:rsidRPr="00D050E9">
        <w:rPr>
          <w:rFonts w:asciiTheme="minorHAnsi" w:hAnsiTheme="minorHAnsi" w:cs="Arial"/>
        </w:rPr>
        <w:t>) je bilo porabljenih 18,3% manj sredstev od načrtovanih, hkrati pa so bile tudi zasebne naložbe za 17,2% nižje od načrtovanih, kar kljub vsemu pomeni, da lahko ukrep v tem delu ocenimo kot učinkovit, saj smo za 1,4% presegli načrtovan cilj glede na porabljena sredstva.</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V okviru zadnjega cilja (</w:t>
      </w:r>
      <w:r w:rsidRPr="00D050E9">
        <w:rPr>
          <w:rFonts w:asciiTheme="minorHAnsi" w:hAnsiTheme="minorHAnsi" w:cs="Arial"/>
          <w:i/>
        </w:rPr>
        <w:t>podpreti podjetja pri izdelavi tržne raziskave za namene internacionalizacije</w:t>
      </w:r>
      <w:r w:rsidRPr="00D050E9">
        <w:rPr>
          <w:rFonts w:asciiTheme="minorHAnsi" w:hAnsiTheme="minorHAnsi" w:cs="Arial"/>
        </w:rPr>
        <w:t>) je bilo porabljenih 45,3% manj sredstev od načrtovanih, hkrati pa spodbujenih 40,5% podjetij manj od načrtovanih. Ukrep je pozitiven, ni pa posebej učinkovit, saj je podprtih le 8 % podjetij več glede na število, ki bi jih lahko podprli s sredstvi, ki so bila porabljena, pri čemer pa je bilo črpanje relativno nizko glede na načrt.</w:t>
      </w:r>
    </w:p>
    <w:p w:rsidR="00A720EA" w:rsidRPr="00D050E9" w:rsidRDefault="00A720EA" w:rsidP="0091701F">
      <w:pPr>
        <w:spacing w:after="0" w:line="276" w:lineRule="auto"/>
        <w:rPr>
          <w:rFonts w:asciiTheme="minorHAnsi" w:hAnsiTheme="minorHAnsi" w:cs="Arial"/>
        </w:rPr>
      </w:pPr>
    </w:p>
    <w:p w:rsidR="00A720EA" w:rsidRPr="00D050E9" w:rsidRDefault="00A720EA" w:rsidP="0091701F">
      <w:pPr>
        <w:spacing w:after="0" w:line="276" w:lineRule="auto"/>
        <w:rPr>
          <w:rFonts w:asciiTheme="minorHAnsi" w:hAnsiTheme="minorHAnsi" w:cs="Arial"/>
        </w:rPr>
      </w:pPr>
      <w:r w:rsidRPr="00D050E9">
        <w:rPr>
          <w:rFonts w:asciiTheme="minorHAnsi" w:hAnsiTheme="minorHAnsi" w:cs="Arial"/>
          <w:b/>
          <w:i/>
          <w:u w:val="single"/>
        </w:rPr>
        <w:t xml:space="preserve">Državna pomoč z MSP v programih evropskega teritorialnega sodelovanja </w:t>
      </w:r>
      <w:r w:rsidRPr="00D050E9">
        <w:rPr>
          <w:rFonts w:asciiTheme="minorHAnsi" w:hAnsiTheme="minorHAnsi" w:cs="Arial"/>
          <w:sz w:val="20"/>
          <w:szCs w:val="20"/>
        </w:rPr>
        <w:t xml:space="preserve"> (BE01-2482550-2016)</w:t>
      </w:r>
      <w:r w:rsidRPr="00D050E9">
        <w:rPr>
          <w:rFonts w:asciiTheme="minorHAnsi" w:hAnsiTheme="minorHAnsi" w:cs="Arial"/>
        </w:rPr>
        <w:tab/>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Priglašena shema je namenjena uresničevanju ciljev programov evropskega teritorialnega sodelovanja: krepitev ekonomske, socialne in teritorialne kohezije z namenom odprave glavnih regionalnih neravnovesij v Evropski uniji. </w:t>
      </w:r>
    </w:p>
    <w:p w:rsidR="00A720EA" w:rsidRPr="00D050E9" w:rsidRDefault="00A720EA" w:rsidP="0091701F">
      <w:pPr>
        <w:pStyle w:val="ListParagraph"/>
        <w:spacing w:after="0" w:line="276" w:lineRule="auto"/>
        <w:ind w:left="0"/>
        <w:rPr>
          <w:rFonts w:asciiTheme="minorHAnsi" w:hAnsiTheme="minorHAnsi" w:cs="Arial"/>
        </w:rPr>
      </w:pPr>
    </w:p>
    <w:tbl>
      <w:tblPr>
        <w:tblStyle w:val="MediumGrid2-Accent5"/>
        <w:tblW w:w="9039" w:type="dxa"/>
        <w:tblBorders>
          <w:top w:val="single" w:sz="8" w:space="0" w:color="A7BFDE"/>
          <w:left w:val="none" w:sz="0" w:space="0" w:color="auto"/>
          <w:bottom w:val="single" w:sz="8" w:space="0" w:color="A7BFDE"/>
          <w:right w:val="single" w:sz="8" w:space="0" w:color="A7BFDE"/>
          <w:insideH w:val="single" w:sz="8" w:space="0" w:color="A7BFDE"/>
          <w:insideV w:val="single" w:sz="8" w:space="0" w:color="A7BFDE"/>
        </w:tblBorders>
        <w:shd w:val="clear" w:color="auto" w:fill="D3DFEE"/>
        <w:tblLook w:val="04A0" w:firstRow="1" w:lastRow="0" w:firstColumn="1" w:lastColumn="0" w:noHBand="0" w:noVBand="1"/>
      </w:tblPr>
      <w:tblGrid>
        <w:gridCol w:w="1060"/>
        <w:gridCol w:w="4435"/>
        <w:gridCol w:w="1559"/>
        <w:gridCol w:w="1985"/>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060" w:type="dxa"/>
            <w:tcBorders>
              <w:top w:val="none" w:sz="0" w:space="0" w:color="auto"/>
              <w:left w:val="none" w:sz="0" w:space="0" w:color="auto"/>
              <w:bottom w:val="none" w:sz="0" w:space="0" w:color="auto"/>
              <w:right w:val="none" w:sz="0" w:space="0" w:color="auto"/>
            </w:tcBorders>
            <w:shd w:val="clear" w:color="auto" w:fill="auto"/>
            <w:vAlign w:val="center"/>
            <w:hideMark/>
          </w:tcPr>
          <w:p w:rsidR="00A720EA" w:rsidRPr="00D050E9" w:rsidRDefault="00A720EA" w:rsidP="00A720EA">
            <w:pPr>
              <w:spacing w:line="276" w:lineRule="auto"/>
              <w:jc w:val="center"/>
              <w:rPr>
                <w:rFonts w:asciiTheme="minorHAnsi" w:hAnsiTheme="minorHAnsi" w:cs="Arial"/>
                <w:bCs w:val="0"/>
                <w:sz w:val="18"/>
                <w:szCs w:val="18"/>
                <w:lang w:eastAsia="sl-SI"/>
              </w:rPr>
            </w:pPr>
            <w:r w:rsidRPr="00D050E9">
              <w:rPr>
                <w:rFonts w:asciiTheme="minorHAnsi" w:hAnsiTheme="minorHAnsi" w:cs="Arial"/>
                <w:sz w:val="18"/>
                <w:szCs w:val="18"/>
                <w:lang w:eastAsia="sl-SI"/>
              </w:rPr>
              <w:t>Priglasitelj</w:t>
            </w:r>
          </w:p>
        </w:tc>
        <w:tc>
          <w:tcPr>
            <w:tcW w:w="4435" w:type="dxa"/>
            <w:tcBorders>
              <w:bottom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Namen</w:t>
            </w:r>
          </w:p>
        </w:tc>
        <w:tc>
          <w:tcPr>
            <w:tcW w:w="1559" w:type="dxa"/>
            <w:tcBorders>
              <w:bottom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Instrument</w:t>
            </w:r>
          </w:p>
        </w:tc>
        <w:tc>
          <w:tcPr>
            <w:tcW w:w="1985" w:type="dxa"/>
            <w:tcBorders>
              <w:bottom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0" w:type="dxa"/>
            <w:tcBorders>
              <w:left w:val="none" w:sz="0" w:space="0" w:color="auto"/>
              <w:right w:val="none" w:sz="0" w:space="0" w:color="auto"/>
            </w:tcBorders>
            <w:shd w:val="clear" w:color="auto" w:fill="auto"/>
            <w:vAlign w:val="center"/>
            <w:hideMark/>
          </w:tcPr>
          <w:p w:rsidR="00A720EA" w:rsidRPr="00D050E9" w:rsidRDefault="00A720EA" w:rsidP="00A720EA">
            <w:pPr>
              <w:spacing w:line="276" w:lineRule="auto"/>
              <w:jc w:val="center"/>
              <w:rPr>
                <w:rFonts w:asciiTheme="minorHAnsi" w:hAnsiTheme="minorHAnsi" w:cs="Arial"/>
                <w:sz w:val="18"/>
                <w:szCs w:val="18"/>
                <w:lang w:eastAsia="sl-SI"/>
              </w:rPr>
            </w:pPr>
            <w:r w:rsidRPr="00D050E9">
              <w:rPr>
                <w:rFonts w:asciiTheme="minorHAnsi" w:hAnsiTheme="minorHAnsi" w:cs="Arial"/>
                <w:sz w:val="18"/>
                <w:szCs w:val="18"/>
                <w:lang w:eastAsia="sl-SI"/>
              </w:rPr>
              <w:t>SVRK</w:t>
            </w:r>
          </w:p>
        </w:tc>
        <w:tc>
          <w:tcPr>
            <w:tcW w:w="4435" w:type="dxa"/>
            <w:tcBorders>
              <w:left w:val="none" w:sz="0" w:space="0" w:color="auto"/>
              <w:right w:val="none" w:sz="0" w:space="0" w:color="auto"/>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Pomoč za stroške sodelovanja MSP, ki sodelujejo v okviru projektov EU teritorialnega sodelovanja</w:t>
            </w:r>
          </w:p>
        </w:tc>
        <w:tc>
          <w:tcPr>
            <w:tcW w:w="1559" w:type="dxa"/>
            <w:tcBorders>
              <w:left w:val="none" w:sz="0" w:space="0" w:color="auto"/>
              <w:right w:val="none" w:sz="0" w:space="0" w:color="auto"/>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Subvencije</w:t>
            </w:r>
          </w:p>
        </w:tc>
        <w:tc>
          <w:tcPr>
            <w:tcW w:w="1985" w:type="dxa"/>
            <w:tcBorders>
              <w:left w:val="none" w:sz="0" w:space="0" w:color="auto"/>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eastAsia="sl-SI"/>
              </w:rPr>
            </w:pPr>
            <w:r w:rsidRPr="00D050E9">
              <w:rPr>
                <w:rFonts w:asciiTheme="minorHAnsi" w:hAnsiTheme="minorHAnsi" w:cs="Arial"/>
                <w:b/>
                <w:bCs/>
                <w:sz w:val="18"/>
                <w:szCs w:val="18"/>
                <w:lang w:eastAsia="sl-SI"/>
              </w:rPr>
              <w:t>99.633,40</w:t>
            </w:r>
          </w:p>
        </w:tc>
      </w:tr>
    </w:tbl>
    <w:p w:rsidR="00A720EA" w:rsidRPr="00D050E9" w:rsidRDefault="00A720EA" w:rsidP="0091701F">
      <w:pPr>
        <w:spacing w:after="0" w:line="276" w:lineRule="auto"/>
        <w:rPr>
          <w:rFonts w:asciiTheme="minorHAnsi" w:hAnsiTheme="minorHAnsi" w:cs="Arial"/>
          <w:b/>
        </w:rPr>
      </w:pPr>
    </w:p>
    <w:p w:rsidR="00A720EA" w:rsidRPr="00D050E9" w:rsidRDefault="00A720EA" w:rsidP="0091701F">
      <w:pPr>
        <w:spacing w:after="0" w:line="276" w:lineRule="auto"/>
        <w:rPr>
          <w:rFonts w:asciiTheme="minorHAnsi" w:hAnsiTheme="minorHAnsi" w:cs="Arial"/>
        </w:rPr>
      </w:pPr>
      <w:r w:rsidRPr="00D050E9">
        <w:rPr>
          <w:rFonts w:asciiTheme="minorHAnsi" w:hAnsiTheme="minorHAnsi" w:cs="Arial"/>
        </w:rPr>
        <w:t xml:space="preserve">Za doseganje zastavljenih ciljev se sredstva pomoči namenjajo ukrepom: </w:t>
      </w:r>
    </w:p>
    <w:p w:rsidR="00A720EA" w:rsidRPr="00D050E9" w:rsidRDefault="00A720EA" w:rsidP="0091701F">
      <w:pPr>
        <w:pStyle w:val="ListParagraph"/>
        <w:numPr>
          <w:ilvl w:val="0"/>
          <w:numId w:val="34"/>
        </w:numPr>
        <w:spacing w:after="0" w:line="276" w:lineRule="auto"/>
        <w:ind w:left="284" w:hanging="283"/>
        <w:rPr>
          <w:rFonts w:asciiTheme="minorHAnsi" w:hAnsiTheme="minorHAnsi" w:cs="Arial"/>
        </w:rPr>
      </w:pPr>
      <w:r w:rsidRPr="00D050E9">
        <w:rPr>
          <w:rFonts w:asciiTheme="minorHAnsi" w:hAnsiTheme="minorHAnsi" w:cs="Arial"/>
        </w:rPr>
        <w:t xml:space="preserve">krepitev raziskav, tehnološkega razvoja in inovacij; spodbujanje inovacijske zmogljivosti za konkurenčnejše okolje; inovativna družba; krepitev inovacijskih zmogljivosti za pameten in trajnostni razvoj; </w:t>
      </w:r>
    </w:p>
    <w:p w:rsidR="00A720EA" w:rsidRPr="00D050E9" w:rsidRDefault="00A720EA" w:rsidP="00C93FA7">
      <w:pPr>
        <w:pStyle w:val="ListParagraph"/>
        <w:numPr>
          <w:ilvl w:val="0"/>
          <w:numId w:val="34"/>
        </w:numPr>
        <w:spacing w:after="0" w:line="276" w:lineRule="auto"/>
        <w:ind w:left="284" w:hanging="283"/>
        <w:rPr>
          <w:rFonts w:asciiTheme="minorHAnsi" w:hAnsiTheme="minorHAnsi" w:cs="Arial"/>
        </w:rPr>
      </w:pPr>
      <w:r w:rsidRPr="00D050E9">
        <w:rPr>
          <w:rFonts w:asciiTheme="minorHAnsi" w:hAnsiTheme="minorHAnsi" w:cs="Arial"/>
        </w:rPr>
        <w:t xml:space="preserve">varstvo okolja ter spodbujanje učinkovite rabe virov; sodelovanje za dolgoročno zmanjšanje emisij ogljika; življenjski prostor; </w:t>
      </w:r>
    </w:p>
    <w:p w:rsidR="00A720EA" w:rsidRPr="00D050E9" w:rsidRDefault="00A720EA" w:rsidP="00C93FA7">
      <w:pPr>
        <w:pStyle w:val="ListParagraph"/>
        <w:numPr>
          <w:ilvl w:val="0"/>
          <w:numId w:val="34"/>
        </w:numPr>
        <w:spacing w:after="0" w:line="276" w:lineRule="auto"/>
        <w:ind w:left="284" w:hanging="283"/>
        <w:rPr>
          <w:rFonts w:asciiTheme="minorHAnsi" w:hAnsiTheme="minorHAnsi" w:cs="Arial"/>
        </w:rPr>
      </w:pPr>
      <w:r w:rsidRPr="00D050E9">
        <w:rPr>
          <w:rFonts w:asciiTheme="minorHAnsi" w:hAnsiTheme="minorHAnsi" w:cs="Arial"/>
        </w:rPr>
        <w:t xml:space="preserve">ohranjanje in trajnostna raba naravnih in kulturnih virov; sodelovanje na področju naravnih in kulturnih virov za trajnostno rast; </w:t>
      </w:r>
    </w:p>
    <w:p w:rsidR="00A720EA" w:rsidRPr="00D050E9" w:rsidRDefault="00A720EA" w:rsidP="00C93FA7">
      <w:pPr>
        <w:pStyle w:val="ListParagraph"/>
        <w:numPr>
          <w:ilvl w:val="0"/>
          <w:numId w:val="34"/>
        </w:numPr>
        <w:spacing w:after="0" w:line="276" w:lineRule="auto"/>
        <w:ind w:left="284" w:hanging="283"/>
        <w:rPr>
          <w:rFonts w:asciiTheme="minorHAnsi" w:hAnsiTheme="minorHAnsi" w:cs="Arial"/>
        </w:rPr>
      </w:pPr>
      <w:r w:rsidRPr="00D050E9">
        <w:rPr>
          <w:rFonts w:asciiTheme="minorHAnsi" w:hAnsiTheme="minorHAnsi" w:cs="Arial"/>
        </w:rPr>
        <w:t>povezana regija.</w:t>
      </w:r>
    </w:p>
    <w:p w:rsidR="00A720EA" w:rsidRPr="00D050E9" w:rsidRDefault="00A720EA" w:rsidP="0091701F">
      <w:pPr>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b/>
          <w:i/>
        </w:rPr>
        <w:t>O dejanskih učinkih še ni bilo mogoče poročati. Resorno pristojni organ bo sicer izvedel dve poročili: vmesno leta 2019 in končno leta 2024.</w:t>
      </w:r>
    </w:p>
    <w:p w:rsidR="009F6E61" w:rsidRDefault="009F6E61" w:rsidP="009F6E61">
      <w:pPr>
        <w:spacing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Semenski kapital za lastniški vstop za rast inovativnih podjetij</w:t>
      </w:r>
      <w:r w:rsidRPr="00D050E9">
        <w:rPr>
          <w:rFonts w:asciiTheme="minorHAnsi" w:hAnsiTheme="minorHAnsi" w:cs="Arial"/>
          <w:sz w:val="20"/>
          <w:szCs w:val="20"/>
        </w:rPr>
        <w:t xml:space="preserve"> (BE01-5523362-2014 in BE01-5523362-2015)</w:t>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lang w:eastAsia="sl-SI"/>
        </w:rPr>
        <w:t>JS RS za podjetništvo</w:t>
      </w:r>
      <w:r w:rsidRPr="00D050E9">
        <w:rPr>
          <w:rFonts w:asciiTheme="minorHAnsi" w:hAnsiTheme="minorHAnsi" w:cs="Arial"/>
        </w:rPr>
        <w:t xml:space="preserve"> s kapitalsko podporo spodbuja nastajanje novih inovativnih podjetij in njihovo nadaljnjo rast, hitrejše uvajanje novih tehnoloških dosežkov, prodor na globalne trge ter hkrati  vlaganje zasebnih investitorjev v semensko fazo razvoja podjetij.</w:t>
      </w:r>
    </w:p>
    <w:tbl>
      <w:tblPr>
        <w:tblStyle w:val="MediumGrid2-Accent5"/>
        <w:tblW w:w="9180" w:type="dxa"/>
        <w:tblBorders>
          <w:top w:val="single" w:sz="8" w:space="0" w:color="A7BFDE"/>
          <w:left w:val="none" w:sz="0" w:space="0" w:color="auto"/>
          <w:bottom w:val="single" w:sz="8" w:space="0" w:color="A7BFDE"/>
          <w:right w:val="single" w:sz="8" w:space="0" w:color="A7BFDE"/>
          <w:insideH w:val="single" w:sz="8" w:space="0" w:color="A7BFDE"/>
          <w:insideV w:val="single" w:sz="8" w:space="0" w:color="A7BFDE"/>
        </w:tblBorders>
        <w:shd w:val="clear" w:color="auto" w:fill="D3DFEE"/>
        <w:tblLook w:val="04A0" w:firstRow="1" w:lastRow="0" w:firstColumn="1" w:lastColumn="0" w:noHBand="0" w:noVBand="1"/>
      </w:tblPr>
      <w:tblGrid>
        <w:gridCol w:w="1809"/>
        <w:gridCol w:w="3402"/>
        <w:gridCol w:w="1843"/>
        <w:gridCol w:w="2126"/>
      </w:tblGrid>
      <w:tr w:rsidR="00A720EA" w:rsidRPr="00D050E9" w:rsidTr="0091701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809" w:type="dxa"/>
            <w:tcBorders>
              <w:top w:val="none" w:sz="0" w:space="0" w:color="auto"/>
              <w:left w:val="none" w:sz="0" w:space="0" w:color="auto"/>
              <w:bottom w:val="none" w:sz="0" w:space="0" w:color="auto"/>
              <w:right w:val="none" w:sz="0" w:space="0" w:color="auto"/>
            </w:tcBorders>
            <w:shd w:val="clear" w:color="auto" w:fill="auto"/>
            <w:vAlign w:val="center"/>
            <w:hideMark/>
          </w:tcPr>
          <w:p w:rsidR="00A720EA" w:rsidRPr="00D050E9" w:rsidRDefault="00A720EA" w:rsidP="00A720EA">
            <w:pPr>
              <w:spacing w:line="276" w:lineRule="auto"/>
              <w:jc w:val="center"/>
              <w:rPr>
                <w:rFonts w:asciiTheme="minorHAnsi" w:hAnsiTheme="minorHAnsi" w:cs="Arial"/>
                <w:bCs w:val="0"/>
                <w:sz w:val="18"/>
                <w:szCs w:val="18"/>
                <w:lang w:eastAsia="sl-SI"/>
              </w:rPr>
            </w:pPr>
            <w:r w:rsidRPr="00D050E9">
              <w:rPr>
                <w:rFonts w:asciiTheme="minorHAnsi" w:hAnsiTheme="minorHAnsi" w:cs="Arial"/>
                <w:sz w:val="18"/>
                <w:szCs w:val="18"/>
                <w:lang w:eastAsia="sl-SI"/>
              </w:rPr>
              <w:t>Priglasitelj</w:t>
            </w:r>
          </w:p>
        </w:tc>
        <w:tc>
          <w:tcPr>
            <w:tcW w:w="3402" w:type="dxa"/>
            <w:tcBorders>
              <w:bottom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Namen</w:t>
            </w:r>
          </w:p>
        </w:tc>
        <w:tc>
          <w:tcPr>
            <w:tcW w:w="1843" w:type="dxa"/>
            <w:tcBorders>
              <w:bottom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Instrument</w:t>
            </w:r>
          </w:p>
        </w:tc>
        <w:tc>
          <w:tcPr>
            <w:tcW w:w="2126" w:type="dxa"/>
            <w:tcBorders>
              <w:bottom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szCs w:val="18"/>
                <w:lang w:eastAsia="sl-SI"/>
              </w:rPr>
            </w:pPr>
            <w:r w:rsidRPr="00D050E9">
              <w:rPr>
                <w:rFonts w:asciiTheme="minorHAnsi" w:hAnsiTheme="minorHAnsi" w:cs="Arial"/>
                <w:sz w:val="18"/>
                <w:szCs w:val="18"/>
                <w:lang w:eastAsia="sl-SI"/>
              </w:rPr>
              <w:t>Skupaj 2015–2017</w:t>
            </w:r>
          </w:p>
        </w:tc>
      </w:tr>
      <w:tr w:rsidR="00A720EA" w:rsidRPr="00D050E9" w:rsidTr="00917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none" w:sz="0" w:space="0" w:color="auto"/>
              <w:bottom w:val="none" w:sz="0" w:space="0" w:color="auto"/>
              <w:right w:val="none" w:sz="0" w:space="0" w:color="auto"/>
            </w:tcBorders>
            <w:shd w:val="clear" w:color="auto" w:fill="auto"/>
            <w:vAlign w:val="center"/>
            <w:hideMark/>
          </w:tcPr>
          <w:p w:rsidR="00A720EA" w:rsidRPr="00D050E9" w:rsidRDefault="0091701F" w:rsidP="00A720EA">
            <w:pPr>
              <w:spacing w:line="276" w:lineRule="auto"/>
              <w:rPr>
                <w:rFonts w:asciiTheme="minorHAnsi" w:hAnsiTheme="minorHAnsi" w:cs="Arial"/>
                <w:sz w:val="18"/>
                <w:szCs w:val="18"/>
                <w:lang w:eastAsia="sl-SI"/>
              </w:rPr>
            </w:pPr>
            <w:r w:rsidRPr="00D050E9">
              <w:rPr>
                <w:rFonts w:asciiTheme="minorHAnsi" w:hAnsiTheme="minorHAnsi" w:cs="Arial"/>
                <w:sz w:val="18"/>
                <w:szCs w:val="18"/>
                <w:lang w:eastAsia="sl-SI"/>
              </w:rPr>
              <w:t>JAVNI SKLAD</w:t>
            </w:r>
            <w:r w:rsidR="00A720EA" w:rsidRPr="00D050E9">
              <w:rPr>
                <w:rFonts w:asciiTheme="minorHAnsi" w:hAnsiTheme="minorHAnsi" w:cs="Arial"/>
                <w:sz w:val="18"/>
                <w:szCs w:val="18"/>
                <w:lang w:eastAsia="sl-SI"/>
              </w:rPr>
              <w:t xml:space="preserve"> RS ZA PODJETNIŠTVO</w:t>
            </w:r>
          </w:p>
        </w:tc>
        <w:tc>
          <w:tcPr>
            <w:tcW w:w="3402" w:type="dxa"/>
            <w:vMerge w:val="restart"/>
            <w:tcBorders>
              <w:left w:val="none" w:sz="0" w:space="0" w:color="auto"/>
              <w:right w:val="none" w:sz="0" w:space="0" w:color="auto"/>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Dostop do finančnih sredstev za MSP</w:t>
            </w:r>
          </w:p>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za novoustanovljena podjetja</w:t>
            </w:r>
          </w:p>
        </w:tc>
        <w:tc>
          <w:tcPr>
            <w:tcW w:w="1843" w:type="dxa"/>
            <w:vMerge w:val="restart"/>
            <w:tcBorders>
              <w:left w:val="none" w:sz="0" w:space="0" w:color="auto"/>
              <w:right w:val="none" w:sz="0" w:space="0" w:color="auto"/>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Kapitalske naložbe</w:t>
            </w:r>
          </w:p>
        </w:tc>
        <w:tc>
          <w:tcPr>
            <w:tcW w:w="2126" w:type="dxa"/>
            <w:tcBorders>
              <w:left w:val="none" w:sz="0" w:space="0" w:color="auto"/>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400.000,00</w:t>
            </w:r>
          </w:p>
        </w:tc>
      </w:tr>
      <w:tr w:rsidR="00A720EA" w:rsidRPr="00D050E9" w:rsidTr="0091701F">
        <w:trPr>
          <w:trHeight w:val="20"/>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bottom w:val="none" w:sz="0" w:space="0" w:color="auto"/>
              <w:right w:val="none" w:sz="0" w:space="0" w:color="auto"/>
            </w:tcBorders>
            <w:shd w:val="clear" w:color="auto" w:fill="auto"/>
            <w:vAlign w:val="center"/>
          </w:tcPr>
          <w:p w:rsidR="00A720EA" w:rsidRPr="00D050E9" w:rsidRDefault="00A720EA" w:rsidP="00A720EA">
            <w:pPr>
              <w:spacing w:line="276" w:lineRule="auto"/>
              <w:jc w:val="center"/>
              <w:rPr>
                <w:rFonts w:asciiTheme="minorHAnsi" w:hAnsiTheme="minorHAnsi" w:cs="Arial"/>
                <w:b w:val="0"/>
                <w:sz w:val="18"/>
                <w:szCs w:val="18"/>
                <w:lang w:eastAsia="sl-SI"/>
              </w:rPr>
            </w:pPr>
          </w:p>
        </w:tc>
        <w:tc>
          <w:tcPr>
            <w:tcW w:w="3402" w:type="dxa"/>
            <w:vMerge/>
            <w:tcBorders>
              <w:bottom w:val="single" w:sz="8" w:space="0" w:color="A7BFDE"/>
            </w:tcBorders>
            <w:shd w:val="clear" w:color="auto" w:fill="D3DFEE"/>
            <w:vAlign w:val="center"/>
          </w:tcPr>
          <w:p w:rsidR="00A720EA" w:rsidRPr="00D050E9" w:rsidRDefault="00A720EA" w:rsidP="00A720E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843" w:type="dxa"/>
            <w:vMerge/>
            <w:tcBorders>
              <w:bottom w:val="single" w:sz="8" w:space="0" w:color="A7BFDE"/>
            </w:tcBorders>
            <w:shd w:val="clear" w:color="auto" w:fill="D3DFEE"/>
            <w:vAlign w:val="center"/>
          </w:tcPr>
          <w:p w:rsidR="00A720EA" w:rsidRPr="00D050E9" w:rsidRDefault="00A720EA" w:rsidP="00A720E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2126" w:type="dxa"/>
            <w:tcBorders>
              <w:bottom w:val="single" w:sz="8" w:space="0" w:color="A7BFDE"/>
            </w:tcBorders>
            <w:shd w:val="clear" w:color="auto" w:fill="D3DFE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900.000,00</w:t>
            </w:r>
          </w:p>
        </w:tc>
      </w:tr>
      <w:tr w:rsidR="00A720EA" w:rsidRPr="00D050E9" w:rsidTr="000432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A720EA" w:rsidRPr="00D050E9" w:rsidRDefault="00A720EA" w:rsidP="0091701F">
            <w:pPr>
              <w:spacing w:line="276" w:lineRule="auto"/>
              <w:rPr>
                <w:rFonts w:asciiTheme="minorHAnsi" w:hAnsiTheme="minorHAnsi" w:cs="Arial"/>
                <w:b w:val="0"/>
                <w:sz w:val="18"/>
                <w:szCs w:val="18"/>
                <w:lang w:eastAsia="sl-SI"/>
              </w:rPr>
            </w:pPr>
          </w:p>
        </w:tc>
        <w:tc>
          <w:tcPr>
            <w:tcW w:w="3402" w:type="dxa"/>
            <w:tcBorders>
              <w:right w:val="nil"/>
            </w:tcBorders>
            <w:shd w:val="clear" w:color="auto" w:fill="D3DFEE"/>
            <w:vAlign w:val="center"/>
          </w:tcPr>
          <w:p w:rsidR="00A720EA" w:rsidRPr="00D050E9" w:rsidRDefault="00A720EA" w:rsidP="0091701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1843" w:type="dxa"/>
            <w:tcBorders>
              <w:left w:val="nil"/>
            </w:tcBorders>
            <w:shd w:val="clear" w:color="auto" w:fill="D3DFEE"/>
            <w:vAlign w:val="center"/>
          </w:tcPr>
          <w:p w:rsidR="00A720EA" w:rsidRPr="00D050E9" w:rsidRDefault="00A720EA" w:rsidP="0091701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2126" w:type="dxa"/>
            <w:shd w:val="clear" w:color="auto" w:fill="A7BFDE"/>
            <w:noWrap/>
            <w:vAlign w:val="center"/>
          </w:tcPr>
          <w:p w:rsidR="00A720EA" w:rsidRPr="00D050E9" w:rsidRDefault="00A720EA" w:rsidP="000432B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1.300.000,00</w:t>
            </w:r>
          </w:p>
        </w:tc>
      </w:tr>
    </w:tbl>
    <w:p w:rsidR="00A720EA" w:rsidRPr="00D050E9" w:rsidRDefault="00A720EA" w:rsidP="000432B9">
      <w:pPr>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lang w:eastAsia="x-none"/>
        </w:rPr>
      </w:pPr>
      <w:r w:rsidRPr="00D050E9">
        <w:rPr>
          <w:rFonts w:asciiTheme="minorHAnsi" w:hAnsiTheme="minorHAnsi" w:cs="Arial"/>
        </w:rPr>
        <w:t xml:space="preserve">Cilja obeh priglašenih shem sta povečanje </w:t>
      </w:r>
      <w:r w:rsidRPr="00D050E9">
        <w:rPr>
          <w:rFonts w:asciiTheme="minorHAnsi" w:hAnsiTheme="minorHAnsi" w:cs="Arial"/>
          <w:lang w:eastAsia="x-none"/>
        </w:rPr>
        <w:t>števila delovnih mest v podprtih podjetjih (v povprečju 3 na podprto podjetje) in dodane vrednosti na zaposlenega (v povprečju 10 % na podprto podjetje).</w:t>
      </w:r>
    </w:p>
    <w:p w:rsidR="00A720EA" w:rsidRPr="00D050E9" w:rsidRDefault="00A720EA" w:rsidP="00A720EA">
      <w:pPr>
        <w:tabs>
          <w:tab w:val="left" w:pos="284"/>
        </w:tabs>
        <w:autoSpaceDE w:val="0"/>
        <w:autoSpaceDN w:val="0"/>
        <w:adjustRightInd w:val="0"/>
        <w:spacing w:line="276" w:lineRule="auto"/>
        <w:rPr>
          <w:rFonts w:asciiTheme="minorHAnsi" w:hAnsiTheme="minorHAnsi" w:cs="Arial"/>
          <w:b/>
          <w:i/>
        </w:rPr>
      </w:pPr>
      <w:r w:rsidRPr="00D050E9">
        <w:rPr>
          <w:rFonts w:asciiTheme="minorHAnsi" w:hAnsiTheme="minorHAnsi" w:cs="Arial"/>
          <w:b/>
          <w:i/>
        </w:rPr>
        <w:t xml:space="preserve">O dejanskih učinkih po obeh shemah še ni bilo mogoče poročati; prva izplačila so realizirana v letu 2015, končni učinki bodo vidni šele po izstopu iz podprtih podjetij (v povprečju po 5 letih). </w:t>
      </w:r>
    </w:p>
    <w:p w:rsidR="00A720EA" w:rsidRPr="00D050E9" w:rsidRDefault="00A720EA" w:rsidP="00A720EA">
      <w:pPr>
        <w:spacing w:line="276" w:lineRule="auto"/>
        <w:rPr>
          <w:rFonts w:asciiTheme="minorHAnsi" w:hAnsiTheme="minorHAnsi" w:cs="Arial"/>
        </w:rPr>
      </w:pPr>
    </w:p>
    <w:p w:rsidR="00960280" w:rsidRPr="00D050E9" w:rsidRDefault="00960280" w:rsidP="00A720EA">
      <w:pPr>
        <w:autoSpaceDE w:val="0"/>
        <w:autoSpaceDN w:val="0"/>
        <w:adjustRightInd w:val="0"/>
        <w:spacing w:line="276" w:lineRule="auto"/>
        <w:rPr>
          <w:rFonts w:asciiTheme="minorHAnsi" w:hAnsiTheme="minorHAnsi" w:cs="Arial"/>
          <w:b/>
        </w:rPr>
      </w:pPr>
      <w:r w:rsidRPr="00D050E9">
        <w:rPr>
          <w:rFonts w:asciiTheme="minorHAnsi" w:hAnsiTheme="minorHAnsi" w:cs="Arial"/>
          <w:b/>
        </w:rPr>
        <w:t>TVEGANO FINANCIRANJE</w:t>
      </w:r>
    </w:p>
    <w:p w:rsidR="00A720EA" w:rsidRPr="00D050E9" w:rsidRDefault="00A720EA" w:rsidP="00A720EA">
      <w:pPr>
        <w:autoSpaceDE w:val="0"/>
        <w:autoSpaceDN w:val="0"/>
        <w:adjustRightInd w:val="0"/>
        <w:spacing w:line="276" w:lineRule="auto"/>
        <w:rPr>
          <w:rFonts w:asciiTheme="minorHAnsi" w:hAnsiTheme="minorHAnsi" w:cs="Arial"/>
        </w:rPr>
      </w:pPr>
      <w:r w:rsidRPr="00D050E9">
        <w:rPr>
          <w:rFonts w:asciiTheme="minorHAnsi" w:hAnsiTheme="minorHAnsi" w:cs="Arial"/>
        </w:rPr>
        <w:t>Namen prvega ukrepa je odpravljanje tržnih nepopolnosti, povezanih z naložbami tveganega kapitala (lastniškega in navideznega lastniškega kapitala) v novoustanovljena podjetja ter mala in srednje velika podjetja, zlasti podjetja z visokim potencialom rasti v zgodnjih stopnjah in stopnjah širitve v Sloveniji. Slovenski podjetniški sklad je ustanovil 100-odstotno javni sklad tveganega kapitala za vlaganje tveganega kapitala v novoustanovljena podjetja in MSP v Sloveniji s spodbujanjem zasebnega financiranja. Ukrep je del Operativnega programa za krepitev regionalnih razvojnih potencialov za obdobje 2007–2013.</w:t>
      </w:r>
    </w:p>
    <w:p w:rsidR="00A720EA" w:rsidRPr="00D050E9" w:rsidRDefault="00A720EA" w:rsidP="000432B9">
      <w:pPr>
        <w:tabs>
          <w:tab w:val="left" w:pos="284"/>
        </w:tabs>
        <w:autoSpaceDE w:val="0"/>
        <w:autoSpaceDN w:val="0"/>
        <w:adjustRightInd w:val="0"/>
        <w:spacing w:after="0" w:line="276" w:lineRule="auto"/>
        <w:rPr>
          <w:rFonts w:asciiTheme="minorHAnsi" w:hAnsiTheme="minorHAnsi" w:cs="Arial"/>
        </w:rPr>
      </w:pPr>
    </w:p>
    <w:tbl>
      <w:tblPr>
        <w:tblStyle w:val="MediumGrid2-Accent5"/>
        <w:tblW w:w="9180" w:type="dxa"/>
        <w:tblLook w:val="04A0" w:firstRow="1" w:lastRow="0" w:firstColumn="1" w:lastColumn="0" w:noHBand="0" w:noVBand="1"/>
      </w:tblPr>
      <w:tblGrid>
        <w:gridCol w:w="1085"/>
        <w:gridCol w:w="3985"/>
        <w:gridCol w:w="1134"/>
        <w:gridCol w:w="1145"/>
        <w:gridCol w:w="183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085"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985"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Naziv</w:t>
            </w:r>
          </w:p>
        </w:tc>
        <w:tc>
          <w:tcPr>
            <w:tcW w:w="11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45"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31"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5" w:type="dxa"/>
            <w:vMerge w:val="restart"/>
            <w:tcBorders>
              <w:top w:val="single" w:sz="8" w:space="0" w:color="A7BFDE"/>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3985"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Izvajanje inštrumentov lastniškega financiranja - pomoč v obliki rizičnega kapitala (BE01-5715334-2009)</w:t>
            </w:r>
          </w:p>
        </w:tc>
        <w:tc>
          <w:tcPr>
            <w:tcW w:w="1134"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Tvegani kapital</w:t>
            </w:r>
          </w:p>
        </w:tc>
        <w:tc>
          <w:tcPr>
            <w:tcW w:w="1145"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Kapitalske naložbe</w:t>
            </w:r>
          </w:p>
        </w:tc>
        <w:tc>
          <w:tcPr>
            <w:tcW w:w="1831"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5.591.157,34</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085" w:type="dxa"/>
            <w:vMerge/>
            <w:tcBorders>
              <w:bottom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sz w:val="18"/>
                <w:szCs w:val="18"/>
                <w:lang w:eastAsia="sl-SI"/>
              </w:rPr>
            </w:pPr>
          </w:p>
        </w:tc>
        <w:tc>
          <w:tcPr>
            <w:tcW w:w="3985"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Dostop do finančnih sredstev za MSP (BE01-2399245-2016)</w:t>
            </w:r>
          </w:p>
        </w:tc>
        <w:tc>
          <w:tcPr>
            <w:tcW w:w="1134"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145"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831" w:type="dxa"/>
            <w:tcBorders>
              <w:top w:val="single" w:sz="8" w:space="0" w:color="A7BFDE"/>
              <w:left w:val="single" w:sz="8" w:space="0" w:color="A7BFDE"/>
              <w:bottom w:val="single" w:sz="8" w:space="0" w:color="A7BFDE"/>
              <w:right w:val="single" w:sz="8" w:space="0" w:color="A7BFDE"/>
            </w:tcBorders>
            <w:shd w:val="clear" w:color="auto" w:fill="D3DFE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850.000,00</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5" w:type="dxa"/>
            <w:tcBorders>
              <w:top w:val="single" w:sz="8" w:space="0" w:color="A7BFDE"/>
              <w:right w:val="single" w:sz="8" w:space="0" w:color="A7BFDE"/>
            </w:tcBorders>
            <w:vAlign w:val="center"/>
          </w:tcPr>
          <w:p w:rsidR="00A720EA" w:rsidRPr="00D050E9" w:rsidRDefault="00A720EA" w:rsidP="00A720EA">
            <w:pPr>
              <w:spacing w:line="276" w:lineRule="auto"/>
              <w:rPr>
                <w:rFonts w:asciiTheme="minorHAnsi" w:hAnsiTheme="minorHAnsi" w:cs="Arial"/>
                <w:sz w:val="18"/>
                <w:szCs w:val="18"/>
                <w:lang w:eastAsia="sl-SI"/>
              </w:rPr>
            </w:pPr>
          </w:p>
        </w:tc>
        <w:tc>
          <w:tcPr>
            <w:tcW w:w="3985" w:type="dxa"/>
            <w:tcBorders>
              <w:top w:val="single" w:sz="8" w:space="0" w:color="A7BFDE"/>
              <w:left w:val="single" w:sz="8" w:space="0" w:color="A7BFDE"/>
              <w:bottom w:val="single" w:sz="8" w:space="0" w:color="A7BFDE"/>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SKUPAJ</w:t>
            </w:r>
          </w:p>
        </w:tc>
        <w:tc>
          <w:tcPr>
            <w:tcW w:w="1134" w:type="dxa"/>
            <w:tcBorders>
              <w:top w:val="single" w:sz="8" w:space="0" w:color="A7BFDE"/>
              <w:left w:val="nil"/>
              <w:bottom w:val="single" w:sz="8" w:space="0" w:color="A7BFDE"/>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145" w:type="dxa"/>
            <w:tcBorders>
              <w:top w:val="single" w:sz="8" w:space="0" w:color="A7BFDE"/>
              <w:left w:val="nil"/>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831"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eastAsia="sl-SI"/>
              </w:rPr>
            </w:pPr>
            <w:r w:rsidRPr="00D050E9">
              <w:rPr>
                <w:rFonts w:asciiTheme="minorHAnsi" w:hAnsiTheme="minorHAnsi" w:cs="Arial"/>
                <w:b/>
                <w:bCs/>
                <w:sz w:val="18"/>
                <w:szCs w:val="18"/>
                <w:lang w:eastAsia="sl-SI"/>
              </w:rPr>
              <w:t>6.441.157,34</w:t>
            </w:r>
          </w:p>
        </w:tc>
      </w:tr>
    </w:tbl>
    <w:p w:rsidR="00A720EA" w:rsidRPr="00D050E9" w:rsidRDefault="00A720EA" w:rsidP="00A720EA">
      <w:pPr>
        <w:spacing w:line="276" w:lineRule="auto"/>
        <w:rPr>
          <w:rFonts w:asciiTheme="minorHAnsi" w:hAnsiTheme="minorHAnsi" w:cs="Arial"/>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Glede zastavljenih ciljev </w:t>
      </w:r>
      <w:r w:rsidRPr="00D050E9">
        <w:rPr>
          <w:rFonts w:asciiTheme="minorHAnsi" w:hAnsiTheme="minorHAnsi" w:cs="Arial"/>
          <w:i/>
        </w:rPr>
        <w:t>povečanja števila delovnih mest v podprtih podjetjih</w:t>
      </w:r>
      <w:r w:rsidRPr="00D050E9">
        <w:rPr>
          <w:rFonts w:asciiTheme="minorHAnsi" w:hAnsiTheme="minorHAnsi" w:cs="Arial"/>
        </w:rPr>
        <w:t xml:space="preserve"> (ni še izvedenih vseh izstopov iz naložb; večina naložb še ni prodanih, trenutno je cilj presežen za 25%) ter </w:t>
      </w:r>
      <w:r w:rsidRPr="00D050E9">
        <w:rPr>
          <w:rFonts w:asciiTheme="minorHAnsi" w:hAnsiTheme="minorHAnsi" w:cs="Arial"/>
          <w:i/>
        </w:rPr>
        <w:t>ustanovitve in rasti novih visokotehnološko usmerjenih podjetij s sedežem v RS</w:t>
      </w:r>
      <w:r w:rsidRPr="00D050E9">
        <w:rPr>
          <w:rFonts w:asciiTheme="minorHAnsi" w:hAnsiTheme="minorHAnsi" w:cs="Arial"/>
        </w:rPr>
        <w:t xml:space="preserve"> (izvedene naložbe v 29 visokotehnoloških podjetjih v višini 29,04 mio EUR (javnih in zasebnih sredstev), javna sredstva naložena v podjetja skupaj znašajo 14,2 mio EUR) resorno ministrstvo ugotavlja </w:t>
      </w:r>
      <w:r w:rsidRPr="00D050E9">
        <w:rPr>
          <w:rFonts w:asciiTheme="minorHAnsi" w:hAnsiTheme="minorHAnsi" w:cs="Arial"/>
          <w:b/>
          <w:i/>
        </w:rPr>
        <w:t>pozitivne učinke</w:t>
      </w:r>
      <w:r w:rsidRPr="00D050E9">
        <w:rPr>
          <w:rFonts w:asciiTheme="minorHAnsi" w:hAnsiTheme="minorHAnsi" w:cs="Arial"/>
        </w:rPr>
        <w:t xml:space="preserve">, medtem ko glede </w:t>
      </w:r>
      <w:r w:rsidRPr="00D050E9">
        <w:rPr>
          <w:rFonts w:asciiTheme="minorHAnsi" w:hAnsiTheme="minorHAnsi" w:cs="Arial"/>
          <w:i/>
        </w:rPr>
        <w:t xml:space="preserve">povečanja dodane vrednosti na zaposlenega </w:t>
      </w:r>
      <w:r w:rsidRPr="00D050E9">
        <w:rPr>
          <w:rFonts w:asciiTheme="minorHAnsi" w:hAnsiTheme="minorHAnsi" w:cs="Arial"/>
          <w:b/>
          <w:i/>
        </w:rPr>
        <w:t>učinka še ni možno določiti</w:t>
      </w:r>
      <w:r w:rsidRPr="00D050E9">
        <w:rPr>
          <w:rFonts w:asciiTheme="minorHAnsi" w:hAnsiTheme="minorHAnsi" w:cs="Arial"/>
        </w:rPr>
        <w:t xml:space="preserve"> (glede na značilnost poslovanja start-up podjetij, se učinki omenjenih podjetij začnejo kazati po 5 letih delovanja, zato učinkov še ni pričakovati v tej razvojni fazi podjetja, ki veliko vlagajo v razvoj novih produktov in intenzivno vlagajo v marketing za uveljavitev na novih trgih). </w:t>
      </w:r>
      <w:r w:rsidRPr="00D050E9">
        <w:rPr>
          <w:rFonts w:asciiTheme="minorHAnsi" w:hAnsiTheme="minorHAnsi" w:cs="Arial"/>
          <w:b/>
          <w:i/>
        </w:rPr>
        <w:t>Shema je ocenjena kot uspešna - ocena 3 (izmed 1-5).</w:t>
      </w: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 xml:space="preserve">Namen drugega ukrepa je spodbujanje nastajanja novih inovativnih podjetij in njihova nadaljnja rast. S kapitalsko podporo želi MGRT omogočiti podjetjem hitrejšo rast, hitrejše uvajanje novih tehnoloških dosežkov ter prodor na globalne trge. </w:t>
      </w:r>
    </w:p>
    <w:p w:rsidR="00A720EA" w:rsidRPr="00D050E9" w:rsidRDefault="00A720EA" w:rsidP="00A720EA">
      <w:pPr>
        <w:spacing w:line="276" w:lineRule="auto"/>
        <w:rPr>
          <w:rFonts w:asciiTheme="minorHAnsi" w:hAnsiTheme="minorHAnsi" w:cs="Arial"/>
          <w:b/>
          <w:i/>
        </w:rPr>
      </w:pPr>
      <w:r w:rsidRPr="00D050E9">
        <w:rPr>
          <w:rFonts w:asciiTheme="minorHAnsi" w:hAnsiTheme="minorHAnsi" w:cs="Arial"/>
          <w:lang w:eastAsia="sl-SI"/>
        </w:rPr>
        <w:t xml:space="preserve">Zastavljeni cilji, merjeni po izstopu iz naložbe, so </w:t>
      </w:r>
      <w:r w:rsidRPr="00D050E9">
        <w:rPr>
          <w:rFonts w:asciiTheme="minorHAnsi" w:hAnsiTheme="minorHAnsi" w:cs="Arial"/>
          <w:lang w:eastAsia="x-none"/>
        </w:rPr>
        <w:t xml:space="preserve">povečanje števila delovnih mest v podprtih podjetjih (v povprečju 3 na podprto podjetje), povečanje dodane vrednosti na zaposlenega (v povprečju 10 % na podprto podjetje) ter </w:t>
      </w:r>
      <w:r w:rsidRPr="00D050E9">
        <w:rPr>
          <w:rFonts w:asciiTheme="minorHAnsi" w:hAnsiTheme="minorHAnsi" w:cs="Arial"/>
        </w:rPr>
        <w:t xml:space="preserve">povečanje zasebnih vlaganj v začetne razvojne faze podjetij. Pozitiven učinek ima povečanje števila delovnih mest v podprtih podjetjih, kljub nižji porabi sredstev od načrtovane. Zelo učinkovito je bilo tudi povečanje zasebnih vlaganj, ki dopolnjujejo javno podporo. Zasebna sredstva so bistveno presegla zastavljeni cilj, še posebej ker je bilo podprtih manj podjetij kot načrtovano in je torej bilo porabljeno manj sredstev kot planirano. Učinkov pri </w:t>
      </w:r>
      <w:r w:rsidRPr="00D050E9">
        <w:rPr>
          <w:rFonts w:asciiTheme="minorHAnsi" w:hAnsiTheme="minorHAnsi" w:cs="Arial"/>
          <w:lang w:eastAsia="x-none"/>
        </w:rPr>
        <w:t xml:space="preserve">povečanju dodane vrednosti na zaposlenega </w:t>
      </w:r>
      <w:r w:rsidRPr="00D050E9">
        <w:rPr>
          <w:rFonts w:asciiTheme="minorHAnsi" w:hAnsiTheme="minorHAnsi" w:cs="Arial"/>
        </w:rPr>
        <w:t xml:space="preserve">še ni pričakovati v tej razvojni fazi podjetja, ko intenzivno vlagajo v razvoj novih produktov ter marketing za uveljavitev na novih trgih. </w:t>
      </w:r>
      <w:r w:rsidRPr="00D050E9">
        <w:rPr>
          <w:rFonts w:asciiTheme="minorHAnsi" w:hAnsiTheme="minorHAnsi" w:cs="Arial"/>
          <w:b/>
          <w:i/>
        </w:rPr>
        <w:t>Shema je ocenjena kot učinkovita - ocena 4 (izmed 1-5).</w:t>
      </w:r>
    </w:p>
    <w:p w:rsidR="000432B9" w:rsidRPr="00D050E9" w:rsidRDefault="000432B9" w:rsidP="000432B9">
      <w:pPr>
        <w:spacing w:after="0" w:line="276" w:lineRule="auto"/>
        <w:rPr>
          <w:rFonts w:asciiTheme="minorHAnsi" w:hAnsiTheme="minorHAnsi" w:cs="Arial"/>
          <w:b/>
          <w:i/>
        </w:rPr>
      </w:pPr>
    </w:p>
    <w:p w:rsidR="00A720EA" w:rsidRPr="00D050E9" w:rsidRDefault="00A720EA" w:rsidP="00B9182A">
      <w:pPr>
        <w:pStyle w:val="Heading3USPENOST"/>
        <w:numPr>
          <w:ilvl w:val="2"/>
          <w:numId w:val="16"/>
        </w:numPr>
      </w:pPr>
      <w:bookmarkStart w:id="171" w:name="_Toc530654572"/>
      <w:r w:rsidRPr="00D050E9">
        <w:t xml:space="preserve">Kultura </w:t>
      </w:r>
      <w:r w:rsidR="000432B9" w:rsidRPr="00D050E9">
        <w:t>in avdiovizualna dejavnost</w:t>
      </w:r>
      <w:bookmarkEnd w:id="171"/>
    </w:p>
    <w:p w:rsidR="00A720EA" w:rsidRPr="00D050E9" w:rsidRDefault="00A720EA" w:rsidP="000432B9">
      <w:pPr>
        <w:spacing w:after="0" w:line="276" w:lineRule="auto"/>
        <w:rPr>
          <w:rFonts w:asciiTheme="minorHAnsi" w:hAnsiTheme="minorHAnsi" w:cs="Arial"/>
          <w:b/>
          <w:i/>
          <w:u w:val="single"/>
        </w:rPr>
      </w:pPr>
    </w:p>
    <w:p w:rsidR="00A720EA" w:rsidRPr="00D050E9" w:rsidRDefault="00A720EA" w:rsidP="000432B9">
      <w:pPr>
        <w:spacing w:after="0" w:line="276" w:lineRule="auto"/>
        <w:rPr>
          <w:rFonts w:asciiTheme="minorHAnsi" w:hAnsiTheme="minorHAnsi" w:cs="Arial"/>
        </w:rPr>
      </w:pPr>
      <w:r w:rsidRPr="00D050E9">
        <w:rPr>
          <w:rFonts w:asciiTheme="minorHAnsi" w:hAnsiTheme="minorHAnsi" w:cs="Arial"/>
          <w:b/>
          <w:i/>
          <w:u w:val="single"/>
        </w:rPr>
        <w:t>Pospeševanje razvoja filmske dejavnosti v Sloveniji</w:t>
      </w:r>
      <w:r w:rsidRPr="00D050E9">
        <w:rPr>
          <w:rFonts w:asciiTheme="minorHAnsi" w:hAnsiTheme="minorHAnsi" w:cs="Arial"/>
        </w:rPr>
        <w:t xml:space="preserve"> </w:t>
      </w:r>
      <w:r w:rsidRPr="00D050E9">
        <w:rPr>
          <w:rFonts w:asciiTheme="minorHAnsi" w:hAnsiTheme="minorHAnsi" w:cs="Arial"/>
          <w:sz w:val="20"/>
          <w:szCs w:val="20"/>
        </w:rPr>
        <w:t>(0001-5228000-2003)</w:t>
      </w:r>
      <w:r w:rsidRPr="00D050E9">
        <w:rPr>
          <w:rFonts w:asciiTheme="minorHAnsi" w:hAnsiTheme="minorHAnsi" w:cs="Arial"/>
        </w:rPr>
        <w:t xml:space="preserve"> </w:t>
      </w:r>
    </w:p>
    <w:p w:rsidR="000432B9" w:rsidRPr="00D050E9" w:rsidRDefault="000432B9" w:rsidP="000432B9">
      <w:pPr>
        <w:spacing w:after="0" w:line="276" w:lineRule="auto"/>
        <w:rPr>
          <w:rFonts w:asciiTheme="minorHAnsi" w:hAnsiTheme="minorHAnsi" w:cs="Arial"/>
          <w:bCs/>
          <w:iCs/>
        </w:rPr>
      </w:pPr>
    </w:p>
    <w:p w:rsidR="00A720EA" w:rsidRPr="00D050E9" w:rsidRDefault="00A720EA" w:rsidP="000432B9">
      <w:pPr>
        <w:spacing w:after="0" w:line="276" w:lineRule="auto"/>
        <w:rPr>
          <w:rFonts w:asciiTheme="minorHAnsi" w:hAnsiTheme="minorHAnsi" w:cs="Arial"/>
        </w:rPr>
      </w:pPr>
      <w:r w:rsidRPr="00D050E9">
        <w:rPr>
          <w:rFonts w:asciiTheme="minorHAnsi" w:hAnsiTheme="minorHAnsi" w:cs="Arial"/>
          <w:bCs/>
          <w:iCs/>
        </w:rPr>
        <w:t xml:space="preserve">Slovenski filmski center, javna agencija Republike Slovenije (v nadaljevanju: SFC) je </w:t>
      </w:r>
      <w:r w:rsidRPr="00D050E9">
        <w:rPr>
          <w:rFonts w:asciiTheme="minorHAnsi" w:hAnsiTheme="minorHAnsi" w:cs="Arial"/>
        </w:rPr>
        <w:t>v letu 2017 s sredstvi, prejetimi od Ministrstva za kulturo spodbujal kinematografsko proizvodnjo na osnovi sklenjenih pogodb s producenti po izvedenih javnih razpisih.</w:t>
      </w:r>
    </w:p>
    <w:p w:rsidR="00A720EA" w:rsidRPr="00D050E9" w:rsidRDefault="00A720EA" w:rsidP="000432B9">
      <w:pPr>
        <w:spacing w:after="0" w:line="276" w:lineRule="auto"/>
        <w:rPr>
          <w:rFonts w:asciiTheme="minorHAnsi" w:hAnsiTheme="minorHAnsi" w:cs="Arial"/>
        </w:rPr>
      </w:pPr>
    </w:p>
    <w:p w:rsidR="00A720EA" w:rsidRPr="00D050E9" w:rsidRDefault="00A720EA" w:rsidP="000432B9">
      <w:pPr>
        <w:spacing w:after="0" w:line="276" w:lineRule="auto"/>
        <w:rPr>
          <w:rFonts w:asciiTheme="minorHAnsi" w:hAnsiTheme="minorHAnsi" w:cs="Arial"/>
        </w:rPr>
      </w:pPr>
      <w:r w:rsidRPr="00D050E9">
        <w:rPr>
          <w:rFonts w:asciiTheme="minorHAnsi" w:hAnsiTheme="minorHAnsi" w:cs="Arial"/>
        </w:rPr>
        <w:t>V obliki državne pomoči je SFC sofinanciral:</w:t>
      </w:r>
    </w:p>
    <w:p w:rsidR="00A720EA" w:rsidRPr="00D050E9" w:rsidRDefault="00A720EA" w:rsidP="000432B9">
      <w:pPr>
        <w:numPr>
          <w:ilvl w:val="0"/>
          <w:numId w:val="30"/>
        </w:numPr>
        <w:spacing w:after="0" w:line="276" w:lineRule="auto"/>
        <w:contextualSpacing/>
        <w:rPr>
          <w:rFonts w:asciiTheme="minorHAnsi" w:hAnsiTheme="minorHAnsi" w:cs="Arial"/>
          <w:lang w:eastAsia="x-none"/>
        </w:rPr>
      </w:pPr>
      <w:r w:rsidRPr="00D050E9">
        <w:rPr>
          <w:rFonts w:asciiTheme="minorHAnsi" w:hAnsiTheme="minorHAnsi" w:cs="Arial"/>
          <w:lang w:eastAsia="x-none"/>
        </w:rPr>
        <w:t>realizacijo filmske produkcije (razvoj scenarijev, razvoj projektov, produkcijo celovečernih, srednjemetražnih in kratkih filmov, večinsko sofinanciranih s strani slovenskih producentov in mednarodne koprodukcije),</w:t>
      </w:r>
    </w:p>
    <w:p w:rsidR="00A720EA" w:rsidRPr="00D050E9" w:rsidRDefault="00A720EA" w:rsidP="00C93FA7">
      <w:pPr>
        <w:numPr>
          <w:ilvl w:val="0"/>
          <w:numId w:val="30"/>
        </w:numPr>
        <w:spacing w:after="0" w:line="276" w:lineRule="auto"/>
        <w:contextualSpacing/>
        <w:rPr>
          <w:rFonts w:asciiTheme="minorHAnsi" w:hAnsiTheme="minorHAnsi" w:cs="Arial"/>
          <w:lang w:eastAsia="x-none"/>
        </w:rPr>
      </w:pPr>
      <w:r w:rsidRPr="00D050E9">
        <w:rPr>
          <w:rFonts w:asciiTheme="minorHAnsi" w:hAnsiTheme="minorHAnsi" w:cs="Arial"/>
          <w:lang w:eastAsia="x-none"/>
        </w:rPr>
        <w:t>promocijo in distribucijo in</w:t>
      </w:r>
    </w:p>
    <w:p w:rsidR="00A720EA" w:rsidRPr="00D050E9" w:rsidRDefault="00A720EA" w:rsidP="00C93FA7">
      <w:pPr>
        <w:numPr>
          <w:ilvl w:val="0"/>
          <w:numId w:val="30"/>
        </w:numPr>
        <w:spacing w:after="0" w:line="276" w:lineRule="auto"/>
        <w:contextualSpacing/>
        <w:rPr>
          <w:rFonts w:asciiTheme="minorHAnsi" w:hAnsiTheme="minorHAnsi" w:cs="Arial"/>
          <w:lang w:eastAsia="x-none"/>
        </w:rPr>
      </w:pPr>
      <w:r w:rsidRPr="00D050E9">
        <w:rPr>
          <w:rFonts w:asciiTheme="minorHAnsi" w:hAnsiTheme="minorHAnsi" w:cs="Arial"/>
          <w:lang w:eastAsia="x-none"/>
        </w:rPr>
        <w:t>filme, nastale v izobraževalnih procesih.</w:t>
      </w:r>
    </w:p>
    <w:p w:rsidR="00A720EA" w:rsidRPr="00D050E9" w:rsidRDefault="00A720EA" w:rsidP="001417F9">
      <w:pPr>
        <w:tabs>
          <w:tab w:val="left" w:pos="284"/>
        </w:tabs>
        <w:autoSpaceDE w:val="0"/>
        <w:autoSpaceDN w:val="0"/>
        <w:adjustRightInd w:val="0"/>
        <w:spacing w:after="0" w:line="276" w:lineRule="auto"/>
        <w:rPr>
          <w:rFonts w:asciiTheme="minorHAnsi" w:hAnsiTheme="minorHAnsi" w:cs="Arial"/>
          <w:b/>
          <w:i/>
          <w:highlight w:val="yellow"/>
        </w:rPr>
      </w:pPr>
    </w:p>
    <w:tbl>
      <w:tblPr>
        <w:tblStyle w:val="MediumGrid2-Accent5"/>
        <w:tblW w:w="9180" w:type="dxa"/>
        <w:tblLayout w:type="fixed"/>
        <w:tblLook w:val="04A0" w:firstRow="1" w:lastRow="0" w:firstColumn="1" w:lastColumn="0" w:noHBand="0" w:noVBand="1"/>
      </w:tblPr>
      <w:tblGrid>
        <w:gridCol w:w="1225"/>
        <w:gridCol w:w="4412"/>
        <w:gridCol w:w="1701"/>
        <w:gridCol w:w="1842"/>
      </w:tblGrid>
      <w:tr w:rsidR="00A720EA" w:rsidRPr="00D050E9" w:rsidTr="000432B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225"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41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7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0432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25"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MK</w:t>
            </w:r>
          </w:p>
        </w:tc>
        <w:tc>
          <w:tcPr>
            <w:tcW w:w="441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avdiovizualna dela</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7.407.662,76</w:t>
            </w:r>
          </w:p>
        </w:tc>
      </w:tr>
    </w:tbl>
    <w:p w:rsidR="000432B9" w:rsidRPr="00D050E9" w:rsidRDefault="000432B9" w:rsidP="000432B9">
      <w:pPr>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Resorno pristojno ministrstvo ocenjuje, </w:t>
      </w:r>
      <w:r w:rsidRPr="00D050E9">
        <w:rPr>
          <w:rFonts w:asciiTheme="minorHAnsi" w:hAnsiTheme="minorHAnsi" w:cs="Arial"/>
          <w:b/>
          <w:i/>
        </w:rPr>
        <w:t>da so bili s sofinanciranjem programa doseženi zastavljeni cilji</w:t>
      </w:r>
      <w:r w:rsidRPr="00D050E9">
        <w:rPr>
          <w:rFonts w:asciiTheme="minorHAnsi" w:hAnsiTheme="minorHAnsi" w:cs="Arial"/>
        </w:rPr>
        <w:t xml:space="preserve"> delovanja:</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nadaljevanje kontinuiranega načrtovanja in zagotavljanja slovenske filmske produkcije ter oblikovanje programsko uravnoteženega in žanrsko raznovrstnega nacionalnega program za leto 2017;</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povečanje prisotnosti slovenskega filma v Sloveniji ter povečanje gledanosti sofinanciranih slovenskih filmov in večja dostopnost slovenskih filmov;</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spodbujanje mednarodnega koprodukcijskega sodelovanja, utemeljenega z recipročnostjo sodelovanja med državami ter dvig prepoznavnosti slovenske kinematografije v mednarodnem okolju;</w:t>
      </w:r>
    </w:p>
    <w:p w:rsidR="00A720EA" w:rsidRPr="00D050E9" w:rsidRDefault="00A720EA" w:rsidP="00C93FA7">
      <w:pPr>
        <w:numPr>
          <w:ilvl w:val="0"/>
          <w:numId w:val="23"/>
        </w:numPr>
        <w:spacing w:after="0" w:line="276" w:lineRule="auto"/>
        <w:contextualSpacing/>
        <w:rPr>
          <w:rFonts w:asciiTheme="minorHAnsi" w:hAnsiTheme="minorHAnsi" w:cs="Arial"/>
          <w:lang w:eastAsia="x-none"/>
        </w:rPr>
      </w:pPr>
      <w:r w:rsidRPr="00D050E9">
        <w:rPr>
          <w:rFonts w:asciiTheme="minorHAnsi" w:hAnsiTheme="minorHAnsi" w:cs="Arial"/>
          <w:lang w:eastAsia="x-none"/>
        </w:rPr>
        <w:t>povečanje drugih/zasebnih vlaganj v sofinancirane filme.</w:t>
      </w:r>
    </w:p>
    <w:p w:rsidR="00A720EA" w:rsidRPr="00D050E9" w:rsidRDefault="00A720EA" w:rsidP="00A720EA">
      <w:pPr>
        <w:spacing w:line="276" w:lineRule="auto"/>
        <w:contextualSpacing/>
        <w:rPr>
          <w:rFonts w:asciiTheme="minorHAnsi" w:hAnsiTheme="minorHAnsi" w:cs="Arial"/>
          <w:lang w:eastAsia="x-none"/>
        </w:rPr>
      </w:pPr>
    </w:p>
    <w:p w:rsidR="00A720EA" w:rsidRPr="00D050E9" w:rsidRDefault="00A720EA" w:rsidP="000432B9">
      <w:pPr>
        <w:spacing w:after="0" w:line="276" w:lineRule="auto"/>
        <w:contextualSpacing/>
        <w:rPr>
          <w:rFonts w:asciiTheme="minorHAnsi" w:hAnsiTheme="minorHAnsi" w:cs="Arial"/>
          <w:lang w:eastAsia="x-none"/>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Sofinanciranje projektov za avdiovizualne medije</w:t>
      </w:r>
      <w:r w:rsidRPr="00D050E9">
        <w:rPr>
          <w:rFonts w:asciiTheme="minorHAnsi" w:hAnsiTheme="minorHAnsi" w:cs="Arial"/>
        </w:rPr>
        <w:t xml:space="preserve"> </w:t>
      </w:r>
      <w:r w:rsidRPr="00D050E9">
        <w:rPr>
          <w:rFonts w:asciiTheme="minorHAnsi" w:hAnsiTheme="minorHAnsi" w:cs="Arial"/>
          <w:sz w:val="20"/>
          <w:szCs w:val="20"/>
        </w:rPr>
        <w:t>(0001-5228000-2002 in BE02-2399342-2016)</w:t>
      </w:r>
      <w:r w:rsidRPr="00D050E9">
        <w:rPr>
          <w:rFonts w:asciiTheme="minorHAnsi" w:hAnsiTheme="minorHAnsi" w:cs="Arial"/>
        </w:rPr>
        <w:t xml:space="preserve"> </w:t>
      </w:r>
    </w:p>
    <w:p w:rsidR="00A720EA" w:rsidRPr="00D050E9" w:rsidRDefault="00A720EA" w:rsidP="000432B9">
      <w:pPr>
        <w:spacing w:after="0" w:line="276" w:lineRule="auto"/>
        <w:rPr>
          <w:rFonts w:asciiTheme="minorHAnsi" w:hAnsiTheme="minorHAnsi" w:cs="Arial"/>
          <w:bCs/>
          <w:iCs/>
        </w:rPr>
      </w:pPr>
      <w:r w:rsidRPr="00D050E9">
        <w:rPr>
          <w:rFonts w:asciiTheme="minorHAnsi" w:hAnsiTheme="minorHAnsi" w:cs="Arial"/>
          <w:bCs/>
          <w:iCs/>
        </w:rPr>
        <w:t xml:space="preserve">Namen priglašene sheme Sofinanciranja projektov za avdiovizualne medije je zagotavljanje podpore avdiovizualni produkciji s ciljem povečanja avdiovizualnih projektov v deležih predvajanja medijev, kot so minimalno določeni v Zakonu o medijih (Uradni list RS, št. </w:t>
      </w:r>
      <w:hyperlink r:id="rId78" w:tgtFrame="_blank" w:tooltip="Zakon o medijih (uradno prečiščeno besedilo)" w:history="1">
        <w:r w:rsidRPr="00D050E9">
          <w:rPr>
            <w:rFonts w:asciiTheme="minorHAnsi" w:hAnsiTheme="minorHAnsi" w:cs="Arial"/>
            <w:bCs/>
            <w:iCs/>
          </w:rPr>
          <w:t>110/06</w:t>
        </w:r>
      </w:hyperlink>
      <w:r w:rsidRPr="00D050E9">
        <w:rPr>
          <w:rFonts w:asciiTheme="minorHAnsi" w:hAnsiTheme="minorHAnsi" w:cs="Arial"/>
          <w:bCs/>
          <w:iCs/>
        </w:rPr>
        <w:t xml:space="preserve"> – uradno prečiščeno besedilo, </w:t>
      </w:r>
      <w:hyperlink r:id="rId79" w:tgtFrame="_blank" w:tooltip="Zakon o preprečevanju omejevanja konkurence" w:history="1">
        <w:r w:rsidRPr="00D050E9">
          <w:rPr>
            <w:rFonts w:asciiTheme="minorHAnsi" w:hAnsiTheme="minorHAnsi" w:cs="Arial"/>
            <w:bCs/>
            <w:iCs/>
          </w:rPr>
          <w:t>36/08</w:t>
        </w:r>
      </w:hyperlink>
      <w:r w:rsidRPr="00D050E9">
        <w:rPr>
          <w:rFonts w:asciiTheme="minorHAnsi" w:hAnsiTheme="minorHAnsi" w:cs="Arial"/>
          <w:bCs/>
          <w:iCs/>
        </w:rPr>
        <w:t xml:space="preserve"> – ZPOmK-1, </w:t>
      </w:r>
      <w:hyperlink r:id="rId80" w:tgtFrame="_blank" w:tooltip="Zakon o Slovenskem filmskem centru, javni agenciji Republike Slovenije" w:history="1">
        <w:r w:rsidRPr="00D050E9">
          <w:rPr>
            <w:rFonts w:asciiTheme="minorHAnsi" w:hAnsiTheme="minorHAnsi" w:cs="Arial"/>
            <w:bCs/>
            <w:iCs/>
          </w:rPr>
          <w:t>77/10</w:t>
        </w:r>
      </w:hyperlink>
      <w:r w:rsidRPr="00D050E9">
        <w:rPr>
          <w:rFonts w:asciiTheme="minorHAnsi" w:hAnsiTheme="minorHAnsi" w:cs="Arial"/>
          <w:bCs/>
          <w:iCs/>
        </w:rPr>
        <w:t xml:space="preserve"> – ZSFCJA, </w:t>
      </w:r>
      <w:hyperlink r:id="rId81" w:tgtFrame="_blank" w:tooltip="Odločba o ugotovitvi, da je drugi odstavek 26. člena Zakona o medijih v neskladju z Ustavo, ter o razveljavitvi sodbe Vrhovnega sodišča, sodbe Višjega sodišča v Kopru in sodbe Okrajnega sodišča v Kopru" w:history="1">
        <w:r w:rsidRPr="00D050E9">
          <w:rPr>
            <w:rFonts w:asciiTheme="minorHAnsi" w:hAnsiTheme="minorHAnsi" w:cs="Arial"/>
            <w:bCs/>
            <w:iCs/>
          </w:rPr>
          <w:t>90/10</w:t>
        </w:r>
      </w:hyperlink>
      <w:r w:rsidRPr="00D050E9">
        <w:rPr>
          <w:rFonts w:asciiTheme="minorHAnsi" w:hAnsiTheme="minorHAnsi" w:cs="Arial"/>
          <w:bCs/>
          <w:iCs/>
        </w:rPr>
        <w:t xml:space="preserve"> – odl. US, </w:t>
      </w:r>
      <w:hyperlink r:id="rId82" w:tgtFrame="_blank" w:tooltip="Zakon o avdiovizualnih medijskih storitvah" w:history="1">
        <w:r w:rsidRPr="00D050E9">
          <w:rPr>
            <w:rFonts w:asciiTheme="minorHAnsi" w:hAnsiTheme="minorHAnsi" w:cs="Arial"/>
            <w:bCs/>
            <w:iCs/>
          </w:rPr>
          <w:t>87/11</w:t>
        </w:r>
      </w:hyperlink>
      <w:r w:rsidRPr="00D050E9">
        <w:rPr>
          <w:rFonts w:asciiTheme="minorHAnsi" w:hAnsiTheme="minorHAnsi" w:cs="Arial"/>
          <w:bCs/>
          <w:iCs/>
        </w:rPr>
        <w:t xml:space="preserve"> – ZAvMS, </w:t>
      </w:r>
      <w:hyperlink r:id="rId83" w:tgtFrame="_blank" w:tooltip="Zakon o spremembi Zakona o medijih" w:history="1">
        <w:r w:rsidRPr="00D050E9">
          <w:rPr>
            <w:rFonts w:asciiTheme="minorHAnsi" w:hAnsiTheme="minorHAnsi" w:cs="Arial"/>
            <w:bCs/>
            <w:iCs/>
          </w:rPr>
          <w:t>47/12</w:t>
        </w:r>
      </w:hyperlink>
      <w:r w:rsidRPr="00D050E9">
        <w:rPr>
          <w:rFonts w:asciiTheme="minorHAnsi" w:hAnsiTheme="minorHAnsi" w:cs="Arial"/>
          <w:bCs/>
          <w:iCs/>
        </w:rPr>
        <w:t xml:space="preserve">, </w:t>
      </w:r>
      <w:hyperlink r:id="rId84" w:tgtFrame="_blank" w:tooltip="Zakon o zaposlovanju, samozaposlovanju in delu tujcev" w:history="1">
        <w:r w:rsidRPr="00D050E9">
          <w:rPr>
            <w:rFonts w:asciiTheme="minorHAnsi" w:hAnsiTheme="minorHAnsi" w:cs="Arial"/>
            <w:bCs/>
            <w:iCs/>
          </w:rPr>
          <w:t>47/15</w:t>
        </w:r>
      </w:hyperlink>
      <w:r w:rsidRPr="00D050E9">
        <w:rPr>
          <w:rFonts w:asciiTheme="minorHAnsi" w:hAnsiTheme="minorHAnsi" w:cs="Arial"/>
          <w:bCs/>
          <w:iCs/>
        </w:rPr>
        <w:t xml:space="preserve"> – ZZSDT, </w:t>
      </w:r>
      <w:hyperlink r:id="rId85" w:tgtFrame="_blank" w:tooltip="Zakon o spremembah in dopolnitvah Zakona o medijih" w:history="1">
        <w:r w:rsidRPr="00D050E9">
          <w:rPr>
            <w:rFonts w:asciiTheme="minorHAnsi" w:hAnsiTheme="minorHAnsi" w:cs="Arial"/>
            <w:bCs/>
            <w:iCs/>
          </w:rPr>
          <w:t>22/16</w:t>
        </w:r>
      </w:hyperlink>
      <w:r w:rsidRPr="00D050E9">
        <w:rPr>
          <w:rFonts w:asciiTheme="minorHAnsi" w:hAnsiTheme="minorHAnsi" w:cs="Arial"/>
          <w:bCs/>
          <w:iCs/>
        </w:rPr>
        <w:t xml:space="preserve"> in </w:t>
      </w:r>
      <w:hyperlink r:id="rId86" w:tgtFrame="_blank" w:tooltip="Zakon o spremembi Zakona o medijih" w:history="1">
        <w:r w:rsidRPr="00D050E9">
          <w:rPr>
            <w:rFonts w:asciiTheme="minorHAnsi" w:hAnsiTheme="minorHAnsi" w:cs="Arial"/>
            <w:bCs/>
            <w:iCs/>
          </w:rPr>
          <w:t>39/16</w:t>
        </w:r>
      </w:hyperlink>
      <w:r w:rsidRPr="00D050E9">
        <w:rPr>
          <w:rFonts w:asciiTheme="minorHAnsi" w:hAnsiTheme="minorHAnsi" w:cs="Arial"/>
          <w:bCs/>
          <w:iCs/>
        </w:rPr>
        <w:t>; v nadaljevanju: ZMed). Slednji v 92. členu določa, da morajo:</w:t>
      </w:r>
    </w:p>
    <w:p w:rsidR="00A720EA" w:rsidRPr="00D050E9" w:rsidRDefault="00A720EA" w:rsidP="000432B9">
      <w:pPr>
        <w:pStyle w:val="ListParagraph"/>
        <w:numPr>
          <w:ilvl w:val="0"/>
          <w:numId w:val="31"/>
        </w:numPr>
        <w:spacing w:after="0" w:line="276" w:lineRule="auto"/>
        <w:rPr>
          <w:rFonts w:asciiTheme="minorHAnsi" w:hAnsiTheme="minorHAnsi" w:cs="Arial"/>
          <w:bCs/>
          <w:iCs/>
        </w:rPr>
      </w:pPr>
      <w:r w:rsidRPr="00D050E9">
        <w:rPr>
          <w:rFonts w:asciiTheme="minorHAnsi" w:hAnsiTheme="minorHAnsi" w:cs="Arial"/>
          <w:bCs/>
          <w:iCs/>
        </w:rPr>
        <w:t>avdiovizualna dela neodvisnih producentov obsegati najmanj 10 % letnega oddajnega časa televizijskih programov Radiotelevizije Slovenija (vključno z deležem slovenskih avdiovizualnih del, ki ga ustvarijo neodvisni producenti (25 %)),</w:t>
      </w:r>
    </w:p>
    <w:p w:rsidR="00A720EA" w:rsidRPr="00D050E9" w:rsidRDefault="00A720EA" w:rsidP="000432B9">
      <w:pPr>
        <w:pStyle w:val="ListParagraph"/>
        <w:numPr>
          <w:ilvl w:val="0"/>
          <w:numId w:val="31"/>
        </w:numPr>
        <w:spacing w:after="0" w:line="276" w:lineRule="auto"/>
        <w:rPr>
          <w:rFonts w:asciiTheme="minorHAnsi" w:hAnsiTheme="minorHAnsi" w:cs="Arial"/>
          <w:bCs/>
          <w:iCs/>
        </w:rPr>
      </w:pPr>
      <w:r w:rsidRPr="00D050E9">
        <w:rPr>
          <w:rFonts w:asciiTheme="minorHAnsi" w:hAnsiTheme="minorHAnsi" w:cs="Arial"/>
          <w:bCs/>
          <w:iCs/>
        </w:rPr>
        <w:t>slovenska avdiovizualna dela v vsakem televizijskem programu izdajatelja obsegati najmanj  5 % letnega oddajnega časa.</w:t>
      </w:r>
    </w:p>
    <w:p w:rsidR="00A720EA" w:rsidRPr="00D050E9" w:rsidRDefault="00A720EA" w:rsidP="000432B9">
      <w:pPr>
        <w:spacing w:after="0" w:line="276" w:lineRule="auto"/>
        <w:rPr>
          <w:rFonts w:asciiTheme="minorHAnsi" w:hAnsiTheme="minorHAnsi" w:cs="Arial"/>
          <w:noProof/>
        </w:rPr>
      </w:pPr>
    </w:p>
    <w:p w:rsidR="00A720EA" w:rsidRPr="00D050E9" w:rsidRDefault="00A720EA" w:rsidP="000432B9">
      <w:pPr>
        <w:spacing w:after="0" w:line="276" w:lineRule="auto"/>
        <w:rPr>
          <w:rFonts w:asciiTheme="minorHAnsi" w:hAnsiTheme="minorHAnsi" w:cs="Arial"/>
          <w:noProof/>
        </w:rPr>
      </w:pPr>
      <w:r w:rsidRPr="00D050E9">
        <w:rPr>
          <w:rFonts w:asciiTheme="minorHAnsi" w:hAnsiTheme="minorHAnsi" w:cs="Arial"/>
          <w:noProof/>
        </w:rPr>
        <w:t xml:space="preserve">Skladno z Zakonom o avdiovizualnih medijskih storitvah (Uradni list RS, št. </w:t>
      </w:r>
      <w:hyperlink r:id="rId87" w:tgtFrame="_blank" w:tooltip="Zakon o avdiovizualnih medijskih storitvah (ZAvMS)" w:history="1">
        <w:r w:rsidRPr="00D050E9">
          <w:rPr>
            <w:rFonts w:asciiTheme="minorHAnsi" w:hAnsiTheme="minorHAnsi" w:cs="Arial"/>
            <w:noProof/>
          </w:rPr>
          <w:t>87/11</w:t>
        </w:r>
      </w:hyperlink>
      <w:r w:rsidRPr="00D050E9">
        <w:rPr>
          <w:rFonts w:asciiTheme="minorHAnsi" w:hAnsiTheme="minorHAnsi" w:cs="Arial"/>
          <w:noProof/>
        </w:rPr>
        <w:t xml:space="preserve"> in </w:t>
      </w:r>
      <w:hyperlink r:id="rId88" w:tgtFrame="_blank" w:tooltip="Zakon o spremembah in dopolnitvah Zakona o avdiovizualnih medijskih storitvah" w:history="1">
        <w:r w:rsidRPr="00D050E9">
          <w:rPr>
            <w:rFonts w:asciiTheme="minorHAnsi" w:hAnsiTheme="minorHAnsi" w:cs="Arial"/>
            <w:noProof/>
          </w:rPr>
          <w:t>84/15</w:t>
        </w:r>
      </w:hyperlink>
      <w:r w:rsidRPr="00D050E9">
        <w:rPr>
          <w:rFonts w:asciiTheme="minorHAnsi" w:hAnsiTheme="minorHAnsi" w:cs="Arial"/>
          <w:noProof/>
        </w:rPr>
        <w:t>)</w:t>
      </w:r>
      <w:r w:rsidRPr="00D050E9">
        <w:rPr>
          <w:rFonts w:asciiTheme="minorHAnsi" w:hAnsiTheme="minorHAnsi" w:cs="Arial"/>
          <w:b/>
          <w:bCs/>
          <w:color w:val="626060"/>
          <w:sz w:val="18"/>
          <w:szCs w:val="18"/>
        </w:rPr>
        <w:t xml:space="preserve"> </w:t>
      </w:r>
      <w:r w:rsidRPr="00D050E9">
        <w:rPr>
          <w:rFonts w:asciiTheme="minorHAnsi" w:hAnsiTheme="minorHAnsi" w:cs="Arial"/>
          <w:noProof/>
        </w:rPr>
        <w:t>je določena obveznost:</w:t>
      </w:r>
    </w:p>
    <w:p w:rsidR="00A720EA" w:rsidRPr="00D050E9" w:rsidRDefault="00A720EA" w:rsidP="000432B9">
      <w:pPr>
        <w:pStyle w:val="ListParagraph"/>
        <w:numPr>
          <w:ilvl w:val="0"/>
          <w:numId w:val="32"/>
        </w:numPr>
        <w:spacing w:after="0" w:line="276" w:lineRule="auto"/>
        <w:rPr>
          <w:rFonts w:asciiTheme="minorHAnsi" w:hAnsiTheme="minorHAnsi" w:cs="Arial"/>
          <w:noProof/>
        </w:rPr>
      </w:pPr>
      <w:r w:rsidRPr="00D050E9">
        <w:rPr>
          <w:rFonts w:asciiTheme="minorHAnsi" w:hAnsiTheme="minorHAnsi" w:cs="Arial"/>
          <w:noProof/>
        </w:rPr>
        <w:t>deleža evropskih neodvisnih avdiovizualnih producentov v vsakem televizijskem programu v obsegu najmanj 10 % letnega oddajnega časa,</w:t>
      </w:r>
    </w:p>
    <w:p w:rsidR="00A720EA" w:rsidRPr="00D050E9" w:rsidRDefault="00A720EA" w:rsidP="00C93FA7">
      <w:pPr>
        <w:pStyle w:val="ListParagraph"/>
        <w:numPr>
          <w:ilvl w:val="0"/>
          <w:numId w:val="32"/>
        </w:numPr>
        <w:spacing w:after="0" w:line="276" w:lineRule="auto"/>
        <w:rPr>
          <w:rFonts w:asciiTheme="minorHAnsi" w:hAnsiTheme="minorHAnsi" w:cs="Arial"/>
          <w:noProof/>
        </w:rPr>
      </w:pPr>
      <w:r w:rsidRPr="00D050E9">
        <w:rPr>
          <w:rFonts w:asciiTheme="minorHAnsi" w:hAnsiTheme="minorHAnsi" w:cs="Arial"/>
          <w:noProof/>
        </w:rPr>
        <w:t>izvajalcev televizijskega programa, da letno za preteklo leto pošljejo ministrstvu, pristojnemu za medije, in Agenciji za komunikacijska omrežja in storitve Republike Slovenije razčlenjene podatke o doseženem deležu evropskih avdiovizualnih del v letnem oddajnem času.</w:t>
      </w:r>
    </w:p>
    <w:p w:rsidR="00A720EA" w:rsidRPr="00D050E9" w:rsidRDefault="00A720EA" w:rsidP="001417F9">
      <w:pPr>
        <w:tabs>
          <w:tab w:val="left" w:pos="2770"/>
          <w:tab w:val="left" w:pos="7990"/>
        </w:tabs>
        <w:spacing w:after="0" w:line="276" w:lineRule="auto"/>
        <w:rPr>
          <w:rFonts w:asciiTheme="minorHAnsi" w:hAnsiTheme="minorHAnsi" w:cs="Arial"/>
          <w:noProof/>
          <w:color w:val="000000"/>
        </w:rPr>
      </w:pPr>
    </w:p>
    <w:tbl>
      <w:tblPr>
        <w:tblW w:w="9072" w:type="dxa"/>
        <w:tblInd w:w="70" w:type="dxa"/>
        <w:tblLayout w:type="fixed"/>
        <w:tblCellMar>
          <w:left w:w="70" w:type="dxa"/>
          <w:right w:w="70" w:type="dxa"/>
        </w:tblCellMar>
        <w:tblLook w:val="04A0" w:firstRow="1" w:lastRow="0" w:firstColumn="1" w:lastColumn="0" w:noHBand="0" w:noVBand="1"/>
      </w:tblPr>
      <w:tblGrid>
        <w:gridCol w:w="3261"/>
        <w:gridCol w:w="708"/>
        <w:gridCol w:w="851"/>
        <w:gridCol w:w="850"/>
        <w:gridCol w:w="851"/>
        <w:gridCol w:w="850"/>
        <w:gridCol w:w="851"/>
        <w:gridCol w:w="850"/>
      </w:tblGrid>
      <w:tr w:rsidR="00A720EA" w:rsidRPr="00D050E9" w:rsidTr="00A720EA">
        <w:trPr>
          <w:trHeight w:val="20"/>
        </w:trPr>
        <w:tc>
          <w:tcPr>
            <w:tcW w:w="326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rPr>
                <w:rFonts w:asciiTheme="minorHAnsi" w:hAnsiTheme="minorHAnsi" w:cs="Arial"/>
                <w:b/>
                <w:color w:val="000000"/>
                <w:sz w:val="18"/>
                <w:szCs w:val="18"/>
                <w:lang w:eastAsia="sl-SI"/>
              </w:rPr>
            </w:pPr>
            <w:r w:rsidRPr="00D050E9">
              <w:rPr>
                <w:rFonts w:asciiTheme="minorHAnsi" w:hAnsiTheme="minorHAnsi" w:cs="Arial"/>
                <w:b/>
                <w:bCs/>
                <w:noProof/>
                <w:color w:val="000000"/>
                <w:sz w:val="18"/>
                <w:szCs w:val="18"/>
                <w:lang w:eastAsia="sl-SI"/>
              </w:rPr>
              <w:t>Kratek opis</w:t>
            </w:r>
          </w:p>
        </w:tc>
        <w:tc>
          <w:tcPr>
            <w:tcW w:w="708"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rPr>
                <w:rFonts w:asciiTheme="minorHAnsi" w:hAnsiTheme="minorHAnsi" w:cs="Arial"/>
                <w:b/>
                <w:color w:val="000000"/>
                <w:sz w:val="18"/>
                <w:szCs w:val="18"/>
                <w:lang w:eastAsia="sl-SI"/>
              </w:rPr>
            </w:pPr>
            <w:r w:rsidRPr="00D050E9">
              <w:rPr>
                <w:rFonts w:asciiTheme="minorHAnsi" w:hAnsiTheme="minorHAnsi" w:cs="Arial"/>
                <w:b/>
                <w:bCs/>
                <w:noProof/>
                <w:color w:val="000000"/>
                <w:sz w:val="18"/>
                <w:szCs w:val="18"/>
                <w:lang w:eastAsia="sl-SI"/>
              </w:rPr>
              <w:t>Leto 2014</w:t>
            </w:r>
          </w:p>
        </w:tc>
        <w:tc>
          <w:tcPr>
            <w:tcW w:w="85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rPr>
                <w:rFonts w:asciiTheme="minorHAnsi" w:hAnsiTheme="minorHAnsi" w:cs="Arial"/>
                <w:b/>
                <w:color w:val="000000"/>
                <w:sz w:val="18"/>
                <w:szCs w:val="18"/>
                <w:lang w:eastAsia="sl-SI"/>
              </w:rPr>
            </w:pPr>
            <w:r w:rsidRPr="00D050E9">
              <w:rPr>
                <w:rFonts w:asciiTheme="minorHAnsi" w:hAnsiTheme="minorHAnsi" w:cs="Arial"/>
                <w:b/>
                <w:bCs/>
                <w:noProof/>
                <w:color w:val="000000"/>
                <w:sz w:val="18"/>
                <w:szCs w:val="18"/>
                <w:lang w:eastAsia="sl-SI"/>
              </w:rPr>
              <w:t>Leto 2015</w:t>
            </w:r>
          </w:p>
        </w:tc>
        <w:tc>
          <w:tcPr>
            <w:tcW w:w="85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rPr>
                <w:rFonts w:asciiTheme="minorHAnsi" w:hAnsiTheme="minorHAnsi" w:cs="Arial"/>
                <w:b/>
                <w:color w:val="000000"/>
                <w:sz w:val="18"/>
                <w:szCs w:val="18"/>
                <w:lang w:eastAsia="sl-SI"/>
              </w:rPr>
            </w:pPr>
            <w:r w:rsidRPr="00D050E9">
              <w:rPr>
                <w:rFonts w:asciiTheme="minorHAnsi" w:hAnsiTheme="minorHAnsi" w:cs="Arial"/>
                <w:b/>
                <w:bCs/>
                <w:noProof/>
                <w:color w:val="000000"/>
                <w:sz w:val="18"/>
                <w:szCs w:val="18"/>
                <w:lang w:eastAsia="sl-SI"/>
              </w:rPr>
              <w:t>Indeks 2015/14</w:t>
            </w:r>
          </w:p>
        </w:tc>
        <w:tc>
          <w:tcPr>
            <w:tcW w:w="85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rPr>
                <w:rFonts w:asciiTheme="minorHAnsi" w:hAnsiTheme="minorHAnsi" w:cs="Arial"/>
                <w:b/>
                <w:color w:val="000000"/>
                <w:sz w:val="18"/>
                <w:szCs w:val="18"/>
                <w:lang w:eastAsia="sl-SI"/>
              </w:rPr>
            </w:pPr>
            <w:r w:rsidRPr="00D050E9">
              <w:rPr>
                <w:rFonts w:asciiTheme="minorHAnsi" w:hAnsiTheme="minorHAnsi" w:cs="Arial"/>
                <w:b/>
                <w:bCs/>
                <w:noProof/>
                <w:color w:val="000000"/>
                <w:sz w:val="18"/>
                <w:szCs w:val="18"/>
                <w:lang w:eastAsia="sl-SI"/>
              </w:rPr>
              <w:t>Leto 2016</w:t>
            </w:r>
          </w:p>
        </w:tc>
        <w:tc>
          <w:tcPr>
            <w:tcW w:w="85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rPr>
                <w:rFonts w:asciiTheme="minorHAnsi" w:hAnsiTheme="minorHAnsi" w:cs="Arial"/>
                <w:b/>
                <w:color w:val="000000"/>
                <w:sz w:val="18"/>
                <w:szCs w:val="18"/>
                <w:lang w:eastAsia="sl-SI"/>
              </w:rPr>
            </w:pPr>
            <w:r w:rsidRPr="00D050E9">
              <w:rPr>
                <w:rFonts w:asciiTheme="minorHAnsi" w:hAnsiTheme="minorHAnsi" w:cs="Arial"/>
                <w:b/>
                <w:bCs/>
                <w:noProof/>
                <w:color w:val="000000"/>
                <w:sz w:val="18"/>
                <w:szCs w:val="18"/>
                <w:lang w:eastAsia="sl-SI"/>
              </w:rPr>
              <w:t>Indeks 2016/15</w:t>
            </w:r>
          </w:p>
        </w:tc>
        <w:tc>
          <w:tcPr>
            <w:tcW w:w="851" w:type="dxa"/>
            <w:tcBorders>
              <w:top w:val="single" w:sz="8" w:space="0" w:color="A7BFDE"/>
              <w:left w:val="single" w:sz="8" w:space="0" w:color="A7BFDE"/>
              <w:bottom w:val="single" w:sz="8" w:space="0" w:color="A7BFDE"/>
              <w:right w:val="single" w:sz="8" w:space="0" w:color="A7BFDE"/>
            </w:tcBorders>
            <w:shd w:val="clear" w:color="auto" w:fill="D3DFEE"/>
          </w:tcPr>
          <w:p w:rsidR="00A720EA" w:rsidRPr="00D050E9" w:rsidRDefault="00A720EA" w:rsidP="00A720EA">
            <w:pPr>
              <w:spacing w:line="276" w:lineRule="auto"/>
              <w:jc w:val="center"/>
              <w:rPr>
                <w:rFonts w:asciiTheme="minorHAnsi" w:hAnsiTheme="minorHAnsi" w:cs="Arial"/>
                <w:b/>
                <w:bCs/>
                <w:noProof/>
                <w:color w:val="000000"/>
                <w:sz w:val="18"/>
                <w:szCs w:val="18"/>
                <w:lang w:eastAsia="sl-SI"/>
              </w:rPr>
            </w:pPr>
            <w:r w:rsidRPr="00D050E9">
              <w:rPr>
                <w:rFonts w:asciiTheme="minorHAnsi" w:hAnsiTheme="minorHAnsi" w:cs="Arial"/>
                <w:b/>
                <w:bCs/>
                <w:noProof/>
                <w:color w:val="000000"/>
                <w:sz w:val="18"/>
                <w:szCs w:val="18"/>
                <w:lang w:eastAsia="sl-SI"/>
              </w:rPr>
              <w:t>Leto 2017</w:t>
            </w:r>
          </w:p>
        </w:tc>
        <w:tc>
          <w:tcPr>
            <w:tcW w:w="850" w:type="dxa"/>
            <w:tcBorders>
              <w:top w:val="single" w:sz="8" w:space="0" w:color="A7BFDE"/>
              <w:left w:val="single" w:sz="8" w:space="0" w:color="A7BFDE"/>
              <w:bottom w:val="single" w:sz="8" w:space="0" w:color="A7BFDE"/>
              <w:right w:val="single" w:sz="8" w:space="0" w:color="A7BFDE"/>
            </w:tcBorders>
            <w:shd w:val="clear" w:color="auto" w:fill="D3DFEE"/>
          </w:tcPr>
          <w:p w:rsidR="00A720EA" w:rsidRPr="00D050E9" w:rsidRDefault="00A720EA" w:rsidP="00A720EA">
            <w:pPr>
              <w:spacing w:line="276" w:lineRule="auto"/>
              <w:jc w:val="center"/>
              <w:rPr>
                <w:rFonts w:asciiTheme="minorHAnsi" w:hAnsiTheme="minorHAnsi" w:cs="Arial"/>
                <w:b/>
                <w:bCs/>
                <w:noProof/>
                <w:color w:val="000000"/>
                <w:sz w:val="18"/>
                <w:szCs w:val="18"/>
                <w:lang w:eastAsia="sl-SI"/>
              </w:rPr>
            </w:pPr>
            <w:r w:rsidRPr="00D050E9">
              <w:rPr>
                <w:rFonts w:asciiTheme="minorHAnsi" w:hAnsiTheme="minorHAnsi" w:cs="Arial"/>
                <w:b/>
                <w:bCs/>
                <w:noProof/>
                <w:color w:val="000000"/>
                <w:sz w:val="18"/>
                <w:szCs w:val="18"/>
                <w:lang w:eastAsia="sl-SI"/>
              </w:rPr>
              <w:t>Indeks 2017/16</w:t>
            </w:r>
          </w:p>
        </w:tc>
      </w:tr>
      <w:tr w:rsidR="00A720EA" w:rsidRPr="00D050E9" w:rsidTr="00A720EA">
        <w:trPr>
          <w:trHeight w:val="20"/>
        </w:trPr>
        <w:tc>
          <w:tcPr>
            <w:tcW w:w="3261" w:type="dxa"/>
            <w:tcBorders>
              <w:top w:val="single" w:sz="8" w:space="0" w:color="A7BFDE"/>
              <w:left w:val="single" w:sz="8" w:space="0" w:color="A7BFDE"/>
              <w:bottom w:val="single" w:sz="8" w:space="0" w:color="A7BFDE"/>
              <w:right w:val="single" w:sz="8" w:space="0" w:color="A7BFDE"/>
            </w:tcBorders>
            <w:shd w:val="clear" w:color="auto" w:fill="auto"/>
            <w:vAlign w:val="center"/>
            <w:hideMark/>
          </w:tcPr>
          <w:p w:rsidR="00A720EA" w:rsidRPr="00D050E9" w:rsidRDefault="00A720EA" w:rsidP="00C93FA7">
            <w:pPr>
              <w:pStyle w:val="ListParagraph"/>
              <w:numPr>
                <w:ilvl w:val="0"/>
                <w:numId w:val="33"/>
              </w:numPr>
              <w:spacing w:after="0" w:line="276" w:lineRule="auto"/>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min. 5 %-ni delež slovenskih avdiovizualnih del (vključeni vsi slovenski televizijski programi)</w:t>
            </w:r>
          </w:p>
        </w:tc>
        <w:tc>
          <w:tcPr>
            <w:tcW w:w="708" w:type="dxa"/>
            <w:tcBorders>
              <w:top w:val="single" w:sz="8" w:space="0" w:color="A7BFDE"/>
              <w:left w:val="single" w:sz="8" w:space="0" w:color="A7BFDE"/>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iCs/>
                <w:color w:val="000000"/>
                <w:sz w:val="18"/>
                <w:szCs w:val="18"/>
                <w:lang w:eastAsia="sl-SI"/>
              </w:rPr>
            </w:pPr>
            <w:r w:rsidRPr="00D050E9">
              <w:rPr>
                <w:rFonts w:asciiTheme="minorHAnsi" w:hAnsiTheme="minorHAnsi" w:cs="Arial"/>
                <w:bCs/>
                <w:iCs/>
                <w:noProof/>
                <w:color w:val="000000"/>
                <w:sz w:val="18"/>
                <w:szCs w:val="18"/>
                <w:lang w:eastAsia="sl-SI"/>
              </w:rPr>
              <w:t>18,92%</w:t>
            </w:r>
          </w:p>
        </w:tc>
        <w:tc>
          <w:tcPr>
            <w:tcW w:w="851"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28,20%</w:t>
            </w:r>
          </w:p>
        </w:tc>
        <w:tc>
          <w:tcPr>
            <w:tcW w:w="850"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149,05</w:t>
            </w:r>
          </w:p>
        </w:tc>
        <w:tc>
          <w:tcPr>
            <w:tcW w:w="851"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29,00%</w:t>
            </w:r>
          </w:p>
        </w:tc>
        <w:tc>
          <w:tcPr>
            <w:tcW w:w="850"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102,84</w:t>
            </w:r>
          </w:p>
        </w:tc>
        <w:tc>
          <w:tcPr>
            <w:tcW w:w="851" w:type="dxa"/>
            <w:tcBorders>
              <w:top w:val="single" w:sz="8" w:space="0" w:color="A7BFDE"/>
              <w:left w:val="single" w:sz="8" w:space="0" w:color="A7BFDE"/>
              <w:bottom w:val="single" w:sz="8" w:space="0" w:color="A7BFDE"/>
              <w:right w:val="single" w:sz="8" w:space="0" w:color="A7BFDE"/>
            </w:tcBorders>
            <w:vAlign w:val="center"/>
          </w:tcPr>
          <w:p w:rsidR="00A720EA" w:rsidRPr="00D050E9" w:rsidRDefault="00A720EA" w:rsidP="00A720EA">
            <w:pPr>
              <w:jc w:val="center"/>
              <w:rPr>
                <w:rFonts w:asciiTheme="minorHAnsi" w:hAnsiTheme="minorHAnsi"/>
                <w:sz w:val="18"/>
                <w:szCs w:val="18"/>
              </w:rPr>
            </w:pPr>
            <w:r w:rsidRPr="00D050E9">
              <w:rPr>
                <w:rFonts w:asciiTheme="minorHAnsi" w:hAnsiTheme="minorHAnsi"/>
                <w:sz w:val="18"/>
                <w:szCs w:val="18"/>
              </w:rPr>
              <w:t>35,74%</w:t>
            </w:r>
          </w:p>
        </w:tc>
        <w:tc>
          <w:tcPr>
            <w:tcW w:w="850" w:type="dxa"/>
            <w:tcBorders>
              <w:top w:val="single" w:sz="8" w:space="0" w:color="A7BFDE"/>
              <w:left w:val="single" w:sz="8" w:space="0" w:color="A7BFDE"/>
              <w:bottom w:val="single" w:sz="8" w:space="0" w:color="A7BFDE"/>
              <w:right w:val="single" w:sz="8" w:space="0" w:color="A7BFDE"/>
            </w:tcBorders>
            <w:vAlign w:val="center"/>
          </w:tcPr>
          <w:p w:rsidR="00A720EA" w:rsidRPr="00D050E9" w:rsidRDefault="00A720EA" w:rsidP="00A720EA">
            <w:pPr>
              <w:jc w:val="center"/>
              <w:rPr>
                <w:rFonts w:asciiTheme="minorHAnsi" w:hAnsiTheme="minorHAnsi"/>
                <w:sz w:val="18"/>
                <w:szCs w:val="18"/>
              </w:rPr>
            </w:pPr>
            <w:r w:rsidRPr="00D050E9">
              <w:rPr>
                <w:rFonts w:asciiTheme="minorHAnsi" w:hAnsiTheme="minorHAnsi"/>
                <w:sz w:val="18"/>
                <w:szCs w:val="18"/>
              </w:rPr>
              <w:t>123,30</w:t>
            </w:r>
          </w:p>
        </w:tc>
      </w:tr>
      <w:tr w:rsidR="00A720EA" w:rsidRPr="00D050E9" w:rsidTr="00A720EA">
        <w:trPr>
          <w:trHeight w:val="20"/>
        </w:trPr>
        <w:tc>
          <w:tcPr>
            <w:tcW w:w="3261" w:type="dxa"/>
            <w:tcBorders>
              <w:top w:val="single" w:sz="8" w:space="0" w:color="A7BFDE"/>
              <w:left w:val="single" w:sz="8" w:space="0" w:color="A7BFDE"/>
              <w:bottom w:val="single" w:sz="8" w:space="0" w:color="A7BFDE"/>
              <w:right w:val="single" w:sz="8" w:space="0" w:color="A7BFDE"/>
            </w:tcBorders>
            <w:shd w:val="clear" w:color="auto" w:fill="auto"/>
            <w:vAlign w:val="center"/>
            <w:hideMark/>
          </w:tcPr>
          <w:p w:rsidR="00A720EA" w:rsidRPr="00D050E9" w:rsidRDefault="00A720EA" w:rsidP="00C93FA7">
            <w:pPr>
              <w:pStyle w:val="ListParagraph"/>
              <w:numPr>
                <w:ilvl w:val="0"/>
                <w:numId w:val="33"/>
              </w:numPr>
              <w:spacing w:after="0" w:line="276" w:lineRule="auto"/>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min. 10 %-ni delež evropskih avdiovizualnih del neodvisnih producentov (RTV Slovenija)</w:t>
            </w:r>
          </w:p>
        </w:tc>
        <w:tc>
          <w:tcPr>
            <w:tcW w:w="708" w:type="dxa"/>
            <w:tcBorders>
              <w:top w:val="single" w:sz="8" w:space="0" w:color="A7BFDE"/>
              <w:left w:val="single" w:sz="8" w:space="0" w:color="A7BFDE"/>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iCs/>
                <w:color w:val="000000"/>
                <w:sz w:val="18"/>
                <w:szCs w:val="18"/>
                <w:lang w:eastAsia="sl-SI"/>
              </w:rPr>
            </w:pPr>
            <w:r w:rsidRPr="00D050E9">
              <w:rPr>
                <w:rFonts w:asciiTheme="minorHAnsi" w:hAnsiTheme="minorHAnsi" w:cs="Arial"/>
                <w:bCs/>
                <w:iCs/>
                <w:noProof/>
                <w:color w:val="000000"/>
                <w:sz w:val="18"/>
                <w:szCs w:val="18"/>
                <w:lang w:eastAsia="sl-SI"/>
              </w:rPr>
              <w:t>21,50%</w:t>
            </w:r>
          </w:p>
        </w:tc>
        <w:tc>
          <w:tcPr>
            <w:tcW w:w="851"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26,10%</w:t>
            </w:r>
          </w:p>
        </w:tc>
        <w:tc>
          <w:tcPr>
            <w:tcW w:w="850"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121,39</w:t>
            </w:r>
          </w:p>
        </w:tc>
        <w:tc>
          <w:tcPr>
            <w:tcW w:w="851"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26,40%</w:t>
            </w:r>
          </w:p>
        </w:tc>
        <w:tc>
          <w:tcPr>
            <w:tcW w:w="850" w:type="dxa"/>
            <w:tcBorders>
              <w:top w:val="single" w:sz="8" w:space="0" w:color="A7BFDE"/>
              <w:left w:val="single" w:sz="8" w:space="0" w:color="A7BFDE"/>
              <w:bottom w:val="single" w:sz="8" w:space="0" w:color="A7BFDE"/>
              <w:right w:val="single" w:sz="8" w:space="0" w:color="A7BFDE"/>
            </w:tcBorders>
            <w:shd w:val="clear" w:color="auto" w:fill="auto"/>
            <w:noWrap/>
            <w:vAlign w:val="center"/>
            <w:hideMark/>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101,15</w:t>
            </w:r>
          </w:p>
        </w:tc>
        <w:tc>
          <w:tcPr>
            <w:tcW w:w="851" w:type="dxa"/>
            <w:tcBorders>
              <w:top w:val="single" w:sz="8" w:space="0" w:color="A7BFDE"/>
              <w:left w:val="single" w:sz="8" w:space="0" w:color="A7BFDE"/>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28,1%</w:t>
            </w:r>
          </w:p>
        </w:tc>
        <w:tc>
          <w:tcPr>
            <w:tcW w:w="850" w:type="dxa"/>
            <w:tcBorders>
              <w:top w:val="single" w:sz="8" w:space="0" w:color="A7BFDE"/>
              <w:left w:val="single" w:sz="8" w:space="0" w:color="A7BFDE"/>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color w:val="000000"/>
                <w:sz w:val="18"/>
                <w:szCs w:val="18"/>
                <w:lang w:eastAsia="sl-SI"/>
              </w:rPr>
            </w:pPr>
            <w:r w:rsidRPr="00D050E9">
              <w:rPr>
                <w:rFonts w:asciiTheme="minorHAnsi" w:hAnsiTheme="minorHAnsi" w:cs="Arial"/>
                <w:color w:val="000000"/>
                <w:sz w:val="18"/>
                <w:szCs w:val="18"/>
                <w:lang w:eastAsia="sl-SI"/>
              </w:rPr>
              <w:t>106,50</w:t>
            </w:r>
          </w:p>
        </w:tc>
      </w:tr>
    </w:tbl>
    <w:p w:rsidR="00A720EA" w:rsidRPr="00D050E9" w:rsidRDefault="00A720EA" w:rsidP="00A720EA">
      <w:pPr>
        <w:tabs>
          <w:tab w:val="left" w:pos="2770"/>
          <w:tab w:val="left" w:pos="7990"/>
        </w:tabs>
        <w:spacing w:line="276" w:lineRule="auto"/>
        <w:rPr>
          <w:rFonts w:asciiTheme="minorHAnsi" w:hAnsiTheme="minorHAnsi" w:cs="Arial"/>
          <w:noProof/>
          <w:color w:val="000000"/>
        </w:rPr>
      </w:pPr>
      <w:r w:rsidRPr="00D050E9">
        <w:rPr>
          <w:rFonts w:asciiTheme="minorHAnsi" w:hAnsiTheme="minorHAnsi" w:cs="Arial"/>
          <w:noProof/>
          <w:color w:val="000000"/>
        </w:rPr>
        <w:t>Vir podatkov:</w:t>
      </w:r>
      <w:r w:rsidRPr="00D050E9">
        <w:rPr>
          <w:rFonts w:asciiTheme="minorHAnsi" w:hAnsiTheme="minorHAnsi" w:cs="Arial"/>
          <w:noProof/>
        </w:rPr>
        <w:t xml:space="preserve"> Agencija za komunikacijska omrežja in storitve Republike Slovenije</w:t>
      </w:r>
      <w:r w:rsidRPr="00D050E9">
        <w:rPr>
          <w:rFonts w:asciiTheme="minorHAnsi" w:hAnsiTheme="minorHAnsi" w:cs="Arial"/>
          <w:noProof/>
          <w:color w:val="000000"/>
        </w:rPr>
        <w:t xml:space="preserve"> </w:t>
      </w:r>
    </w:p>
    <w:p w:rsidR="00A720EA" w:rsidRDefault="00A720EA" w:rsidP="00A720EA">
      <w:pPr>
        <w:spacing w:line="276" w:lineRule="auto"/>
        <w:rPr>
          <w:rFonts w:asciiTheme="minorHAnsi" w:hAnsiTheme="minorHAnsi" w:cs="Arial"/>
          <w:noProof/>
        </w:rPr>
      </w:pPr>
      <w:r w:rsidRPr="00D050E9">
        <w:rPr>
          <w:rFonts w:asciiTheme="minorHAnsi" w:hAnsiTheme="minorHAnsi" w:cs="Arial"/>
          <w:noProof/>
        </w:rPr>
        <w:t>SFC je sofinanciral avdiovizualne projekte na osnovi letno dodeljenih proračunskih sredstev in na podlagi sklenjenih pogodb za projekte, izbrane na letnih razpisih. Projekti se praviloma financirajo dve leti.</w:t>
      </w:r>
    </w:p>
    <w:p w:rsidR="0002140A" w:rsidRPr="00D050E9" w:rsidRDefault="0002140A" w:rsidP="009F6E61">
      <w:pPr>
        <w:spacing w:after="0" w:line="276" w:lineRule="auto"/>
        <w:rPr>
          <w:rFonts w:asciiTheme="minorHAnsi" w:hAnsiTheme="minorHAnsi" w:cs="Arial"/>
          <w:noProof/>
        </w:rPr>
      </w:pPr>
    </w:p>
    <w:tbl>
      <w:tblPr>
        <w:tblStyle w:val="MediumGrid2-Accent5"/>
        <w:tblW w:w="9288" w:type="dxa"/>
        <w:tblLayout w:type="fixed"/>
        <w:tblLook w:val="04A0" w:firstRow="1" w:lastRow="0" w:firstColumn="1" w:lastColumn="0" w:noHBand="0" w:noVBand="1"/>
      </w:tblPr>
      <w:tblGrid>
        <w:gridCol w:w="1101"/>
        <w:gridCol w:w="3118"/>
        <w:gridCol w:w="2268"/>
        <w:gridCol w:w="1134"/>
        <w:gridCol w:w="1667"/>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101" w:type="dxa"/>
            <w:tcBorders>
              <w:bottom w:val="single" w:sz="6"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118" w:type="dxa"/>
            <w:tcBorders>
              <w:bottom w:val="single" w:sz="8" w:space="0" w:color="A7BFDE"/>
            </w:tcBorders>
            <w:shd w:val="clear" w:color="auto" w:fill="D3DFEE"/>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Naziv (matična številka priglasitve)</w:t>
            </w:r>
          </w:p>
        </w:tc>
        <w:tc>
          <w:tcPr>
            <w:tcW w:w="2268" w:type="dxa"/>
            <w:tcBorders>
              <w:top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667"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6"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bCs w:val="0"/>
                <w:color w:val="auto"/>
                <w:sz w:val="18"/>
                <w:szCs w:val="18"/>
                <w:lang w:eastAsia="sl-SI"/>
              </w:rPr>
            </w:pPr>
            <w:r w:rsidRPr="00D050E9">
              <w:rPr>
                <w:rFonts w:asciiTheme="minorHAnsi" w:hAnsiTheme="minorHAnsi" w:cs="Arial"/>
                <w:sz w:val="18"/>
                <w:szCs w:val="18"/>
                <w:lang w:eastAsia="sl-SI"/>
              </w:rPr>
              <w:t>MK</w:t>
            </w:r>
          </w:p>
        </w:tc>
        <w:tc>
          <w:tcPr>
            <w:tcW w:w="3118" w:type="dxa"/>
            <w:tcBorders>
              <w:top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Sofinanciranje projektov iz proračunskega sklada za avdio-vizualne medije (0001-5228000-2002)</w:t>
            </w:r>
          </w:p>
        </w:tc>
        <w:tc>
          <w:tcPr>
            <w:tcW w:w="226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avdiovizualna dela</w:t>
            </w: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667"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1.746.933,00</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6"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3118" w:type="dxa"/>
            <w:tcBorders>
              <w:top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Sofinanciranje projektov za AV medije (BE02-2399342-2016)</w:t>
            </w:r>
          </w:p>
        </w:tc>
        <w:tc>
          <w:tcPr>
            <w:tcW w:w="2268"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Pomoč za avdiovizualna dela</w:t>
            </w: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667"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lang w:eastAsia="sl-SI"/>
              </w:rPr>
            </w:pPr>
            <w:r w:rsidRPr="00D050E9">
              <w:rPr>
                <w:rFonts w:asciiTheme="minorHAnsi" w:hAnsiTheme="minorHAnsi" w:cs="Arial"/>
                <w:b/>
                <w:bCs/>
                <w:sz w:val="18"/>
                <w:szCs w:val="18"/>
                <w:lang w:eastAsia="sl-SI"/>
              </w:rPr>
              <w:t>102.885</w:t>
            </w:r>
          </w:p>
        </w:tc>
      </w:tr>
      <w:tr w:rsidR="000432B9" w:rsidRPr="00D050E9" w:rsidTr="000432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tcBorders>
              <w:top w:val="single" w:sz="6" w:space="0" w:color="A7BFDE"/>
              <w:right w:val="single" w:sz="8" w:space="0" w:color="A7BFDE"/>
            </w:tcBorders>
            <w:vAlign w:val="center"/>
          </w:tcPr>
          <w:p w:rsidR="000432B9" w:rsidRPr="00D050E9" w:rsidRDefault="000432B9" w:rsidP="00A720EA">
            <w:pPr>
              <w:spacing w:line="276" w:lineRule="auto"/>
              <w:jc w:val="center"/>
              <w:rPr>
                <w:rFonts w:asciiTheme="minorHAnsi" w:hAnsiTheme="minorHAnsi" w:cs="Arial"/>
                <w:sz w:val="18"/>
                <w:szCs w:val="18"/>
                <w:lang w:eastAsia="sl-SI"/>
              </w:rPr>
            </w:pPr>
          </w:p>
        </w:tc>
        <w:tc>
          <w:tcPr>
            <w:tcW w:w="3118" w:type="dxa"/>
            <w:tcBorders>
              <w:top w:val="single" w:sz="8" w:space="0" w:color="A7BFDE"/>
              <w:right w:val="single" w:sz="8" w:space="0" w:color="A7BFDE"/>
            </w:tcBorders>
            <w:shd w:val="clear" w:color="auto" w:fill="A7BFDE"/>
            <w:vAlign w:val="center"/>
          </w:tcPr>
          <w:p w:rsidR="000432B9" w:rsidRPr="00D050E9" w:rsidRDefault="000432B9" w:rsidP="000432B9">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b/>
                <w:sz w:val="18"/>
                <w:szCs w:val="18"/>
                <w:lang w:eastAsia="sl-SI"/>
              </w:rPr>
              <w:t>SKUPAJ</w:t>
            </w:r>
          </w:p>
        </w:tc>
        <w:tc>
          <w:tcPr>
            <w:tcW w:w="2268"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0432B9" w:rsidRPr="00D050E9" w:rsidRDefault="000432B9" w:rsidP="000432B9">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eastAsia="sl-SI"/>
              </w:rPr>
            </w:pP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0432B9" w:rsidRPr="00D050E9" w:rsidRDefault="000432B9"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667"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0432B9" w:rsidRPr="00D050E9" w:rsidRDefault="000432B9"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lang w:eastAsia="sl-SI"/>
              </w:rPr>
            </w:pPr>
            <w:r w:rsidRPr="00D050E9">
              <w:rPr>
                <w:rFonts w:asciiTheme="minorHAnsi" w:hAnsiTheme="minorHAnsi" w:cs="Arial"/>
                <w:b/>
                <w:bCs/>
                <w:sz w:val="18"/>
                <w:szCs w:val="18"/>
                <w:lang w:eastAsia="sl-SI"/>
              </w:rPr>
              <w:t>1.849.818,00</w:t>
            </w:r>
          </w:p>
        </w:tc>
      </w:tr>
    </w:tbl>
    <w:p w:rsidR="00A720EA" w:rsidRPr="00D050E9" w:rsidRDefault="00A720EA" w:rsidP="00A720EA">
      <w:pPr>
        <w:tabs>
          <w:tab w:val="left" w:pos="5312"/>
        </w:tabs>
        <w:spacing w:line="276" w:lineRule="auto"/>
        <w:rPr>
          <w:rFonts w:asciiTheme="minorHAnsi" w:hAnsiTheme="minorHAnsi" w:cs="Arial"/>
          <w:noProof/>
        </w:rPr>
      </w:pPr>
    </w:p>
    <w:p w:rsidR="00A720EA" w:rsidRPr="00D050E9" w:rsidRDefault="00A720EA" w:rsidP="00A720EA">
      <w:pPr>
        <w:tabs>
          <w:tab w:val="left" w:pos="5312"/>
        </w:tabs>
        <w:spacing w:line="276" w:lineRule="auto"/>
        <w:rPr>
          <w:rFonts w:asciiTheme="minorHAnsi" w:hAnsiTheme="minorHAnsi" w:cs="Arial"/>
          <w:b/>
          <w:i/>
          <w:noProof/>
        </w:rPr>
      </w:pPr>
      <w:r w:rsidRPr="00D050E9">
        <w:rPr>
          <w:rFonts w:asciiTheme="minorHAnsi" w:hAnsiTheme="minorHAnsi" w:cs="Arial"/>
          <w:b/>
          <w:i/>
          <w:noProof/>
        </w:rPr>
        <w:t>V letu 2017 so bili sofinancirani projekti na podlagi štirih letnih razpisov, in sicer  razpisov iz leta 2014, 2015, 2016 in 2017. Skupaj je bilo izplačano 595.382 EUR. Sofinanciranih je bilo 39 projektov.</w:t>
      </w:r>
    </w:p>
    <w:p w:rsidR="00A720EA" w:rsidRPr="00D050E9" w:rsidRDefault="00A720EA" w:rsidP="00A720EA">
      <w:pPr>
        <w:tabs>
          <w:tab w:val="left" w:pos="5312"/>
        </w:tabs>
        <w:spacing w:line="276" w:lineRule="auto"/>
        <w:rPr>
          <w:rFonts w:asciiTheme="minorHAnsi" w:hAnsiTheme="minorHAnsi" w:cs="Arial"/>
          <w:sz w:val="20"/>
          <w:szCs w:val="20"/>
        </w:rPr>
      </w:pPr>
      <w:r w:rsidRPr="00D050E9">
        <w:rPr>
          <w:rFonts w:asciiTheme="minorHAnsi" w:hAnsiTheme="minorHAnsi" w:cs="Arial"/>
          <w:b/>
          <w:i/>
          <w:u w:val="single"/>
        </w:rPr>
        <w:t xml:space="preserve">Spodbujanje filmske produkcije </w:t>
      </w:r>
      <w:r w:rsidRPr="00D050E9">
        <w:rPr>
          <w:rFonts w:asciiTheme="minorHAnsi" w:hAnsiTheme="minorHAnsi" w:cs="Arial"/>
        </w:rPr>
        <w:t xml:space="preserve"> </w:t>
      </w:r>
      <w:r w:rsidRPr="00D050E9">
        <w:rPr>
          <w:rFonts w:asciiTheme="minorHAnsi" w:hAnsiTheme="minorHAnsi" w:cs="Arial"/>
          <w:sz w:val="20"/>
          <w:szCs w:val="20"/>
        </w:rPr>
        <w:t>(BE01-2399342-2016)</w:t>
      </w:r>
    </w:p>
    <w:p w:rsidR="00A720EA" w:rsidRPr="00D050E9" w:rsidRDefault="00A720EA" w:rsidP="0054155E">
      <w:pPr>
        <w:spacing w:after="0" w:line="276" w:lineRule="auto"/>
        <w:rPr>
          <w:rFonts w:asciiTheme="minorHAnsi" w:hAnsiTheme="minorHAnsi" w:cs="Arial"/>
        </w:rPr>
      </w:pPr>
      <w:r w:rsidRPr="00D050E9">
        <w:rPr>
          <w:rFonts w:asciiTheme="minorHAnsi" w:hAnsiTheme="minorHAnsi" w:cs="Arial"/>
        </w:rPr>
        <w:t xml:space="preserve">V okviru sheme </w:t>
      </w:r>
      <w:r w:rsidRPr="00D050E9">
        <w:rPr>
          <w:rFonts w:asciiTheme="minorHAnsi" w:hAnsiTheme="minorHAnsi" w:cs="Arial"/>
          <w:b/>
        </w:rPr>
        <w:t>»</w:t>
      </w:r>
      <w:r w:rsidRPr="00D050E9">
        <w:rPr>
          <w:rFonts w:asciiTheme="minorHAnsi" w:hAnsiTheme="minorHAnsi" w:cs="Arial"/>
          <w:b/>
          <w:lang w:eastAsia="sl-SI"/>
        </w:rPr>
        <w:t>Spodbujanje filmske produkcije«</w:t>
      </w:r>
      <w:r w:rsidRPr="00D050E9">
        <w:rPr>
          <w:rFonts w:asciiTheme="minorHAnsi" w:hAnsiTheme="minorHAnsi" w:cs="Arial"/>
        </w:rPr>
        <w:t xml:space="preserve"> se sofinancira filmska in avdiovizualna produkcija:</w:t>
      </w:r>
    </w:p>
    <w:p w:rsidR="00A720EA" w:rsidRPr="00D050E9" w:rsidRDefault="00A720EA" w:rsidP="0054155E">
      <w:pPr>
        <w:numPr>
          <w:ilvl w:val="0"/>
          <w:numId w:val="30"/>
        </w:numPr>
        <w:spacing w:after="0" w:line="276" w:lineRule="auto"/>
        <w:contextualSpacing/>
        <w:rPr>
          <w:rFonts w:asciiTheme="minorHAnsi" w:hAnsiTheme="minorHAnsi" w:cs="Arial"/>
          <w:lang w:eastAsia="x-none"/>
        </w:rPr>
      </w:pPr>
      <w:r w:rsidRPr="00D050E9">
        <w:rPr>
          <w:rFonts w:asciiTheme="minorHAnsi" w:hAnsiTheme="minorHAnsi" w:cs="Arial"/>
          <w:lang w:eastAsia="x-none"/>
        </w:rPr>
        <w:t xml:space="preserve">razvoj scenarijev, razvoj filmskih projektov, </w:t>
      </w:r>
    </w:p>
    <w:p w:rsidR="00A720EA" w:rsidRPr="00D050E9" w:rsidRDefault="00A720EA" w:rsidP="0054155E">
      <w:pPr>
        <w:numPr>
          <w:ilvl w:val="0"/>
          <w:numId w:val="30"/>
        </w:numPr>
        <w:spacing w:after="0" w:line="276" w:lineRule="auto"/>
        <w:contextualSpacing/>
        <w:rPr>
          <w:rFonts w:asciiTheme="minorHAnsi" w:hAnsiTheme="minorHAnsi" w:cs="Arial"/>
          <w:lang w:eastAsia="x-none"/>
        </w:rPr>
      </w:pPr>
      <w:r w:rsidRPr="00D050E9">
        <w:rPr>
          <w:rFonts w:asciiTheme="minorHAnsi" w:hAnsiTheme="minorHAnsi" w:cs="Arial"/>
          <w:lang w:eastAsia="x-none"/>
        </w:rPr>
        <w:t>produkcija celovečernih, srednjemetražnih in kratkih filmov večinsko sofinanciranih s strani slovenskih producentov in mednarodne koprodukcije),</w:t>
      </w:r>
    </w:p>
    <w:p w:rsidR="00A720EA" w:rsidRPr="00D050E9" w:rsidRDefault="00A720EA" w:rsidP="00C93FA7">
      <w:pPr>
        <w:numPr>
          <w:ilvl w:val="0"/>
          <w:numId w:val="30"/>
        </w:numPr>
        <w:spacing w:after="0" w:line="276" w:lineRule="auto"/>
        <w:contextualSpacing/>
        <w:rPr>
          <w:rFonts w:asciiTheme="minorHAnsi" w:hAnsiTheme="minorHAnsi" w:cs="Arial"/>
          <w:lang w:eastAsia="x-none"/>
        </w:rPr>
      </w:pPr>
      <w:r w:rsidRPr="00D050E9">
        <w:rPr>
          <w:rFonts w:asciiTheme="minorHAnsi" w:hAnsiTheme="minorHAnsi" w:cs="Arial"/>
          <w:lang w:eastAsia="sl-SI"/>
        </w:rPr>
        <w:t>realizacija igranih, dokumentarnih in animiranih filmskih projektov, manjšinskih koprodukcijskih projektov, projektov celovečernih prvencev, študijskih filmov in televizijskih del,</w:t>
      </w:r>
    </w:p>
    <w:p w:rsidR="00A720EA" w:rsidRPr="00D050E9" w:rsidRDefault="00A720EA" w:rsidP="00C93FA7">
      <w:pPr>
        <w:pStyle w:val="ListParagraph"/>
        <w:numPr>
          <w:ilvl w:val="0"/>
          <w:numId w:val="30"/>
        </w:numPr>
        <w:spacing w:after="80" w:line="276" w:lineRule="auto"/>
        <w:rPr>
          <w:rFonts w:asciiTheme="minorHAnsi" w:hAnsiTheme="minorHAnsi" w:cs="Arial"/>
          <w:lang w:eastAsia="sl-SI"/>
        </w:rPr>
      </w:pPr>
      <w:r w:rsidRPr="00D050E9">
        <w:rPr>
          <w:rFonts w:asciiTheme="minorHAnsi" w:hAnsiTheme="minorHAnsi" w:cs="Arial"/>
          <w:lang w:eastAsia="sl-SI"/>
        </w:rPr>
        <w:t>povečava in transferji filmov,</w:t>
      </w:r>
    </w:p>
    <w:p w:rsidR="00A720EA" w:rsidRPr="00D050E9" w:rsidRDefault="00A720EA" w:rsidP="00C93FA7">
      <w:pPr>
        <w:pStyle w:val="ListParagraph"/>
        <w:numPr>
          <w:ilvl w:val="0"/>
          <w:numId w:val="30"/>
        </w:numPr>
        <w:spacing w:after="80" w:line="276" w:lineRule="auto"/>
        <w:rPr>
          <w:rFonts w:asciiTheme="minorHAnsi" w:hAnsiTheme="minorHAnsi" w:cs="Arial"/>
          <w:lang w:eastAsia="sl-SI"/>
        </w:rPr>
      </w:pPr>
      <w:r w:rsidRPr="00D050E9">
        <w:rPr>
          <w:rFonts w:asciiTheme="minorHAnsi" w:hAnsiTheme="minorHAnsi" w:cs="Arial"/>
          <w:lang w:eastAsia="sl-SI"/>
        </w:rPr>
        <w:t xml:space="preserve">izdelava digitalnih kopij za javno kinematografsko prikazovanje ter distribucijo in promocijo realiziranih filmskih oziroma avdiovizualnih del. </w:t>
      </w:r>
    </w:p>
    <w:p w:rsidR="00A720EA" w:rsidRPr="00D050E9" w:rsidRDefault="00A720EA" w:rsidP="0054155E">
      <w:pPr>
        <w:tabs>
          <w:tab w:val="left" w:pos="5312"/>
        </w:tabs>
        <w:spacing w:after="0" w:line="276" w:lineRule="auto"/>
        <w:rPr>
          <w:rFonts w:asciiTheme="minorHAnsi" w:hAnsiTheme="minorHAnsi" w:cs="Arial"/>
        </w:rPr>
      </w:pPr>
    </w:p>
    <w:tbl>
      <w:tblPr>
        <w:tblStyle w:val="MediumGrid2-Accent5"/>
        <w:tblW w:w="9180" w:type="dxa"/>
        <w:tblLayout w:type="fixed"/>
        <w:tblLook w:val="04A0" w:firstRow="1" w:lastRow="0" w:firstColumn="1" w:lastColumn="0" w:noHBand="0" w:noVBand="1"/>
      </w:tblPr>
      <w:tblGrid>
        <w:gridCol w:w="1225"/>
        <w:gridCol w:w="4412"/>
        <w:gridCol w:w="1701"/>
        <w:gridCol w:w="1842"/>
      </w:tblGrid>
      <w:tr w:rsidR="00A720EA" w:rsidRPr="00D050E9" w:rsidTr="0054155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225"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412"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7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5415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25"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MK</w:t>
            </w:r>
          </w:p>
        </w:tc>
        <w:tc>
          <w:tcPr>
            <w:tcW w:w="4412"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avdiovizualna dela</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4.457.134,79</w:t>
            </w:r>
          </w:p>
        </w:tc>
      </w:tr>
    </w:tbl>
    <w:p w:rsidR="0054155E" w:rsidRPr="00D050E9" w:rsidRDefault="0054155E" w:rsidP="0054155E">
      <w:pPr>
        <w:spacing w:before="120" w:after="120" w:line="276" w:lineRule="auto"/>
        <w:contextualSpacing/>
        <w:rPr>
          <w:rFonts w:asciiTheme="minorHAnsi" w:eastAsia="Times New Roman" w:hAnsiTheme="minorHAnsi" w:cstheme="minorHAnsi"/>
        </w:rPr>
      </w:pPr>
    </w:p>
    <w:p w:rsidR="00A720EA" w:rsidRPr="00D050E9" w:rsidRDefault="00A720EA" w:rsidP="0054155E">
      <w:pPr>
        <w:spacing w:before="120" w:after="120" w:line="276" w:lineRule="auto"/>
        <w:contextualSpacing/>
        <w:rPr>
          <w:rFonts w:asciiTheme="minorHAnsi" w:eastAsia="Times New Roman" w:hAnsiTheme="minorHAnsi" w:cstheme="minorHAnsi"/>
        </w:rPr>
      </w:pPr>
      <w:r w:rsidRPr="00D050E9">
        <w:rPr>
          <w:rFonts w:asciiTheme="minorHAnsi" w:eastAsia="Times New Roman" w:hAnsiTheme="minorHAnsi" w:cstheme="minorHAnsi"/>
        </w:rPr>
        <w:t xml:space="preserve">V letu 2017 se je zaključilo sofinanciranje po razpisu iz leta 2013:, nadaljevalo se je sofinanciranje filmov iz programov let 2014, 2015, 2016 in sofinanciranje večine projektov iz razpisa leta 2017. </w:t>
      </w:r>
      <w:r w:rsidRPr="00D050E9">
        <w:rPr>
          <w:rFonts w:asciiTheme="minorHAnsi" w:hAnsiTheme="minorHAnsi" w:cstheme="minorHAnsi"/>
        </w:rPr>
        <w:t xml:space="preserve">V letu 2016 je resorno ministrstvo zaključilo s sofinanciranjem 19 projektov, v letu 2017 pa 33 projektov, ter začeli </w:t>
      </w:r>
      <w:r w:rsidRPr="00D050E9">
        <w:rPr>
          <w:rFonts w:asciiTheme="minorHAnsi" w:eastAsia="Times New Roman" w:hAnsiTheme="minorHAnsi" w:cstheme="minorHAnsi"/>
        </w:rPr>
        <w:t>tudi s sofinanciranjem vseh osmih projektov, ki so bili izbrani na razpisu v letu 2017.</w:t>
      </w:r>
    </w:p>
    <w:p w:rsidR="00A720EA" w:rsidRPr="00D050E9" w:rsidRDefault="00A720EA" w:rsidP="0054155E">
      <w:pPr>
        <w:tabs>
          <w:tab w:val="left" w:pos="5312"/>
        </w:tabs>
        <w:spacing w:after="0" w:line="276" w:lineRule="auto"/>
        <w:rPr>
          <w:rFonts w:asciiTheme="minorHAnsi" w:hAnsiTheme="minorHAnsi" w:cs="Arial"/>
        </w:rPr>
      </w:pPr>
    </w:p>
    <w:p w:rsidR="00A720EA" w:rsidRDefault="00A720EA" w:rsidP="00A720EA">
      <w:pPr>
        <w:tabs>
          <w:tab w:val="left" w:pos="5312"/>
        </w:tabs>
        <w:spacing w:line="276" w:lineRule="auto"/>
        <w:rPr>
          <w:rFonts w:asciiTheme="minorHAnsi" w:hAnsiTheme="minorHAnsi" w:cs="Arial"/>
        </w:rPr>
      </w:pPr>
      <w:r w:rsidRPr="00D050E9">
        <w:rPr>
          <w:rFonts w:asciiTheme="minorHAnsi" w:hAnsiTheme="minorHAnsi" w:cs="Arial"/>
        </w:rPr>
        <w:t xml:space="preserve">Po oceni resornega ministrstvo je bil </w:t>
      </w:r>
      <w:r w:rsidRPr="00D050E9">
        <w:rPr>
          <w:rFonts w:asciiTheme="minorHAnsi" w:hAnsiTheme="minorHAnsi" w:cs="Arial"/>
          <w:b/>
          <w:i/>
        </w:rPr>
        <w:t>učinek državnih pomoči</w:t>
      </w:r>
      <w:r w:rsidRPr="00D050E9">
        <w:rPr>
          <w:rFonts w:asciiTheme="minorHAnsi" w:hAnsiTheme="minorHAnsi" w:cs="Arial"/>
        </w:rPr>
        <w:t xml:space="preserve">, ki jih je izplačal SFC v letu 2017, </w:t>
      </w:r>
      <w:r w:rsidRPr="00D050E9">
        <w:rPr>
          <w:rFonts w:asciiTheme="minorHAnsi" w:hAnsiTheme="minorHAnsi" w:cs="Arial"/>
          <w:b/>
          <w:i/>
        </w:rPr>
        <w:t>odličen</w:t>
      </w:r>
      <w:r w:rsidRPr="00D050E9">
        <w:rPr>
          <w:rFonts w:asciiTheme="minorHAnsi" w:hAnsiTheme="minorHAnsi" w:cs="Arial"/>
        </w:rPr>
        <w:t>. Delež slovenskih avdiovizualnih del v programih izdajateljev medijev se je povečal za 23,3 odstotke. Za 59,9 odstotkov se je v primerjavi z letom prej povečala povprečna gledanost slovenskih kinematografskih del v kinematografskem prikazovanju. Število odkupljenih filmov s strani izdajateljev televi</w:t>
      </w:r>
      <w:r w:rsidR="002072EF">
        <w:rPr>
          <w:rFonts w:asciiTheme="minorHAnsi" w:hAnsiTheme="minorHAnsi" w:cs="Arial"/>
        </w:rPr>
        <w:t xml:space="preserve">zijskih medijev se je povečalo </w:t>
      </w:r>
      <w:r w:rsidRPr="00D050E9">
        <w:rPr>
          <w:rFonts w:asciiTheme="minorHAnsi" w:hAnsiTheme="minorHAnsi" w:cs="Arial"/>
        </w:rPr>
        <w:t>z 43 na 53 filmov. Naša kinematografija je vedno bolj razpoznavna tudi v tujini. V letu 2017 je bilo 24 udeležb na pomembnih mednarodnih festivalih, kar je za 14,3 odstotkov več kot prejšnje leto. Slovenski filmi pa so v letu 2017 prejeli kar 78 nagrad, kar je skoraj šestkrat več kot leta 2016.</w:t>
      </w:r>
    </w:p>
    <w:p w:rsidR="0002140A" w:rsidRPr="00D050E9" w:rsidRDefault="0002140A" w:rsidP="009F6E61">
      <w:pPr>
        <w:tabs>
          <w:tab w:val="left" w:pos="5312"/>
        </w:tabs>
        <w:spacing w:after="0" w:line="276" w:lineRule="auto"/>
        <w:rPr>
          <w:rFonts w:asciiTheme="minorHAnsi" w:hAnsiTheme="minorHAnsi" w:cs="Arial"/>
        </w:rPr>
      </w:pPr>
    </w:p>
    <w:p w:rsidR="00A720EA" w:rsidRPr="00D050E9" w:rsidRDefault="00A720EA" w:rsidP="00A720EA">
      <w:pPr>
        <w:rPr>
          <w:rFonts w:asciiTheme="minorHAnsi" w:hAnsiTheme="minorHAnsi" w:cs="Arial"/>
          <w:sz w:val="20"/>
          <w:szCs w:val="20"/>
        </w:rPr>
      </w:pPr>
      <w:r w:rsidRPr="00D050E9">
        <w:rPr>
          <w:rFonts w:asciiTheme="minorHAnsi" w:hAnsiTheme="minorHAnsi" w:cs="Arial"/>
          <w:b/>
          <w:i/>
          <w:u w:val="single"/>
        </w:rPr>
        <w:t xml:space="preserve">Sofinanciranje programskih vsebin medijev </w:t>
      </w:r>
      <w:r w:rsidRPr="00D050E9">
        <w:rPr>
          <w:rFonts w:asciiTheme="minorHAnsi" w:hAnsiTheme="minorHAnsi" w:cs="Arial"/>
          <w:sz w:val="20"/>
          <w:szCs w:val="20"/>
        </w:rPr>
        <w:t>(0002-5228000-2002)</w:t>
      </w:r>
    </w:p>
    <w:p w:rsidR="00A720EA" w:rsidRPr="00D050E9" w:rsidRDefault="00A720EA" w:rsidP="00A720EA">
      <w:pPr>
        <w:tabs>
          <w:tab w:val="left" w:pos="2770"/>
          <w:tab w:val="left" w:pos="7990"/>
        </w:tabs>
        <w:spacing w:line="276" w:lineRule="auto"/>
        <w:rPr>
          <w:rFonts w:asciiTheme="minorHAnsi" w:hAnsiTheme="minorHAnsi" w:cs="Arial"/>
          <w:lang w:eastAsia="x-none"/>
        </w:rPr>
      </w:pPr>
      <w:r w:rsidRPr="00D050E9">
        <w:rPr>
          <w:rFonts w:asciiTheme="minorHAnsi" w:hAnsiTheme="minorHAnsi" w:cs="Arial"/>
        </w:rPr>
        <w:t xml:space="preserve">Cilj priglašene sheme je zagotavljanje ustvarjanja programskih vsebin medijev in medijskega pluralizma. Meri se preko zagotavljanja minimalnih deležev lastne produkcije v dnevnem oddajnem času, določenih v 85. členu ZMed, in sicer za </w:t>
      </w:r>
      <w:r w:rsidRPr="00D050E9">
        <w:rPr>
          <w:rFonts w:asciiTheme="minorHAnsi" w:hAnsiTheme="minorHAnsi" w:cs="Arial"/>
          <w:lang w:eastAsia="x-none"/>
        </w:rPr>
        <w:t>radijske programe najmanj 30 % lastne produkcije in za televizijske programe najmanj 20 % lastne produkcije.</w:t>
      </w:r>
    </w:p>
    <w:p w:rsidR="0054155E" w:rsidRPr="00D050E9" w:rsidRDefault="0054155E" w:rsidP="0054155E">
      <w:pPr>
        <w:tabs>
          <w:tab w:val="left" w:pos="2770"/>
          <w:tab w:val="left" w:pos="7990"/>
        </w:tabs>
        <w:spacing w:after="0" w:line="276" w:lineRule="auto"/>
        <w:rPr>
          <w:rFonts w:asciiTheme="minorHAnsi" w:hAnsiTheme="minorHAnsi" w:cs="Arial"/>
          <w:lang w:eastAsia="x-none"/>
        </w:rPr>
      </w:pPr>
    </w:p>
    <w:tbl>
      <w:tblPr>
        <w:tblStyle w:val="MediumGrid2-Accent5"/>
        <w:tblW w:w="9180" w:type="dxa"/>
        <w:tblLayout w:type="fixed"/>
        <w:tblLook w:val="04A0" w:firstRow="1" w:lastRow="0" w:firstColumn="1" w:lastColumn="0" w:noHBand="0" w:noVBand="1"/>
      </w:tblPr>
      <w:tblGrid>
        <w:gridCol w:w="1211"/>
        <w:gridCol w:w="3433"/>
        <w:gridCol w:w="1701"/>
        <w:gridCol w:w="1134"/>
        <w:gridCol w:w="170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211"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433"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Naziv</w:t>
            </w:r>
          </w:p>
        </w:tc>
        <w:tc>
          <w:tcPr>
            <w:tcW w:w="1701"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701"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1"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MK</w:t>
            </w:r>
          </w:p>
        </w:tc>
        <w:tc>
          <w:tcPr>
            <w:tcW w:w="3433" w:type="dxa"/>
            <w:tcBorders>
              <w:top w:val="single" w:sz="8" w:space="0" w:color="A7BFDE"/>
              <w:left w:val="single" w:sz="8" w:space="0" w:color="A7BFDE"/>
              <w:right w:val="single" w:sz="8" w:space="0" w:color="A7BFDE"/>
            </w:tcBorders>
            <w:shd w:val="clear" w:color="auto" w:fill="A7BFDE"/>
            <w:vAlign w:val="center"/>
          </w:tcPr>
          <w:p w:rsidR="00A720EA" w:rsidRPr="00D050E9" w:rsidRDefault="00A720EA" w:rsidP="00A720EA">
            <w:pPr>
              <w:spacing w:before="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Financiranje ustvarjanja programskih vsebin in razvoja tehnične infrastrukture na področju medijev</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avdiovizualna dela</w:t>
            </w: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701"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5.750.695,00</w:t>
            </w:r>
          </w:p>
        </w:tc>
      </w:tr>
    </w:tbl>
    <w:p w:rsidR="00A720EA" w:rsidRPr="00D050E9" w:rsidRDefault="00A720EA" w:rsidP="00A720EA">
      <w:pPr>
        <w:spacing w:line="276" w:lineRule="auto"/>
        <w:rPr>
          <w:rFonts w:asciiTheme="minorHAnsi" w:hAnsiTheme="minorHAnsi" w:cs="Arial"/>
          <w:highlight w:val="yellow"/>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b/>
          <w:i/>
        </w:rPr>
        <w:t>Učinki državne pomoči so pozitivni</w:t>
      </w:r>
      <w:r w:rsidRPr="00D050E9">
        <w:rPr>
          <w:rFonts w:asciiTheme="minorHAnsi" w:hAnsiTheme="minorHAnsi" w:cs="Arial"/>
        </w:rPr>
        <w:t xml:space="preserve">, saj resorno ministrstvo z izborom podprtih projektov oz. programskih vsebin sledi ciljem zagotavljanja medijskega pluralizma, opredeljenimi v ZMed. Številčno je bilo v tem obdobju glede na javno finančno situacijo podprtih nekoliko več projektov. </w:t>
      </w:r>
      <w:r w:rsidRPr="00D050E9">
        <w:rPr>
          <w:rFonts w:asciiTheme="minorHAnsi" w:hAnsiTheme="minorHAnsi" w:cs="Arial"/>
          <w:iCs/>
        </w:rPr>
        <w:t xml:space="preserve">ZMed v </w:t>
      </w:r>
      <w:r w:rsidRPr="00D050E9">
        <w:rPr>
          <w:rFonts w:asciiTheme="minorHAnsi" w:hAnsiTheme="minorHAnsi" w:cs="Arial"/>
        </w:rPr>
        <w:t xml:space="preserve">85. členu </w:t>
      </w:r>
      <w:r w:rsidRPr="00D050E9">
        <w:rPr>
          <w:rFonts w:asciiTheme="minorHAnsi" w:hAnsiTheme="minorHAnsi" w:cs="Arial"/>
          <w:iCs/>
        </w:rPr>
        <w:t xml:space="preserve">predpisuje zgolj minimalne deleže lastne produkcije, cilj pa je doseči čim višje. </w:t>
      </w:r>
      <w:r w:rsidRPr="00D050E9">
        <w:rPr>
          <w:rFonts w:asciiTheme="minorHAnsi" w:hAnsiTheme="minorHAnsi" w:cs="Arial"/>
        </w:rPr>
        <w:t xml:space="preserve">Po podatkih izdajateljev medijev se kaže povečanje deleža lastne produkcije v dnevnem oddajnem času zaradi sofinancirane programske vsebine. </w:t>
      </w:r>
      <w:r w:rsidRPr="00D050E9">
        <w:rPr>
          <w:rFonts w:asciiTheme="minorHAnsi" w:hAnsiTheme="minorHAnsi" w:cs="Arial"/>
          <w:b/>
          <w:i/>
        </w:rPr>
        <w:t>Število novih vpisov v razvidu medijev ostaja v povprečju zadnjih let, skupno število vpisanih medijev pa narašča iz leta v leto</w:t>
      </w:r>
      <w:r w:rsidRPr="00D050E9">
        <w:rPr>
          <w:rFonts w:asciiTheme="minorHAnsi" w:hAnsiTheme="minorHAnsi" w:cs="Arial"/>
        </w:rPr>
        <w:t>.</w:t>
      </w:r>
    </w:p>
    <w:p w:rsidR="0054155E" w:rsidRPr="00D050E9" w:rsidRDefault="0054155E" w:rsidP="0054155E">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Pospeševanje razvoja založniške dejavnosti v Sloveniji</w:t>
      </w:r>
      <w:r w:rsidRPr="00D050E9">
        <w:rPr>
          <w:rFonts w:asciiTheme="minorHAnsi" w:hAnsiTheme="minorHAnsi" w:cs="Arial"/>
        </w:rPr>
        <w:t xml:space="preserve"> </w:t>
      </w:r>
      <w:r w:rsidRPr="00D050E9">
        <w:rPr>
          <w:rFonts w:asciiTheme="minorHAnsi" w:hAnsiTheme="minorHAnsi" w:cs="Arial"/>
          <w:sz w:val="20"/>
          <w:szCs w:val="20"/>
        </w:rPr>
        <w:t>(0001-5228000-2004)</w:t>
      </w:r>
      <w:r w:rsidRPr="00D050E9">
        <w:rPr>
          <w:rFonts w:asciiTheme="minorHAnsi" w:hAnsiTheme="minorHAnsi" w:cs="Arial"/>
        </w:rPr>
        <w:tab/>
      </w:r>
    </w:p>
    <w:p w:rsidR="00A720EA" w:rsidRPr="00D050E9" w:rsidRDefault="00A720EA" w:rsidP="00A720EA">
      <w:pPr>
        <w:tabs>
          <w:tab w:val="left" w:pos="284"/>
        </w:tabs>
        <w:autoSpaceDE w:val="0"/>
        <w:autoSpaceDN w:val="0"/>
        <w:adjustRightInd w:val="0"/>
        <w:spacing w:line="276" w:lineRule="auto"/>
        <w:rPr>
          <w:rFonts w:asciiTheme="minorHAnsi" w:hAnsiTheme="minorHAnsi" w:cs="Arial"/>
        </w:rPr>
      </w:pPr>
      <w:r w:rsidRPr="00D050E9">
        <w:rPr>
          <w:rFonts w:asciiTheme="minorHAnsi" w:hAnsiTheme="minorHAnsi" w:cs="Arial"/>
        </w:rPr>
        <w:t xml:space="preserve">Javna agencija za knjigo Republike Slovenije (v nadaljevanju: JAK) opravlja skladno z veljavno zakonodajo določene naloge v javnem interesu z namenom </w:t>
      </w:r>
      <w:r w:rsidRPr="00D050E9">
        <w:rPr>
          <w:rFonts w:asciiTheme="minorHAnsi" w:hAnsiTheme="minorHAnsi" w:cs="Arial"/>
          <w:bCs/>
          <w:iCs/>
        </w:rPr>
        <w:t xml:space="preserve">zagotoviti trajne pogoje za razvoj in delovanje področja knjige </w:t>
      </w:r>
      <w:r w:rsidRPr="00D050E9">
        <w:rPr>
          <w:rFonts w:asciiTheme="minorHAnsi" w:hAnsiTheme="minorHAnsi" w:cs="Arial"/>
        </w:rPr>
        <w:t xml:space="preserve">ter </w:t>
      </w:r>
      <w:r w:rsidRPr="00D050E9">
        <w:rPr>
          <w:rFonts w:asciiTheme="minorHAnsi" w:hAnsiTheme="minorHAnsi" w:cs="Arial"/>
          <w:bCs/>
          <w:iCs/>
        </w:rPr>
        <w:t>strokovno in neodvisno odločati o izbiri programov in projektov</w:t>
      </w:r>
      <w:r w:rsidRPr="00D050E9">
        <w:rPr>
          <w:rFonts w:asciiTheme="minorHAnsi" w:hAnsiTheme="minorHAnsi" w:cs="Arial"/>
        </w:rPr>
        <w:t>, ki se financirajo iz državnega proračuna. Dolgoročni cilji JAK</w:t>
      </w:r>
      <w:r w:rsidRPr="00D050E9">
        <w:rPr>
          <w:rFonts w:asciiTheme="minorHAnsi" w:hAnsiTheme="minorHAnsi" w:cs="Arial"/>
          <w:b/>
          <w:bCs/>
          <w:lang w:eastAsia="sl-SI"/>
        </w:rPr>
        <w:t xml:space="preserve"> </w:t>
      </w:r>
      <w:r w:rsidRPr="00D050E9">
        <w:rPr>
          <w:rFonts w:asciiTheme="minorHAnsi" w:hAnsiTheme="minorHAnsi" w:cs="Arial"/>
        </w:rPr>
        <w:t>so zagotoviti ustrezno podporo posameznemu programu, pri tem pa zagotavljati tudi ustrezno skrb za avtorje in razvoj literarne ustvarjalnosti.</w:t>
      </w:r>
    </w:p>
    <w:p w:rsidR="0054155E" w:rsidRPr="00D050E9" w:rsidRDefault="0054155E" w:rsidP="0054155E">
      <w:pPr>
        <w:tabs>
          <w:tab w:val="left" w:pos="284"/>
        </w:tabs>
        <w:autoSpaceDE w:val="0"/>
        <w:autoSpaceDN w:val="0"/>
        <w:adjustRightInd w:val="0"/>
        <w:spacing w:after="0" w:line="276" w:lineRule="auto"/>
        <w:rPr>
          <w:rFonts w:asciiTheme="minorHAnsi" w:hAnsiTheme="minorHAnsi" w:cs="Arial"/>
        </w:rPr>
      </w:pPr>
    </w:p>
    <w:tbl>
      <w:tblPr>
        <w:tblStyle w:val="MediumGrid2-Accent5"/>
        <w:tblW w:w="9180" w:type="dxa"/>
        <w:tblLook w:val="04A0" w:firstRow="1" w:lastRow="0" w:firstColumn="1" w:lastColumn="0" w:noHBand="0" w:noVBand="1"/>
      </w:tblPr>
      <w:tblGrid>
        <w:gridCol w:w="1276"/>
        <w:gridCol w:w="4644"/>
        <w:gridCol w:w="1418"/>
        <w:gridCol w:w="1842"/>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276" w:type="dxa"/>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644"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MK</w:t>
            </w:r>
          </w:p>
        </w:tc>
        <w:tc>
          <w:tcPr>
            <w:tcW w:w="4644"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Spodbujanje kulture</w:t>
            </w:r>
          </w:p>
        </w:tc>
        <w:tc>
          <w:tcPr>
            <w:tcW w:w="141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11.066.444,69</w:t>
            </w:r>
          </w:p>
        </w:tc>
      </w:tr>
    </w:tbl>
    <w:p w:rsidR="00A720EA" w:rsidRPr="00D050E9" w:rsidRDefault="00A720EA" w:rsidP="00A720EA">
      <w:pPr>
        <w:spacing w:line="276" w:lineRule="auto"/>
        <w:rPr>
          <w:rFonts w:asciiTheme="minorHAnsi" w:hAnsiTheme="minorHAnsi" w:cs="Arial"/>
          <w:b/>
        </w:rPr>
      </w:pPr>
    </w:p>
    <w:p w:rsidR="00A720EA" w:rsidRPr="00D050E9" w:rsidRDefault="00A720EA" w:rsidP="0054155E">
      <w:pPr>
        <w:spacing w:after="0" w:line="276" w:lineRule="auto"/>
        <w:rPr>
          <w:rFonts w:asciiTheme="minorHAnsi" w:hAnsiTheme="minorHAnsi" w:cs="Arial"/>
        </w:rPr>
      </w:pPr>
      <w:r w:rsidRPr="00D050E9">
        <w:rPr>
          <w:rFonts w:asciiTheme="minorHAnsi" w:hAnsiTheme="minorHAnsi" w:cs="Arial"/>
        </w:rPr>
        <w:t xml:space="preserve">Izvedeni ukrepi se nanašajo na naslednja področja: </w:t>
      </w:r>
    </w:p>
    <w:p w:rsidR="00A720EA" w:rsidRPr="00D050E9" w:rsidRDefault="00A720EA" w:rsidP="0054155E">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izdajanje knjig in revij</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razvijanje bralne kulture</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organizacija literarnih festivalov, dogodkov, simpozijev in mednarodnih projektov</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zagotavljanje spodbud za knjigarniške mreže</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 xml:space="preserve">zagotavljanje delovnih štipendij za avtorje </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podpora projektom poklicnega usposabljanja na področju knjig</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podpora mobilnosti avtorjev v tujini</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podpora prevodom del slovenskih avtorjev v tuje jezike</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rezidenčne štipendije za slovenske avtorje v tujini in tuje prevajalce v Sloveniji</w:t>
      </w:r>
    </w:p>
    <w:p w:rsidR="00A720EA" w:rsidRPr="00D050E9" w:rsidRDefault="00A720EA" w:rsidP="00C93FA7">
      <w:pPr>
        <w:numPr>
          <w:ilvl w:val="0"/>
          <w:numId w:val="23"/>
        </w:numPr>
        <w:spacing w:after="0" w:line="276" w:lineRule="auto"/>
        <w:contextualSpacing/>
        <w:jc w:val="left"/>
        <w:rPr>
          <w:rFonts w:asciiTheme="minorHAnsi" w:hAnsiTheme="minorHAnsi" w:cs="Arial"/>
          <w:lang w:eastAsia="x-none"/>
        </w:rPr>
      </w:pPr>
      <w:r w:rsidRPr="00D050E9">
        <w:rPr>
          <w:rFonts w:asciiTheme="minorHAnsi" w:hAnsiTheme="minorHAnsi" w:cs="Arial"/>
          <w:lang w:eastAsia="x-none"/>
        </w:rPr>
        <w:t>podpora uspešnim prijaviteljem na razpisih EU.</w:t>
      </w:r>
    </w:p>
    <w:p w:rsidR="0054155E" w:rsidRPr="00D050E9" w:rsidRDefault="00A720EA" w:rsidP="0054155E">
      <w:pPr>
        <w:tabs>
          <w:tab w:val="left" w:pos="284"/>
        </w:tabs>
        <w:autoSpaceDE w:val="0"/>
        <w:autoSpaceDN w:val="0"/>
        <w:adjustRightInd w:val="0"/>
        <w:spacing w:after="0" w:line="276" w:lineRule="auto"/>
        <w:rPr>
          <w:rFonts w:asciiTheme="minorHAnsi" w:hAnsiTheme="minorHAnsi" w:cs="Arial"/>
        </w:rPr>
      </w:pPr>
      <w:r w:rsidRPr="00D050E9">
        <w:rPr>
          <w:rFonts w:asciiTheme="minorHAnsi" w:hAnsiTheme="minorHAnsi" w:cs="Arial"/>
        </w:rPr>
        <w:t>Javna agencija za knjigo RS je uspešno izvedla ukrepe, ki so bili priglašeni v shemi državne pomoči. Brez izvedbe teh ukrepov po oceni JAK ne bi bilo mogoče zagotavljati javnega interesa na področju kulture</w:t>
      </w:r>
      <w:r w:rsidR="0054155E" w:rsidRPr="00D050E9">
        <w:rPr>
          <w:rFonts w:asciiTheme="minorHAnsi" w:hAnsiTheme="minorHAnsi" w:cs="Arial"/>
        </w:rPr>
        <w:t xml:space="preserve"> (založniška dejavnost, knjige).</w:t>
      </w:r>
    </w:p>
    <w:p w:rsidR="00A720EA" w:rsidRPr="00D050E9" w:rsidRDefault="0054155E" w:rsidP="0054155E">
      <w:pPr>
        <w:tabs>
          <w:tab w:val="left" w:pos="284"/>
        </w:tabs>
        <w:autoSpaceDE w:val="0"/>
        <w:autoSpaceDN w:val="0"/>
        <w:adjustRightInd w:val="0"/>
        <w:spacing w:after="0" w:line="276" w:lineRule="auto"/>
        <w:rPr>
          <w:rFonts w:asciiTheme="minorHAnsi" w:hAnsiTheme="minorHAnsi" w:cs="Arial"/>
          <w:b/>
          <w:i/>
        </w:rPr>
      </w:pPr>
      <w:r w:rsidRPr="00D050E9">
        <w:rPr>
          <w:rFonts w:asciiTheme="minorHAnsi" w:hAnsiTheme="minorHAnsi" w:cs="Arial"/>
        </w:rPr>
        <w:t xml:space="preserve"> </w:t>
      </w:r>
      <w:r w:rsidR="00A720EA" w:rsidRPr="00D050E9">
        <w:rPr>
          <w:rFonts w:asciiTheme="minorHAnsi" w:hAnsiTheme="minorHAnsi" w:cs="Arial"/>
          <w:b/>
          <w:i/>
        </w:rPr>
        <w:t xml:space="preserve"> </w:t>
      </w:r>
    </w:p>
    <w:p w:rsidR="0054155E" w:rsidRPr="00D050E9" w:rsidRDefault="0054155E" w:rsidP="0054155E">
      <w:pPr>
        <w:tabs>
          <w:tab w:val="left" w:pos="284"/>
        </w:tabs>
        <w:autoSpaceDE w:val="0"/>
        <w:autoSpaceDN w:val="0"/>
        <w:adjustRightInd w:val="0"/>
        <w:spacing w:after="0" w:line="276" w:lineRule="auto"/>
        <w:rPr>
          <w:rFonts w:asciiTheme="minorHAnsi" w:hAnsiTheme="minorHAnsi" w:cs="Arial"/>
        </w:rPr>
      </w:pPr>
    </w:p>
    <w:p w:rsidR="00A720EA" w:rsidRPr="00D050E9" w:rsidRDefault="00A720EA" w:rsidP="00B9182A">
      <w:pPr>
        <w:pStyle w:val="Heading3USPENOST"/>
        <w:numPr>
          <w:ilvl w:val="2"/>
          <w:numId w:val="16"/>
        </w:numPr>
      </w:pPr>
      <w:bookmarkStart w:id="172" w:name="_Toc530654573"/>
      <w:r w:rsidRPr="00D050E9">
        <w:t>Usposabljanje</w:t>
      </w:r>
      <w:bookmarkEnd w:id="172"/>
    </w:p>
    <w:p w:rsidR="0054155E" w:rsidRPr="00D050E9" w:rsidRDefault="0054155E" w:rsidP="0054155E">
      <w:pPr>
        <w:spacing w:after="0" w:line="276" w:lineRule="auto"/>
        <w:rPr>
          <w:rFonts w:asciiTheme="minorHAnsi" w:hAnsiTheme="minorHAnsi" w:cs="Arial"/>
          <w:lang w:eastAsia="sl-SI"/>
        </w:rPr>
      </w:pP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 xml:space="preserve">Usposabljanje daje pozitivne učinke za celotno družbo, saj povečuje obseg kvalificirane delovne sile, iz katere lahko podjetja pritegnejo zaposlene, izboljšuje konkurenčnost ter ima pomembno vlogo pri strategiji zaposlovanja. Ker podjetja večinoma premalo vlagajo v usposabljanje svojih zaposlenih, še zlasti kadar je to usposabljanje splošne narave ter podjetju ne prinaša takojšnje in konkretne prednosti, lahko državna pomoč pripomore k odpravljanju te tržne pomanjkljivosti. </w:t>
      </w:r>
    </w:p>
    <w:p w:rsidR="00A720EA" w:rsidRPr="00D050E9" w:rsidRDefault="00A720EA" w:rsidP="00A720EA">
      <w:pPr>
        <w:spacing w:before="20" w:line="276" w:lineRule="auto"/>
        <w:rPr>
          <w:rFonts w:asciiTheme="minorHAnsi" w:hAnsiTheme="minorHAnsi" w:cs="Arial"/>
          <w:b/>
          <w:i/>
          <w:u w:val="single"/>
        </w:rPr>
      </w:pPr>
      <w:r w:rsidRPr="00D050E9">
        <w:rPr>
          <w:rFonts w:asciiTheme="minorHAnsi" w:hAnsiTheme="minorHAnsi" w:cs="Arial"/>
          <w:b/>
          <w:i/>
          <w:u w:val="single"/>
        </w:rPr>
        <w:t>Pomoči za usposabljanje</w:t>
      </w:r>
      <w:r w:rsidRPr="00D050E9">
        <w:rPr>
          <w:rFonts w:asciiTheme="minorHAnsi" w:hAnsiTheme="minorHAnsi" w:cs="Arial"/>
        </w:rPr>
        <w:t xml:space="preserve"> </w:t>
      </w:r>
      <w:r w:rsidRPr="00D050E9">
        <w:rPr>
          <w:rFonts w:asciiTheme="minorHAnsi" w:hAnsiTheme="minorHAnsi" w:cs="Arial"/>
          <w:sz w:val="20"/>
          <w:szCs w:val="20"/>
        </w:rPr>
        <w:t>(BE01-5022860-2016)</w:t>
      </w:r>
      <w:r w:rsidRPr="00D050E9">
        <w:rPr>
          <w:rFonts w:asciiTheme="minorHAnsi" w:hAnsiTheme="minorHAnsi" w:cs="Arial"/>
          <w:b/>
          <w:i/>
          <w:u w:val="single"/>
        </w:rPr>
        <w:t xml:space="preserve"> </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Namen ukrepa je vlaganje v zaposlene, katerih človeški kapital zagotavlja večjo stopnjo zaposljivosti, inovativnosti in gospodarske rasti. </w:t>
      </w:r>
    </w:p>
    <w:tbl>
      <w:tblPr>
        <w:tblStyle w:val="MediumGrid2-Accent5"/>
        <w:tblW w:w="9180" w:type="dxa"/>
        <w:tblBorders>
          <w:top w:val="single" w:sz="8" w:space="0" w:color="A7BFDE"/>
          <w:left w:val="single" w:sz="8" w:space="0" w:color="A7BFDE"/>
          <w:bottom w:val="single" w:sz="8" w:space="0" w:color="A7BFDE"/>
          <w:right w:val="single" w:sz="8" w:space="0" w:color="A7BFDE"/>
          <w:insideH w:val="single" w:sz="8" w:space="0" w:color="A7BFDE"/>
          <w:insideV w:val="single" w:sz="8" w:space="0" w:color="A7BFDE"/>
        </w:tblBorders>
        <w:tblLayout w:type="fixed"/>
        <w:tblLook w:val="04A0" w:firstRow="1" w:lastRow="0" w:firstColumn="1" w:lastColumn="0" w:noHBand="0" w:noVBand="1"/>
      </w:tblPr>
      <w:tblGrid>
        <w:gridCol w:w="1242"/>
        <w:gridCol w:w="3119"/>
        <w:gridCol w:w="1984"/>
        <w:gridCol w:w="1276"/>
        <w:gridCol w:w="1559"/>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242" w:type="dxa"/>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119" w:type="dxa"/>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Naziv</w:t>
            </w:r>
          </w:p>
        </w:tc>
        <w:tc>
          <w:tcPr>
            <w:tcW w:w="1984" w:type="dxa"/>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Namen</w:t>
            </w:r>
          </w:p>
        </w:tc>
        <w:tc>
          <w:tcPr>
            <w:tcW w:w="1276" w:type="dxa"/>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Instrument</w:t>
            </w:r>
          </w:p>
        </w:tc>
        <w:tc>
          <w:tcPr>
            <w:tcW w:w="1559" w:type="dxa"/>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color w:val="auto"/>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MDDSZ</w:t>
            </w:r>
          </w:p>
        </w:tc>
        <w:tc>
          <w:tcPr>
            <w:tcW w:w="3119" w:type="dxa"/>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Pomoči za usposabljanja – Kompetenčni centri za razvoj kadrov</w:t>
            </w:r>
          </w:p>
        </w:tc>
        <w:tc>
          <w:tcPr>
            <w:tcW w:w="1984" w:type="dxa"/>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usposabljanje</w:t>
            </w:r>
          </w:p>
        </w:tc>
        <w:tc>
          <w:tcPr>
            <w:tcW w:w="1276" w:type="dxa"/>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559" w:type="dxa"/>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589.196,75</w:t>
            </w:r>
          </w:p>
        </w:tc>
      </w:tr>
    </w:tbl>
    <w:p w:rsidR="00A720EA" w:rsidRPr="00D050E9" w:rsidRDefault="00A720EA" w:rsidP="0002140A">
      <w:pPr>
        <w:spacing w:after="0" w:line="276" w:lineRule="auto"/>
        <w:rPr>
          <w:rFonts w:asciiTheme="minorHAnsi" w:hAnsiTheme="minorHAnsi" w:cs="Arial"/>
          <w:lang w:eastAsia="sl-SI"/>
        </w:rPr>
      </w:pP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Program »Kompetenčni centri za razvoj kadrov« 2017 je z dodatnim vlaganjem v usposabljanja zaposlenih, spodbujanjem razvojnih sprememb v podjetjih ter krepitvijo mreženja in povezovanja podjetij usmerjen k dvigu konkurenčnosti slovenskega gospodarstva in izboljšanju položaja zaposlenih na trgu dela. V letu 2017 je v programu v 11 partnerstvih sodelovalo preko 241 podjetij s 35.801 zaposlenimi, ki so skupaj v letu 2017 realizirali 9.821 vključitev. V letu 2017 je bilo izplačanih 589.196,75 EUR, kar predstavlja 29,46 % finančne realizacije za leto 2017 (glede na načrtovano vrednost državnih pomoči za leto 2017).</w:t>
      </w:r>
    </w:p>
    <w:p w:rsidR="00A720EA" w:rsidRPr="00D050E9" w:rsidRDefault="00A720EA" w:rsidP="00A720EA">
      <w:pPr>
        <w:spacing w:line="276" w:lineRule="auto"/>
        <w:rPr>
          <w:rFonts w:asciiTheme="minorHAnsi" w:hAnsiTheme="minorHAnsi" w:cs="Arial"/>
          <w:lang w:eastAsia="sl-SI"/>
        </w:rPr>
      </w:pPr>
      <w:r w:rsidRPr="00D050E9">
        <w:rPr>
          <w:rFonts w:asciiTheme="minorHAnsi" w:hAnsiTheme="minorHAnsi" w:cs="Arial"/>
          <w:lang w:eastAsia="sl-SI"/>
        </w:rPr>
        <w:t xml:space="preserve">Kljub temu, da plan na nivoju programa/ukrepa še ni bil dosežen, je zelo velik odstotek vključitev realiziranih že v letu 2017 (78 %). </w:t>
      </w:r>
      <w:r w:rsidRPr="00D050E9">
        <w:rPr>
          <w:rFonts w:asciiTheme="minorHAnsi" w:hAnsiTheme="minorHAnsi" w:cs="Arial"/>
          <w:b/>
          <w:i/>
        </w:rPr>
        <w:t>Učinek ukrepa je ocenjen kot pozitiven.</w:t>
      </w:r>
      <w:r w:rsidRPr="00D050E9">
        <w:rPr>
          <w:rFonts w:asciiTheme="minorHAnsi" w:hAnsiTheme="minorHAnsi" w:cs="Arial"/>
        </w:rPr>
        <w:t xml:space="preserve"> Prav tako tudi </w:t>
      </w:r>
      <w:r w:rsidRPr="00D050E9">
        <w:rPr>
          <w:rFonts w:asciiTheme="minorHAnsi" w:hAnsiTheme="minorHAnsi" w:cs="Arial"/>
          <w:lang w:eastAsia="sl-SI"/>
        </w:rPr>
        <w:t>partnerstva poročajo o pozitivnih učinkih izobraževanja in usposabljanja v podjetjih, saj povečuje njihovo konkurenčnost na trgu.</w:t>
      </w:r>
    </w:p>
    <w:p w:rsidR="00A720EA" w:rsidRPr="00D050E9" w:rsidRDefault="00A720EA" w:rsidP="0002140A">
      <w:pPr>
        <w:tabs>
          <w:tab w:val="left" w:pos="284"/>
        </w:tabs>
        <w:autoSpaceDE w:val="0"/>
        <w:autoSpaceDN w:val="0"/>
        <w:adjustRightInd w:val="0"/>
        <w:spacing w:after="0" w:line="276" w:lineRule="auto"/>
        <w:rPr>
          <w:rFonts w:asciiTheme="minorHAnsi" w:hAnsiTheme="minorHAnsi" w:cs="Arial"/>
          <w:highlight w:val="yellow"/>
        </w:rPr>
      </w:pPr>
    </w:p>
    <w:p w:rsidR="00A720EA" w:rsidRPr="00D050E9" w:rsidRDefault="00A720EA" w:rsidP="00A720EA">
      <w:pPr>
        <w:spacing w:before="20" w:line="276" w:lineRule="auto"/>
        <w:rPr>
          <w:rFonts w:asciiTheme="minorHAnsi" w:hAnsiTheme="minorHAnsi" w:cs="Arial"/>
          <w:b/>
          <w:i/>
          <w:u w:val="single"/>
        </w:rPr>
      </w:pPr>
      <w:r w:rsidRPr="00D050E9">
        <w:rPr>
          <w:rFonts w:asciiTheme="minorHAnsi" w:hAnsiTheme="minorHAnsi" w:cs="Arial"/>
          <w:b/>
          <w:i/>
          <w:u w:val="single"/>
        </w:rPr>
        <w:t>Programi usposabljanja</w:t>
      </w:r>
      <w:r w:rsidRPr="00D050E9">
        <w:rPr>
          <w:rFonts w:asciiTheme="minorHAnsi" w:hAnsiTheme="minorHAnsi" w:cs="Arial"/>
        </w:rPr>
        <w:t xml:space="preserve"> </w:t>
      </w:r>
      <w:r w:rsidRPr="00D050E9">
        <w:rPr>
          <w:rFonts w:asciiTheme="minorHAnsi" w:hAnsiTheme="minorHAnsi" w:cs="Arial"/>
          <w:sz w:val="20"/>
          <w:szCs w:val="20"/>
        </w:rPr>
        <w:t>(BE01-5022860-2011)</w:t>
      </w:r>
      <w:r w:rsidRPr="00D050E9">
        <w:rPr>
          <w:rFonts w:asciiTheme="minorHAnsi" w:hAnsiTheme="minorHAnsi" w:cs="Arial"/>
          <w:b/>
          <w:i/>
          <w:u w:val="single"/>
        </w:rPr>
        <w:t xml:space="preserve"> </w:t>
      </w:r>
    </w:p>
    <w:p w:rsidR="00A720EA" w:rsidRDefault="00A720EA" w:rsidP="0054155E">
      <w:pPr>
        <w:spacing w:line="276" w:lineRule="auto"/>
        <w:rPr>
          <w:rFonts w:asciiTheme="minorHAnsi" w:hAnsiTheme="minorHAnsi"/>
        </w:rPr>
      </w:pPr>
      <w:r w:rsidRPr="00D050E9">
        <w:rPr>
          <w:rFonts w:asciiTheme="minorHAnsi" w:hAnsiTheme="minorHAnsi"/>
        </w:rPr>
        <w:t>Poglavitni cilj sheme »Programi usposabljanja« je povečati konkurenčnost in prilagodljivost podjetij s spodbujanjem pridobivanja novih znanj. Za dosego teh ciljev je Ministrstvo za delo, družino in socialne zadeve opredelilo cilje in definiralo kazalce, s katerimi bodo merili uspešnost in učinkovitost dodeljenih državnih pomoči.</w:t>
      </w:r>
    </w:p>
    <w:tbl>
      <w:tblPr>
        <w:tblStyle w:val="MediumGrid2-Accent5"/>
        <w:tblW w:w="9180" w:type="dxa"/>
        <w:shd w:val="clear" w:color="auto" w:fill="D3DFEE"/>
        <w:tblLayout w:type="fixed"/>
        <w:tblLook w:val="04A0" w:firstRow="1" w:lastRow="0" w:firstColumn="1" w:lastColumn="0" w:noHBand="0" w:noVBand="1"/>
      </w:tblPr>
      <w:tblGrid>
        <w:gridCol w:w="1242"/>
        <w:gridCol w:w="4536"/>
        <w:gridCol w:w="1560"/>
        <w:gridCol w:w="1842"/>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242" w:type="dxa"/>
            <w:tcBorders>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536"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56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8" w:space="0" w:color="A7BFDE"/>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MDDSZ</w:t>
            </w:r>
          </w:p>
        </w:tc>
        <w:tc>
          <w:tcPr>
            <w:tcW w:w="4536"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splošno usposabljanje</w:t>
            </w:r>
          </w:p>
        </w:tc>
        <w:tc>
          <w:tcPr>
            <w:tcW w:w="1560"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575.338,37</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rPr>
                <w:rFonts w:asciiTheme="minorHAnsi" w:hAnsiTheme="minorHAnsi" w:cs="Arial"/>
                <w:color w:val="auto"/>
                <w:sz w:val="18"/>
                <w:szCs w:val="18"/>
                <w:lang w:eastAsia="sl-SI"/>
              </w:rPr>
            </w:pPr>
          </w:p>
        </w:tc>
        <w:tc>
          <w:tcPr>
            <w:tcW w:w="4536"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posebno usposabljanje</w:t>
            </w:r>
          </w:p>
        </w:tc>
        <w:tc>
          <w:tcPr>
            <w:tcW w:w="1560" w:type="dxa"/>
            <w:vMerge/>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842"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2.043,60</w:t>
            </w:r>
          </w:p>
        </w:tc>
      </w:tr>
      <w:tr w:rsidR="00A720EA" w:rsidRPr="00D050E9" w:rsidTr="00B9182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7BFDE"/>
              <w:right w:val="single" w:sz="8" w:space="0" w:color="A7BFDE"/>
            </w:tcBorders>
            <w:shd w:val="clear" w:color="auto" w:fill="auto"/>
            <w:vAlign w:val="center"/>
          </w:tcPr>
          <w:p w:rsidR="00A720EA" w:rsidRPr="00D050E9" w:rsidRDefault="00A720EA" w:rsidP="0054155E">
            <w:pPr>
              <w:spacing w:line="276" w:lineRule="auto"/>
              <w:jc w:val="center"/>
              <w:rPr>
                <w:rFonts w:asciiTheme="minorHAnsi" w:hAnsiTheme="minorHAnsi" w:cs="Arial"/>
                <w:sz w:val="18"/>
                <w:szCs w:val="18"/>
                <w:lang w:eastAsia="sl-SI"/>
              </w:rPr>
            </w:pPr>
          </w:p>
        </w:tc>
        <w:tc>
          <w:tcPr>
            <w:tcW w:w="4536" w:type="dxa"/>
            <w:tcBorders>
              <w:top w:val="single" w:sz="8" w:space="0" w:color="A7BFDE"/>
              <w:left w:val="single" w:sz="8" w:space="0" w:color="A7BFDE"/>
              <w:bottom w:val="single" w:sz="8" w:space="0" w:color="A7BFDE"/>
              <w:right w:val="nil"/>
            </w:tcBorders>
            <w:shd w:val="clear" w:color="auto" w:fill="A7BFDE"/>
            <w:vAlign w:val="center"/>
          </w:tcPr>
          <w:p w:rsidR="00A720EA" w:rsidRPr="00D050E9" w:rsidRDefault="00A720EA" w:rsidP="00B918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1560" w:type="dxa"/>
            <w:tcBorders>
              <w:top w:val="single" w:sz="8" w:space="0" w:color="A7BFDE"/>
              <w:left w:val="nil"/>
              <w:bottom w:val="single" w:sz="8" w:space="0" w:color="A7BFDE"/>
              <w:right w:val="single" w:sz="8" w:space="0" w:color="A7BFDE"/>
            </w:tcBorders>
            <w:shd w:val="clear" w:color="auto" w:fill="A7BFDE"/>
            <w:vAlign w:val="center"/>
          </w:tcPr>
          <w:p w:rsidR="00A720EA" w:rsidRPr="00D050E9" w:rsidRDefault="00A720EA" w:rsidP="005415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1842"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A720EA" w:rsidRPr="00D050E9" w:rsidRDefault="00A720EA" w:rsidP="005415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577.381,97</w:t>
            </w:r>
          </w:p>
        </w:tc>
      </w:tr>
    </w:tbl>
    <w:p w:rsidR="00A720EA" w:rsidRPr="00D050E9" w:rsidRDefault="00A720EA" w:rsidP="0002140A">
      <w:pPr>
        <w:spacing w:after="0" w:line="276" w:lineRule="auto"/>
        <w:rPr>
          <w:rFonts w:asciiTheme="minorHAnsi" w:hAnsiTheme="minorHAnsi" w:cs="Arial"/>
        </w:rPr>
      </w:pPr>
    </w:p>
    <w:p w:rsidR="00A720EA" w:rsidRPr="00D050E9" w:rsidRDefault="00A720EA" w:rsidP="00B9182A">
      <w:pPr>
        <w:autoSpaceDE w:val="0"/>
        <w:autoSpaceDN w:val="0"/>
        <w:adjustRightInd w:val="0"/>
        <w:spacing w:after="0" w:line="276" w:lineRule="auto"/>
        <w:rPr>
          <w:rFonts w:asciiTheme="minorHAnsi" w:hAnsiTheme="minorHAnsi" w:cs="Arial"/>
        </w:rPr>
      </w:pPr>
      <w:r w:rsidRPr="00D050E9">
        <w:rPr>
          <w:rFonts w:asciiTheme="minorHAnsi" w:hAnsiTheme="minorHAnsi" w:cs="Arial"/>
        </w:rPr>
        <w:t xml:space="preserve">Med kazalniki za merjenje učinkovitosti dodeljenih državnih pomoči so: </w:t>
      </w:r>
    </w:p>
    <w:p w:rsidR="00A720EA" w:rsidRPr="00D050E9" w:rsidRDefault="00A720EA" w:rsidP="00B9182A">
      <w:pPr>
        <w:autoSpaceDE w:val="0"/>
        <w:autoSpaceDN w:val="0"/>
        <w:adjustRightInd w:val="0"/>
        <w:spacing w:after="0" w:line="276" w:lineRule="auto"/>
        <w:rPr>
          <w:rFonts w:asciiTheme="minorHAnsi" w:hAnsiTheme="minorHAnsi" w:cs="Arial"/>
        </w:rPr>
      </w:pPr>
      <w:r w:rsidRPr="00D050E9">
        <w:rPr>
          <w:rFonts w:asciiTheme="minorHAnsi" w:hAnsiTheme="minorHAnsi" w:cs="Arial"/>
        </w:rPr>
        <w:t>- število vključenih oseb: 6.000 letno,</w:t>
      </w:r>
    </w:p>
    <w:p w:rsidR="00A720EA" w:rsidRPr="00D050E9" w:rsidRDefault="00A720EA" w:rsidP="00B9182A">
      <w:pPr>
        <w:autoSpaceDE w:val="0"/>
        <w:autoSpaceDN w:val="0"/>
        <w:adjustRightInd w:val="0"/>
        <w:spacing w:after="0" w:line="276" w:lineRule="auto"/>
        <w:rPr>
          <w:rFonts w:asciiTheme="minorHAnsi" w:hAnsiTheme="minorHAnsi" w:cs="Arial"/>
        </w:rPr>
      </w:pPr>
      <w:r w:rsidRPr="00D050E9">
        <w:rPr>
          <w:rFonts w:asciiTheme="minorHAnsi" w:hAnsiTheme="minorHAnsi" w:cs="Arial"/>
        </w:rPr>
        <w:t>- število vključitev zaposlenih v usposabljanje: 10.000 letno,</w:t>
      </w:r>
    </w:p>
    <w:p w:rsidR="00A720EA" w:rsidRPr="00D050E9" w:rsidRDefault="00A720EA" w:rsidP="00B9182A">
      <w:pPr>
        <w:autoSpaceDE w:val="0"/>
        <w:autoSpaceDN w:val="0"/>
        <w:adjustRightInd w:val="0"/>
        <w:spacing w:after="0" w:line="276" w:lineRule="auto"/>
        <w:rPr>
          <w:rFonts w:asciiTheme="minorHAnsi" w:hAnsiTheme="minorHAnsi" w:cs="Arial"/>
        </w:rPr>
      </w:pPr>
      <w:r w:rsidRPr="00D050E9">
        <w:rPr>
          <w:rFonts w:asciiTheme="minorHAnsi" w:hAnsiTheme="minorHAnsi" w:cs="Arial"/>
        </w:rPr>
        <w:t>- število udeležencev, ki so uspešno dokončali program: 8.500 letno.</w:t>
      </w:r>
    </w:p>
    <w:p w:rsidR="00A720EA" w:rsidRPr="00D050E9" w:rsidRDefault="00A720EA" w:rsidP="00B9182A">
      <w:pPr>
        <w:autoSpaceDE w:val="0"/>
        <w:autoSpaceDN w:val="0"/>
        <w:adjustRightInd w:val="0"/>
        <w:spacing w:after="0" w:line="276" w:lineRule="auto"/>
        <w:rPr>
          <w:rFonts w:asciiTheme="minorHAnsi" w:hAnsiTheme="minorHAnsi" w:cs="Arial"/>
        </w:rPr>
      </w:pPr>
    </w:p>
    <w:p w:rsidR="00A720EA" w:rsidRPr="00D050E9" w:rsidRDefault="00A720EA" w:rsidP="00A720EA">
      <w:pPr>
        <w:tabs>
          <w:tab w:val="left" w:pos="284"/>
        </w:tabs>
        <w:autoSpaceDE w:val="0"/>
        <w:autoSpaceDN w:val="0"/>
        <w:adjustRightInd w:val="0"/>
        <w:spacing w:line="276" w:lineRule="auto"/>
        <w:rPr>
          <w:rFonts w:asciiTheme="minorHAnsi" w:hAnsiTheme="minorHAnsi" w:cs="Arial"/>
          <w:b/>
          <w:i/>
        </w:rPr>
      </w:pPr>
      <w:r w:rsidRPr="00D050E9">
        <w:rPr>
          <w:rFonts w:asciiTheme="minorHAnsi" w:hAnsiTheme="minorHAnsi" w:cs="Arial"/>
          <w:b/>
          <w:i/>
        </w:rPr>
        <w:t xml:space="preserve">V letu 2015 je bilo delodajalcem skupaj izplačano 575.338,37 EUR pomoči, kar predstavlja 87,5 % realizacijo plana. Realizirana izplačila so zajela skupaj 2.697 vključitev. Od začetka operacije v letu 2011 in do konca leta 2015 je bila s sofinanciranji dosežena 67-odstotna realizacija vključenih udeležencev in 47-odstotna realizacija števila udeležencev, ki so končali program usposabljanja. Učinek ukrepa je ocenjen kot pozitiven. </w:t>
      </w:r>
      <w:r w:rsidRPr="00D050E9">
        <w:rPr>
          <w:rFonts w:asciiTheme="minorHAnsi" w:hAnsiTheme="minorHAnsi" w:cs="Arial"/>
          <w:i/>
        </w:rPr>
        <w:t>V letih 2016 in 2017 ni bilo izplačil po tej shemi</w:t>
      </w:r>
      <w:r w:rsidRPr="00D050E9">
        <w:rPr>
          <w:rFonts w:asciiTheme="minorHAnsi" w:hAnsiTheme="minorHAnsi" w:cs="Arial"/>
          <w:b/>
          <w:i/>
        </w:rPr>
        <w:t>.</w:t>
      </w:r>
    </w:p>
    <w:p w:rsidR="00A720EA" w:rsidRPr="00D050E9" w:rsidRDefault="00A720EA" w:rsidP="00B9182A">
      <w:pPr>
        <w:tabs>
          <w:tab w:val="left" w:pos="284"/>
        </w:tabs>
        <w:autoSpaceDE w:val="0"/>
        <w:autoSpaceDN w:val="0"/>
        <w:adjustRightInd w:val="0"/>
        <w:spacing w:after="0" w:line="276" w:lineRule="auto"/>
        <w:rPr>
          <w:rFonts w:asciiTheme="minorHAnsi" w:hAnsiTheme="minorHAnsi" w:cs="Arial"/>
          <w:b/>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Program izvajanja finančnih spodbud MGRT – usposabljanje</w:t>
      </w:r>
      <w:r w:rsidRPr="00D050E9">
        <w:rPr>
          <w:rFonts w:asciiTheme="minorHAnsi" w:hAnsiTheme="minorHAnsi" w:cs="Arial"/>
        </w:rPr>
        <w:t xml:space="preserve"> </w:t>
      </w:r>
      <w:r w:rsidRPr="00D050E9">
        <w:rPr>
          <w:rFonts w:asciiTheme="minorHAnsi" w:hAnsiTheme="minorHAnsi" w:cs="Arial"/>
          <w:sz w:val="20"/>
          <w:szCs w:val="20"/>
        </w:rPr>
        <w:t>(BE02-2399245-2015)</w:t>
      </w:r>
      <w:r w:rsidRPr="00D050E9">
        <w:rPr>
          <w:rFonts w:asciiTheme="minorHAnsi" w:hAnsiTheme="minorHAnsi" w:cs="Arial"/>
        </w:rPr>
        <w:tab/>
      </w:r>
    </w:p>
    <w:p w:rsidR="00A720EA" w:rsidRDefault="00A720EA" w:rsidP="00A720EA">
      <w:pPr>
        <w:spacing w:before="20" w:line="276" w:lineRule="auto"/>
        <w:rPr>
          <w:rFonts w:asciiTheme="minorHAnsi" w:hAnsiTheme="minorHAnsi" w:cs="Arial"/>
        </w:rPr>
      </w:pPr>
      <w:r w:rsidRPr="00D050E9">
        <w:rPr>
          <w:rFonts w:asciiTheme="minorHAnsi" w:hAnsiTheme="minorHAnsi" w:cs="Arial"/>
        </w:rPr>
        <w:t>Cilji sheme so predvsem povečati znanje v podjetjih s področja mednarodnega poslovanja in s tem olajšati vstop slovenskim podjetjem na tuje trge.</w:t>
      </w:r>
    </w:p>
    <w:p w:rsidR="0002140A" w:rsidRPr="00D050E9" w:rsidRDefault="0002140A" w:rsidP="0002140A">
      <w:pPr>
        <w:spacing w:after="0" w:line="276" w:lineRule="auto"/>
        <w:rPr>
          <w:rFonts w:asciiTheme="minorHAnsi" w:hAnsiTheme="minorHAnsi" w:cs="Arial"/>
        </w:rPr>
      </w:pPr>
    </w:p>
    <w:tbl>
      <w:tblPr>
        <w:tblStyle w:val="MediumGrid2-Accent5"/>
        <w:tblW w:w="9180" w:type="dxa"/>
        <w:shd w:val="clear" w:color="auto" w:fill="D3DFEE"/>
        <w:tblLook w:val="04A0" w:firstRow="1" w:lastRow="0" w:firstColumn="1" w:lastColumn="0" w:noHBand="0" w:noVBand="1"/>
      </w:tblPr>
      <w:tblGrid>
        <w:gridCol w:w="1085"/>
        <w:gridCol w:w="4693"/>
        <w:gridCol w:w="1560"/>
        <w:gridCol w:w="1842"/>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085" w:type="dxa"/>
            <w:tcBorders>
              <w:bottom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4693"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56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842"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5" w:type="dxa"/>
            <w:tcBorders>
              <w:top w:val="single" w:sz="8" w:space="0" w:color="A7BFDE"/>
              <w:right w:val="single" w:sz="8" w:space="0" w:color="A7BFDE"/>
            </w:tcBorders>
            <w:shd w:val="clear" w:color="auto" w:fill="auto"/>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4693"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splošno usposabljanje</w:t>
            </w:r>
          </w:p>
        </w:tc>
        <w:tc>
          <w:tcPr>
            <w:tcW w:w="1560"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842"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303.891,55</w:t>
            </w:r>
          </w:p>
        </w:tc>
      </w:tr>
    </w:tbl>
    <w:p w:rsidR="00A720EA" w:rsidRPr="00D050E9" w:rsidRDefault="00A720EA" w:rsidP="00B9182A">
      <w:pPr>
        <w:spacing w:after="0" w:line="276" w:lineRule="auto"/>
        <w:rPr>
          <w:rFonts w:asciiTheme="minorHAnsi" w:hAnsiTheme="minorHAnsi" w:cs="Arial"/>
        </w:rPr>
      </w:pPr>
    </w:p>
    <w:p w:rsidR="00A720EA" w:rsidRPr="00D050E9" w:rsidRDefault="00A720EA" w:rsidP="00B9182A">
      <w:pPr>
        <w:spacing w:line="276" w:lineRule="auto"/>
        <w:rPr>
          <w:rFonts w:asciiTheme="minorHAnsi" w:hAnsiTheme="minorHAnsi" w:cs="Arial"/>
        </w:rPr>
      </w:pPr>
      <w:r w:rsidRPr="00D050E9">
        <w:rPr>
          <w:rFonts w:asciiTheme="minorHAnsi" w:hAnsiTheme="minorHAnsi" w:cs="Arial"/>
        </w:rPr>
        <w:t>Leta 2017 je v programu izobraževanja za izvozni načrt sodelovalo 16 slovenskih podjetij. V okviru izobraževanja, pri katerem SPIRIT Slovenija sodeluje s partnersko institucijo - fundacijo ITM Worldwide, so vključena podjetja pripravila izvozni načrt svojih podjetij. Delo je potekalo v okviru delavnic in izobraževanj v Sloveniji ter mednarodnega izobraževanja na Švedskem. Vsa vključena podjetja so uspešno zaključila usposabljanje za pripravo izvoznega načrta in konec leta prejela mednarodno veljavno diplomo. Na podlagi rezultatov ankete vsi udeleženci izobraževanje ocenjujejo kot odlično, uspešno in potrebno. Program je v celoti izpolnil oziroma presegel njihova pričakovanja.</w:t>
      </w:r>
    </w:p>
    <w:p w:rsidR="00A720EA" w:rsidRPr="00D050E9" w:rsidRDefault="00A720EA" w:rsidP="00B9182A">
      <w:pPr>
        <w:spacing w:after="0" w:line="276" w:lineRule="auto"/>
        <w:rPr>
          <w:rFonts w:asciiTheme="minorHAnsi" w:hAnsiTheme="minorHAnsi" w:cs="Arial"/>
          <w:b/>
        </w:rPr>
      </w:pPr>
      <w:r w:rsidRPr="00D050E9">
        <w:rPr>
          <w:rFonts w:asciiTheme="minorHAnsi" w:hAnsiTheme="minorHAnsi" w:cs="Arial"/>
        </w:rPr>
        <w:t xml:space="preserve">Ocenjena realizacija obravnavanega ukrepa je </w:t>
      </w:r>
      <w:r w:rsidRPr="00D050E9">
        <w:rPr>
          <w:rFonts w:asciiTheme="minorHAnsi" w:hAnsiTheme="minorHAnsi" w:cs="Arial"/>
          <w:b/>
        </w:rPr>
        <w:t>106,67%, učinek pa pozitiven.</w:t>
      </w:r>
    </w:p>
    <w:p w:rsidR="00B9182A" w:rsidRPr="00D050E9" w:rsidRDefault="00B9182A" w:rsidP="00B9182A">
      <w:pPr>
        <w:spacing w:after="0" w:line="276" w:lineRule="auto"/>
        <w:rPr>
          <w:rFonts w:asciiTheme="minorHAnsi" w:hAnsiTheme="minorHAnsi"/>
        </w:rPr>
      </w:pPr>
    </w:p>
    <w:p w:rsidR="00A720EA" w:rsidRPr="00D050E9" w:rsidRDefault="00A720EA" w:rsidP="00B9182A">
      <w:pPr>
        <w:pStyle w:val="Heading3USPENOST"/>
        <w:numPr>
          <w:ilvl w:val="2"/>
          <w:numId w:val="16"/>
        </w:numPr>
      </w:pPr>
      <w:bookmarkStart w:id="173" w:name="_Toc465170739"/>
      <w:bookmarkStart w:id="174" w:name="_Toc470776361"/>
      <w:bookmarkStart w:id="175" w:name="_Toc497749229"/>
      <w:bookmarkStart w:id="176" w:name="_Toc501099236"/>
      <w:bookmarkStart w:id="177" w:name="_Toc530654574"/>
      <w:r w:rsidRPr="00D050E9">
        <w:t>Transport</w:t>
      </w:r>
      <w:bookmarkEnd w:id="173"/>
      <w:bookmarkEnd w:id="174"/>
      <w:bookmarkEnd w:id="175"/>
      <w:bookmarkEnd w:id="176"/>
      <w:bookmarkEnd w:id="177"/>
      <w:r w:rsidRPr="00D050E9">
        <w:t xml:space="preserve"> </w:t>
      </w:r>
    </w:p>
    <w:p w:rsidR="00A720EA" w:rsidRPr="00D050E9" w:rsidRDefault="00A720EA" w:rsidP="0002140A">
      <w:pPr>
        <w:tabs>
          <w:tab w:val="left" w:pos="284"/>
        </w:tabs>
        <w:autoSpaceDE w:val="0"/>
        <w:autoSpaceDN w:val="0"/>
        <w:adjustRightInd w:val="0"/>
        <w:spacing w:after="0" w:line="276" w:lineRule="auto"/>
        <w:rPr>
          <w:rFonts w:asciiTheme="minorHAnsi" w:hAnsiTheme="minorHAnsi" w:cs="Arial"/>
          <w:b/>
          <w:lang w:eastAsia="sl-SI"/>
        </w:rPr>
      </w:pPr>
    </w:p>
    <w:p w:rsidR="00A720EA" w:rsidRPr="00D050E9" w:rsidRDefault="00A720EA" w:rsidP="00B9182A">
      <w:pPr>
        <w:tabs>
          <w:tab w:val="left" w:pos="284"/>
        </w:tabs>
        <w:autoSpaceDE w:val="0"/>
        <w:autoSpaceDN w:val="0"/>
        <w:adjustRightInd w:val="0"/>
        <w:spacing w:after="0" w:line="276" w:lineRule="auto"/>
        <w:rPr>
          <w:rFonts w:asciiTheme="minorHAnsi" w:hAnsiTheme="minorHAnsi" w:cs="Arial"/>
          <w:b/>
          <w:lang w:eastAsia="sl-SI"/>
        </w:rPr>
      </w:pPr>
      <w:r w:rsidRPr="00D050E9">
        <w:rPr>
          <w:rFonts w:asciiTheme="minorHAnsi" w:hAnsiTheme="minorHAnsi" w:cs="Arial"/>
          <w:b/>
          <w:lang w:eastAsia="sl-SI"/>
        </w:rPr>
        <w:t xml:space="preserve">Kopenski transport </w:t>
      </w:r>
    </w:p>
    <w:p w:rsidR="00B9182A" w:rsidRPr="00D050E9" w:rsidRDefault="00B9182A" w:rsidP="00B9182A">
      <w:pPr>
        <w:spacing w:before="20"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rPr>
      </w:pPr>
      <w:r w:rsidRPr="00D050E9">
        <w:rPr>
          <w:rFonts w:asciiTheme="minorHAnsi" w:hAnsiTheme="minorHAnsi" w:cs="Arial"/>
          <w:b/>
          <w:i/>
          <w:u w:val="single"/>
        </w:rPr>
        <w:t>Nadomestilo za prevoze potnikov v notranjem in čezmejnem regijskem železniškem prometu</w:t>
      </w:r>
      <w:r w:rsidRPr="00D050E9">
        <w:rPr>
          <w:rFonts w:asciiTheme="minorHAnsi" w:hAnsiTheme="minorHAnsi" w:cs="Arial"/>
        </w:rPr>
        <w:t xml:space="preserve"> </w:t>
      </w:r>
      <w:r w:rsidRPr="00D050E9">
        <w:rPr>
          <w:rFonts w:asciiTheme="minorHAnsi" w:hAnsiTheme="minorHAnsi" w:cs="Arial"/>
          <w:sz w:val="20"/>
          <w:szCs w:val="20"/>
        </w:rPr>
        <w:t>(0001-5028388-2003)</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Cilj priglašene sheme je zagotovitev mobilnosti prebivalstva v notranjem in čezmejnem regijskem železniškem prometu z izvajanjem voznega reda.</w:t>
      </w:r>
    </w:p>
    <w:tbl>
      <w:tblPr>
        <w:tblStyle w:val="MediumGrid2-Accent5"/>
        <w:tblW w:w="9180" w:type="dxa"/>
        <w:tblLook w:val="04A0" w:firstRow="1" w:lastRow="0" w:firstColumn="1" w:lastColumn="0" w:noHBand="0" w:noVBand="1"/>
      </w:tblPr>
      <w:tblGrid>
        <w:gridCol w:w="1384"/>
        <w:gridCol w:w="3969"/>
        <w:gridCol w:w="1559"/>
        <w:gridCol w:w="2268"/>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1384" w:type="dxa"/>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969"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559"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268" w:type="dxa"/>
            <w:tcBorders>
              <w:top w:val="single" w:sz="8" w:space="0" w:color="A7BFDE"/>
              <w:left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MZI</w:t>
            </w:r>
          </w:p>
        </w:tc>
        <w:tc>
          <w:tcPr>
            <w:tcW w:w="3969" w:type="dxa"/>
            <w:tcBorders>
              <w:top w:val="single" w:sz="8" w:space="0" w:color="A7BFDE"/>
              <w:left w:val="single" w:sz="8" w:space="0" w:color="A7BFDE"/>
              <w:bottom w:val="nil"/>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Nadomestitev stroškov infrastrukture v podjetjih, ki opravljajo posebno obliko transporta, ki jih druga podjetja nimajo</w:t>
            </w:r>
          </w:p>
        </w:tc>
        <w:tc>
          <w:tcPr>
            <w:tcW w:w="1559"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2268" w:type="dxa"/>
            <w:tcBorders>
              <w:top w:val="single" w:sz="8" w:space="0" w:color="A7BFDE"/>
              <w:left w:val="single" w:sz="8" w:space="0" w:color="A7BFDE"/>
              <w:bottom w:val="nil"/>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141.415.917,54</w:t>
            </w:r>
          </w:p>
        </w:tc>
      </w:tr>
    </w:tbl>
    <w:p w:rsidR="00A720EA" w:rsidRPr="00D050E9" w:rsidRDefault="00A720EA" w:rsidP="00A720EA">
      <w:pPr>
        <w:spacing w:line="276" w:lineRule="auto"/>
        <w:ind w:right="-1"/>
        <w:rPr>
          <w:rFonts w:asciiTheme="minorHAnsi" w:hAnsiTheme="minorHAnsi" w:cs="Arial"/>
          <w:lang w:eastAsia="sl-SI"/>
        </w:rPr>
      </w:pPr>
    </w:p>
    <w:p w:rsidR="00A720EA" w:rsidRPr="00D050E9" w:rsidRDefault="00A720EA" w:rsidP="00B9182A">
      <w:pPr>
        <w:spacing w:after="0" w:line="276" w:lineRule="auto"/>
        <w:rPr>
          <w:rFonts w:asciiTheme="minorHAnsi" w:hAnsiTheme="minorHAnsi" w:cs="Arial"/>
          <w:lang w:eastAsia="sl-SI"/>
        </w:rPr>
      </w:pPr>
      <w:r w:rsidRPr="00D050E9">
        <w:rPr>
          <w:rFonts w:asciiTheme="minorHAnsi" w:hAnsiTheme="minorHAnsi" w:cs="Arial"/>
          <w:lang w:eastAsia="sl-SI"/>
        </w:rPr>
        <w:t>Obvezno gospodarsko javno službo prevoza potnikov v notranjem in čezmejnem regijskem železniškem potniškem prometu skladno z zakonodajo izvaja prevoznik SŽ – Potniški promet, d.o.o. Na podlagi določil Uredbe o načinu izvajanja obvezne gospodarske javne službe prevoza potnikov v notranjem in čezmejnem regijskem železniškem prometu (Uradni list RS št. 99/08) ter pogodbe med državo in prevoznikom, se slednjemu izplačuje nadomestilo na opravljeni vlakovni kilometer za pokrivanje dela stroškov opravljanja storitev notranjega in čezmejnega regijskega železniškega potniškega prometa po veljavnem voznem redu in tarifni obveznosti. Višina nadomestila za pokrivanje dela stroškov izvajanja obvezne gospodarske javne službe prevoza potnikov v notranjem in čezmejnem regijskem železniškem prometu ne presega razlike med zmnožkom:</w:t>
      </w:r>
    </w:p>
    <w:p w:rsidR="00A720EA" w:rsidRPr="00D050E9" w:rsidRDefault="00A720EA" w:rsidP="00B9182A">
      <w:pPr>
        <w:numPr>
          <w:ilvl w:val="0"/>
          <w:numId w:val="29"/>
        </w:numPr>
        <w:spacing w:after="0" w:line="276" w:lineRule="auto"/>
        <w:rPr>
          <w:rFonts w:asciiTheme="minorHAnsi" w:hAnsiTheme="minorHAnsi" w:cs="Arial"/>
          <w:lang w:eastAsia="sl-SI"/>
        </w:rPr>
      </w:pPr>
      <w:r w:rsidRPr="00D050E9">
        <w:rPr>
          <w:rFonts w:asciiTheme="minorHAnsi" w:hAnsiTheme="minorHAnsi" w:cs="Arial"/>
          <w:lang w:eastAsia="sl-SI"/>
        </w:rPr>
        <w:t>opravljenih vlkm in tržne oz. ekonomske cene za vlkm ter</w:t>
      </w:r>
    </w:p>
    <w:p w:rsidR="00A720EA" w:rsidRPr="00D050E9" w:rsidRDefault="00A720EA" w:rsidP="00B9182A">
      <w:pPr>
        <w:numPr>
          <w:ilvl w:val="0"/>
          <w:numId w:val="29"/>
        </w:numPr>
        <w:spacing w:after="0" w:line="276" w:lineRule="auto"/>
        <w:rPr>
          <w:rFonts w:asciiTheme="minorHAnsi" w:hAnsiTheme="minorHAnsi" w:cs="Arial"/>
          <w:lang w:eastAsia="sl-SI"/>
        </w:rPr>
      </w:pPr>
      <w:r w:rsidRPr="00D050E9">
        <w:rPr>
          <w:rFonts w:asciiTheme="minorHAnsi" w:hAnsiTheme="minorHAnsi" w:cs="Arial"/>
          <w:lang w:eastAsia="sl-SI"/>
        </w:rPr>
        <w:t>opravljenih vlkm in dosežene tarifne cene za vlkm.</w:t>
      </w:r>
    </w:p>
    <w:p w:rsidR="00A720EA" w:rsidRPr="00D050E9" w:rsidRDefault="00A720EA" w:rsidP="00B9182A">
      <w:pPr>
        <w:spacing w:after="0" w:line="276" w:lineRule="auto"/>
        <w:rPr>
          <w:rFonts w:asciiTheme="minorHAnsi" w:hAnsiTheme="minorHAnsi" w:cs="Arial"/>
          <w:lang w:eastAsia="sl-SI"/>
        </w:rPr>
      </w:pPr>
    </w:p>
    <w:p w:rsidR="00A720EA" w:rsidRPr="00D050E9" w:rsidRDefault="00A720EA" w:rsidP="00A720EA">
      <w:pPr>
        <w:spacing w:line="276" w:lineRule="auto"/>
        <w:ind w:right="-1"/>
        <w:rPr>
          <w:rFonts w:asciiTheme="minorHAnsi" w:hAnsiTheme="minorHAnsi" w:cs="Arial"/>
          <w:b/>
          <w:i/>
          <w:lang w:eastAsia="sl-SI"/>
        </w:rPr>
      </w:pPr>
      <w:r w:rsidRPr="00D050E9">
        <w:rPr>
          <w:rFonts w:asciiTheme="minorHAnsi" w:hAnsiTheme="minorHAnsi" w:cs="Arial"/>
          <w:b/>
          <w:i/>
          <w:lang w:eastAsia="sl-SI"/>
        </w:rPr>
        <w:t xml:space="preserve">Realizacija opravljanja obvezne gospodarske javne službe v notranjem in čezmejnem regijskem železniškem potniškem prometu v letu 2017 je bila 10,61 mio vlakovnih kilometrov, kar je 96,5-odstotna realizacija glede na plan za to leto in 3,6 % več glede na referenčno leto 2016. </w:t>
      </w:r>
    </w:p>
    <w:p w:rsidR="00A720EA" w:rsidRPr="00D050E9" w:rsidRDefault="00A720EA" w:rsidP="00B9182A">
      <w:pPr>
        <w:spacing w:after="0" w:line="276" w:lineRule="auto"/>
        <w:rPr>
          <w:rFonts w:asciiTheme="minorHAnsi" w:hAnsiTheme="minorHAnsi" w:cs="Arial"/>
          <w:lang w:eastAsia="sl-SI"/>
        </w:rPr>
      </w:pPr>
    </w:p>
    <w:p w:rsidR="00A720EA" w:rsidRPr="00D050E9" w:rsidRDefault="00A720EA" w:rsidP="00B9182A">
      <w:pPr>
        <w:spacing w:after="0" w:line="276" w:lineRule="auto"/>
        <w:ind w:right="-1"/>
        <w:rPr>
          <w:rFonts w:asciiTheme="minorHAnsi" w:hAnsiTheme="minorHAnsi" w:cs="Arial"/>
          <w:b/>
          <w:lang w:eastAsia="sl-SI"/>
        </w:rPr>
      </w:pPr>
      <w:r w:rsidRPr="00D050E9">
        <w:rPr>
          <w:rFonts w:asciiTheme="minorHAnsi" w:hAnsiTheme="minorHAnsi" w:cs="Arial"/>
          <w:b/>
          <w:lang w:eastAsia="sl-SI"/>
        </w:rPr>
        <w:t>Morski transport</w:t>
      </w:r>
    </w:p>
    <w:p w:rsidR="00B9182A" w:rsidRPr="00D050E9" w:rsidRDefault="00B9182A" w:rsidP="0002140A">
      <w:pPr>
        <w:spacing w:after="0" w:line="276" w:lineRule="auto"/>
        <w:rPr>
          <w:rFonts w:asciiTheme="minorHAnsi" w:hAnsiTheme="minorHAnsi" w:cs="Arial"/>
          <w:b/>
          <w:i/>
          <w:u w:val="single"/>
        </w:rPr>
      </w:pPr>
    </w:p>
    <w:p w:rsidR="00A720EA" w:rsidRPr="00D050E9" w:rsidRDefault="00A720EA" w:rsidP="00A720EA">
      <w:pPr>
        <w:spacing w:before="20" w:line="276" w:lineRule="auto"/>
        <w:rPr>
          <w:rFonts w:asciiTheme="minorHAnsi" w:hAnsiTheme="minorHAnsi" w:cs="Arial"/>
          <w:sz w:val="20"/>
          <w:szCs w:val="20"/>
        </w:rPr>
      </w:pPr>
      <w:r w:rsidRPr="00D050E9">
        <w:rPr>
          <w:rFonts w:asciiTheme="minorHAnsi" w:hAnsiTheme="minorHAnsi" w:cs="Arial"/>
          <w:b/>
          <w:i/>
          <w:u w:val="single"/>
        </w:rPr>
        <w:t>Davek na tonažo</w:t>
      </w:r>
      <w:r w:rsidRPr="00D050E9">
        <w:rPr>
          <w:rFonts w:asciiTheme="minorHAnsi" w:hAnsiTheme="minorHAnsi" w:cs="Arial"/>
          <w:sz w:val="20"/>
          <w:szCs w:val="20"/>
        </w:rPr>
        <w:t xml:space="preserve"> (0001-5028256-2007)</w:t>
      </w:r>
    </w:p>
    <w:p w:rsidR="00A720EA" w:rsidRPr="00D050E9" w:rsidRDefault="00A720EA" w:rsidP="00A720EA">
      <w:pPr>
        <w:autoSpaceDE w:val="0"/>
        <w:autoSpaceDN w:val="0"/>
        <w:adjustRightInd w:val="0"/>
        <w:spacing w:line="276" w:lineRule="auto"/>
        <w:rPr>
          <w:rFonts w:asciiTheme="minorHAnsi" w:hAnsiTheme="minorHAnsi" w:cs="Arial"/>
          <w:lang w:eastAsia="sl-SI"/>
        </w:rPr>
      </w:pPr>
      <w:r w:rsidRPr="00D050E9">
        <w:rPr>
          <w:rFonts w:asciiTheme="minorHAnsi" w:hAnsiTheme="minorHAnsi" w:cs="Arial"/>
          <w:lang w:eastAsia="sl-SI"/>
        </w:rPr>
        <w:t>Velik del pomorske flote EU je registriran pod zastavami tretjih držav, ker te registracije še vedno omogočajo precejšnjo stroškovno prednost v primerjavi z registracijami flote držav članic. Več držav članic se je na to situacijo odzvalo z uvedbo sistemov davka na tonažo, pri čemer so hkrati znižale davek in prispevke za socialno varnost, ki se obračunavajo pomorščakom njihove skupnosti.</w:t>
      </w:r>
    </w:p>
    <w:p w:rsidR="00A720EA" w:rsidRPr="00D050E9" w:rsidRDefault="00A720EA" w:rsidP="00B9182A">
      <w:pPr>
        <w:autoSpaceDE w:val="0"/>
        <w:autoSpaceDN w:val="0"/>
        <w:adjustRightInd w:val="0"/>
        <w:spacing w:after="0" w:line="276" w:lineRule="auto"/>
        <w:rPr>
          <w:rFonts w:asciiTheme="minorHAnsi" w:hAnsiTheme="minorHAnsi" w:cs="Arial"/>
          <w:lang w:eastAsia="sl-SI"/>
        </w:rPr>
      </w:pPr>
    </w:p>
    <w:tbl>
      <w:tblPr>
        <w:tblStyle w:val="MediumGrid2-Accent5"/>
        <w:tblW w:w="9180" w:type="dxa"/>
        <w:tblLayout w:type="fixed"/>
        <w:tblLook w:val="04A0" w:firstRow="1" w:lastRow="0" w:firstColumn="1" w:lastColumn="0" w:noHBand="0" w:noVBand="1"/>
      </w:tblPr>
      <w:tblGrid>
        <w:gridCol w:w="1526"/>
        <w:gridCol w:w="3260"/>
        <w:gridCol w:w="1418"/>
        <w:gridCol w:w="425"/>
        <w:gridCol w:w="2551"/>
      </w:tblGrid>
      <w:tr w:rsidR="00A720EA" w:rsidRPr="00D050E9" w:rsidTr="00B9182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1526" w:type="dxa"/>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260"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843" w:type="dxa"/>
            <w:gridSpan w:val="2"/>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551" w:type="dxa"/>
            <w:tcBorders>
              <w:top w:val="single" w:sz="8" w:space="0" w:color="A7BFDE"/>
              <w:left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B918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MF</w:t>
            </w:r>
          </w:p>
        </w:tc>
        <w:tc>
          <w:tcPr>
            <w:tcW w:w="3260"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Morski promet</w:t>
            </w:r>
          </w:p>
        </w:tc>
        <w:tc>
          <w:tcPr>
            <w:tcW w:w="141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Davčne olajšave</w:t>
            </w:r>
          </w:p>
        </w:tc>
        <w:tc>
          <w:tcPr>
            <w:tcW w:w="2976" w:type="dxa"/>
            <w:gridSpan w:val="2"/>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2.086,36</w:t>
            </w:r>
          </w:p>
        </w:tc>
      </w:tr>
    </w:tbl>
    <w:p w:rsidR="00A720EA" w:rsidRPr="00D050E9" w:rsidRDefault="00A720EA" w:rsidP="00B9182A">
      <w:pPr>
        <w:spacing w:after="0" w:line="276" w:lineRule="auto"/>
        <w:rPr>
          <w:rFonts w:asciiTheme="minorHAnsi" w:hAnsiTheme="minorHAnsi" w:cs="Arial"/>
          <w:lang w:eastAsia="sl-SI"/>
        </w:rPr>
      </w:pPr>
    </w:p>
    <w:p w:rsidR="000473E5" w:rsidRPr="00D050E9" w:rsidRDefault="00A720EA" w:rsidP="00A720EA">
      <w:pPr>
        <w:autoSpaceDE w:val="0"/>
        <w:autoSpaceDN w:val="0"/>
        <w:adjustRightInd w:val="0"/>
        <w:spacing w:line="276" w:lineRule="auto"/>
        <w:rPr>
          <w:rFonts w:asciiTheme="minorHAnsi" w:hAnsiTheme="minorHAnsi" w:cs="Arial"/>
          <w:lang w:eastAsia="sl-SI"/>
        </w:rPr>
      </w:pPr>
      <w:r w:rsidRPr="00D050E9">
        <w:rPr>
          <w:rFonts w:asciiTheme="minorHAnsi" w:hAnsiTheme="minorHAnsi" w:cs="Arial"/>
          <w:lang w:eastAsia="sl-SI"/>
        </w:rPr>
        <w:t xml:space="preserve">Cilji sheme pri davku na tonažo so spodbuditi konkurenčnost slovenskih lastnikov ladij, ohranjanje delovnih mest ter pomorskega strokovnega znanja in izkušenj, podpreti razvoj pomorskega gospodarstva, zaposlovanje pomorščakov iz držav članic EU, registracija plovil v državah članicah, ustrezna prilagoditev slovenske davčne zakonodaje zakonodajam drugih pomorskih držav članic EU ter prispevati k povezovanju pomorskih gospodarstev držav članic, ob istočasnem ohranjanju splošne konkurenčnosti flote. Poleg tega je dostop do davka na tonažo odvisen od zahtev glede usposabljanja in zlasti od zaposlovanja pomorskih kadetov na krovu plovil, vključenih v sistem davka na </w:t>
      </w:r>
      <w:r w:rsidRPr="009F6E61">
        <w:rPr>
          <w:rFonts w:asciiTheme="minorHAnsi" w:hAnsiTheme="minorHAnsi" w:cs="Arial"/>
          <w:lang w:eastAsia="sl-SI"/>
        </w:rPr>
        <w:t xml:space="preserve">tonažo. </w:t>
      </w:r>
      <w:r w:rsidR="000473E5" w:rsidRPr="009F6E61">
        <w:rPr>
          <w:rFonts w:asciiTheme="minorHAnsi" w:hAnsiTheme="minorHAnsi" w:cs="Arial"/>
          <w:lang w:eastAsia="sl-SI"/>
        </w:rPr>
        <w:t>V povprečju morajo družbe, vključene v sistem davka na tonažo, zagotoviti vsaj eno delovno mesto za pomorščake pripravnike (kadete).</w:t>
      </w:r>
    </w:p>
    <w:p w:rsidR="00A720EA" w:rsidRPr="00D050E9" w:rsidRDefault="00A720EA" w:rsidP="00B9182A">
      <w:pPr>
        <w:spacing w:line="276" w:lineRule="auto"/>
        <w:rPr>
          <w:rFonts w:asciiTheme="minorHAnsi" w:hAnsiTheme="minorHAnsi"/>
        </w:rPr>
      </w:pPr>
      <w:r w:rsidRPr="00D050E9">
        <w:rPr>
          <w:rFonts w:asciiTheme="minorHAnsi" w:hAnsiTheme="minorHAnsi"/>
        </w:rPr>
        <w:t xml:space="preserve">Glede na izhodiščni datum 1. 1. 2008, so bili na ladjah, ki so bile vključene v sistem davka na tonažo, konec leta 2017 zaposleni trije pripravniki več (6 prej 3) državljani RS ali države članice EU. To število se je sicer glede na izhodiščno leto povečalo za 100 %, vendar precej manj od planiranega </w:t>
      </w:r>
      <w:r w:rsidRPr="00D050E9">
        <w:rPr>
          <w:rFonts w:asciiTheme="minorHAnsi" w:hAnsiTheme="minorHAnsi" w:cs="Arial"/>
          <w:lang w:eastAsia="sl-SI"/>
        </w:rPr>
        <w:t>650 % povečanja števila pomorščakov pripravnikov.</w:t>
      </w:r>
    </w:p>
    <w:p w:rsidR="00A720EA" w:rsidRPr="00D050E9" w:rsidRDefault="00A720EA" w:rsidP="00B9182A">
      <w:pPr>
        <w:spacing w:line="276" w:lineRule="auto"/>
        <w:rPr>
          <w:rFonts w:asciiTheme="minorHAnsi" w:hAnsiTheme="minorHAnsi" w:cs="Arial"/>
          <w:lang w:eastAsia="sl-SI"/>
        </w:rPr>
      </w:pPr>
      <w:r w:rsidRPr="000473E5">
        <w:rPr>
          <w:rFonts w:asciiTheme="minorHAnsi" w:hAnsiTheme="minorHAnsi"/>
        </w:rPr>
        <w:t>Drugi kriterij za oceno učinkovitosti se nanaša na tonažo</w:t>
      </w:r>
      <w:r w:rsidR="002F279C" w:rsidRPr="000473E5">
        <w:rPr>
          <w:rFonts w:asciiTheme="minorHAnsi" w:hAnsiTheme="minorHAnsi"/>
        </w:rPr>
        <w:t>.</w:t>
      </w:r>
      <w:r w:rsidRPr="000473E5">
        <w:rPr>
          <w:rFonts w:asciiTheme="minorHAnsi" w:hAnsiTheme="minorHAnsi"/>
        </w:rPr>
        <w:t xml:space="preserve"> Ta se je v letu 2017 glede na izhodiščno leto</w:t>
      </w:r>
      <w:r w:rsidRPr="00D050E9">
        <w:rPr>
          <w:rFonts w:asciiTheme="minorHAnsi" w:hAnsiTheme="minorHAnsi"/>
        </w:rPr>
        <w:t xml:space="preserve"> 2007 zmanjšala za 47 %, čeprav je bilo </w:t>
      </w:r>
      <w:r w:rsidRPr="00D050E9">
        <w:rPr>
          <w:rFonts w:asciiTheme="minorHAnsi" w:hAnsiTheme="minorHAnsi" w:cs="Arial"/>
          <w:lang w:eastAsia="sl-SI"/>
        </w:rPr>
        <w:t>planirano povečanje tonaže za 34 %.</w:t>
      </w:r>
    </w:p>
    <w:p w:rsidR="00A720EA" w:rsidRPr="00D050E9" w:rsidRDefault="00A720EA" w:rsidP="00B9182A">
      <w:pPr>
        <w:spacing w:after="0" w:line="276" w:lineRule="auto"/>
        <w:rPr>
          <w:rFonts w:asciiTheme="minorHAnsi" w:hAnsiTheme="minorHAnsi"/>
        </w:rPr>
      </w:pPr>
      <w:r w:rsidRPr="00D050E9">
        <w:rPr>
          <w:rFonts w:asciiTheme="minorHAnsi" w:hAnsiTheme="minorHAnsi" w:cs="Arial"/>
          <w:lang w:eastAsia="sl-SI"/>
        </w:rPr>
        <w:t xml:space="preserve">Glede na navedeno Ministrstvo za finance </w:t>
      </w:r>
      <w:r w:rsidRPr="00D050E9">
        <w:rPr>
          <w:rFonts w:asciiTheme="minorHAnsi" w:hAnsiTheme="minorHAnsi" w:cs="Arial"/>
          <w:b/>
          <w:i/>
          <w:lang w:eastAsia="sl-SI"/>
        </w:rPr>
        <w:t>shemo ocenjuje z oceno 2 (izmed 1-5)</w:t>
      </w:r>
      <w:r w:rsidRPr="00D050E9">
        <w:rPr>
          <w:rFonts w:asciiTheme="minorHAnsi" w:hAnsiTheme="minorHAnsi" w:cs="Arial"/>
          <w:lang w:eastAsia="sl-SI"/>
        </w:rPr>
        <w:t xml:space="preserve">, vendar je mnenja, </w:t>
      </w:r>
      <w:r w:rsidRPr="00D050E9">
        <w:rPr>
          <w:rFonts w:asciiTheme="minorHAnsi" w:hAnsiTheme="minorHAnsi"/>
        </w:rPr>
        <w:t xml:space="preserve">da je </w:t>
      </w:r>
      <w:r w:rsidRPr="00D050E9">
        <w:rPr>
          <w:rFonts w:asciiTheme="minorHAnsi" w:hAnsiTheme="minorHAnsi"/>
          <w:b/>
          <w:i/>
        </w:rPr>
        <w:t>dodeljena državna pomoč po predmetni shemi v okviru ciljev in namenov področja, za katerega se dodeljuje</w:t>
      </w:r>
      <w:r w:rsidRPr="00D050E9">
        <w:rPr>
          <w:rFonts w:asciiTheme="minorHAnsi" w:hAnsiTheme="minorHAnsi"/>
        </w:rPr>
        <w:t xml:space="preserve">. </w:t>
      </w:r>
    </w:p>
    <w:p w:rsidR="00B9182A" w:rsidRDefault="00B9182A" w:rsidP="00B9182A">
      <w:pPr>
        <w:spacing w:after="0"/>
        <w:rPr>
          <w:rFonts w:asciiTheme="minorHAnsi" w:hAnsiTheme="minorHAnsi"/>
          <w:b/>
        </w:rPr>
      </w:pPr>
    </w:p>
    <w:p w:rsidR="009F6E61" w:rsidRDefault="009F6E61" w:rsidP="00B9182A">
      <w:pPr>
        <w:spacing w:after="0"/>
        <w:rPr>
          <w:rFonts w:asciiTheme="minorHAnsi" w:hAnsiTheme="minorHAnsi"/>
          <w:b/>
        </w:rPr>
      </w:pPr>
    </w:p>
    <w:p w:rsidR="009F6E61" w:rsidRDefault="009F6E61" w:rsidP="00B9182A">
      <w:pPr>
        <w:spacing w:after="0"/>
        <w:rPr>
          <w:rFonts w:asciiTheme="minorHAnsi" w:hAnsiTheme="minorHAnsi"/>
          <w:b/>
        </w:rPr>
      </w:pPr>
    </w:p>
    <w:p w:rsidR="009F6E61" w:rsidRDefault="009F6E61" w:rsidP="00B9182A">
      <w:pPr>
        <w:spacing w:after="0"/>
        <w:rPr>
          <w:rFonts w:asciiTheme="minorHAnsi" w:hAnsiTheme="minorHAnsi"/>
          <w:b/>
        </w:rPr>
      </w:pPr>
    </w:p>
    <w:p w:rsidR="009F6E61" w:rsidRDefault="009F6E61" w:rsidP="00B9182A">
      <w:pPr>
        <w:spacing w:after="0"/>
        <w:rPr>
          <w:rFonts w:asciiTheme="minorHAnsi" w:hAnsiTheme="minorHAnsi"/>
          <w:b/>
        </w:rPr>
      </w:pPr>
    </w:p>
    <w:p w:rsidR="009F6E61" w:rsidRDefault="009F6E61" w:rsidP="00B9182A">
      <w:pPr>
        <w:spacing w:after="0"/>
        <w:rPr>
          <w:rFonts w:asciiTheme="minorHAnsi" w:hAnsiTheme="minorHAnsi"/>
          <w:b/>
        </w:rPr>
      </w:pPr>
    </w:p>
    <w:p w:rsidR="009F6E61" w:rsidRPr="00D050E9" w:rsidRDefault="009F6E61" w:rsidP="00B9182A">
      <w:pPr>
        <w:spacing w:after="0"/>
        <w:rPr>
          <w:rFonts w:asciiTheme="minorHAnsi" w:hAnsiTheme="minorHAnsi"/>
          <w:b/>
        </w:rPr>
      </w:pPr>
    </w:p>
    <w:p w:rsidR="00A720EA" w:rsidRPr="00D050E9" w:rsidRDefault="00A720EA" w:rsidP="00B9182A">
      <w:pPr>
        <w:spacing w:after="0"/>
        <w:rPr>
          <w:rFonts w:asciiTheme="minorHAnsi" w:hAnsiTheme="minorHAnsi"/>
          <w:b/>
        </w:rPr>
      </w:pPr>
      <w:r w:rsidRPr="00D050E9">
        <w:rPr>
          <w:rFonts w:asciiTheme="minorHAnsi" w:hAnsiTheme="minorHAnsi"/>
          <w:b/>
        </w:rPr>
        <w:t>Zračni transport</w:t>
      </w:r>
    </w:p>
    <w:p w:rsidR="00B9182A" w:rsidRPr="00D050E9" w:rsidRDefault="00B9182A" w:rsidP="00B9182A">
      <w:pPr>
        <w:spacing w:after="0" w:line="276" w:lineRule="auto"/>
        <w:rPr>
          <w:rFonts w:asciiTheme="minorHAnsi" w:hAnsiTheme="minorHAnsi" w:cs="Arial"/>
          <w:b/>
          <w:i/>
          <w:u w:val="single"/>
        </w:rPr>
      </w:pPr>
    </w:p>
    <w:p w:rsidR="00A720EA" w:rsidRPr="00D050E9" w:rsidRDefault="00A720EA" w:rsidP="00B9182A">
      <w:pPr>
        <w:spacing w:after="0" w:line="276" w:lineRule="auto"/>
        <w:rPr>
          <w:rFonts w:asciiTheme="minorHAnsi" w:hAnsiTheme="minorHAnsi" w:cs="Arial"/>
          <w:sz w:val="20"/>
          <w:szCs w:val="20"/>
        </w:rPr>
      </w:pPr>
      <w:r w:rsidRPr="00D050E9">
        <w:rPr>
          <w:rFonts w:asciiTheme="minorHAnsi" w:hAnsiTheme="minorHAnsi" w:cs="Arial"/>
          <w:b/>
          <w:i/>
          <w:u w:val="single"/>
        </w:rPr>
        <w:t>Pomoč za tekoče poslovanje regionalnim letališčem državnega pomena</w:t>
      </w:r>
      <w:r w:rsidRPr="00D050E9">
        <w:rPr>
          <w:rFonts w:asciiTheme="minorHAnsi" w:hAnsiTheme="minorHAnsi" w:cs="Arial"/>
          <w:sz w:val="20"/>
          <w:szCs w:val="20"/>
        </w:rPr>
        <w:t xml:space="preserve"> (BE01-2399270-2017)</w:t>
      </w:r>
    </w:p>
    <w:p w:rsidR="00A720EA" w:rsidRPr="00D050E9" w:rsidRDefault="00A720EA" w:rsidP="00B9182A">
      <w:pPr>
        <w:spacing w:after="0" w:line="276" w:lineRule="auto"/>
        <w:rPr>
          <w:rFonts w:asciiTheme="minorHAnsi" w:hAnsiTheme="minorHAnsi" w:cs="Arial"/>
          <w:sz w:val="20"/>
          <w:szCs w:val="20"/>
        </w:rPr>
      </w:pPr>
    </w:p>
    <w:p w:rsidR="00A720EA" w:rsidRPr="00D050E9" w:rsidRDefault="00A720EA" w:rsidP="00B9182A">
      <w:pPr>
        <w:spacing w:after="0" w:line="276" w:lineRule="auto"/>
        <w:rPr>
          <w:rFonts w:asciiTheme="minorHAnsi" w:hAnsiTheme="minorHAnsi" w:cs="Arial"/>
        </w:rPr>
      </w:pPr>
      <w:r w:rsidRPr="00D050E9">
        <w:rPr>
          <w:rFonts w:asciiTheme="minorHAnsi" w:hAnsiTheme="minorHAnsi" w:cs="Arial"/>
        </w:rPr>
        <w:t>Priglašena shema je namenjena dodeljevanju javnih sredstev za obratovanje regionalnih letališč državnega pomena, namenjenih za mednarodni zračni promet, ki imajo manj kot 200.000 potnikov letno, če prihodki obratovalca letališča ne zadoščajo za pokrivanje stroškov, ki nastanejo zaradi obveznosti izvajanja obveznih letaliških služb v skladu z zakonom, ki ureja letalstvo.</w:t>
      </w:r>
    </w:p>
    <w:p w:rsidR="00A720EA" w:rsidRPr="00D050E9" w:rsidRDefault="00A720EA" w:rsidP="00A720EA">
      <w:pPr>
        <w:rPr>
          <w:rFonts w:asciiTheme="minorHAnsi" w:hAnsiTheme="minorHAnsi"/>
        </w:rPr>
      </w:pPr>
    </w:p>
    <w:tbl>
      <w:tblPr>
        <w:tblStyle w:val="MediumGrid2-Accent5"/>
        <w:tblW w:w="9180" w:type="dxa"/>
        <w:tblLook w:val="04A0" w:firstRow="1" w:lastRow="0" w:firstColumn="1" w:lastColumn="0" w:noHBand="0" w:noVBand="1"/>
      </w:tblPr>
      <w:tblGrid>
        <w:gridCol w:w="1526"/>
        <w:gridCol w:w="3544"/>
        <w:gridCol w:w="1417"/>
        <w:gridCol w:w="2693"/>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1526" w:type="dxa"/>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544"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417"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693" w:type="dxa"/>
            <w:tcBorders>
              <w:top w:val="single" w:sz="8" w:space="0" w:color="A7BFDE"/>
              <w:left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MZI</w:t>
            </w:r>
          </w:p>
        </w:tc>
        <w:tc>
          <w:tcPr>
            <w:tcW w:w="3544" w:type="dxa"/>
            <w:tcBorders>
              <w:top w:val="single" w:sz="8" w:space="0" w:color="A7BFDE"/>
              <w:left w:val="single" w:sz="8" w:space="0" w:color="A7BFDE"/>
              <w:bottom w:val="nil"/>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Letališča, pomoč za tekče poslovanje</w:t>
            </w:r>
          </w:p>
        </w:tc>
        <w:tc>
          <w:tcPr>
            <w:tcW w:w="1417" w:type="dxa"/>
            <w:tcBorders>
              <w:top w:val="single" w:sz="8" w:space="0" w:color="A7BFDE"/>
              <w:left w:val="single" w:sz="8" w:space="0" w:color="A7BFDE"/>
              <w:bottom w:val="nil"/>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2693" w:type="dxa"/>
            <w:tcBorders>
              <w:top w:val="single" w:sz="8" w:space="0" w:color="A7BFDE"/>
              <w:left w:val="single" w:sz="8" w:space="0" w:color="A7BFDE"/>
              <w:bottom w:val="nil"/>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18"/>
                <w:szCs w:val="18"/>
                <w:lang w:eastAsia="sl-SI"/>
              </w:rPr>
            </w:pPr>
            <w:r w:rsidRPr="00D050E9">
              <w:rPr>
                <w:rFonts w:asciiTheme="minorHAnsi" w:hAnsiTheme="minorHAnsi" w:cs="Arial"/>
                <w:b/>
                <w:sz w:val="18"/>
                <w:szCs w:val="18"/>
                <w:lang w:eastAsia="sl-SI"/>
              </w:rPr>
              <w:t>605.388,00</w:t>
            </w:r>
          </w:p>
        </w:tc>
      </w:tr>
    </w:tbl>
    <w:p w:rsidR="00A720EA" w:rsidRPr="00D050E9" w:rsidRDefault="00A720EA" w:rsidP="00A720EA">
      <w:pPr>
        <w:rPr>
          <w:rFonts w:asciiTheme="minorHAnsi" w:hAnsiTheme="minorHAnsi"/>
        </w:rPr>
      </w:pPr>
    </w:p>
    <w:p w:rsidR="00A720EA" w:rsidRDefault="00A720EA" w:rsidP="00B9182A">
      <w:pPr>
        <w:spacing w:line="276" w:lineRule="auto"/>
        <w:rPr>
          <w:rFonts w:asciiTheme="minorHAnsi" w:hAnsiTheme="minorHAnsi" w:cs="Arial"/>
        </w:rPr>
      </w:pPr>
      <w:r w:rsidRPr="00D050E9">
        <w:rPr>
          <w:rFonts w:asciiTheme="minorHAnsi" w:hAnsiTheme="minorHAnsi" w:cs="Arial"/>
        </w:rPr>
        <w:t xml:space="preserve">Cilj priglašene sheme je ohranitev poslovanja letališča. Glede na kazalnike rezultatov je pričakovati </w:t>
      </w:r>
      <w:r w:rsidR="00B9182A" w:rsidRPr="00D050E9">
        <w:rPr>
          <w:rFonts w:asciiTheme="minorHAnsi" w:hAnsiTheme="minorHAnsi" w:cs="Arial"/>
        </w:rPr>
        <w:t xml:space="preserve">izničenje </w:t>
      </w:r>
      <w:r w:rsidRPr="00D050E9">
        <w:rPr>
          <w:rFonts w:asciiTheme="minorHAnsi" w:hAnsiTheme="minorHAnsi" w:cs="Arial"/>
        </w:rPr>
        <w:t xml:space="preserve">finančne vrzeli v poslovanju letališča Portorož v letu 2021 ter povečanje (ali ohranitev) števila potnikov na letališču. Po podatkih za začetno stanje je finančna vrzel v poslovanju letališča v letu 2016 znašala 440.946,66 EUR, število potnikov na letališču v letu 2016 pa je bilo 23.783. Ocenjevanje učinkovitosti dodeljenih sredstev bo potekalo letno, za preteklo leto, končni učinek pa bo znan leta 2021. </w:t>
      </w:r>
    </w:p>
    <w:p w:rsidR="009F6E61" w:rsidRPr="00D050E9" w:rsidRDefault="009F6E61" w:rsidP="009F6E61">
      <w:pPr>
        <w:spacing w:after="0" w:line="276" w:lineRule="auto"/>
        <w:rPr>
          <w:rFonts w:asciiTheme="minorHAnsi" w:hAnsiTheme="minorHAnsi" w:cs="Arial"/>
        </w:rPr>
      </w:pPr>
    </w:p>
    <w:p w:rsidR="00A720EA" w:rsidRPr="00D050E9" w:rsidRDefault="00A720EA" w:rsidP="00B9182A">
      <w:pPr>
        <w:pStyle w:val="Heading3USPENOST"/>
        <w:numPr>
          <w:ilvl w:val="2"/>
          <w:numId w:val="16"/>
        </w:numPr>
      </w:pPr>
      <w:bookmarkStart w:id="178" w:name="_Toc530654575"/>
      <w:r w:rsidRPr="00D050E9">
        <w:t>Premogovništvo</w:t>
      </w:r>
      <w:bookmarkEnd w:id="178"/>
    </w:p>
    <w:p w:rsidR="00A720EA" w:rsidRPr="00D050E9" w:rsidRDefault="00A720EA" w:rsidP="00B9182A">
      <w:pPr>
        <w:pStyle w:val="Heading3"/>
      </w:pPr>
    </w:p>
    <w:p w:rsidR="00A720EA" w:rsidRPr="00D050E9" w:rsidRDefault="00A720EA" w:rsidP="00A720EA">
      <w:pPr>
        <w:autoSpaceDE w:val="0"/>
        <w:autoSpaceDN w:val="0"/>
        <w:adjustRightInd w:val="0"/>
        <w:spacing w:line="276" w:lineRule="auto"/>
        <w:rPr>
          <w:rFonts w:asciiTheme="minorHAnsi" w:hAnsiTheme="minorHAnsi" w:cs="Arial"/>
        </w:rPr>
      </w:pPr>
      <w:r w:rsidRPr="00D050E9">
        <w:rPr>
          <w:rFonts w:asciiTheme="minorHAnsi" w:hAnsiTheme="minorHAnsi" w:cs="Arial"/>
        </w:rPr>
        <w:t>Glavni cilj priglašenega ukrepa je odložitev zaprtja Rudnika Trbovlje - Hrastnik, ki je bilo predvideno za konec leta 2009, do konca leta 2015. Sofinancirajo se izredni stroški po vnaprej odobrenem načrtu, ki nastajajo pri zapiranju rudnika in niso povezani s sedanjo proizvodnjo.</w:t>
      </w:r>
    </w:p>
    <w:p w:rsidR="00A720EA" w:rsidRPr="00D050E9" w:rsidRDefault="00A720EA" w:rsidP="00B9182A">
      <w:pPr>
        <w:spacing w:after="0" w:line="276" w:lineRule="auto"/>
        <w:rPr>
          <w:rFonts w:asciiTheme="minorHAnsi" w:hAnsiTheme="minorHAnsi" w:cs="Arial"/>
        </w:rPr>
      </w:pPr>
      <w:r w:rsidRPr="00D050E9">
        <w:rPr>
          <w:rFonts w:asciiTheme="minorHAnsi" w:hAnsiTheme="minorHAnsi" w:cs="Arial"/>
        </w:rPr>
        <w:t>Dinamika del na površini rudnika je določena glede na predvideno zmanjševanje velikosti vplivov preteklega rudarjenja, od zapiranja posameznih odkopnih polj ter od prostorskih in ureditvenih planov občin Trbovlje in Hrastnik ter razpoložljivih virov sredstev.</w:t>
      </w:r>
    </w:p>
    <w:p w:rsidR="00B9182A" w:rsidRPr="00D050E9" w:rsidRDefault="00B9182A" w:rsidP="00B9182A">
      <w:pPr>
        <w:spacing w:after="0" w:line="276" w:lineRule="auto"/>
        <w:rPr>
          <w:rFonts w:asciiTheme="minorHAnsi" w:hAnsiTheme="minorHAnsi" w:cs="Arial"/>
        </w:rPr>
      </w:pPr>
    </w:p>
    <w:tbl>
      <w:tblPr>
        <w:tblStyle w:val="MediumGrid2-Accent5"/>
        <w:tblW w:w="9180" w:type="dxa"/>
        <w:tblLayout w:type="fixed"/>
        <w:tblLook w:val="04A0" w:firstRow="1" w:lastRow="0" w:firstColumn="1" w:lastColumn="0" w:noHBand="0" w:noVBand="1"/>
      </w:tblPr>
      <w:tblGrid>
        <w:gridCol w:w="1085"/>
        <w:gridCol w:w="3026"/>
        <w:gridCol w:w="2234"/>
        <w:gridCol w:w="1134"/>
        <w:gridCol w:w="170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085" w:type="dxa"/>
            <w:tcBorders>
              <w:bottom w:val="single" w:sz="8" w:space="0" w:color="A7BFDE"/>
              <w:right w:val="single" w:sz="8" w:space="0" w:color="A7BFDE"/>
            </w:tcBorders>
            <w:vAlign w:val="center"/>
            <w:hideMark/>
          </w:tcPr>
          <w:p w:rsidR="00A720EA" w:rsidRPr="00D050E9" w:rsidRDefault="00A720EA" w:rsidP="00B9182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3026"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B918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Naziv</w:t>
            </w:r>
          </w:p>
        </w:tc>
        <w:tc>
          <w:tcPr>
            <w:tcW w:w="22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B918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B918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701"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B918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5" w:type="dxa"/>
            <w:tcBorders>
              <w:top w:val="single" w:sz="8" w:space="0" w:color="A7BFDE"/>
              <w:right w:val="single" w:sz="8" w:space="0" w:color="A7BFDE"/>
            </w:tcBorders>
            <w:vAlign w:val="center"/>
            <w:hideMark/>
          </w:tcPr>
          <w:p w:rsidR="00A720EA" w:rsidRPr="00D050E9" w:rsidRDefault="00A720EA" w:rsidP="00B9182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MZI</w:t>
            </w:r>
          </w:p>
        </w:tc>
        <w:tc>
          <w:tcPr>
            <w:tcW w:w="3026"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B9182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kritje izrednih stroškov RTH Rudnika Trbovlje Hrastnik d.o.o. (0001-5715334-2010)</w:t>
            </w:r>
          </w:p>
        </w:tc>
        <w:tc>
          <w:tcPr>
            <w:tcW w:w="2234"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B9182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Pomoči za pokrivanje izjemnih stroškov</w:t>
            </w: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B9182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701"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B9182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33.064.513,45</w:t>
            </w:r>
          </w:p>
        </w:tc>
      </w:tr>
    </w:tbl>
    <w:p w:rsidR="00A720EA" w:rsidRPr="00D050E9" w:rsidRDefault="00A720EA" w:rsidP="00B9182A">
      <w:pPr>
        <w:spacing w:after="0" w:line="276" w:lineRule="auto"/>
        <w:rPr>
          <w:rFonts w:asciiTheme="minorHAnsi" w:hAnsiTheme="minorHAnsi" w:cs="Arial"/>
        </w:rPr>
      </w:pPr>
      <w:r w:rsidRPr="00D050E9">
        <w:rPr>
          <w:rFonts w:asciiTheme="minorHAnsi" w:hAnsiTheme="minorHAnsi" w:cs="Arial"/>
        </w:rPr>
        <w:t>Zapiralna dela zajemajo vsa dela, ki so se vršila na področju likvidacije jam, vzdrževalnih del na površini, zapiralnih del na separaciji ter tudi del energije, porabljene za ta dela. Sanacija površin vključuje stroške sanacije površine, rušenje oz. obnove objektov na površini, rekultivacijo površine ter obnovo cest in ostale infrastrukture. V letu 2017 so skupni stroški zapiralnih del in sanacije površin za 6</w:t>
      </w:r>
      <w:r w:rsidR="007A2190">
        <w:rPr>
          <w:rFonts w:asciiTheme="minorHAnsi" w:hAnsiTheme="minorHAnsi" w:cs="Arial"/>
        </w:rPr>
        <w:t> </w:t>
      </w:r>
      <w:r w:rsidRPr="00D050E9">
        <w:rPr>
          <w:rFonts w:asciiTheme="minorHAnsi" w:hAnsiTheme="minorHAnsi" w:cs="Arial"/>
        </w:rPr>
        <w:t>% presegli načrtovane.</w:t>
      </w:r>
    </w:p>
    <w:p w:rsidR="00A720EA" w:rsidRPr="00D050E9" w:rsidRDefault="00A720EA" w:rsidP="00B9182A">
      <w:pPr>
        <w:spacing w:after="0" w:line="276" w:lineRule="auto"/>
        <w:rPr>
          <w:rFonts w:asciiTheme="minorHAnsi" w:hAnsiTheme="minorHAnsi" w:cs="Arial"/>
          <w:highlight w:val="yellow"/>
        </w:rPr>
      </w:pPr>
    </w:p>
    <w:p w:rsidR="00A720EA" w:rsidRPr="00D050E9" w:rsidRDefault="00A720EA" w:rsidP="00B9182A">
      <w:pPr>
        <w:spacing w:after="0" w:line="276" w:lineRule="auto"/>
        <w:rPr>
          <w:rFonts w:asciiTheme="minorHAnsi" w:hAnsiTheme="minorHAnsi" w:cs="Arial"/>
          <w:highlight w:val="yellow"/>
        </w:rPr>
      </w:pPr>
      <w:r w:rsidRPr="00D050E9">
        <w:rPr>
          <w:rFonts w:asciiTheme="minorHAnsi" w:hAnsiTheme="minorHAnsi" w:cs="Arial"/>
        </w:rPr>
        <w:t xml:space="preserve">Dela na likvidaciji jam in sanaciji površine so potekala na osnovi potrjenega letnega programa. Dinamika del na površini je določena glede na predvideno zmanjševanje velikosti vplivov preteklega rudarjenja, odvisna je tudi od zapiranja posameznih odkopnih polj, od prostorskih in ureditvenih planov občin Trbovlje in Hrastnik ter od razpoložljivih virov financiranja. </w:t>
      </w:r>
    </w:p>
    <w:p w:rsidR="00A720EA" w:rsidRPr="00D050E9" w:rsidRDefault="00A720EA" w:rsidP="00B9182A">
      <w:pPr>
        <w:spacing w:after="0" w:line="276" w:lineRule="auto"/>
        <w:rPr>
          <w:rFonts w:asciiTheme="minorHAnsi" w:hAnsiTheme="minorHAnsi" w:cs="Arial"/>
          <w:i/>
        </w:rPr>
      </w:pPr>
      <w:r w:rsidRPr="00D050E9">
        <w:rPr>
          <w:rFonts w:asciiTheme="minorHAnsi" w:hAnsiTheme="minorHAnsi" w:cs="Arial"/>
          <w:b/>
          <w:i/>
        </w:rPr>
        <w:t>Ekološka in prostorska sanacija površin RTH zaradi številnih dejavnikov ne poteka po predvidenih aktivnostih glede na celotno III. fazo zapiranja. Zaradi zmanjšanja proračunskih sredstev v obdobju 2012–2015 se nerealizirana predvidena dela zamikajo v obdobje po letu 2015. Učinki izvajanja kadrovsko socialnega programa postopnega zapiranja rudnika se odražajo v zmanjšanju števila zaposlenih za nedoločen čas. Cilj zmanjšanja zaposlenih za leto 2017 na 24 delavcev sicer ni bil dosežen, saj je bilo na dan 31. 12. 2017 zaposlenih še 26 delavcev, vendar je potrebno upoštevati, da so bili trije delavci v bolniškem staležu in jim je odpovedni rok že potekel.  Stroškovna realizacija je za skoraj 100 % presegla načrtovano</w:t>
      </w:r>
      <w:r w:rsidRPr="00D050E9">
        <w:rPr>
          <w:rFonts w:asciiTheme="minorHAnsi" w:hAnsiTheme="minorHAnsi" w:cs="Arial"/>
          <w:i/>
        </w:rPr>
        <w:t>.</w:t>
      </w:r>
    </w:p>
    <w:p w:rsidR="00B9182A" w:rsidRPr="00D050E9" w:rsidRDefault="00B9182A" w:rsidP="00B9182A">
      <w:pPr>
        <w:spacing w:after="0" w:line="276" w:lineRule="auto"/>
        <w:rPr>
          <w:rFonts w:asciiTheme="minorHAnsi" w:hAnsiTheme="minorHAnsi" w:cs="Arial"/>
          <w:i/>
        </w:rPr>
      </w:pPr>
    </w:p>
    <w:p w:rsidR="00A720EA" w:rsidRPr="00D050E9" w:rsidRDefault="00A720EA" w:rsidP="00B9182A">
      <w:pPr>
        <w:spacing w:after="0"/>
        <w:rPr>
          <w:rFonts w:asciiTheme="minorHAnsi" w:hAnsiTheme="minorHAnsi"/>
        </w:rPr>
      </w:pPr>
      <w:r w:rsidRPr="00D050E9">
        <w:rPr>
          <w:rFonts w:asciiTheme="minorHAnsi" w:hAnsiTheme="minorHAnsi" w:cs="Arial"/>
        </w:rPr>
        <w:t xml:space="preserve">                 </w:t>
      </w:r>
    </w:p>
    <w:p w:rsidR="00A720EA" w:rsidRPr="00D050E9" w:rsidRDefault="00A720EA" w:rsidP="00B9182A">
      <w:pPr>
        <w:pStyle w:val="Heading3USPENOST"/>
        <w:numPr>
          <w:ilvl w:val="2"/>
          <w:numId w:val="16"/>
        </w:numPr>
      </w:pPr>
      <w:bookmarkStart w:id="179" w:name="_Toc470776362"/>
      <w:bookmarkStart w:id="180" w:name="_Toc497749230"/>
      <w:bookmarkStart w:id="181" w:name="_Toc501099237"/>
      <w:bookmarkStart w:id="182" w:name="_Toc530654576"/>
      <w:r w:rsidRPr="00D050E9">
        <w:t>Reševanje in prestrukturiranje</w:t>
      </w:r>
      <w:bookmarkEnd w:id="179"/>
      <w:bookmarkEnd w:id="180"/>
      <w:bookmarkEnd w:id="181"/>
      <w:bookmarkEnd w:id="182"/>
    </w:p>
    <w:p w:rsidR="00A720EA" w:rsidRPr="00D050E9" w:rsidRDefault="00A720EA" w:rsidP="00B9182A">
      <w:pPr>
        <w:pStyle w:val="Heading3USPENOST"/>
      </w:pPr>
    </w:p>
    <w:p w:rsidR="00A720EA" w:rsidRPr="00D050E9" w:rsidRDefault="00A720EA" w:rsidP="00A720EA">
      <w:pPr>
        <w:autoSpaceDE w:val="0"/>
        <w:autoSpaceDN w:val="0"/>
        <w:adjustRightInd w:val="0"/>
        <w:spacing w:line="276" w:lineRule="auto"/>
        <w:rPr>
          <w:rFonts w:asciiTheme="minorHAnsi" w:hAnsiTheme="minorHAnsi" w:cs="Arial"/>
        </w:rPr>
      </w:pPr>
      <w:r w:rsidRPr="00D050E9">
        <w:rPr>
          <w:rFonts w:asciiTheme="minorHAnsi" w:hAnsiTheme="minorHAnsi" w:cs="Arial"/>
        </w:rPr>
        <w:t xml:space="preserve">Cilj sheme pomoči je reševanje in prestrukturiranje MSP v težavah. Pomoč ni vezana na določeno dejavnost in se lahko dodeli v obliki neposrednih nepovratnih sredstev, ugodnega posojila, subvencioniranih obresti ali jamstva. Za velika podjetja se dodeljujejo individualne pomoči, pri katerih je potrebno predhodno pridobiti soglasje Evropske komisije na posredovan program prestrukturiranja. </w:t>
      </w:r>
    </w:p>
    <w:p w:rsidR="00A720EA" w:rsidRPr="00D050E9" w:rsidRDefault="00A720EA" w:rsidP="00B9182A">
      <w:pPr>
        <w:autoSpaceDE w:val="0"/>
        <w:autoSpaceDN w:val="0"/>
        <w:adjustRightInd w:val="0"/>
        <w:spacing w:after="0" w:line="276" w:lineRule="auto"/>
        <w:rPr>
          <w:rFonts w:asciiTheme="minorHAnsi" w:hAnsiTheme="minorHAnsi" w:cs="Arial"/>
        </w:rPr>
      </w:pPr>
      <w:r w:rsidRPr="00D050E9">
        <w:rPr>
          <w:rFonts w:asciiTheme="minorHAnsi" w:hAnsiTheme="minorHAnsi" w:cs="Arial"/>
        </w:rPr>
        <w:t>Namen dodeljenih pomoči je sofinancirati izvajanje prestrukturiranj gospodarskih družb v težavah in s tem preprečiti večje socialne in gospodarske težave v okoljih, kjer te družbe delujejo.</w:t>
      </w:r>
    </w:p>
    <w:p w:rsidR="00A720EA" w:rsidRPr="00D050E9" w:rsidRDefault="00A720EA" w:rsidP="0002140A">
      <w:pPr>
        <w:autoSpaceDE w:val="0"/>
        <w:autoSpaceDN w:val="0"/>
        <w:adjustRightInd w:val="0"/>
        <w:spacing w:after="0" w:line="276" w:lineRule="auto"/>
        <w:rPr>
          <w:rFonts w:asciiTheme="minorHAnsi" w:hAnsiTheme="minorHAnsi" w:cs="Arial"/>
        </w:rPr>
      </w:pPr>
    </w:p>
    <w:tbl>
      <w:tblPr>
        <w:tblStyle w:val="MediumGrid2-Accent5"/>
        <w:tblpPr w:leftFromText="141" w:rightFromText="141" w:vertAnchor="text" w:tblpY="1"/>
        <w:tblOverlap w:val="never"/>
        <w:tblW w:w="9039" w:type="dxa"/>
        <w:tblLayout w:type="fixed"/>
        <w:tblLook w:val="04A0" w:firstRow="1" w:lastRow="0" w:firstColumn="1" w:lastColumn="0" w:noHBand="0" w:noVBand="1"/>
      </w:tblPr>
      <w:tblGrid>
        <w:gridCol w:w="1101"/>
        <w:gridCol w:w="2126"/>
        <w:gridCol w:w="1559"/>
        <w:gridCol w:w="1418"/>
        <w:gridCol w:w="1417"/>
        <w:gridCol w:w="1418"/>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31"/>
          <w:tblHeader/>
        </w:trPr>
        <w:tc>
          <w:tcPr>
            <w:cnfStyle w:val="001000000100" w:firstRow="0" w:lastRow="0" w:firstColumn="1" w:lastColumn="0" w:oddVBand="0" w:evenVBand="0" w:oddHBand="0" w:evenHBand="0" w:firstRowFirstColumn="1" w:firstRowLastColumn="0" w:lastRowFirstColumn="0" w:lastRowLastColumn="0"/>
            <w:tcW w:w="1101" w:type="dxa"/>
            <w:vMerge w:val="restart"/>
            <w:tcBorders>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2126" w:type="dxa"/>
            <w:vMerge w:val="restart"/>
            <w:tcBorders>
              <w:top w:val="single" w:sz="8" w:space="0" w:color="A7BFDE"/>
              <w:left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Naziv (matična številka priglasitve)</w:t>
            </w:r>
          </w:p>
        </w:tc>
        <w:tc>
          <w:tcPr>
            <w:tcW w:w="1559" w:type="dxa"/>
            <w:vMerge w:val="restart"/>
            <w:tcBorders>
              <w:top w:val="single" w:sz="8" w:space="0" w:color="A7BFDE"/>
              <w:left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418" w:type="dxa"/>
            <w:vMerge w:val="restart"/>
            <w:tcBorders>
              <w:top w:val="single" w:sz="8" w:space="0" w:color="A7BFDE"/>
              <w:left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2835" w:type="dxa"/>
            <w:gridSpan w:val="2"/>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100000000000" w:firstRow="1" w:lastRow="0" w:firstColumn="0" w:lastColumn="0" w:oddVBand="0" w:evenVBand="0" w:oddHBand="0" w:evenHBand="0" w:firstRowFirstColumn="0" w:firstRowLastColumn="0" w:lastRowFirstColumn="0" w:lastRowLastColumn="0"/>
          <w:trHeight w:val="231"/>
          <w:tblHeader/>
        </w:trPr>
        <w:tc>
          <w:tcPr>
            <w:cnfStyle w:val="001000000100" w:firstRow="0" w:lastRow="0" w:firstColumn="1" w:lastColumn="0" w:oddVBand="0" w:evenVBand="0" w:oddHBand="0" w:evenHBand="0" w:firstRowFirstColumn="1" w:firstRowLastColumn="0" w:lastRowFirstColumn="0" w:lastRowLastColumn="0"/>
            <w:tcW w:w="1101" w:type="dxa"/>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2126" w:type="dxa"/>
            <w:vMerge/>
            <w:tcBorders>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559" w:type="dxa"/>
            <w:vMerge/>
            <w:tcBorders>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418" w:type="dxa"/>
            <w:vMerge/>
            <w:tcBorders>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417" w:type="dxa"/>
            <w:tcBorders>
              <w:top w:val="single" w:sz="8" w:space="0" w:color="A7BFDE"/>
              <w:left w:val="single" w:sz="8" w:space="0" w:color="A7BFDE"/>
              <w:bottom w:val="single" w:sz="8" w:space="0" w:color="A7BFDE"/>
              <w:right w:val="single" w:sz="8" w:space="0" w:color="A7BFDE"/>
            </w:tcBorders>
            <w:shd w:val="clear" w:color="auto" w:fill="D3DFEE"/>
            <w:noWrap/>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8"/>
                <w:szCs w:val="18"/>
                <w:lang w:eastAsia="sl-SI"/>
              </w:rPr>
            </w:pPr>
            <w:r w:rsidRPr="00D050E9">
              <w:rPr>
                <w:rFonts w:asciiTheme="minorHAnsi" w:hAnsiTheme="minorHAnsi" w:cs="Arial"/>
                <w:sz w:val="18"/>
                <w:szCs w:val="18"/>
                <w:lang w:eastAsia="sl-SI"/>
              </w:rPr>
              <w:t>Bruto znesek</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18"/>
                <w:lang w:eastAsia="sl-SI"/>
              </w:rPr>
            </w:pPr>
            <w:r w:rsidRPr="00D050E9">
              <w:rPr>
                <w:rFonts w:asciiTheme="minorHAnsi" w:hAnsiTheme="minorHAnsi" w:cs="Arial"/>
                <w:sz w:val="18"/>
                <w:szCs w:val="18"/>
              </w:rPr>
              <w:t>Državna pomoč</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8" w:space="0" w:color="A7BFDE"/>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MGRT</w:t>
            </w:r>
          </w:p>
        </w:tc>
        <w:tc>
          <w:tcPr>
            <w:tcW w:w="2126"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D050E9">
              <w:rPr>
                <w:rFonts w:asciiTheme="minorHAnsi" w:hAnsiTheme="minorHAnsi" w:cs="Arial"/>
                <w:color w:val="000000"/>
                <w:sz w:val="18"/>
                <w:szCs w:val="18"/>
              </w:rPr>
              <w:t>Reševanje in prestrukturiranje gospodarskih družb in zadrug v težavah – SME (0001-2399245-2016)</w:t>
            </w:r>
          </w:p>
          <w:p w:rsidR="00A720EA" w:rsidRPr="00D050E9" w:rsidRDefault="00A720EA" w:rsidP="00A720E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p>
        </w:tc>
        <w:tc>
          <w:tcPr>
            <w:tcW w:w="1559"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Pomoči za reševanje finančnih problemov</w:t>
            </w:r>
          </w:p>
        </w:tc>
        <w:tc>
          <w:tcPr>
            <w:tcW w:w="141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Posojila podjetjem v težavah</w:t>
            </w:r>
          </w:p>
        </w:tc>
        <w:tc>
          <w:tcPr>
            <w:tcW w:w="1417"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650.000,00</w:t>
            </w:r>
          </w:p>
        </w:tc>
        <w:tc>
          <w:tcPr>
            <w:tcW w:w="1418"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18"/>
                <w:szCs w:val="18"/>
                <w:lang w:eastAsia="sl-SI"/>
              </w:rPr>
            </w:pPr>
            <w:r w:rsidRPr="00D050E9">
              <w:rPr>
                <w:rFonts w:asciiTheme="minorHAnsi" w:hAnsiTheme="minorHAnsi" w:cs="Arial"/>
                <w:bCs/>
                <w:sz w:val="18"/>
                <w:szCs w:val="18"/>
                <w:lang w:eastAsia="sl-SI"/>
              </w:rPr>
              <w:t>54.369,00</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lang w:eastAsia="sl-SI"/>
              </w:rPr>
            </w:pPr>
          </w:p>
        </w:tc>
        <w:tc>
          <w:tcPr>
            <w:tcW w:w="2126"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Program prestrukturiranja MLM d.d. (0003-2399245-2014)</w:t>
            </w:r>
          </w:p>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559"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Pomoči za prestrukturiranje</w:t>
            </w:r>
          </w:p>
        </w:tc>
        <w:tc>
          <w:tcPr>
            <w:tcW w:w="1418" w:type="dxa"/>
            <w:tcBorders>
              <w:top w:val="single" w:sz="8" w:space="0" w:color="A7BFDE"/>
              <w:left w:val="single" w:sz="8" w:space="0" w:color="A7BFDE"/>
              <w:bottom w:val="single" w:sz="8" w:space="0" w:color="A7BFDE"/>
              <w:right w:val="single" w:sz="8" w:space="0" w:color="A7BFDE"/>
            </w:tcBorders>
            <w:shd w:val="clear" w:color="auto" w:fill="D3DFEE"/>
            <w:hideMark/>
          </w:tcPr>
          <w:p w:rsidR="00A720EA" w:rsidRPr="00D050E9" w:rsidRDefault="00A720EA" w:rsidP="00A720EA">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050E9">
              <w:rPr>
                <w:rFonts w:asciiTheme="minorHAnsi" w:hAnsiTheme="minorHAnsi"/>
                <w:sz w:val="18"/>
                <w:szCs w:val="18"/>
              </w:rPr>
              <w:t>Posojila podjetjem v težavah</w:t>
            </w:r>
          </w:p>
        </w:tc>
        <w:tc>
          <w:tcPr>
            <w:tcW w:w="1417"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050E9">
              <w:rPr>
                <w:rFonts w:asciiTheme="minorHAnsi" w:hAnsiTheme="minorHAnsi"/>
                <w:sz w:val="18"/>
                <w:szCs w:val="18"/>
              </w:rPr>
              <w:t>764.339,58</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050E9">
              <w:rPr>
                <w:rFonts w:asciiTheme="minorHAnsi" w:hAnsiTheme="minorHAnsi"/>
                <w:sz w:val="18"/>
                <w:szCs w:val="18"/>
              </w:rPr>
              <w:t>764.339,58</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vAlign w:val="center"/>
            <w:hideMark/>
          </w:tcPr>
          <w:p w:rsidR="00A720EA" w:rsidRPr="00D050E9" w:rsidRDefault="00A720EA" w:rsidP="00A720EA">
            <w:pPr>
              <w:spacing w:line="276" w:lineRule="auto"/>
              <w:jc w:val="center"/>
              <w:rPr>
                <w:rFonts w:asciiTheme="minorHAnsi" w:hAnsiTheme="minorHAnsi" w:cs="Arial"/>
                <w:color w:val="auto"/>
                <w:sz w:val="18"/>
                <w:szCs w:val="18"/>
                <w:highlight w:val="yellow"/>
                <w:lang w:eastAsia="sl-SI"/>
              </w:rPr>
            </w:pPr>
          </w:p>
        </w:tc>
        <w:tc>
          <w:tcPr>
            <w:tcW w:w="2126" w:type="dxa"/>
            <w:vMerge/>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highlight w:val="yellow"/>
                <w:lang w:eastAsia="sl-SI"/>
              </w:rPr>
            </w:pPr>
          </w:p>
        </w:tc>
        <w:tc>
          <w:tcPr>
            <w:tcW w:w="1559" w:type="dxa"/>
            <w:vMerge/>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highlight w:val="yellow"/>
                <w:lang w:eastAsia="sl-SI"/>
              </w:rPr>
            </w:pPr>
          </w:p>
        </w:tc>
        <w:tc>
          <w:tcPr>
            <w:tcW w:w="1418" w:type="dxa"/>
            <w:tcBorders>
              <w:top w:val="single" w:sz="8" w:space="0" w:color="A7BFDE"/>
              <w:left w:val="single" w:sz="8" w:space="0" w:color="A7BFDE"/>
              <w:bottom w:val="single" w:sz="8" w:space="0" w:color="A7BFDE"/>
              <w:right w:val="nil"/>
            </w:tcBorders>
            <w:shd w:val="clear" w:color="auto" w:fill="A7BFDE"/>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050E9">
              <w:rPr>
                <w:rFonts w:asciiTheme="minorHAnsi" w:hAnsiTheme="minorHAnsi"/>
                <w:sz w:val="18"/>
                <w:szCs w:val="18"/>
              </w:rPr>
              <w:t>Konverzija dolga v lastniški delež</w:t>
            </w:r>
          </w:p>
        </w:tc>
        <w:tc>
          <w:tcPr>
            <w:tcW w:w="1417" w:type="dxa"/>
            <w:tcBorders>
              <w:top w:val="single" w:sz="8" w:space="0" w:color="A7BFDE"/>
              <w:left w:val="nil"/>
              <w:bottom w:val="single" w:sz="8" w:space="0" w:color="A7BFDE"/>
              <w:right w:val="single" w:sz="8" w:space="0" w:color="A7BFDE"/>
            </w:tcBorders>
            <w:shd w:val="clear" w:color="auto" w:fill="A7BFDE"/>
            <w:noWrap/>
            <w:vAlign w:val="center"/>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050E9">
              <w:rPr>
                <w:rFonts w:asciiTheme="minorHAnsi" w:hAnsiTheme="minorHAnsi"/>
                <w:sz w:val="18"/>
                <w:szCs w:val="18"/>
              </w:rPr>
              <w:t>4.335.660,42</w:t>
            </w:r>
          </w:p>
        </w:tc>
        <w:tc>
          <w:tcPr>
            <w:tcW w:w="1418" w:type="dxa"/>
            <w:tcBorders>
              <w:top w:val="single" w:sz="8" w:space="0" w:color="A7BFDE"/>
              <w:left w:val="nil"/>
              <w:bottom w:val="single" w:sz="8" w:space="0" w:color="A7BFDE"/>
              <w:right w:val="single" w:sz="8" w:space="0" w:color="A7BFDE"/>
            </w:tcBorders>
            <w:shd w:val="clear" w:color="auto" w:fill="A7BFDE"/>
            <w:vAlign w:val="center"/>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D050E9">
              <w:rPr>
                <w:rFonts w:asciiTheme="minorHAnsi" w:hAnsiTheme="minorHAnsi"/>
                <w:sz w:val="18"/>
                <w:szCs w:val="18"/>
              </w:rPr>
              <w:t>4.335.660,42</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color w:val="auto"/>
                <w:sz w:val="18"/>
                <w:szCs w:val="18"/>
                <w:lang w:eastAsia="sl-SI"/>
              </w:rPr>
            </w:pPr>
          </w:p>
        </w:tc>
        <w:tc>
          <w:tcPr>
            <w:tcW w:w="2126"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Program prestrukturiranja Polzela d.d. (0002-2399245-2014)</w:t>
            </w:r>
          </w:p>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559" w:type="dxa"/>
            <w:vMerge w:val="restart"/>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Pomoči za prestrukturiranje</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Konverzija dolga v lastniški delež</w:t>
            </w:r>
          </w:p>
        </w:tc>
        <w:tc>
          <w:tcPr>
            <w:tcW w:w="1417" w:type="dxa"/>
            <w:tcBorders>
              <w:top w:val="single" w:sz="8" w:space="0" w:color="A7BFDE"/>
              <w:left w:val="single" w:sz="8" w:space="0" w:color="A7BFDE"/>
              <w:bottom w:val="single" w:sz="8" w:space="0" w:color="A7BFDE"/>
              <w:right w:val="single" w:sz="8" w:space="0" w:color="A7BFDE"/>
            </w:tcBorders>
            <w:shd w:val="clear" w:color="auto" w:fill="D3DFE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922.853,58</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922.853,58</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2126"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559"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tc>
        <w:tc>
          <w:tcPr>
            <w:tcW w:w="1418" w:type="dxa"/>
            <w:tcBorders>
              <w:top w:val="single" w:sz="8" w:space="0" w:color="A7BFDE"/>
              <w:left w:val="single" w:sz="8" w:space="0" w:color="A7BFDE"/>
              <w:bottom w:val="single" w:sz="8" w:space="0" w:color="A7BFDE"/>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Ugodna posojila</w:t>
            </w:r>
          </w:p>
        </w:tc>
        <w:tc>
          <w:tcPr>
            <w:tcW w:w="1417" w:type="dxa"/>
            <w:tcBorders>
              <w:top w:val="single" w:sz="8" w:space="0" w:color="A7BFDE"/>
              <w:left w:val="nil"/>
              <w:bottom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800.000,00</w:t>
            </w:r>
          </w:p>
        </w:tc>
        <w:tc>
          <w:tcPr>
            <w:tcW w:w="1418" w:type="dxa"/>
            <w:tcBorders>
              <w:top w:val="single" w:sz="8" w:space="0" w:color="A7BFDE"/>
              <w:left w:val="nil"/>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800.000,00</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sz w:val="18"/>
                <w:szCs w:val="18"/>
                <w:lang w:eastAsia="sl-SI"/>
              </w:rPr>
            </w:pPr>
          </w:p>
        </w:tc>
        <w:tc>
          <w:tcPr>
            <w:tcW w:w="2126"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559" w:type="dxa"/>
            <w:vMerge/>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Garancije</w:t>
            </w:r>
          </w:p>
        </w:tc>
        <w:tc>
          <w:tcPr>
            <w:tcW w:w="1417" w:type="dxa"/>
            <w:tcBorders>
              <w:top w:val="single" w:sz="8" w:space="0" w:color="A7BFDE"/>
              <w:left w:val="single" w:sz="8" w:space="0" w:color="A7BFDE"/>
              <w:bottom w:val="single" w:sz="8" w:space="0" w:color="A7BFDE"/>
              <w:right w:val="single" w:sz="8" w:space="0" w:color="A7BFDE"/>
            </w:tcBorders>
            <w:shd w:val="clear" w:color="auto" w:fill="D3DFE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500.000,00</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500.000,00</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8" w:space="0" w:color="A7BFDE"/>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MF</w:t>
            </w:r>
          </w:p>
        </w:tc>
        <w:tc>
          <w:tcPr>
            <w:tcW w:w="2126"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r w:rsidRPr="00D050E9">
              <w:rPr>
                <w:rFonts w:asciiTheme="minorHAnsi" w:hAnsiTheme="minorHAnsi" w:cs="Arial"/>
                <w:sz w:val="18"/>
                <w:szCs w:val="18"/>
                <w:lang w:eastAsia="sl-SI"/>
              </w:rPr>
              <w:t>Program prestrukturiranja Cimos d.d. (0007-5028256-2013)</w:t>
            </w:r>
          </w:p>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eastAsia="sl-SI"/>
              </w:rPr>
            </w:pPr>
          </w:p>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p>
        </w:tc>
        <w:tc>
          <w:tcPr>
            <w:tcW w:w="1559" w:type="dxa"/>
            <w:vMerge w:val="restart"/>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Pomoči za prestrukturiranje</w:t>
            </w:r>
          </w:p>
        </w:tc>
        <w:tc>
          <w:tcPr>
            <w:tcW w:w="1418" w:type="dxa"/>
            <w:tcBorders>
              <w:top w:val="single" w:sz="8" w:space="0" w:color="A7BFDE"/>
              <w:left w:val="single" w:sz="8" w:space="0" w:color="A7BFDE"/>
              <w:bottom w:val="single" w:sz="8" w:space="0" w:color="A7BFDE"/>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Konverzija dolga v lastniški delež</w:t>
            </w:r>
          </w:p>
        </w:tc>
        <w:tc>
          <w:tcPr>
            <w:tcW w:w="1417" w:type="dxa"/>
            <w:tcBorders>
              <w:top w:val="single" w:sz="8" w:space="0" w:color="A7BFDE"/>
              <w:left w:val="nil"/>
              <w:bottom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46.097.403,20</w:t>
            </w:r>
          </w:p>
        </w:tc>
        <w:tc>
          <w:tcPr>
            <w:tcW w:w="1418" w:type="dxa"/>
            <w:tcBorders>
              <w:top w:val="single" w:sz="8" w:space="0" w:color="A7BFDE"/>
              <w:left w:val="nil"/>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46.097.403,20</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8" w:space="0" w:color="A7BFDE"/>
              <w:bottom w:val="single" w:sz="8" w:space="0" w:color="A7BFDE"/>
              <w:right w:val="single" w:sz="8" w:space="0" w:color="A7BFDE"/>
            </w:tcBorders>
          </w:tcPr>
          <w:p w:rsidR="00A720EA" w:rsidRPr="00D050E9" w:rsidRDefault="00A720EA" w:rsidP="00A720EA">
            <w:pPr>
              <w:spacing w:line="276" w:lineRule="auto"/>
              <w:rPr>
                <w:rFonts w:asciiTheme="minorHAnsi" w:hAnsiTheme="minorHAnsi" w:cs="Arial"/>
                <w:color w:val="auto"/>
                <w:sz w:val="18"/>
                <w:szCs w:val="18"/>
                <w:lang w:eastAsia="sl-SI"/>
              </w:rPr>
            </w:pPr>
          </w:p>
        </w:tc>
        <w:tc>
          <w:tcPr>
            <w:tcW w:w="2126" w:type="dxa"/>
            <w:vMerge/>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559" w:type="dxa"/>
            <w:vMerge/>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Odpis posojila - prisilna poravnava</w:t>
            </w:r>
          </w:p>
        </w:tc>
        <w:tc>
          <w:tcPr>
            <w:tcW w:w="1417" w:type="dxa"/>
            <w:tcBorders>
              <w:top w:val="single" w:sz="8" w:space="0" w:color="A7BFDE"/>
              <w:left w:val="single" w:sz="8" w:space="0" w:color="A7BFDE"/>
              <w:bottom w:val="single" w:sz="8" w:space="0" w:color="A7BFDE"/>
              <w:right w:val="single" w:sz="8" w:space="0" w:color="A7BFDE"/>
            </w:tcBorders>
            <w:shd w:val="clear" w:color="auto" w:fill="D3DFE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27.523.404,96</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lang w:eastAsia="sl-SI"/>
              </w:rPr>
            </w:pPr>
            <w:r w:rsidRPr="00D050E9">
              <w:rPr>
                <w:rFonts w:asciiTheme="minorHAnsi" w:hAnsiTheme="minorHAnsi" w:cs="Arial"/>
                <w:bCs/>
                <w:sz w:val="18"/>
                <w:szCs w:val="18"/>
                <w:lang w:eastAsia="sl-SI"/>
              </w:rPr>
              <w:t>27.523.404,96</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tcPr>
          <w:p w:rsidR="00A720EA" w:rsidRPr="00D050E9" w:rsidRDefault="00A720EA" w:rsidP="00A720EA">
            <w:pPr>
              <w:spacing w:line="276" w:lineRule="auto"/>
              <w:rPr>
                <w:rFonts w:asciiTheme="minorHAnsi" w:hAnsiTheme="minorHAnsi" w:cs="Arial"/>
                <w:color w:val="auto"/>
                <w:sz w:val="18"/>
                <w:szCs w:val="18"/>
                <w:lang w:eastAsia="sl-SI"/>
              </w:rPr>
            </w:pPr>
          </w:p>
        </w:tc>
        <w:tc>
          <w:tcPr>
            <w:tcW w:w="2126" w:type="dxa"/>
            <w:vMerge/>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p>
        </w:tc>
        <w:tc>
          <w:tcPr>
            <w:tcW w:w="1559" w:type="dxa"/>
            <w:vMerge/>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p>
        </w:tc>
        <w:tc>
          <w:tcPr>
            <w:tcW w:w="1418" w:type="dxa"/>
            <w:tcBorders>
              <w:top w:val="single" w:sz="8" w:space="0" w:color="A7BFDE"/>
              <w:left w:val="single" w:sz="8" w:space="0" w:color="A7BFDE"/>
              <w:bottom w:val="single" w:sz="8" w:space="0" w:color="A7BFDE"/>
              <w:right w:val="nil"/>
            </w:tcBorders>
            <w:shd w:val="clear" w:color="auto" w:fill="A7BFDE"/>
            <w:vAlign w:val="center"/>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Posojila podjetjem v težavah</w:t>
            </w:r>
          </w:p>
        </w:tc>
        <w:tc>
          <w:tcPr>
            <w:tcW w:w="1417" w:type="dxa"/>
            <w:tcBorders>
              <w:top w:val="single" w:sz="8" w:space="0" w:color="A7BFDE"/>
              <w:left w:val="nil"/>
              <w:bottom w:val="single" w:sz="8" w:space="0" w:color="A7BFDE"/>
              <w:right w:val="single" w:sz="8" w:space="0" w:color="A7BFDE"/>
            </w:tcBorders>
            <w:shd w:val="clear" w:color="auto" w:fill="A7BFDE"/>
            <w:noWrap/>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6.700.000,00</w:t>
            </w:r>
          </w:p>
        </w:tc>
        <w:tc>
          <w:tcPr>
            <w:tcW w:w="1418" w:type="dxa"/>
            <w:tcBorders>
              <w:top w:val="single" w:sz="8" w:space="0" w:color="A7BFDE"/>
              <w:left w:val="nil"/>
              <w:bottom w:val="single" w:sz="8" w:space="0" w:color="A7BFDE"/>
              <w:right w:val="single" w:sz="8" w:space="0" w:color="A7BFDE"/>
            </w:tcBorders>
            <w:shd w:val="clear" w:color="auto" w:fill="A7BFDE"/>
            <w:vAlign w:val="center"/>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6.700.000,00</w:t>
            </w:r>
          </w:p>
        </w:tc>
      </w:tr>
      <w:tr w:rsidR="00A720EA" w:rsidRPr="00D050E9" w:rsidTr="00A720EA">
        <w:trPr>
          <w:trHeight w:val="20"/>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8" w:space="0" w:color="A7BFDE"/>
              <w:right w:val="single" w:sz="8" w:space="0" w:color="A7BFDE"/>
            </w:tcBorders>
          </w:tcPr>
          <w:p w:rsidR="00A720EA" w:rsidRPr="00D050E9" w:rsidRDefault="00A720EA" w:rsidP="00A720EA">
            <w:pPr>
              <w:spacing w:line="276" w:lineRule="auto"/>
              <w:rPr>
                <w:rFonts w:asciiTheme="minorHAnsi" w:hAnsiTheme="minorHAnsi" w:cs="Arial"/>
                <w:color w:val="auto"/>
                <w:sz w:val="18"/>
                <w:szCs w:val="18"/>
                <w:lang w:eastAsia="sl-SI"/>
              </w:rPr>
            </w:pPr>
          </w:p>
        </w:tc>
        <w:tc>
          <w:tcPr>
            <w:tcW w:w="2126" w:type="dxa"/>
            <w:vMerge/>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559" w:type="dxa"/>
            <w:vMerge/>
            <w:tcBorders>
              <w:top w:val="single" w:sz="8" w:space="0" w:color="A7BFDE"/>
              <w:left w:val="single" w:sz="8" w:space="0" w:color="A7BFDE"/>
              <w:bottom w:val="single" w:sz="8" w:space="0" w:color="A7BFDE"/>
              <w:right w:val="single" w:sz="8" w:space="0" w:color="A7BFDE"/>
            </w:tcBorders>
            <w:shd w:val="clear" w:color="auto" w:fill="A7BFDE"/>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Subvencioniranje obrestne mere</w:t>
            </w:r>
          </w:p>
        </w:tc>
        <w:tc>
          <w:tcPr>
            <w:tcW w:w="1417" w:type="dxa"/>
            <w:tcBorders>
              <w:top w:val="single" w:sz="8" w:space="0" w:color="A7BFDE"/>
              <w:left w:val="single" w:sz="8" w:space="0" w:color="A7BFDE"/>
              <w:bottom w:val="single" w:sz="8" w:space="0" w:color="A7BFDE"/>
              <w:right w:val="single" w:sz="8" w:space="0" w:color="A7BFDE"/>
            </w:tcBorders>
            <w:shd w:val="clear" w:color="auto" w:fill="D3DFEE"/>
            <w:noWrap/>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16.600.000,00</w:t>
            </w:r>
          </w:p>
        </w:tc>
        <w:tc>
          <w:tcPr>
            <w:tcW w:w="1418" w:type="dxa"/>
            <w:tcBorders>
              <w:top w:val="single" w:sz="8" w:space="0" w:color="A7BFDE"/>
              <w:left w:val="single" w:sz="8" w:space="0" w:color="A7BFDE"/>
              <w:bottom w:val="single" w:sz="8" w:space="0" w:color="A7BFDE"/>
              <w:right w:val="single" w:sz="8" w:space="0" w:color="A7BFDE"/>
            </w:tcBorders>
            <w:shd w:val="clear" w:color="auto" w:fill="D3DFEE"/>
            <w:vAlign w:val="center"/>
          </w:tcPr>
          <w:p w:rsidR="00A720EA" w:rsidRPr="00D050E9" w:rsidRDefault="00A720EA" w:rsidP="00A720EA">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050E9">
              <w:rPr>
                <w:rFonts w:asciiTheme="minorHAnsi" w:hAnsiTheme="minorHAnsi" w:cs="Arial"/>
                <w:sz w:val="18"/>
                <w:szCs w:val="18"/>
              </w:rPr>
              <w:t>16.600.000,00</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A7BFDE"/>
              <w:right w:val="single" w:sz="8" w:space="0" w:color="A7BFDE"/>
            </w:tcBorders>
            <w:noWrap/>
            <w:hideMark/>
          </w:tcPr>
          <w:p w:rsidR="00A720EA" w:rsidRPr="00D050E9" w:rsidRDefault="00A720EA" w:rsidP="00B9182A">
            <w:pPr>
              <w:spacing w:line="276" w:lineRule="auto"/>
              <w:jc w:val="center"/>
              <w:rPr>
                <w:rFonts w:asciiTheme="minorHAnsi" w:hAnsiTheme="minorHAnsi" w:cs="Arial"/>
                <w:sz w:val="18"/>
                <w:szCs w:val="18"/>
                <w:lang w:eastAsia="sl-SI"/>
              </w:rPr>
            </w:pPr>
          </w:p>
        </w:tc>
        <w:tc>
          <w:tcPr>
            <w:tcW w:w="2126" w:type="dxa"/>
            <w:tcBorders>
              <w:top w:val="single" w:sz="8" w:space="0" w:color="A7BFDE"/>
              <w:left w:val="single" w:sz="8" w:space="0" w:color="A7BFDE"/>
              <w:bottom w:val="single" w:sz="8" w:space="0" w:color="A7BFDE"/>
              <w:right w:val="nil"/>
            </w:tcBorders>
            <w:shd w:val="clear" w:color="auto" w:fill="D3DFEE"/>
            <w:noWrap/>
            <w:hideMark/>
          </w:tcPr>
          <w:p w:rsidR="00A720EA" w:rsidRPr="00D050E9" w:rsidRDefault="00A720EA" w:rsidP="00B918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SKUPAJ</w:t>
            </w:r>
          </w:p>
        </w:tc>
        <w:tc>
          <w:tcPr>
            <w:tcW w:w="2977" w:type="dxa"/>
            <w:gridSpan w:val="2"/>
            <w:tcBorders>
              <w:top w:val="single" w:sz="8" w:space="0" w:color="A7BFDE"/>
              <w:left w:val="nil"/>
              <w:bottom w:val="single" w:sz="8" w:space="0" w:color="A7BFDE"/>
              <w:right w:val="single" w:sz="8" w:space="0" w:color="A7BFDE"/>
            </w:tcBorders>
            <w:shd w:val="clear" w:color="auto" w:fill="D3DFEE"/>
            <w:noWrap/>
            <w:hideMark/>
          </w:tcPr>
          <w:p w:rsidR="00A720EA" w:rsidRPr="00D050E9" w:rsidRDefault="00A720EA" w:rsidP="00B918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p>
        </w:tc>
        <w:tc>
          <w:tcPr>
            <w:tcW w:w="1417" w:type="dxa"/>
            <w:tcBorders>
              <w:top w:val="single" w:sz="8" w:space="0" w:color="A7BFDE"/>
              <w:left w:val="single" w:sz="8" w:space="0" w:color="A7BFDE"/>
              <w:bottom w:val="single" w:sz="8" w:space="0" w:color="A7BFDE"/>
              <w:right w:val="single" w:sz="8" w:space="0" w:color="A7BFDE"/>
            </w:tcBorders>
            <w:shd w:val="clear" w:color="auto" w:fill="A7BFDE"/>
            <w:noWrap/>
            <w:vAlign w:val="center"/>
          </w:tcPr>
          <w:p w:rsidR="00A720EA" w:rsidRPr="00D050E9" w:rsidRDefault="00A720EA" w:rsidP="00B918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104.893.661,74</w:t>
            </w:r>
          </w:p>
        </w:tc>
        <w:tc>
          <w:tcPr>
            <w:tcW w:w="1418" w:type="dxa"/>
            <w:tcBorders>
              <w:top w:val="single" w:sz="8" w:space="0" w:color="A7BFDE"/>
              <w:left w:val="single" w:sz="8" w:space="0" w:color="A7BFDE"/>
              <w:bottom w:val="single" w:sz="8" w:space="0" w:color="A7BFDE"/>
              <w:right w:val="single" w:sz="8" w:space="0" w:color="A7BFDE"/>
            </w:tcBorders>
            <w:shd w:val="clear" w:color="auto" w:fill="A7BFDE"/>
            <w:vAlign w:val="center"/>
          </w:tcPr>
          <w:p w:rsidR="00A720EA" w:rsidRPr="00D050E9" w:rsidRDefault="00A720EA" w:rsidP="00B918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lang w:eastAsia="sl-SI"/>
              </w:rPr>
            </w:pPr>
            <w:r w:rsidRPr="00D050E9">
              <w:rPr>
                <w:rFonts w:asciiTheme="minorHAnsi" w:hAnsiTheme="minorHAnsi" w:cs="Arial"/>
                <w:b/>
                <w:sz w:val="18"/>
                <w:szCs w:val="18"/>
                <w:lang w:eastAsia="sl-SI"/>
              </w:rPr>
              <w:t>104.298.030,74</w:t>
            </w:r>
          </w:p>
        </w:tc>
      </w:tr>
    </w:tbl>
    <w:p w:rsidR="00A720EA" w:rsidRPr="00D050E9" w:rsidRDefault="00A720EA" w:rsidP="00A720EA">
      <w:pPr>
        <w:tabs>
          <w:tab w:val="left" w:pos="284"/>
        </w:tabs>
        <w:autoSpaceDE w:val="0"/>
        <w:autoSpaceDN w:val="0"/>
        <w:adjustRightInd w:val="0"/>
        <w:spacing w:line="276" w:lineRule="auto"/>
        <w:rPr>
          <w:rFonts w:asciiTheme="minorHAnsi" w:hAnsiTheme="minorHAnsi" w:cs="Arial"/>
          <w:lang w:eastAsia="sl-SI"/>
        </w:rPr>
      </w:pPr>
      <w:r w:rsidRPr="00D050E9">
        <w:rPr>
          <w:rFonts w:asciiTheme="minorHAnsi" w:hAnsiTheme="minorHAnsi" w:cs="Arial"/>
          <w:lang w:eastAsia="sl-SI"/>
        </w:rPr>
        <w:t>Cilji pomoči so ohranitev vitalnih programov, ki imajo zagotovljen trg, ohranitev delovnih mest in dolgoročno stabilnost poslovanja teh družb.</w:t>
      </w:r>
    </w:p>
    <w:p w:rsidR="00A720EA" w:rsidRPr="00D050E9" w:rsidRDefault="00A720EA" w:rsidP="008578D2">
      <w:pPr>
        <w:spacing w:after="0" w:line="276" w:lineRule="auto"/>
        <w:rPr>
          <w:rFonts w:asciiTheme="minorHAnsi" w:hAnsiTheme="minorHAnsi" w:cs="Arial"/>
          <w:bCs/>
          <w:iCs/>
        </w:rPr>
      </w:pPr>
      <w:r w:rsidRPr="00D050E9">
        <w:rPr>
          <w:rFonts w:asciiTheme="minorHAnsi" w:hAnsiTheme="minorHAnsi" w:cs="Arial"/>
          <w:b/>
          <w:bCs/>
          <w:iCs/>
        </w:rPr>
        <w:t xml:space="preserve">Tabela: </w:t>
      </w:r>
      <w:r w:rsidRPr="00D050E9">
        <w:rPr>
          <w:rFonts w:asciiTheme="minorHAnsi" w:hAnsiTheme="minorHAnsi" w:cs="Arial"/>
          <w:bCs/>
          <w:iCs/>
        </w:rPr>
        <w:t>Učinkovitost državnih pomoči podjetjem v težavah v obdobju 2004–2015</w:t>
      </w:r>
    </w:p>
    <w:p w:rsidR="00A720EA" w:rsidRPr="00D050E9" w:rsidRDefault="00A720EA" w:rsidP="008578D2">
      <w:pPr>
        <w:spacing w:after="0" w:line="276" w:lineRule="auto"/>
        <w:rPr>
          <w:rFonts w:asciiTheme="minorHAnsi" w:hAnsiTheme="minorHAnsi" w:cs="Arial"/>
          <w:highlight w:val="yellow"/>
        </w:rPr>
      </w:pPr>
      <w:r w:rsidRPr="00D050E9">
        <w:rPr>
          <w:rFonts w:asciiTheme="minorHAnsi" w:hAnsiTheme="minorHAnsi" w:cs="Arial"/>
          <w:noProof/>
          <w:lang w:eastAsia="sl-SI"/>
        </w:rPr>
        <w:drawing>
          <wp:inline distT="0" distB="0" distL="0" distR="0" wp14:anchorId="624A385D" wp14:editId="546122AC">
            <wp:extent cx="5829965" cy="885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duotone>
                        <a:prstClr val="black"/>
                        <a:schemeClr val="tx2">
                          <a:tint val="45000"/>
                          <a:satMod val="400000"/>
                        </a:schemeClr>
                      </a:duotone>
                      <a:extLst>
                        <a:ext uri="{28A0092B-C50C-407E-A947-70E740481C1C}">
                          <a14:useLocalDpi xmlns:a14="http://schemas.microsoft.com/office/drawing/2010/main" val="0"/>
                        </a:ext>
                      </a:extLst>
                    </a:blip>
                    <a:srcRect b="9474"/>
                    <a:stretch>
                      <a:fillRect/>
                    </a:stretch>
                  </pic:blipFill>
                  <pic:spPr bwMode="auto">
                    <a:xfrm>
                      <a:off x="0" y="0"/>
                      <a:ext cx="5829965" cy="885825"/>
                    </a:xfrm>
                    <a:prstGeom prst="rect">
                      <a:avLst/>
                    </a:prstGeom>
                    <a:noFill/>
                    <a:ln>
                      <a:noFill/>
                    </a:ln>
                  </pic:spPr>
                </pic:pic>
              </a:graphicData>
            </a:graphic>
          </wp:inline>
        </w:drawing>
      </w:r>
    </w:p>
    <w:p w:rsidR="00A720EA" w:rsidRPr="00D050E9" w:rsidRDefault="00A720EA" w:rsidP="008578D2">
      <w:pPr>
        <w:spacing w:after="0" w:line="276" w:lineRule="auto"/>
        <w:rPr>
          <w:rFonts w:asciiTheme="minorHAnsi" w:hAnsiTheme="minorHAnsi" w:cs="Arial"/>
        </w:rPr>
      </w:pPr>
      <w:r w:rsidRPr="00D050E9">
        <w:rPr>
          <w:rFonts w:asciiTheme="minorHAnsi" w:hAnsiTheme="minorHAnsi" w:cs="Arial"/>
        </w:rPr>
        <w:t>Vir: MGRT</w:t>
      </w:r>
    </w:p>
    <w:p w:rsidR="008578D2" w:rsidRPr="00D050E9" w:rsidRDefault="008578D2" w:rsidP="008578D2">
      <w:pPr>
        <w:spacing w:after="0" w:line="276" w:lineRule="auto"/>
        <w:rPr>
          <w:rFonts w:asciiTheme="minorHAnsi" w:hAnsiTheme="minorHAnsi" w:cs="Arial"/>
          <w:b/>
          <w:i/>
        </w:rPr>
      </w:pPr>
    </w:p>
    <w:p w:rsidR="00A720EA" w:rsidRPr="00D050E9" w:rsidRDefault="00A720EA" w:rsidP="00A720EA">
      <w:pPr>
        <w:spacing w:line="276" w:lineRule="auto"/>
        <w:rPr>
          <w:rFonts w:asciiTheme="minorHAnsi" w:hAnsiTheme="minorHAnsi" w:cs="Arial"/>
          <w:b/>
          <w:i/>
        </w:rPr>
      </w:pPr>
      <w:r w:rsidRPr="00D050E9">
        <w:rPr>
          <w:rFonts w:asciiTheme="minorHAnsi" w:hAnsiTheme="minorHAnsi" w:cs="Arial"/>
          <w:b/>
          <w:i/>
        </w:rPr>
        <w:t>Pri izračunu učinkovitosti državnih pomoči v letu 2016 predstavljajo izhodišče dodeljene državne pomoči od leta 2004 do vključno leta 2015. Za družbe, ki so prejele državno pomoč v letu 2017, bo izračun učinkovitosti prvič mogoč šele v letu 2019, ko bodo znani rezultati poslovanja za leto 2018.</w:t>
      </w:r>
    </w:p>
    <w:p w:rsidR="00A720EA" w:rsidRPr="00D050E9" w:rsidRDefault="00A720EA" w:rsidP="00A720EA">
      <w:pPr>
        <w:spacing w:line="276" w:lineRule="auto"/>
        <w:rPr>
          <w:rFonts w:asciiTheme="minorHAnsi" w:hAnsiTheme="minorHAnsi" w:cs="Arial"/>
          <w:b/>
          <w:i/>
        </w:rPr>
      </w:pPr>
      <w:r w:rsidRPr="00D050E9">
        <w:rPr>
          <w:rFonts w:asciiTheme="minorHAnsi" w:hAnsiTheme="minorHAnsi" w:cs="Arial"/>
        </w:rPr>
        <w:t>Shema Reševanje in prestrukturiranje gospodarskih družb in zadrug v težavah – SME (0001-2399245-2016) je s strani priglasitelja za leto 2017</w:t>
      </w:r>
      <w:r w:rsidRPr="00D050E9">
        <w:rPr>
          <w:rFonts w:asciiTheme="minorHAnsi" w:hAnsiTheme="minorHAnsi" w:cs="Arial"/>
          <w:b/>
          <w:i/>
        </w:rPr>
        <w:t xml:space="preserve"> ocenjena z oceno uspešno 4 (</w:t>
      </w:r>
      <w:r w:rsidRPr="00D050E9">
        <w:rPr>
          <w:rFonts w:asciiTheme="minorHAnsi" w:hAnsiTheme="minorHAnsi" w:cs="Arial"/>
          <w:b/>
          <w:i/>
          <w:lang w:eastAsia="sl-SI"/>
        </w:rPr>
        <w:t>izmed 1-5</w:t>
      </w:r>
      <w:r w:rsidRPr="00D050E9">
        <w:rPr>
          <w:rFonts w:asciiTheme="minorHAnsi" w:hAnsiTheme="minorHAnsi" w:cs="Arial"/>
          <w:b/>
          <w:i/>
        </w:rPr>
        <w:t>) in pozitivnim učinkom.</w:t>
      </w:r>
    </w:p>
    <w:p w:rsidR="00A720EA" w:rsidRPr="00D050E9" w:rsidRDefault="00A720EA" w:rsidP="008578D2">
      <w:pPr>
        <w:spacing w:after="0"/>
        <w:rPr>
          <w:rFonts w:asciiTheme="minorHAnsi" w:hAnsiTheme="minorHAnsi"/>
        </w:rPr>
      </w:pPr>
    </w:p>
    <w:p w:rsidR="00A720EA" w:rsidRPr="00D050E9" w:rsidRDefault="00A720EA" w:rsidP="008578D2">
      <w:pPr>
        <w:pStyle w:val="Heading3USPENOST"/>
        <w:numPr>
          <w:ilvl w:val="2"/>
          <w:numId w:val="16"/>
        </w:numPr>
      </w:pPr>
      <w:bookmarkStart w:id="183" w:name="_Toc465170743"/>
      <w:bookmarkStart w:id="184" w:name="_Toc470776366"/>
      <w:bookmarkStart w:id="185" w:name="_Toc497749233"/>
      <w:bookmarkStart w:id="186" w:name="_Toc501099240"/>
      <w:bookmarkStart w:id="187" w:name="_Toc530654577"/>
      <w:r w:rsidRPr="00D050E9">
        <w:t>Naravne nesreče</w:t>
      </w:r>
      <w:bookmarkEnd w:id="183"/>
      <w:bookmarkEnd w:id="184"/>
      <w:bookmarkEnd w:id="185"/>
      <w:bookmarkEnd w:id="186"/>
      <w:bookmarkEnd w:id="187"/>
    </w:p>
    <w:p w:rsidR="00A720EA" w:rsidRPr="00D050E9" w:rsidRDefault="00A720EA" w:rsidP="008578D2">
      <w:pPr>
        <w:tabs>
          <w:tab w:val="left" w:pos="284"/>
        </w:tabs>
        <w:autoSpaceDE w:val="0"/>
        <w:autoSpaceDN w:val="0"/>
        <w:adjustRightInd w:val="0"/>
        <w:spacing w:after="0" w:line="276" w:lineRule="auto"/>
        <w:rPr>
          <w:rFonts w:asciiTheme="minorHAnsi" w:hAnsiTheme="minorHAnsi" w:cs="Arial"/>
          <w:b/>
          <w:i/>
          <w:highlight w:val="yellow"/>
        </w:rPr>
      </w:pPr>
    </w:p>
    <w:p w:rsidR="00A720EA" w:rsidRPr="00D050E9" w:rsidRDefault="00A720EA" w:rsidP="008578D2">
      <w:pPr>
        <w:spacing w:after="0" w:line="276" w:lineRule="auto"/>
        <w:rPr>
          <w:rFonts w:asciiTheme="minorHAnsi" w:hAnsiTheme="minorHAnsi" w:cs="Arial"/>
        </w:rPr>
      </w:pPr>
      <w:r w:rsidRPr="00D050E9">
        <w:rPr>
          <w:rFonts w:asciiTheme="minorHAnsi" w:hAnsiTheme="minorHAnsi" w:cs="Arial"/>
          <w:lang w:eastAsia="sl-SI"/>
        </w:rPr>
        <w:t>G</w:t>
      </w:r>
      <w:r w:rsidRPr="00D050E9">
        <w:rPr>
          <w:rFonts w:asciiTheme="minorHAnsi" w:hAnsiTheme="minorHAnsi" w:cs="Arial"/>
          <w:bCs/>
          <w:lang w:eastAsia="sl-SI"/>
        </w:rPr>
        <w:t>lavni namen sheme je s povračilom sredstev za odpravo posledic škode po naravni nesreči vzpostaviti nemoteno nadaljnje delovanje gospodarskih subjektov in s tem ohraniti obstoječa delovna mesta v prizadetih podjetjih.</w:t>
      </w:r>
    </w:p>
    <w:p w:rsidR="00A720EA" w:rsidRPr="00D050E9" w:rsidRDefault="00A720EA" w:rsidP="008578D2">
      <w:pPr>
        <w:spacing w:after="0" w:line="276" w:lineRule="auto"/>
        <w:rPr>
          <w:rFonts w:asciiTheme="minorHAnsi" w:hAnsiTheme="minorHAnsi" w:cs="Arial"/>
        </w:rPr>
      </w:pPr>
    </w:p>
    <w:p w:rsidR="00A720EA" w:rsidRPr="00D050E9" w:rsidRDefault="00A720EA" w:rsidP="008578D2">
      <w:pPr>
        <w:spacing w:after="0" w:line="276" w:lineRule="auto"/>
        <w:rPr>
          <w:rFonts w:asciiTheme="minorHAnsi" w:hAnsiTheme="minorHAnsi" w:cs="Arial"/>
        </w:rPr>
      </w:pPr>
      <w:r w:rsidRPr="00D050E9">
        <w:rPr>
          <w:rFonts w:asciiTheme="minorHAnsi" w:hAnsiTheme="minorHAnsi" w:cs="Arial"/>
        </w:rPr>
        <w:t>Cilj je dodeliti podporo v izrednih primerih, da se nadomesti škoda na strojih in opremi, na zalogah ter ob izpadu prihodka, ki bi nastala zaradi naravnih nesreč na celotnem ozemlju Slovenije. Shema zajema le naslednje kategorije prihodnjih naravnih nesreč: potresi, zemeljski plazovi, poplave in snežni plazovi.</w:t>
      </w:r>
    </w:p>
    <w:p w:rsidR="00A720EA" w:rsidRPr="00D050E9" w:rsidRDefault="00A720EA" w:rsidP="008578D2">
      <w:pPr>
        <w:spacing w:after="0" w:line="276" w:lineRule="auto"/>
        <w:rPr>
          <w:rFonts w:asciiTheme="minorHAnsi" w:hAnsiTheme="minorHAnsi" w:cs="Arial"/>
        </w:rPr>
      </w:pPr>
    </w:p>
    <w:p w:rsidR="00A720EA" w:rsidRPr="00D050E9" w:rsidRDefault="00A720EA" w:rsidP="008578D2">
      <w:pPr>
        <w:autoSpaceDE w:val="0"/>
        <w:autoSpaceDN w:val="0"/>
        <w:adjustRightInd w:val="0"/>
        <w:spacing w:after="0" w:line="276" w:lineRule="auto"/>
        <w:rPr>
          <w:rFonts w:asciiTheme="minorHAnsi" w:hAnsiTheme="minorHAnsi" w:cs="Arial"/>
        </w:rPr>
      </w:pPr>
    </w:p>
    <w:tbl>
      <w:tblPr>
        <w:tblStyle w:val="MediumGrid2-Accent5"/>
        <w:tblW w:w="9180" w:type="dxa"/>
        <w:tblLayout w:type="fixed"/>
        <w:tblLook w:val="04A0" w:firstRow="1" w:lastRow="0" w:firstColumn="1" w:lastColumn="0" w:noHBand="0" w:noVBand="1"/>
      </w:tblPr>
      <w:tblGrid>
        <w:gridCol w:w="1242"/>
        <w:gridCol w:w="2268"/>
        <w:gridCol w:w="2835"/>
        <w:gridCol w:w="1134"/>
        <w:gridCol w:w="170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242" w:type="dxa"/>
            <w:tcBorders>
              <w:bottom w:val="single" w:sz="8" w:space="0" w:color="A7BFDE"/>
              <w:right w:val="single" w:sz="8" w:space="0" w:color="A7BFDE"/>
            </w:tcBorders>
            <w:vAlign w:val="center"/>
          </w:tcPr>
          <w:p w:rsidR="00A720EA" w:rsidRPr="00D050E9" w:rsidRDefault="00A720EA" w:rsidP="00A720EA">
            <w:pPr>
              <w:spacing w:line="276" w:lineRule="auto"/>
              <w:jc w:val="center"/>
              <w:rPr>
                <w:rFonts w:asciiTheme="minorHAnsi" w:hAnsiTheme="minorHAnsi" w:cs="Arial"/>
                <w:color w:val="auto"/>
                <w:sz w:val="18"/>
                <w:szCs w:val="18"/>
                <w:lang w:eastAsia="sl-SI"/>
              </w:rPr>
            </w:pPr>
            <w:r w:rsidRPr="00D050E9">
              <w:rPr>
                <w:rFonts w:asciiTheme="minorHAnsi" w:hAnsiTheme="minorHAnsi" w:cs="Arial"/>
                <w:sz w:val="18"/>
                <w:szCs w:val="18"/>
                <w:lang w:eastAsia="sl-SI"/>
              </w:rPr>
              <w:t>Priglasitelj</w:t>
            </w:r>
          </w:p>
        </w:tc>
        <w:tc>
          <w:tcPr>
            <w:tcW w:w="2268"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Naziv</w:t>
            </w:r>
          </w:p>
        </w:tc>
        <w:tc>
          <w:tcPr>
            <w:tcW w:w="2835"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Namen</w:t>
            </w:r>
          </w:p>
        </w:tc>
        <w:tc>
          <w:tcPr>
            <w:tcW w:w="1134" w:type="dxa"/>
            <w:tcBorders>
              <w:top w:val="single" w:sz="8" w:space="0" w:color="A7BFDE"/>
              <w:left w:val="single" w:sz="8" w:space="0" w:color="A7BFDE"/>
              <w:bottom w:val="single" w:sz="8" w:space="0" w:color="A7BFDE"/>
              <w:right w:val="single" w:sz="8" w:space="0" w:color="A7BFDE"/>
            </w:tcBorders>
            <w:shd w:val="clear" w:color="auto" w:fill="D3DFEE"/>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Instrument</w:t>
            </w:r>
          </w:p>
        </w:tc>
        <w:tc>
          <w:tcPr>
            <w:tcW w:w="1701" w:type="dxa"/>
            <w:tcBorders>
              <w:top w:val="single" w:sz="8" w:space="0" w:color="A7BFDE"/>
              <w:left w:val="single" w:sz="8" w:space="0" w:color="A7BFDE"/>
              <w:bottom w:val="single" w:sz="8" w:space="0" w:color="A7BFDE"/>
              <w:right w:val="single" w:sz="8" w:space="0" w:color="A7BFDE"/>
            </w:tcBorders>
            <w:shd w:val="clear" w:color="auto" w:fill="D3DFEE"/>
            <w:noWrap/>
            <w:vAlign w:val="center"/>
            <w:hideMark/>
          </w:tcPr>
          <w:p w:rsidR="00A720EA" w:rsidRPr="00D050E9" w:rsidRDefault="00A720EA" w:rsidP="00A72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Skupaj 2015–2017</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7BFDE"/>
              <w:right w:val="single" w:sz="8" w:space="0" w:color="A7BFDE"/>
            </w:tcBorders>
            <w:vAlign w:val="center"/>
          </w:tcPr>
          <w:p w:rsidR="00A720EA" w:rsidRPr="00D050E9" w:rsidRDefault="00A720EA" w:rsidP="00A720EA">
            <w:pPr>
              <w:spacing w:line="276" w:lineRule="auto"/>
              <w:ind w:right="175"/>
              <w:jc w:val="center"/>
              <w:rPr>
                <w:rFonts w:asciiTheme="minorHAnsi" w:hAnsiTheme="minorHAnsi" w:cs="Arial"/>
                <w:b w:val="0"/>
                <w:bCs w:val="0"/>
                <w:color w:val="auto"/>
                <w:sz w:val="18"/>
                <w:szCs w:val="18"/>
                <w:lang w:eastAsia="sl-SI"/>
              </w:rPr>
            </w:pPr>
            <w:r w:rsidRPr="00D050E9">
              <w:rPr>
                <w:rFonts w:asciiTheme="minorHAnsi" w:hAnsiTheme="minorHAnsi" w:cs="Arial"/>
                <w:sz w:val="18"/>
                <w:szCs w:val="18"/>
                <w:lang w:eastAsia="sl-SI"/>
              </w:rPr>
              <w:t>MGRT</w:t>
            </w:r>
          </w:p>
        </w:tc>
        <w:tc>
          <w:tcPr>
            <w:tcW w:w="2268"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odpravo posledic naravnih nesreč (0001-2399245-2012)</w:t>
            </w:r>
          </w:p>
        </w:tc>
        <w:tc>
          <w:tcPr>
            <w:tcW w:w="2835"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Pomoč za odpravo škode, ki jo povzročijo nekatere naravne nesreče</w:t>
            </w:r>
          </w:p>
        </w:tc>
        <w:tc>
          <w:tcPr>
            <w:tcW w:w="1134" w:type="dxa"/>
            <w:tcBorders>
              <w:top w:val="single" w:sz="8" w:space="0" w:color="A7BFDE"/>
              <w:left w:val="single" w:sz="8" w:space="0" w:color="A7BFDE"/>
              <w:bottom w:val="single" w:sz="8" w:space="0" w:color="A7BFDE"/>
              <w:right w:val="single" w:sz="8" w:space="0" w:color="A7BFDE"/>
            </w:tcBorders>
            <w:shd w:val="clear" w:color="auto" w:fill="A7BFDE"/>
            <w:vAlign w:val="center"/>
            <w:hideMark/>
          </w:tcPr>
          <w:p w:rsidR="00A720EA" w:rsidRPr="00D050E9" w:rsidRDefault="00A720EA" w:rsidP="00A720E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18"/>
                <w:szCs w:val="18"/>
                <w:lang w:eastAsia="sl-SI"/>
              </w:rPr>
            </w:pPr>
            <w:r w:rsidRPr="00D050E9">
              <w:rPr>
                <w:rFonts w:asciiTheme="minorHAnsi" w:hAnsiTheme="minorHAnsi" w:cs="Arial"/>
                <w:sz w:val="18"/>
                <w:szCs w:val="18"/>
                <w:lang w:eastAsia="sl-SI"/>
              </w:rPr>
              <w:t>Subvencije</w:t>
            </w:r>
          </w:p>
        </w:tc>
        <w:tc>
          <w:tcPr>
            <w:tcW w:w="1701" w:type="dxa"/>
            <w:tcBorders>
              <w:top w:val="single" w:sz="8" w:space="0" w:color="A7BFDE"/>
              <w:left w:val="single" w:sz="8" w:space="0" w:color="A7BFDE"/>
              <w:bottom w:val="single" w:sz="8" w:space="0" w:color="A7BFDE"/>
              <w:right w:val="single" w:sz="8" w:space="0" w:color="A7BFDE"/>
            </w:tcBorders>
            <w:shd w:val="clear" w:color="auto" w:fill="A7BFDE"/>
            <w:noWrap/>
            <w:vAlign w:val="center"/>
            <w:hideMark/>
          </w:tcPr>
          <w:p w:rsidR="00A720EA" w:rsidRPr="00D050E9" w:rsidRDefault="00A720EA" w:rsidP="00A720EA">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18"/>
                <w:szCs w:val="18"/>
                <w:lang w:eastAsia="sl-SI"/>
              </w:rPr>
            </w:pPr>
            <w:r w:rsidRPr="00D050E9">
              <w:rPr>
                <w:rFonts w:asciiTheme="minorHAnsi" w:hAnsiTheme="minorHAnsi" w:cs="Arial"/>
                <w:b/>
                <w:bCs/>
                <w:sz w:val="18"/>
                <w:szCs w:val="18"/>
                <w:lang w:eastAsia="sl-SI"/>
              </w:rPr>
              <w:t>1.565.785,92</w:t>
            </w:r>
          </w:p>
        </w:tc>
      </w:tr>
    </w:tbl>
    <w:p w:rsidR="00A720EA" w:rsidRPr="00D050E9" w:rsidRDefault="00A720EA" w:rsidP="008578D2">
      <w:pPr>
        <w:autoSpaceDE w:val="0"/>
        <w:autoSpaceDN w:val="0"/>
        <w:adjustRightInd w:val="0"/>
        <w:spacing w:after="0" w:line="276" w:lineRule="auto"/>
        <w:rPr>
          <w:rFonts w:asciiTheme="minorHAnsi" w:hAnsiTheme="minorHAnsi" w:cs="Arial"/>
          <w:lang w:eastAsia="sl-SI"/>
        </w:rPr>
      </w:pPr>
    </w:p>
    <w:p w:rsidR="00A720EA" w:rsidRPr="00D050E9" w:rsidRDefault="00A720EA" w:rsidP="008578D2">
      <w:pPr>
        <w:autoSpaceDE w:val="0"/>
        <w:autoSpaceDN w:val="0"/>
        <w:adjustRightInd w:val="0"/>
        <w:spacing w:after="0" w:line="276" w:lineRule="auto"/>
        <w:rPr>
          <w:rFonts w:asciiTheme="minorHAnsi" w:hAnsiTheme="minorHAnsi" w:cs="Arial"/>
        </w:rPr>
      </w:pPr>
      <w:r w:rsidRPr="00D050E9">
        <w:rPr>
          <w:rFonts w:asciiTheme="minorHAnsi" w:hAnsiTheme="minorHAnsi" w:cs="Arial"/>
        </w:rPr>
        <w:t xml:space="preserve">Resorno ministrstvo je v letu 2015 izplačalo sredstva za odpravo posledic škode v gospodarstvu 44 upravičencem po jesenskih poplavah leta 2014 v skupni vrednosti 1.565.785,92 EUR. </w:t>
      </w:r>
      <w:r w:rsidRPr="00D050E9">
        <w:rPr>
          <w:rFonts w:asciiTheme="minorHAnsi" w:hAnsiTheme="minorHAnsi" w:cs="Arial"/>
          <w:b/>
          <w:i/>
        </w:rPr>
        <w:t>V letu 2016 in 2017 izplačil po tej shemi ni bilo</w:t>
      </w:r>
      <w:r w:rsidRPr="00D050E9">
        <w:rPr>
          <w:rFonts w:asciiTheme="minorHAnsi" w:hAnsiTheme="minorHAnsi" w:cs="Arial"/>
        </w:rPr>
        <w:t>.</w:t>
      </w:r>
    </w:p>
    <w:p w:rsidR="008578D2" w:rsidRPr="00D050E9" w:rsidRDefault="008578D2" w:rsidP="008578D2">
      <w:pPr>
        <w:autoSpaceDE w:val="0"/>
        <w:autoSpaceDN w:val="0"/>
        <w:adjustRightInd w:val="0"/>
        <w:spacing w:after="0" w:line="276" w:lineRule="auto"/>
        <w:rPr>
          <w:rFonts w:asciiTheme="minorHAnsi" w:hAnsiTheme="minorHAnsi" w:cs="Arial"/>
        </w:rPr>
      </w:pPr>
    </w:p>
    <w:p w:rsidR="007E4A87" w:rsidRPr="00D050E9" w:rsidRDefault="007E4A87" w:rsidP="007E4A87">
      <w:pPr>
        <w:pStyle w:val="Heading3"/>
        <w:ind w:left="720"/>
      </w:pPr>
      <w:bookmarkStart w:id="188" w:name="_Toc465170736"/>
      <w:bookmarkStart w:id="189" w:name="_Toc470776369"/>
      <w:bookmarkStart w:id="190" w:name="_Toc497749236"/>
      <w:bookmarkStart w:id="191" w:name="_Toc501099243"/>
    </w:p>
    <w:p w:rsidR="00A720EA" w:rsidRPr="00D050E9" w:rsidRDefault="00A720EA" w:rsidP="007E4A87">
      <w:pPr>
        <w:pStyle w:val="Heading3"/>
        <w:numPr>
          <w:ilvl w:val="2"/>
          <w:numId w:val="16"/>
        </w:numPr>
      </w:pPr>
      <w:bookmarkStart w:id="192" w:name="_Toc530654578"/>
      <w:r w:rsidRPr="00D050E9">
        <w:t>Razvoj širokopasovnega omrežja</w:t>
      </w:r>
      <w:bookmarkEnd w:id="188"/>
      <w:bookmarkEnd w:id="189"/>
      <w:bookmarkEnd w:id="190"/>
      <w:bookmarkEnd w:id="191"/>
      <w:bookmarkEnd w:id="192"/>
      <w:r w:rsidRPr="00D050E9">
        <w:t xml:space="preserve"> </w:t>
      </w:r>
    </w:p>
    <w:p w:rsidR="00A720EA" w:rsidRPr="00D050E9" w:rsidRDefault="00A720EA" w:rsidP="008578D2">
      <w:pPr>
        <w:spacing w:after="0" w:line="276" w:lineRule="auto"/>
        <w:rPr>
          <w:rFonts w:asciiTheme="minorHAnsi" w:hAnsiTheme="minorHAnsi" w:cs="Arial"/>
          <w:b/>
        </w:rPr>
      </w:pPr>
    </w:p>
    <w:p w:rsidR="00A720EA" w:rsidRPr="00D050E9" w:rsidRDefault="00A720EA" w:rsidP="008578D2">
      <w:pPr>
        <w:spacing w:after="0" w:line="276" w:lineRule="auto"/>
        <w:rPr>
          <w:rFonts w:asciiTheme="minorHAnsi" w:hAnsiTheme="minorHAnsi" w:cs="Arial"/>
        </w:rPr>
      </w:pPr>
      <w:r w:rsidRPr="00D050E9">
        <w:rPr>
          <w:rFonts w:asciiTheme="minorHAnsi" w:hAnsiTheme="minorHAnsi" w:cs="Arial"/>
        </w:rPr>
        <w:t>Republika Slovenija je za potrebe GOŠO projektov pri Evropski komisiji priglasila shemo državnih pomoči. Evropska komisija je ocenila ukrep »Razvoj širokopasovnega omrežja v Sloveniji« in sklenila, da ne bo vložila ugovora, ker je državna pomoč iz ukrepa združljiva s členom 87(3)(c) Pogodbe ES. S tem je bila 19. 10. 2009 potrjena s</w:t>
      </w:r>
      <w:r w:rsidR="009B30E1">
        <w:rPr>
          <w:rFonts w:asciiTheme="minorHAnsi" w:hAnsiTheme="minorHAnsi" w:cs="Arial"/>
        </w:rPr>
        <w:t>hema državne pomoči N 172/2009 -</w:t>
      </w:r>
      <w:r w:rsidRPr="00D050E9">
        <w:rPr>
          <w:rFonts w:asciiTheme="minorHAnsi" w:hAnsiTheme="minorHAnsi" w:cs="Arial"/>
        </w:rPr>
        <w:t xml:space="preserve"> Slovenija, za Razvoj širokopasovnega omrežja v Sloveniji (v nadaljnjem besedilu ukrep), ki je trajala do 31. 12. 2013. Ministrstvo za javno upravo je za namen razvoja širokopasovnega omrežja v letu 2017 priglasilo novo shemo državnih pomoči z nazivom Gradnja odprte širokopasovne infrastrukture naslednje generacije v Republiki Sloveniji, po kateri pa še ni bilo izplačil državnih pomoči.</w:t>
      </w:r>
    </w:p>
    <w:p w:rsidR="00A720EA" w:rsidRPr="00D050E9" w:rsidRDefault="00A720EA" w:rsidP="008578D2">
      <w:pPr>
        <w:spacing w:after="0" w:line="276" w:lineRule="auto"/>
        <w:rPr>
          <w:rFonts w:asciiTheme="minorHAnsi" w:hAnsiTheme="minorHAnsi" w:cs="Arial"/>
        </w:rPr>
      </w:pPr>
    </w:p>
    <w:p w:rsidR="00A720EA" w:rsidRPr="00D050E9" w:rsidRDefault="00A720EA" w:rsidP="008578D2">
      <w:pPr>
        <w:spacing w:after="0" w:line="276" w:lineRule="auto"/>
        <w:rPr>
          <w:rFonts w:asciiTheme="minorHAnsi" w:hAnsiTheme="minorHAnsi" w:cs="Arial"/>
        </w:rPr>
      </w:pPr>
      <w:r w:rsidRPr="00D050E9">
        <w:rPr>
          <w:rFonts w:asciiTheme="minorHAnsi" w:hAnsiTheme="minorHAnsi" w:cs="Arial"/>
        </w:rPr>
        <w:t>Cilj ukrepa v okviru tedaj veljavne nacionalne strategije razvoja širokopasovnih omrežij, ki jo je Vlada Republike Slovenije sprejela leta 2008, je pospešiti postavitev širokopasovnih omrežij, kjer te storitve niso ustrezno razvite. Po ocenah resornega ministrstva naj bi navedeni ukrep:</w:t>
      </w:r>
    </w:p>
    <w:p w:rsidR="008578D2" w:rsidRPr="00D050E9" w:rsidRDefault="00A720EA" w:rsidP="00C75589">
      <w:pPr>
        <w:pStyle w:val="ListParagraph"/>
        <w:numPr>
          <w:ilvl w:val="0"/>
          <w:numId w:val="33"/>
        </w:numPr>
        <w:spacing w:after="0" w:line="276" w:lineRule="auto"/>
        <w:rPr>
          <w:rFonts w:asciiTheme="minorHAnsi" w:hAnsiTheme="minorHAnsi" w:cs="Arial"/>
        </w:rPr>
      </w:pPr>
      <w:r w:rsidRPr="00D050E9">
        <w:rPr>
          <w:rFonts w:asciiTheme="minorHAnsi" w:hAnsiTheme="minorHAnsi" w:cs="Arial"/>
        </w:rPr>
        <w:t>pripomogel k povečanju pokritosti s širokopasovnim omrežjem v Sloveniji iz tedanjih 92 % na 100</w:t>
      </w:r>
      <w:r w:rsidR="009B30E1">
        <w:rPr>
          <w:rFonts w:asciiTheme="minorHAnsi" w:hAnsiTheme="minorHAnsi" w:cs="Arial"/>
        </w:rPr>
        <w:t> </w:t>
      </w:r>
      <w:r w:rsidRPr="00D050E9">
        <w:rPr>
          <w:rFonts w:asciiTheme="minorHAnsi" w:hAnsiTheme="minorHAnsi" w:cs="Arial"/>
        </w:rPr>
        <w:t>% do konca leta 2013,</w:t>
      </w:r>
    </w:p>
    <w:p w:rsidR="00A720EA" w:rsidRPr="00D050E9" w:rsidRDefault="00A720EA" w:rsidP="00C75589">
      <w:pPr>
        <w:pStyle w:val="ListParagraph"/>
        <w:numPr>
          <w:ilvl w:val="0"/>
          <w:numId w:val="33"/>
        </w:numPr>
        <w:spacing w:after="0" w:line="276" w:lineRule="auto"/>
        <w:rPr>
          <w:rFonts w:asciiTheme="minorHAnsi" w:hAnsiTheme="minorHAnsi" w:cs="Arial"/>
        </w:rPr>
      </w:pPr>
      <w:r w:rsidRPr="00D050E9">
        <w:rPr>
          <w:rFonts w:asciiTheme="minorHAnsi" w:hAnsiTheme="minorHAnsi" w:cs="Arial"/>
        </w:rPr>
        <w:t>pripomogel k zagotovitvi ustreznih širokopasovnih storitev za približno 10 % slovenskih gospodinjstev in 4 % podjetij, razpršenih na 40 % ozemlja Slovenije,</w:t>
      </w:r>
    </w:p>
    <w:p w:rsidR="00A720EA" w:rsidRPr="00D050E9" w:rsidRDefault="00A720EA" w:rsidP="00C75589">
      <w:pPr>
        <w:pStyle w:val="ListParagraph"/>
        <w:numPr>
          <w:ilvl w:val="0"/>
          <w:numId w:val="33"/>
        </w:numPr>
        <w:spacing w:after="0" w:line="276" w:lineRule="auto"/>
        <w:rPr>
          <w:rFonts w:asciiTheme="minorHAnsi" w:hAnsiTheme="minorHAnsi" w:cs="Arial"/>
        </w:rPr>
      </w:pPr>
      <w:r w:rsidRPr="00D050E9">
        <w:rPr>
          <w:rFonts w:asciiTheme="minorHAnsi" w:hAnsiTheme="minorHAnsi" w:cs="Arial"/>
        </w:rPr>
        <w:t xml:space="preserve">zagotovil enakomernejšo ozemeljsko razvitost omrežij in storitev elektronskih komunikacij v Sloveniji ter tako prispeval h konkurenčnosti in razvoju države. </w:t>
      </w:r>
    </w:p>
    <w:p w:rsidR="00A720EA" w:rsidRPr="00D050E9" w:rsidRDefault="00A720EA" w:rsidP="008578D2">
      <w:pPr>
        <w:spacing w:after="0" w:line="276" w:lineRule="auto"/>
        <w:rPr>
          <w:rFonts w:asciiTheme="minorHAnsi" w:hAnsiTheme="minorHAnsi" w:cs="Arial"/>
        </w:rPr>
      </w:pP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Sredstva so bila namenjena za sofinanciranje upravičenih stroškov gradnje odprtih širokopasovnih omrežij elektronskih komunikacij v lokalnih skupnostih na območjih, kjer širokopasovni priključki niso omogočeni in kjer ni tržnega interesa za gradnjo takega omrežja. Na javnem razpisu so lahko kandidirale lokalne skupnosti, ki so predhodno izpeljale javni razpis po Zakonu o javno-zasebnem partnerstvu, oziroma Zakonu o javnem naročanju za izbiro izvajalca gradnje, upravljanja in vzdrževanja odprtega širokopasovnega omrežja elektronskih komunikacij v lokalni skupnosti in izbrale izvajalca, ki je za nekomercialni del omrežja postal soinvestitor in hkrati upravljalec in vzdrževalec zgrajenega širokopasovnega omrežja. Cilj javnih razpisov je bil skladen s ciljem Evropskega sklada za regionalni razvoj, ki je za prednostno usmeritev Informacijska družba - Projekt gradnja, upravljanje in vzdrževanje odprtega širokopasovnega omrežja elektronskih komunikacij v lokalni skupnosti, zagotovitev dostopa do širokopasovnih povezav uporabnikom na celotnem ozemlju Slovenije, z najprej funkcionalno zadovoljivo hitrostjo, nato pa tudi dostop do večjih hitrosti s končnim dolgoročnim ciljem povezave večine prebivalcev v visoko zmogljivem omrežju.</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Vsi projekti, ki so se izvajali v okviru javnih razpisov GOŠO 1, GOŠO 2 in GOŠO MKO za gradnjo odprtega širokopasovnega omrežja elektronskih komunikacij v lokalni skupnosti, so izvedeni. Predvidena državna pomoč po shemi N 172/2009 – Slovenija, Razvoj širokopasovnega omrežja v Sloveniji je v celoti dodeljena, odprta širokopasovna omrežja elektronskih komunikacij so delujoča. </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V okviru javnega razpisa GOŠO 1 je bilo izbranih dvanajst projektov, ki so  omogočili 15.957 odprtih širokopasovnih priključkov v 20-ih slovenskih občinah. Na dan 31. 12. 2017 je bilo aktivnih 12.099 novih priključkov, oziroma 75,82 % od vseh omogočenih priključkov. </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 xml:space="preserve">V okviru javnega razpisa GOŠO 2 je bilo izbranih pet projektov, ki so omogočili 13.497 odprtih širokopasovnih priključkov v 23-ih slovenskih občinah. Projekti so bili zaključeni v letu 2013. Na dan 31. 12. 2017 je bilo aktivnih 5.048 novih širokopasovnih priključkov, oziroma 37,40 % vseh omogočenih priključkov. </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V okviru javnega razpisa GOŠO MKO so bili izbrani trije projekti, ki so omogočili 1.280 širokopasovnih priključkov v treh prekmurskih občinah. Projekti so bili zaključeni v letu 2013. Na dan 31. 12. 2017 je bilo aktivnih  596 novih širokopasovnih priključkov, oziroma 46,56 % od vseh omogočenih priključkov.</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Skupaj je bilo na projektih GOŠO 1, GOŠO 2 v obdobju finančne perspektive 2007-2013 v okviru javnih sredstev dodeljenih 81.277.410,55 EUR. S temi sredstvi je bilo zgrajenih 17 širokopasovnih omrežij elektronskih komunikacij, ki v 43 občinah omogočajo 29.454 širokopasovnih priključkov. Pri teh projektih je bila, v okviru javno zasebnega partnerstva, poleg javnih sredstev tudi soudeležba zasebnih investitorjev, v skupnem znesku 38.957.011 EUR. Dodatno je bilo v okviru javnega razpisa GOŠO MKO, iz naslova Programa razvoja podeželja 2007 – 2013,  za naložbe v širokopasovno omrežje dodeljeno 4.300.000 EUR javnih sredstev. Zasebna sredstva na projektih GOŠO MKO niso bila predvidena.</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Do 31. 12. 2017 je bilo na celotnem območju gradnje odprtih širokopasovnih omrežij elektronskih komunikacij aktivnih 17.743 priključkov, kar je 57,73 % penetracija glede na vseh 30.734 zgrajenih in omogočenih priključkov. Po znanih podatkih</w:t>
      </w:r>
      <w:r w:rsidR="009B30E1">
        <w:rPr>
          <w:rFonts w:asciiTheme="minorHAnsi" w:hAnsiTheme="minorHAnsi" w:cs="Arial"/>
        </w:rPr>
        <w:t xml:space="preserve"> </w:t>
      </w:r>
      <w:r w:rsidRPr="00D050E9">
        <w:rPr>
          <w:rFonts w:asciiTheme="minorHAnsi" w:hAnsiTheme="minorHAnsi" w:cs="Arial"/>
        </w:rPr>
        <w:t>so penetracije mnogo višje od tistih, ki jo dosegajo operaterji v svojih komercialnih omrežjih.</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rPr>
        <w:t>GOŠO projekti so se izvajali v obliki javno-zasebnih partnerstev z javnimi sredstvi in dodatno z zasebnim vložkom. Skupaj so bila zgrajena širokopasovna omrežja na belih lisah v 46 slovenskih občinah. Z javnimi in zasebnimi sredstvi je bilo skupaj omogočenih več kot 30.000 širokopasovnih priključkov, velika večina v tehnologiji optičnih vlaken. Zaradi postavitve infrastrukture v javni lasti so se izboljšali pogoji za nadaljnjo gradnjo omrežij iz zasebnih sredstev. Ocenjen potencial za zasebne investicije je dodatnih 90.000 priključkov. Infrastruktura, zgrajena v okviru projektov GOŠO, bo tako imela močne spodbujevalne učinke v smislu finančno ugodnejše gradnje širokopasovnih priključkov tudi na območjih izven belih lis.</w:t>
      </w:r>
    </w:p>
    <w:p w:rsidR="00A720EA" w:rsidRPr="00D050E9" w:rsidRDefault="00A720EA" w:rsidP="00A720EA">
      <w:pPr>
        <w:spacing w:line="276" w:lineRule="auto"/>
        <w:rPr>
          <w:rFonts w:asciiTheme="minorHAnsi" w:hAnsiTheme="minorHAnsi" w:cs="Arial"/>
        </w:rPr>
      </w:pPr>
      <w:r w:rsidRPr="00D050E9">
        <w:rPr>
          <w:rFonts w:asciiTheme="minorHAnsi" w:hAnsiTheme="minorHAnsi" w:cs="Arial"/>
          <w:b/>
          <w:i/>
        </w:rPr>
        <w:t>Splošna ocena glede učinkovitosti dodeljenih državnih pomoči za projekte gradnja, upravljanje in vzdrževanje odprtih širokopasovnih omrežij elektronskih komunikacij v lokalnih skupnostih – projekti GOŠO, je 4 (uspešno)</w:t>
      </w:r>
      <w:r w:rsidRPr="00D050E9">
        <w:rPr>
          <w:rFonts w:asciiTheme="minorHAnsi" w:hAnsiTheme="minorHAnsi" w:cs="Arial"/>
        </w:rPr>
        <w:t>.</w:t>
      </w:r>
    </w:p>
    <w:p w:rsidR="00A720EA" w:rsidRPr="00D050E9" w:rsidRDefault="00A720EA" w:rsidP="00C75589">
      <w:pPr>
        <w:spacing w:after="0" w:line="276" w:lineRule="auto"/>
        <w:rPr>
          <w:rFonts w:asciiTheme="minorHAnsi" w:hAnsiTheme="minorHAnsi" w:cs="Arial"/>
        </w:rPr>
      </w:pPr>
    </w:p>
    <w:p w:rsidR="00A720EA" w:rsidRPr="00D050E9" w:rsidRDefault="00A720EA" w:rsidP="00B9182A">
      <w:pPr>
        <w:pStyle w:val="Heading3USPENOST"/>
        <w:numPr>
          <w:ilvl w:val="2"/>
          <w:numId w:val="16"/>
        </w:numPr>
      </w:pPr>
      <w:bookmarkStart w:id="193" w:name="_Toc470776370"/>
      <w:bookmarkStart w:id="194" w:name="_Toc501099244"/>
      <w:bookmarkStart w:id="195" w:name="_Toc530654579"/>
      <w:r w:rsidRPr="00D050E9">
        <w:t xml:space="preserve">Kmetijstvo in </w:t>
      </w:r>
      <w:bookmarkEnd w:id="193"/>
      <w:r w:rsidRPr="00D050E9">
        <w:t>ribištvo</w:t>
      </w:r>
      <w:bookmarkEnd w:id="194"/>
      <w:bookmarkEnd w:id="195"/>
    </w:p>
    <w:p w:rsidR="00A720EA" w:rsidRPr="00D050E9" w:rsidRDefault="00A720EA" w:rsidP="00C75589">
      <w:pPr>
        <w:autoSpaceDE w:val="0"/>
        <w:autoSpaceDN w:val="0"/>
        <w:adjustRightInd w:val="0"/>
        <w:spacing w:after="0"/>
        <w:rPr>
          <w:rFonts w:asciiTheme="minorHAnsi" w:hAnsiTheme="minorHAnsi" w:cs="Arial"/>
        </w:rPr>
      </w:pPr>
    </w:p>
    <w:p w:rsidR="00A720EA" w:rsidRPr="00D050E9" w:rsidRDefault="00A720EA" w:rsidP="00C75589">
      <w:pPr>
        <w:autoSpaceDE w:val="0"/>
        <w:autoSpaceDN w:val="0"/>
        <w:adjustRightInd w:val="0"/>
        <w:spacing w:line="276" w:lineRule="auto"/>
        <w:rPr>
          <w:rFonts w:asciiTheme="minorHAnsi" w:hAnsiTheme="minorHAnsi" w:cs="Arial"/>
        </w:rPr>
      </w:pPr>
      <w:r w:rsidRPr="00D050E9">
        <w:rPr>
          <w:rFonts w:asciiTheme="minorHAnsi" w:hAnsiTheme="minorHAnsi" w:cs="Arial"/>
        </w:rPr>
        <w:t xml:space="preserve">Poročilo o učinkovitosti dodeljenih državnih pomoči v kmetijstvu in ribištvu zajema tiste sheme pomoči, ki so jih Ministrstvo za kmetijstvo, gozdarstvo in prehrano (v nadaljevanju: MKGP) in lokalne skupnosti ter javni skladi izvajali na podlagi Uredbe Komisije (EU) št. 702/2014 z dne 25. junija 2014 o razglasitvi nekaterih vrst pomoči v kmetijskem in gozdarskem sektorju ter na podeželju za združljive z notranjim trgom z uporabo členov 107 in 108 Pogodbe o delovanju Evropske unije (v nadaljevanju: </w:t>
      </w:r>
      <w:r w:rsidRPr="00D050E9">
        <w:rPr>
          <w:rFonts w:asciiTheme="minorHAnsi" w:eastAsia="Times New Roman" w:hAnsiTheme="minorHAnsi" w:cs="Arial"/>
          <w:lang w:eastAsia="sl-SI"/>
        </w:rPr>
        <w:t>Uredba EU o skupinskih izjemah v kmetijstvu)</w:t>
      </w:r>
      <w:r w:rsidRPr="00D050E9">
        <w:rPr>
          <w:rStyle w:val="FootnoteReference"/>
          <w:rFonts w:asciiTheme="minorHAnsi" w:hAnsiTheme="minorHAnsi" w:cs="Arial"/>
        </w:rPr>
        <w:footnoteReference w:id="30"/>
      </w:r>
      <w:r w:rsidRPr="00D050E9">
        <w:rPr>
          <w:rFonts w:asciiTheme="minorHAnsi" w:hAnsiTheme="minorHAnsi" w:cs="Arial"/>
        </w:rPr>
        <w:t xml:space="preserve"> in Smernic </w:t>
      </w:r>
      <w:r w:rsidRPr="00D050E9">
        <w:rPr>
          <w:rFonts w:asciiTheme="minorHAnsi" w:hAnsiTheme="minorHAnsi" w:cs="Arial"/>
          <w:bCs/>
        </w:rPr>
        <w:t>Evropske unije o državni pomoči v kmetijskem in gozdarskem sektorju ter na podeželju za obdobje od 2014 do 2020 (v nadaljevanju:  Smernice za kmetijski sektor).</w:t>
      </w:r>
      <w:r w:rsidRPr="00D050E9">
        <w:rPr>
          <w:rStyle w:val="FootnoteReference"/>
          <w:rFonts w:asciiTheme="minorHAnsi" w:hAnsiTheme="minorHAnsi" w:cs="Arial"/>
          <w:bCs/>
        </w:rPr>
        <w:footnoteReference w:id="31"/>
      </w:r>
    </w:p>
    <w:p w:rsidR="009F6E61" w:rsidRDefault="009F6E61" w:rsidP="00C75589">
      <w:pPr>
        <w:pStyle w:val="NormalWeb"/>
        <w:spacing w:before="0" w:beforeAutospacing="0" w:after="80" w:afterAutospacing="0" w:line="276" w:lineRule="auto"/>
        <w:jc w:val="both"/>
        <w:rPr>
          <w:rFonts w:asciiTheme="minorHAnsi" w:eastAsiaTheme="minorHAnsi" w:hAnsiTheme="minorHAnsi" w:cs="Arial"/>
          <w:sz w:val="22"/>
          <w:szCs w:val="22"/>
          <w:lang w:eastAsia="en-US"/>
        </w:rPr>
      </w:pPr>
    </w:p>
    <w:p w:rsidR="00A720EA" w:rsidRPr="00D050E9" w:rsidRDefault="00A720EA" w:rsidP="00C75589">
      <w:pPr>
        <w:pStyle w:val="NormalWeb"/>
        <w:spacing w:before="0" w:beforeAutospacing="0" w:after="80" w:afterAutospacing="0" w:line="276" w:lineRule="auto"/>
        <w:jc w:val="both"/>
        <w:rPr>
          <w:rFonts w:asciiTheme="minorHAnsi" w:eastAsiaTheme="minorHAnsi" w:hAnsiTheme="minorHAnsi" w:cs="Arial"/>
          <w:sz w:val="22"/>
          <w:szCs w:val="22"/>
          <w:lang w:eastAsia="en-US"/>
        </w:rPr>
      </w:pPr>
      <w:r w:rsidRPr="00D050E9">
        <w:rPr>
          <w:rFonts w:asciiTheme="minorHAnsi" w:eastAsiaTheme="minorHAnsi" w:hAnsiTheme="minorHAnsi" w:cs="Arial"/>
          <w:sz w:val="22"/>
          <w:szCs w:val="22"/>
          <w:lang w:eastAsia="en-US"/>
        </w:rPr>
        <w:t xml:space="preserve">Poročilo ne vključuje ocene učinkovitosti za pomoči </w:t>
      </w:r>
      <w:r w:rsidRPr="00D050E9">
        <w:rPr>
          <w:rFonts w:asciiTheme="minorHAnsi" w:eastAsiaTheme="minorHAnsi" w:hAnsiTheme="minorHAnsi" w:cs="Arial"/>
          <w:i/>
          <w:sz w:val="22"/>
          <w:szCs w:val="22"/>
          <w:lang w:eastAsia="en-US"/>
        </w:rPr>
        <w:t>de minimis</w:t>
      </w:r>
      <w:r w:rsidRPr="00D050E9">
        <w:rPr>
          <w:rFonts w:asciiTheme="minorHAnsi" w:eastAsiaTheme="minorHAnsi" w:hAnsiTheme="minorHAnsi" w:cs="Arial"/>
          <w:sz w:val="22"/>
          <w:szCs w:val="22"/>
          <w:lang w:eastAsia="en-US"/>
        </w:rPr>
        <w:t xml:space="preserve">, dodeljene na podlagi Uredbe Komisije (ES) št. Uredbe Komisije (EU) št. 1408/2013 z dne 18. decembra 2013 o uporabi členov 107 in 108 Pogodbe o delovanju Evropske unije pri pomoči </w:t>
      </w:r>
      <w:r w:rsidRPr="00D050E9">
        <w:rPr>
          <w:rFonts w:asciiTheme="minorHAnsi" w:eastAsiaTheme="minorHAnsi" w:hAnsiTheme="minorHAnsi" w:cs="Arial"/>
          <w:i/>
          <w:sz w:val="22"/>
          <w:szCs w:val="22"/>
          <w:lang w:eastAsia="en-US"/>
        </w:rPr>
        <w:t>de minimis</w:t>
      </w:r>
      <w:r w:rsidRPr="00D050E9">
        <w:rPr>
          <w:rFonts w:asciiTheme="minorHAnsi" w:eastAsiaTheme="minorHAnsi" w:hAnsiTheme="minorHAnsi" w:cs="Arial"/>
          <w:sz w:val="22"/>
          <w:szCs w:val="22"/>
          <w:lang w:eastAsia="en-US"/>
        </w:rPr>
        <w:t xml:space="preserve"> v kmetijskem sektorju,</w:t>
      </w:r>
      <w:r w:rsidRPr="00D050E9">
        <w:rPr>
          <w:rStyle w:val="FootnoteReference"/>
          <w:rFonts w:asciiTheme="minorHAnsi" w:eastAsiaTheme="minorHAnsi" w:hAnsiTheme="minorHAnsi" w:cs="Arial"/>
          <w:sz w:val="22"/>
          <w:szCs w:val="22"/>
          <w:lang w:eastAsia="en-US"/>
        </w:rPr>
        <w:footnoteReference w:id="32"/>
      </w:r>
      <w:r w:rsidRPr="00D050E9">
        <w:rPr>
          <w:rFonts w:asciiTheme="minorHAnsi" w:eastAsiaTheme="minorHAnsi" w:hAnsiTheme="minorHAnsi" w:cs="Arial"/>
          <w:sz w:val="22"/>
          <w:szCs w:val="22"/>
          <w:lang w:eastAsia="en-US"/>
        </w:rPr>
        <w:t xml:space="preserve"> pomoči </w:t>
      </w:r>
      <w:r w:rsidR="009B30E1" w:rsidRPr="009B30E1">
        <w:rPr>
          <w:rFonts w:asciiTheme="minorHAnsi" w:eastAsiaTheme="minorHAnsi" w:hAnsiTheme="minorHAnsi" w:cs="Arial"/>
          <w:i/>
          <w:sz w:val="22"/>
          <w:szCs w:val="22"/>
          <w:lang w:eastAsia="en-US"/>
        </w:rPr>
        <w:t>de minimis</w:t>
      </w:r>
      <w:r w:rsidRPr="00D050E9">
        <w:rPr>
          <w:rFonts w:asciiTheme="minorHAnsi" w:eastAsiaTheme="minorHAnsi" w:hAnsiTheme="minorHAnsi" w:cs="Arial"/>
          <w:sz w:val="22"/>
          <w:szCs w:val="22"/>
          <w:lang w:eastAsia="en-US"/>
        </w:rPr>
        <w:t xml:space="preserve"> ribiškemu sektorju, dodeljene na podlagi Uredbe Komisije (EU) št. 717/2014 z dne 27. julija 2014 o uporabi členov 107 in 108 Pogodbe o delovanju Evropske unije pri pomoči </w:t>
      </w:r>
      <w:r w:rsidR="009B30E1" w:rsidRPr="009B30E1">
        <w:rPr>
          <w:rFonts w:asciiTheme="minorHAnsi" w:eastAsiaTheme="minorHAnsi" w:hAnsiTheme="minorHAnsi" w:cs="Arial"/>
          <w:i/>
          <w:sz w:val="22"/>
          <w:szCs w:val="22"/>
          <w:lang w:eastAsia="en-US"/>
        </w:rPr>
        <w:t>de minimis</w:t>
      </w:r>
      <w:r w:rsidRPr="00D050E9">
        <w:rPr>
          <w:rFonts w:asciiTheme="minorHAnsi" w:eastAsiaTheme="minorHAnsi" w:hAnsiTheme="minorHAnsi" w:cs="Arial"/>
          <w:sz w:val="22"/>
          <w:szCs w:val="22"/>
          <w:lang w:eastAsia="en-US"/>
        </w:rPr>
        <w:t xml:space="preserve"> v sektorju ribištva in akvakulture.</w:t>
      </w:r>
      <w:r w:rsidRPr="00D050E9">
        <w:rPr>
          <w:rStyle w:val="FootnoteReference"/>
          <w:rFonts w:asciiTheme="minorHAnsi" w:eastAsiaTheme="minorHAnsi" w:hAnsiTheme="minorHAnsi" w:cs="Arial"/>
          <w:sz w:val="22"/>
          <w:szCs w:val="22"/>
          <w:lang w:eastAsia="en-US"/>
        </w:rPr>
        <w:footnoteReference w:id="33"/>
      </w:r>
    </w:p>
    <w:p w:rsidR="00A720EA" w:rsidRPr="00D050E9" w:rsidRDefault="00A720EA" w:rsidP="00C75589">
      <w:pPr>
        <w:pStyle w:val="NormalWeb"/>
        <w:spacing w:before="0" w:beforeAutospacing="0" w:after="0" w:afterAutospacing="0" w:line="276" w:lineRule="auto"/>
        <w:jc w:val="both"/>
        <w:rPr>
          <w:rFonts w:asciiTheme="minorHAnsi" w:hAnsiTheme="minorHAnsi" w:cs="Arial"/>
          <w:sz w:val="22"/>
          <w:szCs w:val="22"/>
        </w:rPr>
      </w:pPr>
    </w:p>
    <w:p w:rsidR="00A720EA" w:rsidRPr="00D050E9" w:rsidRDefault="00A720EA" w:rsidP="00C75589">
      <w:pPr>
        <w:pStyle w:val="NormalWeb"/>
        <w:spacing w:before="0" w:beforeAutospacing="0" w:after="0" w:afterAutospacing="0" w:line="276" w:lineRule="auto"/>
        <w:jc w:val="both"/>
        <w:rPr>
          <w:rFonts w:asciiTheme="minorHAnsi" w:hAnsiTheme="minorHAnsi" w:cs="Arial"/>
          <w:szCs w:val="22"/>
        </w:rPr>
      </w:pPr>
      <w:r w:rsidRPr="00D050E9">
        <w:rPr>
          <w:rFonts w:asciiTheme="minorHAnsi" w:hAnsiTheme="minorHAnsi" w:cs="Arial"/>
          <w:sz w:val="22"/>
          <w:szCs w:val="22"/>
        </w:rPr>
        <w:t>Pri pripravi skupne ocene učinkovitosti so kot izhodišče upoštevane predvsem ocene učinkovitosti posameznih shem pomoči, izdelanih na podlagi strokovnih mnenj nosilcev področja ukrepanja.</w:t>
      </w:r>
      <w:r w:rsidRPr="00D050E9">
        <w:rPr>
          <w:rFonts w:asciiTheme="minorHAnsi" w:hAnsiTheme="minorHAnsi" w:cs="Arial"/>
          <w:szCs w:val="22"/>
        </w:rPr>
        <w:t xml:space="preserve"> </w:t>
      </w:r>
      <w:r w:rsidRPr="00D050E9">
        <w:rPr>
          <w:rFonts w:asciiTheme="minorHAnsi" w:hAnsiTheme="minorHAnsi" w:cs="Arial"/>
          <w:sz w:val="22"/>
          <w:szCs w:val="22"/>
        </w:rPr>
        <w:t xml:space="preserve">Poročilo vključuje oceno učinkovitosti po posameznih </w:t>
      </w:r>
      <w:r w:rsidRPr="00D050E9">
        <w:rPr>
          <w:rFonts w:asciiTheme="minorHAnsi" w:hAnsiTheme="minorHAnsi" w:cs="Arial"/>
          <w:sz w:val="22"/>
          <w:szCs w:val="22"/>
          <w:u w:val="single"/>
        </w:rPr>
        <w:t>namenih</w:t>
      </w:r>
      <w:r w:rsidRPr="00D050E9">
        <w:rPr>
          <w:rFonts w:asciiTheme="minorHAnsi" w:hAnsiTheme="minorHAnsi" w:cs="Arial"/>
          <w:sz w:val="22"/>
          <w:szCs w:val="22"/>
        </w:rPr>
        <w:t>, ki so bili v letu 2017 deležni javne podpore.</w:t>
      </w:r>
    </w:p>
    <w:p w:rsidR="00A720EA" w:rsidRPr="00D050E9" w:rsidRDefault="00A720EA" w:rsidP="00C75589">
      <w:pPr>
        <w:pStyle w:val="NormalWeb"/>
        <w:spacing w:before="0" w:beforeAutospacing="0" w:after="0" w:afterAutospacing="0" w:line="276" w:lineRule="auto"/>
        <w:jc w:val="both"/>
        <w:rPr>
          <w:rFonts w:asciiTheme="minorHAnsi" w:hAnsiTheme="minorHAnsi" w:cs="Arial"/>
          <w:sz w:val="22"/>
          <w:szCs w:val="22"/>
        </w:rPr>
      </w:pPr>
    </w:p>
    <w:p w:rsidR="00A720EA" w:rsidRPr="00D050E9" w:rsidRDefault="00A720EA" w:rsidP="00C75589">
      <w:pPr>
        <w:pStyle w:val="NormalWeb"/>
        <w:spacing w:before="0" w:beforeAutospacing="0" w:after="0" w:afterAutospacing="0" w:line="276" w:lineRule="auto"/>
        <w:jc w:val="both"/>
        <w:rPr>
          <w:rFonts w:asciiTheme="minorHAnsi" w:hAnsiTheme="minorHAnsi"/>
          <w:b/>
          <w:bCs/>
        </w:rPr>
      </w:pPr>
      <w:r w:rsidRPr="00D050E9">
        <w:rPr>
          <w:rFonts w:asciiTheme="minorHAnsi" w:hAnsiTheme="minorHAnsi"/>
          <w:b/>
          <w:bCs/>
        </w:rPr>
        <w:t>KMETIJSTVO</w:t>
      </w:r>
    </w:p>
    <w:p w:rsidR="00C75589" w:rsidRPr="00D050E9" w:rsidRDefault="00C75589" w:rsidP="00C75589">
      <w:pPr>
        <w:spacing w:after="0" w:line="276" w:lineRule="auto"/>
        <w:rPr>
          <w:rFonts w:asciiTheme="minorHAnsi" w:hAnsiTheme="minorHAnsi"/>
          <w:b/>
          <w:i/>
          <w:u w:val="single"/>
        </w:rPr>
      </w:pPr>
    </w:p>
    <w:p w:rsidR="00A720EA" w:rsidRPr="00D050E9" w:rsidRDefault="00A720EA" w:rsidP="00C75589">
      <w:pPr>
        <w:spacing w:after="0" w:line="276" w:lineRule="auto"/>
        <w:rPr>
          <w:rFonts w:asciiTheme="minorHAnsi" w:hAnsiTheme="minorHAnsi"/>
          <w:b/>
          <w:i/>
          <w:u w:val="single"/>
        </w:rPr>
      </w:pPr>
      <w:r w:rsidRPr="00D050E9">
        <w:rPr>
          <w:rFonts w:asciiTheme="minorHAnsi" w:hAnsiTheme="minorHAnsi"/>
          <w:b/>
          <w:i/>
          <w:u w:val="single"/>
        </w:rPr>
        <w:t>Pomoči za zavarovanje v primeru naravnih nesreč ali izrednih dogodkov</w:t>
      </w:r>
    </w:p>
    <w:p w:rsidR="00C75589" w:rsidRPr="00D050E9" w:rsidRDefault="00C75589" w:rsidP="00C75589">
      <w:pPr>
        <w:spacing w:after="0" w:line="276" w:lineRule="auto"/>
        <w:rPr>
          <w:rFonts w:asciiTheme="minorHAnsi" w:eastAsia="Times New Roman" w:hAnsiTheme="minorHAnsi" w:cs="Arial"/>
          <w:lang w:eastAsia="sl-SI"/>
        </w:rPr>
      </w:pPr>
    </w:p>
    <w:p w:rsidR="00A720EA" w:rsidRPr="00D050E9" w:rsidRDefault="00A720EA" w:rsidP="00C75589">
      <w:pPr>
        <w:spacing w:after="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 xml:space="preserve">Namen odobrenih shem je pomoč za zavarovanje kmetijske pridelave rastlinske proizvodnje in reje domačih živali za kritje izgub zaradi naravnih nesreč, slabih vremenskih razmer, ki jih je mogoče enačiti z naravnimi nesrečami, in drugih slabih vremenskih razmer ter bolezni živali ali škodljivih organizmov na rastlinah. </w:t>
      </w:r>
    </w:p>
    <w:p w:rsidR="00A720EA" w:rsidRPr="00D050E9" w:rsidRDefault="00A720EA" w:rsidP="00C75589">
      <w:pPr>
        <w:spacing w:after="0" w:line="276" w:lineRule="auto"/>
        <w:rPr>
          <w:rFonts w:asciiTheme="minorHAnsi" w:eastAsia="Times New Roman" w:hAnsiTheme="minorHAnsi" w:cs="Arial"/>
          <w:lang w:eastAsia="sl-SI"/>
        </w:rPr>
      </w:pPr>
    </w:p>
    <w:p w:rsidR="00A720EA" w:rsidRPr="00D050E9" w:rsidRDefault="00A720EA" w:rsidP="00C75589">
      <w:pPr>
        <w:spacing w:after="0" w:line="276" w:lineRule="auto"/>
        <w:rPr>
          <w:rFonts w:asciiTheme="minorHAnsi" w:hAnsiTheme="minorHAnsi"/>
        </w:rPr>
      </w:pPr>
      <w:r w:rsidRPr="00D050E9">
        <w:rPr>
          <w:rFonts w:asciiTheme="minorHAnsi" w:eastAsia="Times New Roman" w:hAnsiTheme="minorHAnsi" w:cs="Arial"/>
          <w:lang w:eastAsia="sl-SI"/>
        </w:rPr>
        <w:t>V okviru odobrene sheme MKGP so se upravičeni stroški zavarovalne premije v letu 2017 sofinancirali</w:t>
      </w:r>
      <w:r w:rsidRPr="00D050E9">
        <w:rPr>
          <w:rFonts w:asciiTheme="minorHAnsi" w:hAnsiTheme="minorHAnsi"/>
        </w:rPr>
        <w:t xml:space="preserve"> pri živalih za primer pogina zaradi bolezni v višini 20 odstotkov, pri posevkih nasadih in plodovih v višini 40 odstotkov ter za zavarovanje sadja, grozdja in hmelja v višini 50 odstotkov obračunane zavarovalne premije. Občine lahko sodelujejo pri tem ukrepu, tako da sofinancirajo razliko do 65 odstotkov upravičenih stroškov zavarovalne premije. </w:t>
      </w:r>
    </w:p>
    <w:p w:rsidR="00A720EA" w:rsidRPr="00D050E9" w:rsidRDefault="00A720EA" w:rsidP="00C75589">
      <w:pPr>
        <w:tabs>
          <w:tab w:val="left" w:pos="284"/>
        </w:tabs>
        <w:autoSpaceDE w:val="0"/>
        <w:autoSpaceDN w:val="0"/>
        <w:adjustRightInd w:val="0"/>
        <w:spacing w:after="0" w:line="276" w:lineRule="auto"/>
        <w:rPr>
          <w:rFonts w:asciiTheme="minorHAnsi" w:eastAsia="Times New Roman" w:hAnsiTheme="minorHAnsi" w:cs="Arial"/>
          <w:lang w:eastAsia="sl-SI"/>
        </w:rPr>
      </w:pPr>
    </w:p>
    <w:p w:rsidR="00A720EA" w:rsidRDefault="00A720EA" w:rsidP="00C75589">
      <w:pPr>
        <w:tabs>
          <w:tab w:val="left" w:pos="284"/>
        </w:tabs>
        <w:autoSpaceDE w:val="0"/>
        <w:autoSpaceDN w:val="0"/>
        <w:adjustRightInd w:val="0"/>
        <w:spacing w:after="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Ciljna skupina so kmetijska gospodarstva, dejavna v primarni kmetijski proizvodnji, ki ustrezajo kriterijem za mikro, mala in srednja podjetja (MSP).</w:t>
      </w:r>
    </w:p>
    <w:p w:rsidR="0002140A" w:rsidRDefault="0002140A" w:rsidP="00C75589">
      <w:pPr>
        <w:tabs>
          <w:tab w:val="left" w:pos="284"/>
        </w:tabs>
        <w:autoSpaceDE w:val="0"/>
        <w:autoSpaceDN w:val="0"/>
        <w:adjustRightInd w:val="0"/>
        <w:spacing w:after="0" w:line="276" w:lineRule="auto"/>
        <w:rPr>
          <w:rFonts w:asciiTheme="minorHAnsi" w:eastAsia="Times New Roman" w:hAnsiTheme="minorHAnsi" w:cs="Arial"/>
          <w:lang w:eastAsia="sl-SI"/>
        </w:rPr>
      </w:pPr>
    </w:p>
    <w:p w:rsidR="00A720EA" w:rsidRPr="00D050E9" w:rsidRDefault="00A720EA" w:rsidP="00C75589">
      <w:pPr>
        <w:tabs>
          <w:tab w:val="left" w:pos="284"/>
        </w:tabs>
        <w:autoSpaceDE w:val="0"/>
        <w:autoSpaceDN w:val="0"/>
        <w:adjustRightInd w:val="0"/>
        <w:spacing w:after="0" w:line="276" w:lineRule="auto"/>
        <w:rPr>
          <w:rFonts w:asciiTheme="minorHAnsi" w:eastAsia="Times New Roman" w:hAnsiTheme="minorHAnsi" w:cs="Arial"/>
          <w:lang w:eastAsia="sl-SI"/>
        </w:rPr>
      </w:pPr>
    </w:p>
    <w:tbl>
      <w:tblPr>
        <w:tblStyle w:val="MediumGrid2-Accent5"/>
        <w:tblW w:w="9213" w:type="dxa"/>
        <w:tblInd w:w="108" w:type="dxa"/>
        <w:tblLayout w:type="fixed"/>
        <w:tblLook w:val="04A0" w:firstRow="1" w:lastRow="0" w:firstColumn="1" w:lastColumn="0" w:noHBand="0" w:noVBand="1"/>
      </w:tblPr>
      <w:tblGrid>
        <w:gridCol w:w="1560"/>
        <w:gridCol w:w="3543"/>
        <w:gridCol w:w="1559"/>
        <w:gridCol w:w="2551"/>
      </w:tblGrid>
      <w:tr w:rsidR="00A720EA" w:rsidRPr="00D050E9" w:rsidTr="0002140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60" w:type="dxa"/>
            <w:hideMark/>
          </w:tcPr>
          <w:p w:rsidR="00A720EA" w:rsidRPr="00D050E9" w:rsidRDefault="00A720EA" w:rsidP="00A720EA">
            <w:pPr>
              <w:spacing w:line="260" w:lineRule="atLeast"/>
              <w:jc w:val="center"/>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543"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559"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551"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0214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 občine</w:t>
            </w:r>
          </w:p>
        </w:tc>
        <w:tc>
          <w:tcPr>
            <w:tcW w:w="3543" w:type="dxa"/>
            <w:vMerge w:val="restart"/>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Pomoči za zavarovalne police v primeru naravnih nesreč ali izrednih dogodkov</w:t>
            </w:r>
          </w:p>
        </w:tc>
        <w:tc>
          <w:tcPr>
            <w:tcW w:w="1559" w:type="dxa"/>
            <w:vMerge w:val="restart"/>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551" w:type="dxa"/>
            <w:vMerge w:val="restart"/>
            <w:vAlign w:val="center"/>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sz w:val="19"/>
                <w:szCs w:val="19"/>
                <w:lang w:eastAsia="sl-SI"/>
              </w:rPr>
            </w:pPr>
          </w:p>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sz w:val="19"/>
                <w:szCs w:val="19"/>
                <w:lang w:eastAsia="sl-SI"/>
              </w:rPr>
            </w:pPr>
            <w:r w:rsidRPr="00D050E9">
              <w:rPr>
                <w:rFonts w:asciiTheme="minorHAnsi" w:eastAsia="Times New Roman" w:hAnsiTheme="minorHAnsi" w:cs="Arial"/>
                <w:b/>
                <w:color w:val="auto"/>
                <w:sz w:val="19"/>
                <w:szCs w:val="19"/>
                <w:lang w:eastAsia="sl-SI"/>
              </w:rPr>
              <w:t>5.923.245,36</w:t>
            </w:r>
          </w:p>
          <w:p w:rsidR="00A720EA" w:rsidRPr="00D050E9" w:rsidRDefault="00A720EA" w:rsidP="00A720EA">
            <w:pPr>
              <w:spacing w:line="260" w:lineRule="atLeast"/>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sz w:val="19"/>
                <w:szCs w:val="19"/>
                <w:lang w:eastAsia="sl-SI"/>
              </w:rPr>
            </w:pPr>
          </w:p>
        </w:tc>
      </w:tr>
      <w:tr w:rsidR="00A720EA" w:rsidRPr="00D050E9" w:rsidTr="0002140A">
        <w:trPr>
          <w:trHeight w:val="260"/>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rsidR="00A720EA" w:rsidRPr="00D050E9" w:rsidRDefault="00A720EA" w:rsidP="00A720EA">
            <w:pPr>
              <w:spacing w:line="260" w:lineRule="atLeast"/>
              <w:rPr>
                <w:rFonts w:asciiTheme="minorHAnsi" w:eastAsia="Times New Roman" w:hAnsiTheme="minorHAnsi" w:cs="Arial"/>
                <w:sz w:val="19"/>
                <w:szCs w:val="19"/>
                <w:lang w:eastAsia="sl-SI"/>
              </w:rPr>
            </w:pPr>
          </w:p>
        </w:tc>
        <w:tc>
          <w:tcPr>
            <w:tcW w:w="3543" w:type="dxa"/>
            <w:vMerge/>
            <w:shd w:val="clear" w:color="auto" w:fill="A5D5E2" w:themeFill="accent5" w:themeFillTint="7F"/>
          </w:tcPr>
          <w:p w:rsidR="00A720EA" w:rsidRPr="00D050E9" w:rsidRDefault="00A720EA" w:rsidP="00A720EA">
            <w:pPr>
              <w:spacing w:line="26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p>
        </w:tc>
        <w:tc>
          <w:tcPr>
            <w:tcW w:w="1559" w:type="dxa"/>
            <w:vMerge/>
            <w:shd w:val="clear" w:color="auto" w:fill="A5D5E2" w:themeFill="accent5" w:themeFillTint="7F"/>
            <w:vAlign w:val="center"/>
          </w:tcPr>
          <w:p w:rsidR="00A720EA" w:rsidRPr="00D050E9" w:rsidRDefault="00A720EA" w:rsidP="00A720EA">
            <w:pPr>
              <w:spacing w:line="26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p>
        </w:tc>
        <w:tc>
          <w:tcPr>
            <w:tcW w:w="2551" w:type="dxa"/>
            <w:vMerge/>
            <w:shd w:val="clear" w:color="auto" w:fill="A5D5E2" w:themeFill="accent5" w:themeFillTint="7F"/>
            <w:vAlign w:val="center"/>
          </w:tcPr>
          <w:p w:rsidR="00A720EA" w:rsidRPr="00D050E9" w:rsidRDefault="00A720EA" w:rsidP="00A720EA">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19"/>
                <w:szCs w:val="19"/>
                <w:lang w:eastAsia="sl-SI"/>
              </w:rPr>
            </w:pPr>
          </w:p>
        </w:tc>
      </w:tr>
    </w:tbl>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spacing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V letu 2017 so MKGP in občine za ukrep namenile 2.386.374,51 evrov. Cilj ukrepa je spodbujanje širjenja zavarovanja kmetijske pridelave za primere škodnih dogodkov, ki povzročajo izgubo pridelka in s tem izpad dohodka kmetijskim gospodarstvom. Povečanje sredstev v letu 2017 (za 55 odstotkov v primerjavi z letom 2016) je predvsem posledica zvišanja intenzivnosti pomoči pri ukrepu sofinanciranja zavarovalnih premij na nacionalnem nivoju in zaradi tega nekoliko večji interes pridelovalcev za zavarovanje kmetijske pridelave in prireje.</w:t>
      </w:r>
    </w:p>
    <w:p w:rsidR="00A720EA" w:rsidRPr="00D050E9" w:rsidRDefault="00A720EA" w:rsidP="00C75589">
      <w:pPr>
        <w:spacing w:line="276" w:lineRule="auto"/>
        <w:rPr>
          <w:rFonts w:asciiTheme="minorHAnsi" w:hAnsiTheme="minorHAnsi"/>
          <w:b/>
          <w:i/>
        </w:rPr>
      </w:pPr>
      <w:r w:rsidRPr="00D050E9">
        <w:rPr>
          <w:rFonts w:asciiTheme="minorHAnsi" w:eastAsia="Times New Roman" w:hAnsiTheme="minorHAnsi" w:cs="Arial"/>
          <w:lang w:eastAsia="sl-SI"/>
        </w:rPr>
        <w:t xml:space="preserve"> </w:t>
      </w:r>
      <w:r w:rsidRPr="00D050E9">
        <w:rPr>
          <w:rFonts w:asciiTheme="minorHAnsi" w:hAnsiTheme="minorHAnsi"/>
          <w:b/>
          <w:i/>
        </w:rPr>
        <w:t>V letu 2017 je bilo sklenjenih 16.371 zavarovalnih pogodb (na 5.738 kmetijskih gospodarstvih) na nacionalnem nivoju in 704 zavarovalne pogodbe (na 624 kmetijskih gospodarstvih) na lokalnem nivoju. V zavarovanje je bilo vključenih 45.448 ha površin in 75.074 živali, kar predstavlja 117-odstotno uspešnost glede na zastavljene cilje v letu 2013.</w:t>
      </w:r>
    </w:p>
    <w:p w:rsidR="00C75589" w:rsidRPr="00D050E9" w:rsidRDefault="00C75589" w:rsidP="00C75589">
      <w:pPr>
        <w:spacing w:before="20" w:after="0"/>
        <w:rPr>
          <w:rFonts w:asciiTheme="minorHAnsi" w:hAnsiTheme="minorHAnsi"/>
          <w:b/>
          <w:i/>
          <w:u w:val="single"/>
        </w:rPr>
      </w:pPr>
    </w:p>
    <w:p w:rsidR="00A720EA" w:rsidRPr="00D050E9" w:rsidRDefault="00A720EA" w:rsidP="00C75589">
      <w:pPr>
        <w:spacing w:before="20" w:after="0"/>
        <w:rPr>
          <w:rFonts w:asciiTheme="minorHAnsi" w:hAnsiTheme="minorHAnsi"/>
          <w:b/>
          <w:i/>
          <w:u w:val="single"/>
        </w:rPr>
      </w:pPr>
      <w:r w:rsidRPr="00D050E9">
        <w:rPr>
          <w:rFonts w:asciiTheme="minorHAnsi" w:hAnsiTheme="minorHAnsi"/>
          <w:b/>
          <w:i/>
          <w:u w:val="single"/>
        </w:rPr>
        <w:t>Nadomestilo škode, ki so jo povzročile naravne nesreče ali izredni dogodki</w:t>
      </w:r>
    </w:p>
    <w:p w:rsidR="00C75589" w:rsidRPr="00D050E9" w:rsidRDefault="00C75589" w:rsidP="0002140A">
      <w:pPr>
        <w:spacing w:after="0" w:line="276" w:lineRule="auto"/>
        <w:rPr>
          <w:rFonts w:asciiTheme="minorHAnsi" w:eastAsia="Times New Roman" w:hAnsiTheme="minorHAnsi" w:cs="Arial"/>
          <w:lang w:eastAsia="sl-SI"/>
        </w:rPr>
      </w:pPr>
    </w:p>
    <w:p w:rsidR="00A720EA" w:rsidRPr="00D050E9" w:rsidRDefault="00A720EA" w:rsidP="00C75589">
      <w:pPr>
        <w:spacing w:before="2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V letu 2017 sta se na podlagi Programa odprave posledic pozebe in snega v sadjarstvu in vinogradništvu in Zakona o ukrepih za odpravo posledic pozebe in snega v kmetijski proizvodnji med 25. in 30. aprilom 2016 izvajali dve shemi državnih pomoči (po Uredbi EU o skupinskih izjemah v kmetijstvu in po Smernicah za kmetijski sektor).</w:t>
      </w:r>
    </w:p>
    <w:p w:rsidR="00A720EA" w:rsidRPr="00D050E9" w:rsidRDefault="00A720EA" w:rsidP="00C75589">
      <w:pPr>
        <w:spacing w:before="20" w:after="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Ciljna skupina so kmetijska gospodarstva (ne glede na velikost), dejavna v primarni proizvodnji sadja in grozdja, ki so utrpeli škodo zaradi omenjenih neugodnih vremenskih razmer, ki so povzročile škodo, ki jo je zaradi obsega mogoče izenačiti z naravno nesrečo. Pomoč je bila dodeljena kmetijskim gospodarstvom, katerih ocenjena škoda na sadju in grozdju je na posameznem GERK-u presegla 60 odstotkov običajne letne kmetijske proizvodnje in hkrati na celotnem kmetijskem gospodarstvu presega 30 odstotkov običajne letne kmetijske proizvodnje na ravni pridelka sadja ali grozdja. Pomoči je bila dodeljena za izpad dohodka zaradi popolnega ali delnega uničenja primarne kmetijske proizvodnje v sadjarstvu in vinogradništvu in popolnega ali delnega uničenja proizvodnih sredstev v sadjarstvu in vinogradništvu ter za materialno škodo na sredstvih v primarni kmetijski proizvodnji v sadjarstvu in vinogradništvu.</w:t>
      </w:r>
    </w:p>
    <w:p w:rsidR="00A720EA" w:rsidRPr="00D050E9" w:rsidRDefault="00A720EA" w:rsidP="0002140A">
      <w:pPr>
        <w:spacing w:after="0" w:line="276" w:lineRule="auto"/>
        <w:rPr>
          <w:rFonts w:asciiTheme="minorHAnsi" w:eastAsia="Times New Roman" w:hAnsiTheme="minorHAnsi" w:cs="Arial"/>
          <w:lang w:eastAsia="sl-SI"/>
        </w:rPr>
      </w:pPr>
    </w:p>
    <w:tbl>
      <w:tblPr>
        <w:tblStyle w:val="MediumGrid2-Accent5"/>
        <w:tblW w:w="9039" w:type="dxa"/>
        <w:tblLayout w:type="fixed"/>
        <w:tblLook w:val="04A0" w:firstRow="1" w:lastRow="0" w:firstColumn="1" w:lastColumn="0" w:noHBand="0" w:noVBand="1"/>
      </w:tblPr>
      <w:tblGrid>
        <w:gridCol w:w="2235"/>
        <w:gridCol w:w="2552"/>
        <w:gridCol w:w="1700"/>
        <w:gridCol w:w="2552"/>
      </w:tblGrid>
      <w:tr w:rsidR="00A720EA" w:rsidRPr="006041D4" w:rsidTr="00C7558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235" w:type="dxa"/>
            <w:hideMark/>
          </w:tcPr>
          <w:p w:rsidR="00A720EA" w:rsidRPr="006041D4" w:rsidRDefault="00A720EA" w:rsidP="00A720EA">
            <w:pPr>
              <w:spacing w:line="260" w:lineRule="atLeast"/>
              <w:jc w:val="center"/>
              <w:rPr>
                <w:rFonts w:asciiTheme="minorHAnsi" w:eastAsia="Times New Roman" w:hAnsiTheme="minorHAnsi" w:cs="Arial"/>
                <w:color w:val="auto"/>
                <w:sz w:val="19"/>
                <w:szCs w:val="19"/>
                <w:lang w:eastAsia="sl-SI"/>
              </w:rPr>
            </w:pPr>
            <w:r w:rsidRPr="006041D4">
              <w:rPr>
                <w:rFonts w:asciiTheme="minorHAnsi" w:eastAsia="Times New Roman" w:hAnsiTheme="minorHAnsi" w:cs="Arial"/>
                <w:color w:val="auto"/>
                <w:sz w:val="19"/>
                <w:szCs w:val="19"/>
                <w:lang w:eastAsia="sl-SI"/>
              </w:rPr>
              <w:t>Dajalec</w:t>
            </w:r>
          </w:p>
        </w:tc>
        <w:tc>
          <w:tcPr>
            <w:tcW w:w="2552" w:type="dxa"/>
            <w:hideMark/>
          </w:tcPr>
          <w:p w:rsidR="00A720EA" w:rsidRPr="006041D4"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6041D4">
              <w:rPr>
                <w:rFonts w:asciiTheme="minorHAnsi" w:eastAsia="Times New Roman" w:hAnsiTheme="minorHAnsi" w:cs="Arial"/>
                <w:color w:val="auto"/>
                <w:sz w:val="19"/>
                <w:szCs w:val="19"/>
                <w:lang w:eastAsia="sl-SI"/>
              </w:rPr>
              <w:t>Namen</w:t>
            </w:r>
          </w:p>
        </w:tc>
        <w:tc>
          <w:tcPr>
            <w:tcW w:w="1700" w:type="dxa"/>
            <w:hideMark/>
          </w:tcPr>
          <w:p w:rsidR="00A720EA" w:rsidRPr="006041D4"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6041D4">
              <w:rPr>
                <w:rFonts w:asciiTheme="minorHAnsi" w:eastAsia="Times New Roman" w:hAnsiTheme="minorHAnsi" w:cs="Arial"/>
                <w:color w:val="auto"/>
                <w:sz w:val="19"/>
                <w:szCs w:val="19"/>
                <w:lang w:eastAsia="sl-SI"/>
              </w:rPr>
              <w:t>Instrument</w:t>
            </w:r>
          </w:p>
        </w:tc>
        <w:tc>
          <w:tcPr>
            <w:tcW w:w="2552" w:type="dxa"/>
            <w:hideMark/>
          </w:tcPr>
          <w:p w:rsidR="00A720EA" w:rsidRPr="006041D4"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6041D4">
              <w:rPr>
                <w:rFonts w:asciiTheme="minorHAnsi" w:eastAsia="Times New Roman" w:hAnsiTheme="minorHAnsi" w:cs="Arial"/>
                <w:color w:val="auto"/>
                <w:sz w:val="19"/>
                <w:szCs w:val="19"/>
                <w:lang w:eastAsia="sl-SI"/>
              </w:rPr>
              <w:t>Skupaj 2015–2017 v EUR</w:t>
            </w:r>
          </w:p>
        </w:tc>
      </w:tr>
      <w:tr w:rsidR="00A720EA" w:rsidRPr="006041D4" w:rsidTr="00C755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A720EA" w:rsidRPr="006041D4" w:rsidRDefault="00A720EA" w:rsidP="00A720EA">
            <w:pPr>
              <w:jc w:val="center"/>
              <w:rPr>
                <w:rFonts w:asciiTheme="minorHAnsi" w:eastAsia="Times New Roman" w:hAnsiTheme="minorHAnsi" w:cs="Arial"/>
                <w:color w:val="auto"/>
                <w:sz w:val="19"/>
                <w:szCs w:val="19"/>
                <w:lang w:eastAsia="sl-SI"/>
              </w:rPr>
            </w:pPr>
            <w:r w:rsidRPr="006041D4">
              <w:rPr>
                <w:rFonts w:asciiTheme="minorHAnsi" w:eastAsia="Times New Roman" w:hAnsiTheme="minorHAnsi" w:cs="Arial"/>
                <w:color w:val="auto"/>
                <w:sz w:val="19"/>
                <w:szCs w:val="19"/>
                <w:lang w:eastAsia="sl-SI"/>
              </w:rPr>
              <w:t>MKGP</w:t>
            </w:r>
          </w:p>
        </w:tc>
        <w:tc>
          <w:tcPr>
            <w:tcW w:w="2552" w:type="dxa"/>
          </w:tcPr>
          <w:p w:rsidR="00A720EA" w:rsidRPr="006041D4" w:rsidRDefault="00A720EA" w:rsidP="00A720EA">
            <w:pPr>
              <w:spacing w:before="120" w:after="8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6041D4">
              <w:rPr>
                <w:rFonts w:asciiTheme="minorHAnsi" w:eastAsia="Times New Roman" w:hAnsiTheme="minorHAnsi" w:cs="Arial"/>
                <w:sz w:val="19"/>
                <w:szCs w:val="19"/>
                <w:lang w:eastAsia="sl-SI"/>
              </w:rPr>
              <w:t>Nadomestilo škode, ki so jo povzročile naravne nesreče ali izredni dogodki</w:t>
            </w:r>
          </w:p>
          <w:p w:rsidR="00A720EA" w:rsidRPr="006041D4" w:rsidRDefault="00A720EA" w:rsidP="00A720EA">
            <w:pPr>
              <w:spacing w:before="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tc>
        <w:tc>
          <w:tcPr>
            <w:tcW w:w="1700" w:type="dxa"/>
            <w:vAlign w:val="center"/>
          </w:tcPr>
          <w:p w:rsidR="00A720EA" w:rsidRPr="006041D4"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6041D4">
              <w:rPr>
                <w:rFonts w:asciiTheme="minorHAnsi" w:eastAsia="Times New Roman" w:hAnsiTheme="minorHAnsi" w:cs="Arial"/>
                <w:color w:val="auto"/>
                <w:sz w:val="19"/>
                <w:szCs w:val="19"/>
                <w:lang w:eastAsia="sl-SI"/>
              </w:rPr>
              <w:t>Dotacije</w:t>
            </w:r>
          </w:p>
        </w:tc>
        <w:tc>
          <w:tcPr>
            <w:tcW w:w="2552" w:type="dxa"/>
            <w:vAlign w:val="center"/>
          </w:tcPr>
          <w:p w:rsidR="00A720EA" w:rsidRPr="006041D4"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9"/>
                <w:szCs w:val="19"/>
              </w:rPr>
            </w:pPr>
            <w:r w:rsidRPr="006041D4">
              <w:rPr>
                <w:rFonts w:asciiTheme="minorHAnsi" w:hAnsiTheme="minorHAnsi" w:cs="Arial"/>
                <w:b/>
                <w:bCs/>
                <w:color w:val="000000"/>
                <w:sz w:val="19"/>
                <w:szCs w:val="19"/>
              </w:rPr>
              <w:t>3.487.332,24</w:t>
            </w:r>
          </w:p>
        </w:tc>
      </w:tr>
    </w:tbl>
    <w:p w:rsidR="00C75589" w:rsidRPr="00D050E9" w:rsidRDefault="00C75589" w:rsidP="0002140A">
      <w:pPr>
        <w:widowControl w:val="0"/>
        <w:spacing w:after="0" w:line="276" w:lineRule="auto"/>
        <w:rPr>
          <w:rFonts w:asciiTheme="minorHAnsi" w:hAnsiTheme="minorHAnsi"/>
          <w:b/>
          <w:i/>
        </w:rPr>
      </w:pPr>
    </w:p>
    <w:p w:rsidR="00A720EA" w:rsidRPr="00D050E9" w:rsidRDefault="00A720EA" w:rsidP="00C75589">
      <w:pPr>
        <w:widowControl w:val="0"/>
        <w:spacing w:after="0" w:line="276" w:lineRule="auto"/>
        <w:rPr>
          <w:rFonts w:asciiTheme="minorHAnsi" w:hAnsiTheme="minorHAnsi"/>
          <w:b/>
          <w:i/>
        </w:rPr>
      </w:pPr>
      <w:r w:rsidRPr="00D050E9">
        <w:rPr>
          <w:rFonts w:asciiTheme="minorHAnsi" w:hAnsiTheme="minorHAnsi"/>
          <w:b/>
          <w:i/>
        </w:rPr>
        <w:t>V letu 2017 je po tej shemi pomoč prejelo 1.179 kmetijskih gospodarstev, od tega 3 velika podjetja. Prejemniki pomoči so skupaj utrpeli izpad dohodka v višini 34.585.835 evrov, kar pomeni, da je nadomestilo pokrilo 10,1 odstotek izpada dohodka.</w:t>
      </w:r>
    </w:p>
    <w:p w:rsidR="00C75589" w:rsidRDefault="00C75589" w:rsidP="009F6E61">
      <w:pPr>
        <w:widowControl w:val="0"/>
        <w:spacing w:after="0"/>
        <w:rPr>
          <w:rFonts w:asciiTheme="minorHAnsi" w:hAnsiTheme="minorHAnsi"/>
          <w:b/>
          <w:i/>
        </w:rPr>
      </w:pPr>
    </w:p>
    <w:p w:rsidR="009F6E61" w:rsidRPr="00D050E9" w:rsidRDefault="009F6E61" w:rsidP="009F6E61">
      <w:pPr>
        <w:widowControl w:val="0"/>
        <w:spacing w:after="0"/>
        <w:rPr>
          <w:rFonts w:asciiTheme="minorHAnsi" w:hAnsiTheme="minorHAnsi"/>
          <w:b/>
          <w:i/>
        </w:rPr>
      </w:pPr>
    </w:p>
    <w:p w:rsidR="00A720EA" w:rsidRPr="00D050E9" w:rsidRDefault="00A720EA" w:rsidP="00A720EA">
      <w:pPr>
        <w:spacing w:before="20"/>
        <w:rPr>
          <w:rFonts w:asciiTheme="minorHAnsi" w:hAnsiTheme="minorHAnsi"/>
          <w:b/>
          <w:i/>
          <w:u w:val="single"/>
        </w:rPr>
      </w:pPr>
      <w:r w:rsidRPr="00D050E9">
        <w:rPr>
          <w:rFonts w:asciiTheme="minorHAnsi" w:hAnsiTheme="minorHAnsi"/>
          <w:b/>
          <w:i/>
          <w:u w:val="single"/>
        </w:rPr>
        <w:t>Pomoči za varstvo okolja v kmetijskem sektorju</w:t>
      </w:r>
    </w:p>
    <w:p w:rsidR="00C75589" w:rsidRPr="00D050E9" w:rsidRDefault="00C75589" w:rsidP="006041D4">
      <w:pPr>
        <w:spacing w:after="0"/>
        <w:rPr>
          <w:rFonts w:asciiTheme="minorHAnsi" w:hAnsiTheme="minorHAnsi"/>
          <w:b/>
          <w:i/>
          <w:u w:val="single"/>
        </w:rPr>
      </w:pPr>
    </w:p>
    <w:p w:rsidR="00A720EA" w:rsidRPr="00D050E9" w:rsidRDefault="00A720EA" w:rsidP="00C75589">
      <w:pPr>
        <w:spacing w:before="6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 xml:space="preserve">Pomoči za varstvo okolja vključujejo izdatke zavezancev za izvajanje sheme državne pomoči </w:t>
      </w:r>
      <w:r w:rsidRPr="00D050E9">
        <w:rPr>
          <w:rFonts w:asciiTheme="minorHAnsi" w:eastAsia="Times New Roman" w:hAnsiTheme="minorHAnsi" w:cs="Arial"/>
          <w:i/>
          <w:lang w:eastAsia="sl-SI"/>
        </w:rPr>
        <w:t>Nadomestilo za zmanjšanje dohodka iz kmetijske dejavnosti zaradi prilagoditve ukrepom vodovarstvenega režima</w:t>
      </w:r>
      <w:r w:rsidRPr="00D050E9">
        <w:rPr>
          <w:rFonts w:asciiTheme="minorHAnsi" w:eastAsia="Times New Roman" w:hAnsiTheme="minorHAnsi" w:cs="Arial"/>
          <w:lang w:eastAsia="sl-SI"/>
        </w:rPr>
        <w:t>, ki so bile odobrene v letu 2017 in vključujejo nadomestilo za leto 2016 in 2017. Cilj sheme je ohranjanje in izboljšanje kakovosti pitne vode. V letih veljavnosti sheme (od 2016 do 2020) naj bi se ohranila kakovost pitne vode na ravni kakovosti iz leta 2010.</w:t>
      </w:r>
    </w:p>
    <w:p w:rsidR="00A720EA" w:rsidRPr="00D050E9" w:rsidRDefault="00A720EA" w:rsidP="00C75589">
      <w:pPr>
        <w:tabs>
          <w:tab w:val="left" w:pos="284"/>
        </w:tabs>
        <w:autoSpaceDE w:val="0"/>
        <w:autoSpaceDN w:val="0"/>
        <w:adjustRightInd w:val="0"/>
        <w:spacing w:before="6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 xml:space="preserve">Upravičenci so kmetijska gospodarstva na najožjih vodovarstvenih območjih, namenjenih za varstvo vodnih virov za javno oskrbo s pitno vodo, ki so določena v skladu s predpisi Vlade Republike Slovenije, ki urejajo najožje vodovarstveno območje. To pomeni, da so v shemo nadomestil vključena le tista območja, ki so zavarovana z državnimi predpisi. </w:t>
      </w:r>
    </w:p>
    <w:p w:rsidR="00A720EA" w:rsidRPr="00D050E9" w:rsidRDefault="00A720EA" w:rsidP="00C75589">
      <w:pPr>
        <w:tabs>
          <w:tab w:val="left" w:pos="284"/>
        </w:tabs>
        <w:autoSpaceDE w:val="0"/>
        <w:autoSpaceDN w:val="0"/>
        <w:adjustRightInd w:val="0"/>
        <w:spacing w:before="60" w:line="276" w:lineRule="auto"/>
        <w:rPr>
          <w:rFonts w:asciiTheme="minorHAnsi" w:eastAsia="Times New Roman" w:hAnsiTheme="minorHAnsi" w:cs="Arial"/>
          <w:lang w:eastAsia="sl-SI"/>
        </w:rPr>
      </w:pPr>
      <w:r w:rsidRPr="00D050E9">
        <w:rPr>
          <w:rFonts w:asciiTheme="minorHAnsi" w:eastAsia="Times New Roman" w:hAnsiTheme="minorHAnsi" w:cs="Arial"/>
          <w:lang w:eastAsia="sl-SI"/>
        </w:rPr>
        <w:t xml:space="preserve">V letu 2017 je </w:t>
      </w:r>
      <w:r w:rsidRPr="00D050E9">
        <w:rPr>
          <w:rFonts w:asciiTheme="minorHAnsi" w:eastAsia="Times New Roman" w:hAnsiTheme="minorHAnsi" w:cs="Arial"/>
          <w:b/>
          <w:lang w:eastAsia="sl-SI"/>
        </w:rPr>
        <w:t xml:space="preserve">deset </w:t>
      </w:r>
      <w:r w:rsidRPr="00D050E9">
        <w:rPr>
          <w:rFonts w:asciiTheme="minorHAnsi" w:eastAsia="Times New Roman" w:hAnsiTheme="minorHAnsi" w:cs="Arial"/>
          <w:lang w:eastAsia="sl-SI"/>
        </w:rPr>
        <w:t>obveznih občinskih gospodarskih javnih služb za oskrbo s pitno vodo (zavezancev za izplačilo nadomestil) izplačalo nadomestilo za zmanjšanje dohodka iz kmetijske dejavnosti zaradi prilagoditve ukrepom vodovarstvenega režima, izplačano v višini 219.267,26 evrov 299 kmetijskim gospodarstvom.</w:t>
      </w:r>
    </w:p>
    <w:tbl>
      <w:tblPr>
        <w:tblStyle w:val="MediumGrid2-Accent5"/>
        <w:tblW w:w="9039" w:type="dxa"/>
        <w:tblLayout w:type="fixed"/>
        <w:tblLook w:val="04A0" w:firstRow="1" w:lastRow="0" w:firstColumn="1" w:lastColumn="0" w:noHBand="0" w:noVBand="1"/>
      </w:tblPr>
      <w:tblGrid>
        <w:gridCol w:w="2235"/>
        <w:gridCol w:w="2552"/>
        <w:gridCol w:w="1700"/>
        <w:gridCol w:w="2552"/>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2235" w:type="dxa"/>
            <w:hideMark/>
          </w:tcPr>
          <w:p w:rsidR="00A720EA" w:rsidRPr="00D050E9" w:rsidRDefault="00A720EA" w:rsidP="00A720EA">
            <w:pPr>
              <w:spacing w:line="260" w:lineRule="atLeast"/>
              <w:jc w:val="center"/>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2552"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700"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552"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A720EA" w:rsidRPr="00D050E9" w:rsidRDefault="00A720EA" w:rsidP="00A720EA">
            <w:pPr>
              <w:jc w:val="center"/>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Občinske gospodarske javne službe za oskrbo s pitno vodo</w:t>
            </w:r>
          </w:p>
          <w:p w:rsidR="00A720EA" w:rsidRPr="00D050E9" w:rsidRDefault="00A720EA" w:rsidP="00A720EA">
            <w:pPr>
              <w:jc w:val="center"/>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(priglasitelj MOP)</w:t>
            </w:r>
          </w:p>
        </w:tc>
        <w:tc>
          <w:tcPr>
            <w:tcW w:w="2552" w:type="dxa"/>
            <w:vAlign w:val="center"/>
            <w:hideMark/>
          </w:tcPr>
          <w:p w:rsidR="00A720EA" w:rsidRPr="00D050E9" w:rsidRDefault="00A720EA" w:rsidP="00A720EA">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Pomoči za varstvo okolja</w:t>
            </w:r>
          </w:p>
        </w:tc>
        <w:tc>
          <w:tcPr>
            <w:tcW w:w="1700" w:type="dxa"/>
            <w:vAlign w:val="center"/>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552" w:type="dxa"/>
            <w:vAlign w:val="center"/>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350.949,84</w:t>
            </w:r>
          </w:p>
        </w:tc>
      </w:tr>
    </w:tbl>
    <w:p w:rsidR="00A720EA" w:rsidRPr="00D050E9" w:rsidRDefault="00A720EA" w:rsidP="00A720EA">
      <w:pPr>
        <w:tabs>
          <w:tab w:val="left" w:pos="284"/>
        </w:tabs>
        <w:autoSpaceDE w:val="0"/>
        <w:autoSpaceDN w:val="0"/>
        <w:adjustRightInd w:val="0"/>
        <w:rPr>
          <w:rFonts w:asciiTheme="minorHAnsi" w:hAnsiTheme="minorHAnsi"/>
        </w:rPr>
      </w:pPr>
    </w:p>
    <w:p w:rsidR="00A720EA" w:rsidRPr="00D050E9" w:rsidRDefault="00A720EA" w:rsidP="00A720EA">
      <w:pPr>
        <w:tabs>
          <w:tab w:val="left" w:pos="284"/>
        </w:tabs>
        <w:autoSpaceDE w:val="0"/>
        <w:autoSpaceDN w:val="0"/>
        <w:adjustRightInd w:val="0"/>
        <w:rPr>
          <w:rFonts w:asciiTheme="minorHAnsi" w:hAnsiTheme="minorHAnsi"/>
          <w:b/>
          <w:bCs/>
          <w:i/>
          <w:iCs/>
        </w:rPr>
      </w:pPr>
      <w:r w:rsidRPr="00D050E9">
        <w:rPr>
          <w:rFonts w:asciiTheme="minorHAnsi" w:hAnsiTheme="minorHAnsi"/>
          <w:b/>
          <w:bCs/>
          <w:i/>
          <w:iCs/>
        </w:rPr>
        <w:t>Ministrstvo za okolje in prostor, priglasitelj te sheme pomoči, je mnenja, da je učinek zadovoljujoč in da so sredstva v ta namen učinkovito porabljena.</w:t>
      </w:r>
    </w:p>
    <w:p w:rsidR="00A720EA" w:rsidRPr="00D050E9" w:rsidRDefault="00A720EA" w:rsidP="00C75589">
      <w:pPr>
        <w:tabs>
          <w:tab w:val="left" w:pos="284"/>
        </w:tabs>
        <w:autoSpaceDE w:val="0"/>
        <w:autoSpaceDN w:val="0"/>
        <w:adjustRightInd w:val="0"/>
        <w:spacing w:line="276" w:lineRule="auto"/>
        <w:rPr>
          <w:rFonts w:asciiTheme="minorHAnsi" w:eastAsia="Times New Roman" w:hAnsiTheme="minorHAnsi" w:cs="Arial"/>
          <w:lang w:eastAsia="sl-SI"/>
        </w:rPr>
      </w:pPr>
    </w:p>
    <w:p w:rsidR="00A720EA" w:rsidRPr="00D050E9" w:rsidRDefault="00A720EA" w:rsidP="00C75589">
      <w:pPr>
        <w:tabs>
          <w:tab w:val="left" w:pos="284"/>
        </w:tabs>
        <w:autoSpaceDE w:val="0"/>
        <w:autoSpaceDN w:val="0"/>
        <w:adjustRightInd w:val="0"/>
        <w:spacing w:line="276" w:lineRule="auto"/>
        <w:rPr>
          <w:rFonts w:asciiTheme="minorHAnsi" w:hAnsiTheme="minorHAnsi"/>
          <w:b/>
          <w:i/>
          <w:u w:val="single"/>
        </w:rPr>
      </w:pPr>
      <w:r w:rsidRPr="00D050E9">
        <w:rPr>
          <w:rFonts w:asciiTheme="minorHAnsi" w:hAnsiTheme="minorHAnsi"/>
          <w:b/>
          <w:i/>
          <w:u w:val="single"/>
        </w:rPr>
        <w:t>Pomoč za tehnično podporo v kmetijskem sektorju</w:t>
      </w:r>
    </w:p>
    <w:p w:rsidR="00A720EA" w:rsidRPr="00D050E9" w:rsidRDefault="00A720EA" w:rsidP="00C75589">
      <w:pPr>
        <w:tabs>
          <w:tab w:val="left" w:pos="284"/>
        </w:tabs>
        <w:autoSpaceDE w:val="0"/>
        <w:autoSpaceDN w:val="0"/>
        <w:adjustRightInd w:val="0"/>
        <w:spacing w:line="276" w:lineRule="auto"/>
        <w:rPr>
          <w:rFonts w:asciiTheme="minorHAnsi" w:hAnsiTheme="minorHAnsi"/>
        </w:rPr>
      </w:pPr>
      <w:r w:rsidRPr="00D050E9">
        <w:rPr>
          <w:rFonts w:asciiTheme="minorHAnsi" w:hAnsiTheme="minorHAnsi"/>
        </w:rPr>
        <w:t xml:space="preserve">Pomoč je namenjena dejavnostim prenosa znanja in informiranja ter za promocijske ukrepe za kmetijske proizvode. </w:t>
      </w:r>
    </w:p>
    <w:p w:rsidR="00A720EA" w:rsidRPr="00D050E9" w:rsidRDefault="00A720EA" w:rsidP="00C75589">
      <w:pPr>
        <w:autoSpaceDE w:val="0"/>
        <w:autoSpaceDN w:val="0"/>
        <w:adjustRightInd w:val="0"/>
        <w:spacing w:after="0" w:line="276" w:lineRule="auto"/>
        <w:rPr>
          <w:rFonts w:asciiTheme="minorHAnsi" w:hAnsiTheme="minorHAnsi" w:cs="Arial"/>
          <w:color w:val="000000"/>
        </w:rPr>
      </w:pPr>
      <w:r w:rsidRPr="00D050E9">
        <w:rPr>
          <w:rFonts w:asciiTheme="minorHAnsi" w:hAnsiTheme="minorHAnsi" w:cs="Arial"/>
          <w:color w:val="000000"/>
        </w:rPr>
        <w:t xml:space="preserve">Cilji pomoči v okviru dejavnosti prenosa znanja in informiranja so povečati informiranost in dvigniti nivo znanja in usposobljenosti akterjev, dejavnih v kmetijskem sektorju. V okviru promocijskih ukrepov pa so cilji naslednji: </w:t>
      </w:r>
    </w:p>
    <w:p w:rsidR="00A720EA" w:rsidRPr="00D050E9" w:rsidRDefault="00A720EA" w:rsidP="00C75589">
      <w:pPr>
        <w:pStyle w:val="ListParagraph"/>
        <w:numPr>
          <w:ilvl w:val="0"/>
          <w:numId w:val="35"/>
        </w:numPr>
        <w:autoSpaceDE w:val="0"/>
        <w:autoSpaceDN w:val="0"/>
        <w:adjustRightInd w:val="0"/>
        <w:spacing w:after="0" w:line="276" w:lineRule="auto"/>
        <w:rPr>
          <w:rFonts w:asciiTheme="minorHAnsi" w:hAnsiTheme="minorHAnsi" w:cs="Arial"/>
          <w:color w:val="000000"/>
        </w:rPr>
      </w:pPr>
      <w:r w:rsidRPr="00D050E9">
        <w:rPr>
          <w:rFonts w:asciiTheme="minorHAnsi" w:hAnsiTheme="minorHAnsi" w:cs="Arial"/>
          <w:color w:val="000000"/>
        </w:rPr>
        <w:t xml:space="preserve">povečati zaupanje v kmetijske proizvode prek izboljšanja potrošnikovega poznavanja sledljivosti, varnosti in kakovosti, ki jih zagotavljajo pristojni organi v okviru celotne verige preskrbe s hrano; </w:t>
      </w:r>
    </w:p>
    <w:p w:rsidR="00A720EA" w:rsidRPr="00D050E9" w:rsidRDefault="00A720EA" w:rsidP="00C75589">
      <w:pPr>
        <w:pStyle w:val="ListParagraph"/>
        <w:numPr>
          <w:ilvl w:val="0"/>
          <w:numId w:val="35"/>
        </w:numPr>
        <w:autoSpaceDE w:val="0"/>
        <w:autoSpaceDN w:val="0"/>
        <w:adjustRightInd w:val="0"/>
        <w:spacing w:after="0" w:line="276" w:lineRule="auto"/>
        <w:rPr>
          <w:rFonts w:asciiTheme="minorHAnsi" w:hAnsiTheme="minorHAnsi" w:cs="Arial"/>
          <w:color w:val="000000"/>
        </w:rPr>
      </w:pPr>
      <w:r w:rsidRPr="00D050E9">
        <w:rPr>
          <w:rFonts w:asciiTheme="minorHAnsi" w:hAnsiTheme="minorHAnsi" w:cs="Arial"/>
          <w:color w:val="000000"/>
        </w:rPr>
        <w:t xml:space="preserve">informirati o pomenu in značilnostih nacionalne sheme kakovosti »izbrana kakovost« in </w:t>
      </w:r>
    </w:p>
    <w:p w:rsidR="00A720EA" w:rsidRDefault="00A720EA" w:rsidP="00C75589">
      <w:pPr>
        <w:pStyle w:val="ListParagraph"/>
        <w:numPr>
          <w:ilvl w:val="0"/>
          <w:numId w:val="35"/>
        </w:numPr>
        <w:autoSpaceDE w:val="0"/>
        <w:autoSpaceDN w:val="0"/>
        <w:adjustRightInd w:val="0"/>
        <w:spacing w:after="0" w:line="276" w:lineRule="auto"/>
        <w:rPr>
          <w:rFonts w:asciiTheme="minorHAnsi" w:hAnsiTheme="minorHAnsi" w:cs="Arial"/>
          <w:color w:val="000000"/>
        </w:rPr>
      </w:pPr>
      <w:r w:rsidRPr="00D050E9">
        <w:rPr>
          <w:rFonts w:asciiTheme="minorHAnsi" w:hAnsiTheme="minorHAnsi" w:cs="Arial"/>
          <w:color w:val="000000"/>
        </w:rPr>
        <w:t xml:space="preserve">prek širjenja znanstvenih spoznanj in dejanskih informacij povečevati informiranost potrošnikov o značilnostih in koristih lokalno pridelanih in predelanih kmetijskih proizvodov, npr. o kakovosti, okusu, raznolikosti, tradicionalnih in regionalnih posebnostih ter širših družbenih in okoljskih koristih njihove pridelave in predelave. </w:t>
      </w:r>
    </w:p>
    <w:p w:rsidR="006041D4" w:rsidRPr="00D050E9" w:rsidRDefault="006041D4" w:rsidP="006041D4">
      <w:pPr>
        <w:pStyle w:val="ListParagraph"/>
        <w:autoSpaceDE w:val="0"/>
        <w:autoSpaceDN w:val="0"/>
        <w:adjustRightInd w:val="0"/>
        <w:spacing w:after="0" w:line="276" w:lineRule="auto"/>
        <w:ind w:left="360"/>
        <w:rPr>
          <w:rFonts w:asciiTheme="minorHAnsi" w:hAnsiTheme="minorHAnsi" w:cs="Arial"/>
          <w:color w:val="000000"/>
        </w:rPr>
      </w:pPr>
    </w:p>
    <w:p w:rsidR="00A720EA" w:rsidRPr="00D050E9" w:rsidRDefault="00A720EA" w:rsidP="00C75589">
      <w:pPr>
        <w:pStyle w:val="ListParagraph"/>
        <w:autoSpaceDE w:val="0"/>
        <w:autoSpaceDN w:val="0"/>
        <w:adjustRightInd w:val="0"/>
        <w:spacing w:after="0" w:line="276" w:lineRule="auto"/>
        <w:ind w:left="360"/>
        <w:rPr>
          <w:rFonts w:asciiTheme="minorHAnsi" w:hAnsiTheme="minorHAnsi" w:cs="Arial"/>
          <w:color w:val="000000"/>
        </w:rPr>
      </w:pPr>
    </w:p>
    <w:tbl>
      <w:tblPr>
        <w:tblStyle w:val="MediumGrid2-Accent5"/>
        <w:tblW w:w="9072" w:type="dxa"/>
        <w:tblInd w:w="108" w:type="dxa"/>
        <w:tblLayout w:type="fixed"/>
        <w:tblLook w:val="04A0" w:firstRow="1" w:lastRow="0" w:firstColumn="1" w:lastColumn="0" w:noHBand="0" w:noVBand="1"/>
      </w:tblPr>
      <w:tblGrid>
        <w:gridCol w:w="1560"/>
        <w:gridCol w:w="2835"/>
        <w:gridCol w:w="2409"/>
        <w:gridCol w:w="2268"/>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60" w:type="dxa"/>
            <w:hideMark/>
          </w:tcPr>
          <w:p w:rsidR="00A720EA" w:rsidRPr="00D050E9" w:rsidRDefault="00A720EA" w:rsidP="00C75589">
            <w:pPr>
              <w:spacing w:line="276" w:lineRule="auto"/>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2835" w:type="dxa"/>
            <w:hideMark/>
          </w:tcPr>
          <w:p w:rsidR="00A720EA" w:rsidRPr="00D050E9" w:rsidRDefault="00A720EA" w:rsidP="00C7558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2409" w:type="dxa"/>
            <w:hideMark/>
          </w:tcPr>
          <w:p w:rsidR="00A720EA" w:rsidRPr="00D050E9" w:rsidRDefault="00A720EA" w:rsidP="00C7558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268" w:type="dxa"/>
            <w:hideMark/>
          </w:tcPr>
          <w:p w:rsidR="00A720EA" w:rsidRPr="00D050E9" w:rsidRDefault="00A720EA" w:rsidP="00C75589">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 občine</w:t>
            </w:r>
          </w:p>
        </w:tc>
        <w:tc>
          <w:tcPr>
            <w:tcW w:w="2835" w:type="dxa"/>
            <w:hideMark/>
          </w:tcPr>
          <w:p w:rsidR="00A720EA" w:rsidRPr="00D050E9" w:rsidRDefault="00A720EA" w:rsidP="00A720EA">
            <w:pPr>
              <w:spacing w:before="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 xml:space="preserve">Pomoči za tehnično podporo v kmetijskem sektorju </w:t>
            </w:r>
          </w:p>
        </w:tc>
        <w:tc>
          <w:tcPr>
            <w:tcW w:w="2409" w:type="dxa"/>
            <w:vAlign w:val="center"/>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268" w:type="dxa"/>
            <w:vAlign w:val="center"/>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27.661.627,59</w:t>
            </w:r>
          </w:p>
        </w:tc>
      </w:tr>
    </w:tbl>
    <w:p w:rsidR="00A720EA" w:rsidRPr="00D050E9" w:rsidRDefault="00A720EA" w:rsidP="00C75589">
      <w:pPr>
        <w:tabs>
          <w:tab w:val="left" w:pos="284"/>
        </w:tabs>
        <w:autoSpaceDE w:val="0"/>
        <w:autoSpaceDN w:val="0"/>
        <w:adjustRightInd w:val="0"/>
        <w:spacing w:line="276" w:lineRule="auto"/>
        <w:rPr>
          <w:rFonts w:asciiTheme="minorHAnsi" w:hAnsiTheme="minorHAnsi"/>
        </w:rPr>
      </w:pPr>
    </w:p>
    <w:p w:rsidR="00A720EA" w:rsidRPr="00D050E9" w:rsidRDefault="00A720EA" w:rsidP="00C75589">
      <w:pPr>
        <w:tabs>
          <w:tab w:val="left" w:pos="284"/>
        </w:tabs>
        <w:autoSpaceDE w:val="0"/>
        <w:autoSpaceDN w:val="0"/>
        <w:adjustRightInd w:val="0"/>
        <w:spacing w:line="276" w:lineRule="auto"/>
        <w:rPr>
          <w:rFonts w:asciiTheme="minorHAnsi" w:hAnsiTheme="minorHAnsi"/>
        </w:rPr>
      </w:pPr>
      <w:r w:rsidRPr="00D050E9">
        <w:rPr>
          <w:rFonts w:asciiTheme="minorHAnsi" w:hAnsiTheme="minorHAnsi"/>
        </w:rPr>
        <w:t>Leta 2017 je bilo za ta ukrep namenjenih 246.103,64 evrov, od tega 45 odstotkov sredstev iz virov MKGP za dejavnosti generične promocije kmetijskih proizvodov, preostala sredstva so občine namenile ukrepu prenosa znanja in informiranja kmetijskih pridelovalcev in predelovalcev kmetijskih proizvodov.</w:t>
      </w:r>
    </w:p>
    <w:p w:rsidR="00A720EA" w:rsidRPr="00D050E9" w:rsidRDefault="00A720EA" w:rsidP="00C75589">
      <w:pPr>
        <w:spacing w:after="0" w:line="276" w:lineRule="auto"/>
        <w:rPr>
          <w:rFonts w:asciiTheme="minorHAnsi" w:hAnsiTheme="minorHAnsi"/>
        </w:rPr>
      </w:pPr>
      <w:r w:rsidRPr="00D050E9">
        <w:rPr>
          <w:rFonts w:asciiTheme="minorHAnsi" w:hAnsiTheme="minorHAnsi"/>
        </w:rPr>
        <w:t>Javnomnenjska raziskava v letu 2017 kaže, da ima ukrep generične promocije kmetijskih proizvodov in promocije proizvodov, vključenih v nacionalno shemo kakovosti »izbrana kakovost«, pozitivne učinke:</w:t>
      </w:r>
    </w:p>
    <w:p w:rsidR="00A720EA" w:rsidRPr="00D050E9" w:rsidRDefault="00A720EA" w:rsidP="00C75589">
      <w:pPr>
        <w:pStyle w:val="BodyText2ZnakZnak"/>
        <w:numPr>
          <w:ilvl w:val="0"/>
          <w:numId w:val="36"/>
        </w:numPr>
        <w:spacing w:before="0" w:line="276" w:lineRule="auto"/>
        <w:jc w:val="both"/>
        <w:rPr>
          <w:rFonts w:asciiTheme="minorHAnsi" w:eastAsiaTheme="minorHAnsi" w:hAnsiTheme="minorHAnsi" w:cstheme="minorBidi"/>
          <w:bCs w:val="0"/>
          <w:color w:val="auto"/>
          <w:sz w:val="22"/>
          <w:szCs w:val="22"/>
        </w:rPr>
      </w:pPr>
      <w:r w:rsidRPr="00D050E9">
        <w:rPr>
          <w:rFonts w:asciiTheme="minorHAnsi" w:eastAsiaTheme="minorHAnsi" w:hAnsiTheme="minorHAnsi" w:cstheme="minorBidi"/>
          <w:bCs w:val="0"/>
          <w:color w:val="auto"/>
          <w:sz w:val="22"/>
          <w:szCs w:val="22"/>
        </w:rPr>
        <w:t>zaupanje v kmetijske proizvode prek izboljšanja potrošnikovega poznavanja sledljivosti, varnosti in kakovosti, ki jih zagotavljajo pristojni organi v okviru celotne verige preskrbe s hrano (»od vil do vilic«) se je izboljšalo za 10,3 odstotkov;</w:t>
      </w:r>
    </w:p>
    <w:p w:rsidR="00A720EA" w:rsidRPr="00D050E9" w:rsidRDefault="00A720EA" w:rsidP="00C75589">
      <w:pPr>
        <w:pStyle w:val="BodyText2ZnakZnak"/>
        <w:numPr>
          <w:ilvl w:val="0"/>
          <w:numId w:val="36"/>
        </w:numPr>
        <w:spacing w:before="0" w:line="276" w:lineRule="auto"/>
        <w:jc w:val="both"/>
        <w:rPr>
          <w:rFonts w:asciiTheme="minorHAnsi" w:eastAsiaTheme="minorHAnsi" w:hAnsiTheme="minorHAnsi" w:cstheme="minorBidi"/>
          <w:bCs w:val="0"/>
          <w:color w:val="auto"/>
          <w:sz w:val="22"/>
          <w:szCs w:val="22"/>
        </w:rPr>
      </w:pPr>
      <w:r w:rsidRPr="00D050E9">
        <w:rPr>
          <w:rFonts w:asciiTheme="minorHAnsi" w:eastAsiaTheme="minorHAnsi" w:hAnsiTheme="minorHAnsi" w:cstheme="minorBidi"/>
          <w:bCs w:val="0"/>
          <w:color w:val="auto"/>
          <w:sz w:val="22"/>
          <w:szCs w:val="22"/>
        </w:rPr>
        <w:t>informiranost o pomenu in značilnostih nacionalne sheme kakovosti »izbrana kakovost« se je več kot podvojila (za 212 odstotkov);</w:t>
      </w:r>
    </w:p>
    <w:p w:rsidR="00A720EA" w:rsidRPr="00D050E9" w:rsidRDefault="00A720EA" w:rsidP="00C75589">
      <w:pPr>
        <w:pStyle w:val="BodyText2ZnakZnak"/>
        <w:numPr>
          <w:ilvl w:val="0"/>
          <w:numId w:val="36"/>
        </w:numPr>
        <w:spacing w:before="0" w:line="276" w:lineRule="auto"/>
        <w:jc w:val="both"/>
        <w:rPr>
          <w:rFonts w:asciiTheme="minorHAnsi" w:eastAsiaTheme="minorHAnsi" w:hAnsiTheme="minorHAnsi" w:cstheme="minorBidi"/>
          <w:bCs w:val="0"/>
          <w:color w:val="auto"/>
          <w:sz w:val="22"/>
          <w:szCs w:val="22"/>
        </w:rPr>
      </w:pPr>
      <w:r w:rsidRPr="00D050E9">
        <w:rPr>
          <w:rFonts w:asciiTheme="minorHAnsi" w:eastAsiaTheme="minorHAnsi" w:hAnsiTheme="minorHAnsi" w:cstheme="minorBidi"/>
          <w:bCs w:val="0"/>
          <w:color w:val="auto"/>
          <w:sz w:val="22"/>
          <w:szCs w:val="22"/>
        </w:rPr>
        <w:t xml:space="preserve">informiranost potrošnikov o značilnostih in koristih lokalno pridelanih in predelanih kmetijskih proizvodov preko širjenja znanstvenih spoznanj in dejanskih informacij pa se je povečala za 2 odstotka. </w:t>
      </w:r>
    </w:p>
    <w:p w:rsidR="006041D4" w:rsidRDefault="006041D4" w:rsidP="00A720EA">
      <w:pPr>
        <w:tabs>
          <w:tab w:val="left" w:pos="284"/>
        </w:tabs>
        <w:autoSpaceDE w:val="0"/>
        <w:autoSpaceDN w:val="0"/>
        <w:adjustRightInd w:val="0"/>
        <w:rPr>
          <w:rFonts w:asciiTheme="minorHAnsi" w:hAnsiTheme="minorHAnsi"/>
          <w:b/>
          <w:i/>
          <w:u w:val="single"/>
        </w:rPr>
      </w:pPr>
    </w:p>
    <w:p w:rsidR="00A720EA" w:rsidRPr="00D050E9" w:rsidRDefault="00A720EA" w:rsidP="00A720EA">
      <w:pPr>
        <w:tabs>
          <w:tab w:val="left" w:pos="284"/>
        </w:tabs>
        <w:autoSpaceDE w:val="0"/>
        <w:autoSpaceDN w:val="0"/>
        <w:adjustRightInd w:val="0"/>
        <w:rPr>
          <w:rFonts w:asciiTheme="minorHAnsi" w:hAnsiTheme="minorHAnsi"/>
          <w:b/>
          <w:i/>
          <w:u w:val="single"/>
        </w:rPr>
      </w:pPr>
      <w:r w:rsidRPr="00D050E9">
        <w:rPr>
          <w:rFonts w:asciiTheme="minorHAnsi" w:hAnsiTheme="minorHAnsi"/>
          <w:b/>
          <w:i/>
          <w:u w:val="single"/>
        </w:rPr>
        <w:t>Pomoč za dejavnosti informiranja in promocijske dejavnosti v zvezi z živili, ki jih zajemajo sheme kakovosti</w:t>
      </w:r>
    </w:p>
    <w:p w:rsidR="00A720EA" w:rsidRPr="00D050E9" w:rsidRDefault="00A720EA" w:rsidP="006041D4">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 xml:space="preserve">Da bi potrošnik lažje prepoznal slovensko kakovostno hrano, je bila vzpostavljena nova nacionalna shema kakovosti »izbrana kakovost«, v katero lahko vstopi vsak od osmih sektorjev pridelave in predelave hrane. </w:t>
      </w:r>
    </w:p>
    <w:p w:rsidR="00C75589" w:rsidRPr="00D050E9" w:rsidRDefault="00C75589"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V letu 2017 so potekale dejavnosti informiranja in promocije za dva sektorja: (i) sektor mesa (goveje in perutninsko meso) ter (ii) sektor mleka (mleko in mlečni izdelki).</w:t>
      </w:r>
    </w:p>
    <w:p w:rsidR="00C75589" w:rsidRPr="00D050E9" w:rsidRDefault="00C75589"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Aktivnosti vključujejo generično promocijo in informiranje o mleku in mlečnih proizvodih ter mesu in mesnih proizvodih ter oglaševalske kampanje, osredotočene na proizvode sektorjev mleka in mesa, vključene v shemo kakovosti »izbrana kakovost«.</w:t>
      </w:r>
    </w:p>
    <w:p w:rsidR="00C75589" w:rsidRPr="00D050E9" w:rsidRDefault="00C75589"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 xml:space="preserve">Cilji: </w:t>
      </w:r>
    </w:p>
    <w:p w:rsidR="00A720EA" w:rsidRPr="00D050E9" w:rsidRDefault="00A720EA" w:rsidP="00C75589">
      <w:pPr>
        <w:pStyle w:val="BodyText2ZnakZnak"/>
        <w:numPr>
          <w:ilvl w:val="0"/>
          <w:numId w:val="37"/>
        </w:numPr>
        <w:spacing w:before="0" w:line="276" w:lineRule="auto"/>
        <w:jc w:val="both"/>
        <w:rPr>
          <w:rFonts w:asciiTheme="minorHAnsi" w:hAnsiTheme="minorHAnsi"/>
          <w:sz w:val="22"/>
          <w:szCs w:val="22"/>
        </w:rPr>
      </w:pPr>
      <w:r w:rsidRPr="00D050E9">
        <w:rPr>
          <w:rFonts w:asciiTheme="minorHAnsi" w:hAnsiTheme="minorHAnsi"/>
          <w:color w:val="auto"/>
          <w:sz w:val="22"/>
          <w:szCs w:val="22"/>
        </w:rPr>
        <w:t xml:space="preserve">izobraževati potrošnika o prehranjevalnih koristih in priporočeni uporabi mleka in mlečnih proizvodov </w:t>
      </w:r>
      <w:r w:rsidRPr="00D050E9">
        <w:rPr>
          <w:rFonts w:asciiTheme="minorHAnsi" w:hAnsiTheme="minorHAnsi"/>
          <w:sz w:val="22"/>
          <w:szCs w:val="22"/>
        </w:rPr>
        <w:t>ter mesa in mesnih proizvodov;</w:t>
      </w:r>
    </w:p>
    <w:p w:rsidR="00A720EA" w:rsidRPr="00D050E9" w:rsidRDefault="00A720EA" w:rsidP="00C75589">
      <w:pPr>
        <w:numPr>
          <w:ilvl w:val="0"/>
          <w:numId w:val="37"/>
        </w:numPr>
        <w:spacing w:after="0" w:line="276" w:lineRule="auto"/>
        <w:rPr>
          <w:rFonts w:asciiTheme="minorHAnsi" w:hAnsiTheme="minorHAnsi"/>
          <w:lang w:eastAsia="sl-SI"/>
        </w:rPr>
      </w:pPr>
      <w:r w:rsidRPr="00D050E9">
        <w:rPr>
          <w:rFonts w:asciiTheme="minorHAnsi" w:hAnsiTheme="minorHAnsi"/>
        </w:rPr>
        <w:t>informiranost potrošnika o pomenu označbe nacionalne sheme kakovosti »izbrana kakovost« za mleko in mlečne proizvode ter mesa in mesnih proizvodov, in sicer o posebnostih, kakovostnih in drugih značilnostih proizvodov iz te sheme.</w:t>
      </w:r>
    </w:p>
    <w:p w:rsidR="00A720EA" w:rsidRDefault="00A720EA" w:rsidP="00C75589">
      <w:pPr>
        <w:tabs>
          <w:tab w:val="left" w:pos="284"/>
        </w:tabs>
        <w:autoSpaceDE w:val="0"/>
        <w:autoSpaceDN w:val="0"/>
        <w:adjustRightInd w:val="0"/>
        <w:spacing w:after="0" w:line="276" w:lineRule="auto"/>
        <w:rPr>
          <w:rFonts w:asciiTheme="minorHAnsi" w:hAnsiTheme="minorHAnsi"/>
          <w:color w:val="333333"/>
        </w:rPr>
      </w:pPr>
    </w:p>
    <w:p w:rsidR="006041D4" w:rsidRPr="00D050E9" w:rsidRDefault="006041D4" w:rsidP="00C75589">
      <w:pPr>
        <w:tabs>
          <w:tab w:val="left" w:pos="284"/>
        </w:tabs>
        <w:autoSpaceDE w:val="0"/>
        <w:autoSpaceDN w:val="0"/>
        <w:adjustRightInd w:val="0"/>
        <w:spacing w:after="0" w:line="276" w:lineRule="auto"/>
        <w:rPr>
          <w:rFonts w:asciiTheme="minorHAnsi" w:hAnsiTheme="minorHAnsi"/>
          <w:color w:val="333333"/>
        </w:rPr>
      </w:pPr>
    </w:p>
    <w:tbl>
      <w:tblPr>
        <w:tblStyle w:val="MediumGrid2-Accent5"/>
        <w:tblW w:w="9072" w:type="dxa"/>
        <w:tblInd w:w="108" w:type="dxa"/>
        <w:tblLayout w:type="fixed"/>
        <w:tblLook w:val="04A0" w:firstRow="1" w:lastRow="0" w:firstColumn="1" w:lastColumn="0" w:noHBand="0" w:noVBand="1"/>
      </w:tblPr>
      <w:tblGrid>
        <w:gridCol w:w="1242"/>
        <w:gridCol w:w="3153"/>
        <w:gridCol w:w="2126"/>
        <w:gridCol w:w="255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242"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153"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2126"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551"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w:t>
            </w:r>
          </w:p>
        </w:tc>
        <w:tc>
          <w:tcPr>
            <w:tcW w:w="3153" w:type="dxa"/>
            <w:hideMark/>
          </w:tcPr>
          <w:p w:rsidR="00A720EA" w:rsidRPr="00D050E9" w:rsidRDefault="00A720EA" w:rsidP="00A720EA">
            <w:pPr>
              <w:tabs>
                <w:tab w:val="left" w:pos="28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dejavnosti informiranja in promocijske dejavnosti v zvezi z živili, ki jih zajemajo sheme kakovosti</w:t>
            </w:r>
          </w:p>
        </w:tc>
        <w:tc>
          <w:tcPr>
            <w:tcW w:w="2126" w:type="dxa"/>
            <w:vAlign w:val="center"/>
            <w:hideMark/>
          </w:tcPr>
          <w:p w:rsidR="00A720EA" w:rsidRPr="00D050E9" w:rsidRDefault="00A720EA" w:rsidP="00A720E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551" w:type="dxa"/>
            <w:vAlign w:val="center"/>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sz w:val="19"/>
                <w:szCs w:val="19"/>
                <w:lang w:eastAsia="sl-SI"/>
              </w:rPr>
            </w:pPr>
            <w:r w:rsidRPr="00D050E9">
              <w:rPr>
                <w:rFonts w:asciiTheme="minorHAnsi" w:eastAsia="Times New Roman" w:hAnsiTheme="minorHAnsi" w:cs="Arial"/>
                <w:b/>
                <w:color w:val="auto"/>
                <w:sz w:val="19"/>
                <w:szCs w:val="19"/>
                <w:lang w:eastAsia="sl-SI"/>
              </w:rPr>
              <w:t>581.260,77</w:t>
            </w:r>
          </w:p>
        </w:tc>
      </w:tr>
    </w:tbl>
    <w:p w:rsidR="00A720EA" w:rsidRPr="00D050E9" w:rsidRDefault="00A720EA" w:rsidP="006041D4">
      <w:pPr>
        <w:tabs>
          <w:tab w:val="left" w:pos="284"/>
        </w:tabs>
        <w:autoSpaceDE w:val="0"/>
        <w:autoSpaceDN w:val="0"/>
        <w:adjustRightInd w:val="0"/>
        <w:spacing w:after="0"/>
        <w:rPr>
          <w:rFonts w:asciiTheme="minorHAnsi" w:hAnsiTheme="minorHAnsi"/>
        </w:rPr>
      </w:pPr>
    </w:p>
    <w:p w:rsidR="00A720EA" w:rsidRPr="00D050E9" w:rsidRDefault="00A720EA" w:rsidP="00A720EA">
      <w:pPr>
        <w:tabs>
          <w:tab w:val="left" w:pos="284"/>
        </w:tabs>
        <w:autoSpaceDE w:val="0"/>
        <w:autoSpaceDN w:val="0"/>
        <w:adjustRightInd w:val="0"/>
        <w:rPr>
          <w:rFonts w:asciiTheme="minorHAnsi" w:hAnsiTheme="minorHAnsi"/>
        </w:rPr>
      </w:pPr>
      <w:r w:rsidRPr="00D050E9">
        <w:rPr>
          <w:rFonts w:asciiTheme="minorHAnsi" w:hAnsiTheme="minorHAnsi"/>
        </w:rPr>
        <w:t>Leta 2017 je bilo za dejavnosti informiranja in promocije za sektor mleka namenjenih 290.526,92 evrov, za sektor mesa pa 290.733,85 evrov.</w:t>
      </w:r>
    </w:p>
    <w:p w:rsidR="00A720EA" w:rsidRPr="00D050E9" w:rsidRDefault="00A720EA" w:rsidP="00C75589">
      <w:pPr>
        <w:tabs>
          <w:tab w:val="left" w:pos="284"/>
        </w:tabs>
        <w:autoSpaceDE w:val="0"/>
        <w:autoSpaceDN w:val="0"/>
        <w:adjustRightInd w:val="0"/>
        <w:spacing w:after="0" w:line="276" w:lineRule="auto"/>
        <w:rPr>
          <w:rFonts w:asciiTheme="minorHAnsi" w:eastAsia="Times New Roman" w:hAnsiTheme="minorHAnsi" w:cs="Times New Roman"/>
          <w:spacing w:val="-2"/>
        </w:rPr>
      </w:pPr>
      <w:r w:rsidRPr="00D050E9">
        <w:rPr>
          <w:rFonts w:asciiTheme="minorHAnsi" w:eastAsia="Times New Roman" w:hAnsiTheme="minorHAnsi" w:cs="Times New Roman"/>
          <w:spacing w:val="-2"/>
        </w:rPr>
        <w:t>Rezultati učinkovitosti promocije in informiranja se spremljajo z meritvami javnega mnenja preko spletne ankete. Meritve kažejo na očiten pozitiven vpliv kampanje na splošne indikatorje in percepcijo hrane slovenskega porekla. Raziskava že kaže pozitiven premik v zaznavanju in vsebinskem poznavanju zaščitnega znaka »izbrana kakovost – Slovenija«. V manjši meri pa je imela kampanja vpliv na bolj specifične cilje, ki so naravnani na podrobnejše razumevanje dodane vrednosti znaka »izbrana kakovost – Slovenija« pri mleku. Vpliva kampanje pri spremljanju specifičnih ciljev, naravnanih na podrobnejšo razumevanje dodane vrednosti znaka »izbrana kakovost – Slovenija« pri mesu pa še ni bilo zaznati. Razlog za slednje je treba iskati v relativno kratkem obdobju kampanje in postopnosti gradnje prepoznavnosti zadevnega znaka.</w:t>
      </w:r>
    </w:p>
    <w:p w:rsidR="00A720EA" w:rsidRPr="00D050E9" w:rsidRDefault="00A720EA" w:rsidP="00C75589">
      <w:pPr>
        <w:tabs>
          <w:tab w:val="left" w:pos="284"/>
        </w:tabs>
        <w:autoSpaceDE w:val="0"/>
        <w:autoSpaceDN w:val="0"/>
        <w:adjustRightInd w:val="0"/>
        <w:spacing w:after="0" w:line="276" w:lineRule="auto"/>
        <w:rPr>
          <w:rFonts w:asciiTheme="minorHAnsi" w:eastAsia="Times New Roman" w:hAnsiTheme="minorHAnsi" w:cs="Times New Roman"/>
          <w:b/>
          <w:i/>
          <w:spacing w:val="-2"/>
        </w:rPr>
      </w:pPr>
    </w:p>
    <w:p w:rsidR="00A720EA" w:rsidRPr="00D050E9" w:rsidRDefault="00A720EA" w:rsidP="00C75589">
      <w:pPr>
        <w:tabs>
          <w:tab w:val="left" w:pos="284"/>
        </w:tabs>
        <w:autoSpaceDE w:val="0"/>
        <w:autoSpaceDN w:val="0"/>
        <w:adjustRightInd w:val="0"/>
        <w:spacing w:after="0" w:line="276" w:lineRule="auto"/>
        <w:rPr>
          <w:rFonts w:asciiTheme="minorHAnsi" w:eastAsia="Times New Roman" w:hAnsiTheme="minorHAnsi" w:cs="Times New Roman"/>
          <w:b/>
          <w:i/>
          <w:spacing w:val="-2"/>
        </w:rPr>
      </w:pPr>
      <w:r w:rsidRPr="00D050E9">
        <w:rPr>
          <w:rFonts w:asciiTheme="minorHAnsi" w:eastAsia="Times New Roman" w:hAnsiTheme="minorHAnsi" w:cs="Times New Roman"/>
          <w:b/>
          <w:i/>
          <w:spacing w:val="-2"/>
        </w:rPr>
        <w:t>Dokončno oceno doseganja rezultatov glede na zastavljene cilje bo mogoče podati ob koncu izvajanja sheme v letu 2019.</w:t>
      </w: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A720EA">
      <w:pPr>
        <w:tabs>
          <w:tab w:val="left" w:pos="284"/>
        </w:tabs>
        <w:autoSpaceDE w:val="0"/>
        <w:autoSpaceDN w:val="0"/>
        <w:adjustRightInd w:val="0"/>
        <w:spacing w:after="120"/>
        <w:rPr>
          <w:rFonts w:asciiTheme="minorHAnsi" w:hAnsiTheme="minorHAnsi"/>
          <w:b/>
          <w:i/>
          <w:u w:val="single"/>
        </w:rPr>
      </w:pPr>
      <w:r w:rsidRPr="00D050E9">
        <w:rPr>
          <w:rFonts w:asciiTheme="minorHAnsi" w:hAnsiTheme="minorHAnsi"/>
          <w:b/>
          <w:i/>
          <w:u w:val="single"/>
        </w:rPr>
        <w:t>Pomoč za raziskave v kmetijstvu in gozdarstvu</w:t>
      </w:r>
    </w:p>
    <w:p w:rsidR="00A720EA" w:rsidRPr="00D050E9" w:rsidRDefault="00A720EA" w:rsidP="00C75589">
      <w:pPr>
        <w:tabs>
          <w:tab w:val="left" w:pos="284"/>
        </w:tabs>
        <w:autoSpaceDE w:val="0"/>
        <w:autoSpaceDN w:val="0"/>
        <w:adjustRightInd w:val="0"/>
        <w:spacing w:after="0" w:line="276" w:lineRule="auto"/>
        <w:rPr>
          <w:rFonts w:asciiTheme="minorHAnsi" w:eastAsia="Times New Roman" w:hAnsiTheme="minorHAnsi" w:cs="Times New Roman"/>
          <w:spacing w:val="-2"/>
        </w:rPr>
      </w:pPr>
    </w:p>
    <w:p w:rsidR="00A720EA" w:rsidRPr="00D050E9" w:rsidRDefault="00A720EA" w:rsidP="00C75589">
      <w:pPr>
        <w:tabs>
          <w:tab w:val="left" w:pos="284"/>
        </w:tabs>
        <w:autoSpaceDE w:val="0"/>
        <w:autoSpaceDN w:val="0"/>
        <w:adjustRightInd w:val="0"/>
        <w:spacing w:line="276" w:lineRule="auto"/>
        <w:rPr>
          <w:rFonts w:asciiTheme="minorHAnsi" w:eastAsia="Times New Roman" w:hAnsiTheme="minorHAnsi" w:cs="Times New Roman"/>
          <w:spacing w:val="-2"/>
        </w:rPr>
      </w:pPr>
      <w:r w:rsidRPr="00D050E9">
        <w:rPr>
          <w:rFonts w:asciiTheme="minorHAnsi" w:eastAsia="Times New Roman" w:hAnsiTheme="minorHAnsi" w:cs="Times New Roman"/>
          <w:spacing w:val="-2"/>
        </w:rPr>
        <w:t xml:space="preserve">MKGP v sodelovanju z Javno agencijo za raziskovalno dejavnost Republike Slovenije (v nadaljevanju: ARRS) sofinancira </w:t>
      </w:r>
      <w:r w:rsidRPr="00D050E9">
        <w:rPr>
          <w:rFonts w:asciiTheme="minorHAnsi" w:eastAsia="Times New Roman" w:hAnsiTheme="minorHAnsi" w:cs="Times New Roman"/>
          <w:spacing w:val="-2"/>
          <w:u w:val="single"/>
        </w:rPr>
        <w:t>ciljne raziskovalne projekte</w:t>
      </w:r>
      <w:r w:rsidRPr="00D050E9">
        <w:rPr>
          <w:rFonts w:asciiTheme="minorHAnsi" w:eastAsia="Times New Roman" w:hAnsiTheme="minorHAnsi" w:cs="Times New Roman"/>
          <w:spacing w:val="-2"/>
        </w:rPr>
        <w:t xml:space="preserve"> (shema ARRS: Raziskovalni projekti in programi). </w:t>
      </w:r>
      <w:r w:rsidRPr="00D050E9">
        <w:rPr>
          <w:rFonts w:asciiTheme="minorHAnsi" w:hAnsiTheme="minorHAnsi"/>
        </w:rPr>
        <w:t xml:space="preserve">Raziskovalni projekti so se oziroma se še izvajajo (triletni projekti) </w:t>
      </w:r>
      <w:r w:rsidRPr="00D050E9">
        <w:rPr>
          <w:rFonts w:asciiTheme="minorHAnsi" w:eastAsia="Times New Roman" w:hAnsiTheme="minorHAnsi" w:cs="Times New Roman"/>
          <w:spacing w:val="-2"/>
        </w:rPr>
        <w:t xml:space="preserve">v sodelovanju med raziskovalnimi organizacijami in gospodarskimi družbami. </w:t>
      </w:r>
    </w:p>
    <w:tbl>
      <w:tblPr>
        <w:tblStyle w:val="MediumGrid2-Accent5"/>
        <w:tblW w:w="9190" w:type="dxa"/>
        <w:tblInd w:w="-10" w:type="dxa"/>
        <w:tblLayout w:type="fixed"/>
        <w:tblLook w:val="04A0" w:firstRow="1" w:lastRow="0" w:firstColumn="1" w:lastColumn="0" w:noHBand="0" w:noVBand="1"/>
      </w:tblPr>
      <w:tblGrid>
        <w:gridCol w:w="1526"/>
        <w:gridCol w:w="2987"/>
        <w:gridCol w:w="2126"/>
        <w:gridCol w:w="255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2987" w:type="dxa"/>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2126"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551"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hideMark/>
          </w:tcPr>
          <w:p w:rsidR="00A720EA" w:rsidRPr="00D050E9" w:rsidRDefault="00A720EA" w:rsidP="00A720EA">
            <w:pPr>
              <w:spacing w:line="260" w:lineRule="atLeast"/>
              <w:jc w:val="center"/>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w:t>
            </w:r>
          </w:p>
        </w:tc>
        <w:tc>
          <w:tcPr>
            <w:tcW w:w="2987" w:type="dxa"/>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raziskave v kmetijstvu</w:t>
            </w:r>
          </w:p>
        </w:tc>
        <w:tc>
          <w:tcPr>
            <w:tcW w:w="2126" w:type="dxa"/>
            <w:vMerge w:val="restart"/>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551" w:type="dxa"/>
            <w:vAlign w:val="center"/>
            <w:hideMark/>
          </w:tcPr>
          <w:p w:rsidR="00A720EA" w:rsidRPr="00D050E9" w:rsidRDefault="00A720EA" w:rsidP="00A720EA">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auto"/>
                <w:sz w:val="19"/>
                <w:szCs w:val="19"/>
                <w:lang w:eastAsia="sl-SI"/>
              </w:rPr>
            </w:pPr>
            <w:r w:rsidRPr="00D050E9">
              <w:rPr>
                <w:rFonts w:asciiTheme="minorHAnsi" w:eastAsia="Times New Roman" w:hAnsiTheme="minorHAnsi" w:cs="Arial"/>
                <w:b/>
                <w:color w:val="auto"/>
                <w:sz w:val="19"/>
                <w:szCs w:val="19"/>
                <w:lang w:eastAsia="sl-SI"/>
              </w:rPr>
              <w:t>32.915,00</w:t>
            </w: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18"/>
                <w:szCs w:val="18"/>
              </w:rPr>
            </w:pPr>
            <w:r w:rsidRPr="00D050E9">
              <w:rPr>
                <w:rFonts w:asciiTheme="minorHAnsi" w:hAnsiTheme="minorHAnsi" w:cs="Arial"/>
                <w:bCs/>
                <w:color w:val="000000"/>
                <w:sz w:val="18"/>
                <w:szCs w:val="18"/>
              </w:rPr>
              <w:t>(16.659,00 + 16.256,00)</w:t>
            </w:r>
          </w:p>
        </w:tc>
      </w:tr>
      <w:tr w:rsidR="00A720EA" w:rsidRPr="00D050E9" w:rsidTr="00A720EA">
        <w:trPr>
          <w:trHeight w:val="51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A720EA" w:rsidRPr="00D050E9" w:rsidRDefault="00A720EA" w:rsidP="00A720EA">
            <w:pPr>
              <w:spacing w:line="260" w:lineRule="atLeast"/>
              <w:jc w:val="center"/>
              <w:rPr>
                <w:rFonts w:asciiTheme="minorHAnsi" w:eastAsia="Times New Roman" w:hAnsiTheme="minorHAnsi" w:cs="Arial"/>
                <w:sz w:val="19"/>
                <w:szCs w:val="19"/>
                <w:lang w:eastAsia="sl-SI"/>
              </w:rPr>
            </w:pPr>
          </w:p>
        </w:tc>
        <w:tc>
          <w:tcPr>
            <w:tcW w:w="2987" w:type="dxa"/>
            <w:shd w:val="clear" w:color="auto" w:fill="A5D5E2" w:themeFill="accent5" w:themeFillTint="7F"/>
          </w:tcPr>
          <w:p w:rsidR="00A720EA" w:rsidRPr="00D050E9" w:rsidRDefault="00A720EA" w:rsidP="00A720EA">
            <w:pPr>
              <w:spacing w:line="26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r w:rsidRPr="00D050E9">
              <w:rPr>
                <w:rFonts w:asciiTheme="minorHAnsi" w:eastAsia="Times New Roman" w:hAnsiTheme="minorHAnsi" w:cs="Arial"/>
                <w:color w:val="auto"/>
                <w:sz w:val="19"/>
                <w:szCs w:val="19"/>
                <w:lang w:eastAsia="sl-SI"/>
              </w:rPr>
              <w:t>Pomoč za raziskave v gozdarstvu</w:t>
            </w:r>
          </w:p>
        </w:tc>
        <w:tc>
          <w:tcPr>
            <w:tcW w:w="2126" w:type="dxa"/>
            <w:vMerge/>
            <w:shd w:val="clear" w:color="auto" w:fill="A5D5E2" w:themeFill="accent5" w:themeFillTint="7F"/>
            <w:vAlign w:val="center"/>
          </w:tcPr>
          <w:p w:rsidR="00A720EA" w:rsidRPr="00D050E9" w:rsidRDefault="00A720EA" w:rsidP="00A720EA">
            <w:pPr>
              <w:spacing w:line="260"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9"/>
                <w:szCs w:val="19"/>
                <w:lang w:eastAsia="sl-SI"/>
              </w:rPr>
            </w:pPr>
          </w:p>
        </w:tc>
        <w:tc>
          <w:tcPr>
            <w:tcW w:w="2551" w:type="dxa"/>
            <w:shd w:val="clear" w:color="auto" w:fill="A5D5E2" w:themeFill="accent5" w:themeFillTint="7F"/>
            <w:vAlign w:val="center"/>
          </w:tcPr>
          <w:p w:rsidR="00A720EA" w:rsidRPr="00D050E9" w:rsidRDefault="00A720EA" w:rsidP="00A720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45.712,30</w:t>
            </w:r>
          </w:p>
          <w:p w:rsidR="00A720EA" w:rsidRPr="00D050E9" w:rsidRDefault="00A720EA" w:rsidP="00A720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18"/>
                <w:szCs w:val="18"/>
              </w:rPr>
            </w:pPr>
            <w:r w:rsidRPr="00D050E9">
              <w:rPr>
                <w:rFonts w:asciiTheme="minorHAnsi" w:hAnsiTheme="minorHAnsi" w:cs="Arial"/>
                <w:bCs/>
                <w:color w:val="000000"/>
                <w:sz w:val="18"/>
                <w:szCs w:val="18"/>
              </w:rPr>
              <w:t xml:space="preserve">(30.156,67 + 15.555,63)  </w:t>
            </w:r>
          </w:p>
        </w:tc>
      </w:tr>
    </w:tbl>
    <w:p w:rsidR="00A720EA" w:rsidRPr="00D050E9" w:rsidRDefault="00A720EA" w:rsidP="00C75589">
      <w:pPr>
        <w:spacing w:before="240" w:line="276" w:lineRule="auto"/>
        <w:rPr>
          <w:rFonts w:asciiTheme="minorHAnsi" w:eastAsia="Times New Roman" w:hAnsiTheme="minorHAnsi" w:cs="Times New Roman"/>
          <w:spacing w:val="-2"/>
        </w:rPr>
      </w:pPr>
      <w:r w:rsidRPr="00D050E9">
        <w:rPr>
          <w:rFonts w:asciiTheme="minorHAnsi" w:eastAsia="Times New Roman" w:hAnsiTheme="minorHAnsi" w:cs="Times New Roman"/>
          <w:spacing w:val="-2"/>
        </w:rPr>
        <w:t>V letu 2017 je bilo s strani MKGP sofinanciranih šest projektov, ki sodijo v shemo državne pomoči, od tega trije projekti s področja kmetijstva in trije projekti s področja gozdarstva, v skupni vrednosti 12.193,45 evrov.</w:t>
      </w:r>
    </w:p>
    <w:p w:rsidR="00A720EA" w:rsidRPr="00D050E9" w:rsidRDefault="00A720EA" w:rsidP="00C75589">
      <w:pPr>
        <w:spacing w:before="240" w:line="276" w:lineRule="auto"/>
        <w:rPr>
          <w:rFonts w:asciiTheme="minorHAnsi" w:hAnsiTheme="minorHAnsi"/>
          <w:b/>
          <w:bCs/>
          <w:i/>
          <w:iCs/>
        </w:rPr>
      </w:pPr>
      <w:r w:rsidRPr="00D050E9">
        <w:rPr>
          <w:rFonts w:asciiTheme="minorHAnsi" w:eastAsia="Times New Roman" w:hAnsiTheme="minorHAnsi" w:cs="Times New Roman"/>
          <w:b/>
          <w:i/>
          <w:spacing w:val="-2"/>
        </w:rPr>
        <w:t xml:space="preserve">V letu 2017 so bili trije od teh projektov tudi zaključeni. </w:t>
      </w:r>
      <w:r w:rsidRPr="00D050E9">
        <w:rPr>
          <w:rFonts w:asciiTheme="minorHAnsi" w:hAnsiTheme="minorHAnsi"/>
          <w:b/>
          <w:bCs/>
          <w:i/>
          <w:iCs/>
        </w:rPr>
        <w:t>Zaključeni raziskovalni projekti državnih pomoči izkazujejo pozitivne in velike znanstvenoraziskovalne in razvojne rezultate ter pomembne vplive oziroma učinke za razvoj kmetijskega in gozdarskega sektorja v Sloveniji.</w:t>
      </w:r>
    </w:p>
    <w:p w:rsidR="00A720EA" w:rsidRPr="00D050E9" w:rsidRDefault="00A720EA" w:rsidP="00C75589">
      <w:pPr>
        <w:spacing w:before="240" w:line="276" w:lineRule="auto"/>
        <w:rPr>
          <w:rFonts w:asciiTheme="minorHAnsi" w:hAnsiTheme="minorHAnsi"/>
        </w:rPr>
      </w:pPr>
      <w:r w:rsidRPr="00D050E9">
        <w:rPr>
          <w:rFonts w:asciiTheme="minorHAnsi" w:hAnsiTheme="minorHAnsi"/>
        </w:rPr>
        <w:t>Od posameznih rezultatov in učinkov so najpogosteje izpostavljeni pridobitev novih praktičnih znanj, informacij in veščin, objavljeni članki, pridobitev novih znanstvenih spoznanj ter prenos obstoječih tehnologij, znanj, metod in postopkov v prakso.</w:t>
      </w:r>
    </w:p>
    <w:p w:rsidR="00A720EA" w:rsidRPr="00D050E9" w:rsidRDefault="00A720EA" w:rsidP="00C75589">
      <w:pPr>
        <w:tabs>
          <w:tab w:val="left" w:pos="284"/>
        </w:tabs>
        <w:autoSpaceDE w:val="0"/>
        <w:autoSpaceDN w:val="0"/>
        <w:adjustRightInd w:val="0"/>
        <w:spacing w:line="276" w:lineRule="auto"/>
        <w:rPr>
          <w:rFonts w:asciiTheme="minorHAnsi" w:hAnsiTheme="minorHAnsi"/>
        </w:rPr>
      </w:pPr>
      <w:r w:rsidRPr="00D050E9">
        <w:rPr>
          <w:rFonts w:asciiTheme="minorHAnsi" w:hAnsiTheme="minorHAnsi"/>
          <w:b/>
          <w:bCs/>
          <w:i/>
          <w:iCs/>
        </w:rPr>
        <w:t>MKGP ocenjuje dodeljene državne pomoči za raziskave v kmetijstvu in gozdarstvu kot zelo uspešne</w:t>
      </w:r>
      <w:r w:rsidRPr="00D050E9">
        <w:rPr>
          <w:rFonts w:asciiTheme="minorHAnsi" w:hAnsiTheme="minorHAnsi"/>
        </w:rPr>
        <w:t>.</w:t>
      </w:r>
    </w:p>
    <w:p w:rsidR="009F6E61" w:rsidRDefault="009F6E61" w:rsidP="009F6E61">
      <w:pPr>
        <w:tabs>
          <w:tab w:val="left" w:pos="284"/>
        </w:tabs>
        <w:autoSpaceDE w:val="0"/>
        <w:autoSpaceDN w:val="0"/>
        <w:adjustRightInd w:val="0"/>
        <w:spacing w:after="0"/>
        <w:rPr>
          <w:rFonts w:asciiTheme="minorHAnsi" w:hAnsiTheme="minorHAnsi"/>
          <w:b/>
          <w:i/>
          <w:u w:val="single"/>
        </w:rPr>
      </w:pPr>
    </w:p>
    <w:p w:rsidR="00A720EA" w:rsidRPr="00D050E9" w:rsidRDefault="00A720EA" w:rsidP="00A720EA">
      <w:pPr>
        <w:tabs>
          <w:tab w:val="left" w:pos="284"/>
        </w:tabs>
        <w:autoSpaceDE w:val="0"/>
        <w:autoSpaceDN w:val="0"/>
        <w:adjustRightInd w:val="0"/>
        <w:rPr>
          <w:rFonts w:asciiTheme="minorHAnsi" w:hAnsiTheme="minorHAnsi"/>
          <w:b/>
          <w:i/>
          <w:u w:val="single"/>
        </w:rPr>
      </w:pPr>
      <w:r w:rsidRPr="00D050E9">
        <w:rPr>
          <w:rFonts w:asciiTheme="minorHAnsi" w:hAnsiTheme="minorHAnsi"/>
          <w:b/>
          <w:i/>
          <w:u w:val="single"/>
        </w:rPr>
        <w:t xml:space="preserve">Pomoč za komasacijo in arondacijo kmetijskih zemljišč </w:t>
      </w: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line="276" w:lineRule="auto"/>
        <w:rPr>
          <w:rFonts w:asciiTheme="minorHAnsi" w:eastAsia="Times New Roman" w:hAnsiTheme="minorHAnsi" w:cs="Times New Roman"/>
          <w:spacing w:val="-2"/>
        </w:rPr>
      </w:pPr>
      <w:r w:rsidRPr="00D050E9">
        <w:rPr>
          <w:rFonts w:asciiTheme="minorHAnsi" w:eastAsia="Times New Roman" w:hAnsiTheme="minorHAnsi" w:cs="Times New Roman"/>
          <w:spacing w:val="-2"/>
        </w:rPr>
        <w:t>Namen ukrepa je izboljšanje kmetijskih zemljišč in povečevanje/zaokroževanje parcel posameznih kmetijskih gospodarstev. Pomoč je omejena na stroške pravnih in upravnih postopkov, vključno s stroški pregleda, in sicer do 100 odstotkov dejansko nastalih stroškov.</w:t>
      </w:r>
    </w:p>
    <w:tbl>
      <w:tblPr>
        <w:tblStyle w:val="MediumGrid2-Accent5"/>
        <w:tblW w:w="9039" w:type="dxa"/>
        <w:tblLayout w:type="fixed"/>
        <w:tblLook w:val="04A0" w:firstRow="1" w:lastRow="0" w:firstColumn="1" w:lastColumn="0" w:noHBand="0" w:noVBand="1"/>
      </w:tblPr>
      <w:tblGrid>
        <w:gridCol w:w="1526"/>
        <w:gridCol w:w="3685"/>
        <w:gridCol w:w="1608"/>
        <w:gridCol w:w="2220"/>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685"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608"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220"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jc w:val="center"/>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 občine</w:t>
            </w:r>
          </w:p>
        </w:tc>
        <w:tc>
          <w:tcPr>
            <w:tcW w:w="3685" w:type="dxa"/>
            <w:hideMark/>
          </w:tcPr>
          <w:p w:rsidR="00A720EA" w:rsidRPr="00D050E9" w:rsidRDefault="00A720EA" w:rsidP="00A720EA">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arondacijo zemljišč ponovno delitev zemljišč</w:t>
            </w:r>
          </w:p>
        </w:tc>
        <w:tc>
          <w:tcPr>
            <w:tcW w:w="1608" w:type="dxa"/>
            <w:vAlign w:val="center"/>
            <w:hideMark/>
          </w:tcPr>
          <w:p w:rsidR="00A720EA" w:rsidRPr="00D050E9" w:rsidRDefault="00A720EA" w:rsidP="00A720EA">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220"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39.571,80</w:t>
            </w:r>
          </w:p>
        </w:tc>
      </w:tr>
    </w:tbl>
    <w:p w:rsidR="00A720EA" w:rsidRPr="00D050E9" w:rsidRDefault="00A720EA" w:rsidP="00A720EA">
      <w:pPr>
        <w:rPr>
          <w:rFonts w:asciiTheme="minorHAnsi" w:hAnsiTheme="minorHAnsi"/>
        </w:rPr>
      </w:pPr>
    </w:p>
    <w:p w:rsidR="00A720EA" w:rsidRPr="00D050E9" w:rsidRDefault="00A720EA" w:rsidP="00C75589">
      <w:pPr>
        <w:autoSpaceDE w:val="0"/>
        <w:autoSpaceDN w:val="0"/>
        <w:adjustRightInd w:val="0"/>
        <w:spacing w:line="276" w:lineRule="auto"/>
        <w:rPr>
          <w:rFonts w:asciiTheme="minorHAnsi" w:hAnsiTheme="minorHAnsi" w:cs="Arial"/>
          <w:color w:val="000000"/>
        </w:rPr>
      </w:pPr>
      <w:r w:rsidRPr="00D050E9">
        <w:rPr>
          <w:rFonts w:asciiTheme="minorHAnsi" w:hAnsiTheme="minorHAnsi" w:cs="Arial"/>
          <w:color w:val="000000"/>
        </w:rPr>
        <w:t xml:space="preserve">MKGP je v letu 2017 v redni letni program vključilo pet nedokončanih komasacijskih območij, in sicer v okviru upravnih enot Ajdovščina, Nova Gorica in Postojna. Upravne enote so pripravile pet vlog za izvedbo potrebnih del za 17 kmetijskih gospodarstev. Vsa dela za leto 2017 so bila v celoti izvedena, za kar je bilo namenjenih 2.722,67 evrov. </w:t>
      </w:r>
      <w:r w:rsidRPr="00D050E9">
        <w:rPr>
          <w:rFonts w:asciiTheme="minorHAnsi" w:hAnsiTheme="minorHAnsi" w:cs="Arial"/>
        </w:rPr>
        <w:t>V tem letu je tudi 16</w:t>
      </w:r>
      <w:r w:rsidRPr="00D050E9">
        <w:rPr>
          <w:rFonts w:asciiTheme="minorHAnsi" w:hAnsiTheme="minorHAnsi" w:cs="Arial"/>
          <w:color w:val="000000"/>
        </w:rPr>
        <w:t xml:space="preserve"> kmetijskih gospodarstev prejelo pomoč  za ar</w:t>
      </w:r>
      <w:r w:rsidRPr="00D050E9">
        <w:rPr>
          <w:rFonts w:asciiTheme="minorHAnsi" w:hAnsiTheme="minorHAnsi" w:cs="Arial"/>
        </w:rPr>
        <w:t xml:space="preserve">ondacijo kmetijskih zemljišč iz občinskih sredstev. </w:t>
      </w:r>
      <w:r w:rsidRPr="00D050E9">
        <w:rPr>
          <w:rFonts w:asciiTheme="minorHAnsi" w:hAnsiTheme="minorHAnsi"/>
        </w:rPr>
        <w:t>V letu 2017 je bilo za ukrep namenjenih skupaj 9.445,84 evrov nacionalnih in občinskih sredstev, od tega slabih 30 odstotkov sredstev predstavljajo pomoči MKGP za zaključevanje nedokončanih komasacij.</w:t>
      </w:r>
    </w:p>
    <w:p w:rsidR="00A720EA" w:rsidRPr="00D050E9" w:rsidRDefault="00A720EA" w:rsidP="00A720EA">
      <w:pPr>
        <w:tabs>
          <w:tab w:val="left" w:pos="284"/>
        </w:tabs>
        <w:autoSpaceDE w:val="0"/>
        <w:autoSpaceDN w:val="0"/>
        <w:adjustRightInd w:val="0"/>
        <w:spacing w:before="240"/>
        <w:rPr>
          <w:rFonts w:asciiTheme="minorHAnsi" w:hAnsiTheme="minorHAnsi"/>
          <w:b/>
          <w:i/>
          <w:u w:val="single"/>
        </w:rPr>
      </w:pPr>
      <w:r w:rsidRPr="00D050E9">
        <w:rPr>
          <w:rFonts w:asciiTheme="minorHAnsi" w:hAnsiTheme="minorHAnsi"/>
          <w:b/>
          <w:i/>
          <w:u w:val="single"/>
        </w:rPr>
        <w:t>Investicije v predelavo in trženje kmetijskih proizvodov</w:t>
      </w:r>
    </w:p>
    <w:p w:rsidR="00A720EA" w:rsidRPr="00D050E9" w:rsidRDefault="00A720EA" w:rsidP="00C75589">
      <w:pPr>
        <w:tabs>
          <w:tab w:val="left" w:pos="284"/>
        </w:tabs>
        <w:autoSpaceDE w:val="0"/>
        <w:autoSpaceDN w:val="0"/>
        <w:adjustRightInd w:val="0"/>
        <w:spacing w:line="276" w:lineRule="auto"/>
        <w:rPr>
          <w:rFonts w:asciiTheme="minorHAnsi" w:hAnsiTheme="minorHAnsi"/>
        </w:rPr>
      </w:pPr>
      <w:r w:rsidRPr="00D050E9">
        <w:rPr>
          <w:rFonts w:asciiTheme="minorHAnsi" w:hAnsiTheme="minorHAnsi"/>
        </w:rPr>
        <w:t xml:space="preserve">Pomoč je namenjena za naložbe v opredmetena ali neopredmetena sredstva v zvezi s predelavo kmetijskih proizvodov in trženjem kmetijskih proizvodov. Ciljna skupina so mikro, mala in srednja podjetja (MSP), ki so dejavna na področju predelave kmetijskih proizvodov in trženja kmetijskih proizvodov. </w:t>
      </w:r>
    </w:p>
    <w:tbl>
      <w:tblPr>
        <w:tblStyle w:val="MediumGrid2-Accent5"/>
        <w:tblW w:w="9039" w:type="dxa"/>
        <w:tblLayout w:type="fixed"/>
        <w:tblLook w:val="04A0" w:firstRow="1" w:lastRow="0" w:firstColumn="1" w:lastColumn="0" w:noHBand="0" w:noVBand="1"/>
      </w:tblPr>
      <w:tblGrid>
        <w:gridCol w:w="1526"/>
        <w:gridCol w:w="3969"/>
        <w:gridCol w:w="1276"/>
        <w:gridCol w:w="2268"/>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276"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268"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Občine</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Investicije v predelavo in trženje kmetijskih proizvodov</w:t>
            </w:r>
          </w:p>
        </w:tc>
        <w:tc>
          <w:tcPr>
            <w:tcW w:w="1276"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268"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2.356.806,92</w:t>
            </w:r>
          </w:p>
        </w:tc>
      </w:tr>
    </w:tbl>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spacing w:after="0" w:line="276" w:lineRule="auto"/>
        <w:rPr>
          <w:rFonts w:asciiTheme="minorHAnsi" w:hAnsiTheme="minorHAnsi"/>
        </w:rPr>
      </w:pPr>
      <w:r w:rsidRPr="00D050E9">
        <w:rPr>
          <w:rFonts w:asciiTheme="minorHAnsi" w:hAnsiTheme="minorHAnsi"/>
        </w:rPr>
        <w:t>V letu 2017 so občine za ukrep v okviru shem državnih pomoči namenile 36.256,77 evrov za 21 prejemnikov pomoči.</w:t>
      </w:r>
    </w:p>
    <w:p w:rsidR="00A720EA" w:rsidRPr="00D050E9" w:rsidRDefault="00A720EA" w:rsidP="00C75589">
      <w:pPr>
        <w:spacing w:after="0" w:line="276" w:lineRule="auto"/>
        <w:rPr>
          <w:rFonts w:asciiTheme="minorHAnsi" w:hAnsiTheme="minorHAnsi"/>
        </w:rPr>
      </w:pPr>
    </w:p>
    <w:p w:rsidR="00A720EA" w:rsidRPr="00D050E9" w:rsidRDefault="00A720EA" w:rsidP="00A720EA">
      <w:pPr>
        <w:tabs>
          <w:tab w:val="left" w:pos="284"/>
        </w:tabs>
        <w:autoSpaceDE w:val="0"/>
        <w:autoSpaceDN w:val="0"/>
        <w:adjustRightInd w:val="0"/>
        <w:rPr>
          <w:rFonts w:asciiTheme="minorHAnsi" w:hAnsiTheme="minorHAnsi"/>
          <w:b/>
          <w:i/>
          <w:u w:val="single"/>
        </w:rPr>
      </w:pPr>
      <w:r w:rsidRPr="00D050E9">
        <w:rPr>
          <w:rFonts w:asciiTheme="minorHAnsi" w:hAnsiTheme="minorHAnsi"/>
          <w:b/>
          <w:i/>
          <w:u w:val="single"/>
        </w:rPr>
        <w:t>Investicije v kmetijska gospodarstva</w:t>
      </w:r>
    </w:p>
    <w:p w:rsidR="00C75589" w:rsidRPr="00D050E9" w:rsidRDefault="00C75589" w:rsidP="00C75589">
      <w:pPr>
        <w:tabs>
          <w:tab w:val="left" w:pos="284"/>
        </w:tabs>
        <w:autoSpaceDE w:val="0"/>
        <w:autoSpaceDN w:val="0"/>
        <w:adjustRightInd w:val="0"/>
        <w:spacing w:after="0" w:line="276" w:lineRule="auto"/>
        <w:rPr>
          <w:rFonts w:asciiTheme="minorHAnsi" w:hAnsiTheme="minorHAnsi"/>
          <w:b/>
          <w:i/>
          <w:u w:val="single"/>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Pomoč je namenjena naložbam v opredmetena ali neopredmetena sredstva na kmetijskih gospodarstvih v zvezi s primarno kmetijsko proizvodnjo za doseganje naslednjih ciljev:</w:t>
      </w:r>
    </w:p>
    <w:p w:rsidR="00A720EA" w:rsidRPr="00D050E9" w:rsidRDefault="00A720EA" w:rsidP="00C75589">
      <w:pPr>
        <w:pStyle w:val="ListParagraph"/>
        <w:numPr>
          <w:ilvl w:val="0"/>
          <w:numId w:val="38"/>
        </w:numPr>
        <w:tabs>
          <w:tab w:val="left" w:pos="284"/>
        </w:tabs>
        <w:autoSpaceDE w:val="0"/>
        <w:autoSpaceDN w:val="0"/>
        <w:adjustRightInd w:val="0"/>
        <w:spacing w:after="0" w:line="276" w:lineRule="auto"/>
        <w:ind w:left="284" w:hanging="284"/>
        <w:rPr>
          <w:rFonts w:asciiTheme="minorHAnsi" w:hAnsiTheme="minorHAnsi"/>
        </w:rPr>
      </w:pPr>
      <w:r w:rsidRPr="00D050E9">
        <w:rPr>
          <w:rFonts w:asciiTheme="minorHAnsi" w:hAnsiTheme="minorHAnsi"/>
        </w:rPr>
        <w:t>izboljšanje splošne učinkovitosti in trajnosti kmetijskega gospodarstva, zlasti z zmanjšanjem stroškov proizvodnje ali izboljšanjem in preusmeritvijo proizvodnje;</w:t>
      </w:r>
    </w:p>
    <w:p w:rsidR="00A720EA" w:rsidRPr="00D050E9" w:rsidRDefault="00A720EA" w:rsidP="00C75589">
      <w:pPr>
        <w:pStyle w:val="ListParagraph"/>
        <w:numPr>
          <w:ilvl w:val="0"/>
          <w:numId w:val="38"/>
        </w:numPr>
        <w:tabs>
          <w:tab w:val="left" w:pos="284"/>
        </w:tabs>
        <w:autoSpaceDE w:val="0"/>
        <w:autoSpaceDN w:val="0"/>
        <w:adjustRightInd w:val="0"/>
        <w:spacing w:after="0" w:line="276" w:lineRule="auto"/>
        <w:ind w:left="284" w:hanging="284"/>
        <w:rPr>
          <w:rFonts w:asciiTheme="minorHAnsi" w:hAnsiTheme="minorHAnsi"/>
        </w:rPr>
      </w:pPr>
      <w:r w:rsidRPr="00D050E9">
        <w:rPr>
          <w:rFonts w:asciiTheme="minorHAnsi" w:hAnsiTheme="minorHAnsi"/>
        </w:rPr>
        <w:t>izboljšanje naravnega okolja, higienskih razmer ali standardov za dobrobit živali, če zadevna naložba presega veljavne standarde Unije;</w:t>
      </w:r>
    </w:p>
    <w:p w:rsidR="00A720EA" w:rsidRPr="00D050E9" w:rsidRDefault="00A720EA" w:rsidP="00C75589">
      <w:pPr>
        <w:pStyle w:val="ListParagraph"/>
        <w:numPr>
          <w:ilvl w:val="0"/>
          <w:numId w:val="38"/>
        </w:numPr>
        <w:tabs>
          <w:tab w:val="left" w:pos="284"/>
        </w:tabs>
        <w:autoSpaceDE w:val="0"/>
        <w:autoSpaceDN w:val="0"/>
        <w:adjustRightInd w:val="0"/>
        <w:spacing w:after="0" w:line="276" w:lineRule="auto"/>
        <w:ind w:left="284" w:hanging="284"/>
        <w:rPr>
          <w:rFonts w:asciiTheme="minorHAnsi" w:hAnsiTheme="minorHAnsi"/>
        </w:rPr>
      </w:pPr>
      <w:r w:rsidRPr="00D050E9">
        <w:rPr>
          <w:rFonts w:asciiTheme="minorHAnsi" w:hAnsiTheme="minorHAnsi"/>
        </w:rPr>
        <w:t>vzpostavljanje in izboljšanje infrastrukture, povezane z razvojem, prilagajanjem in modernizacijo kmetijstva, vključno z dostopom do kmetijskih zemljišč, komasacijo in izboljšanjem zemljišč, oskrbo in varčevanjem z energijo in vodo;</w:t>
      </w:r>
    </w:p>
    <w:p w:rsidR="00A720EA" w:rsidRPr="00D050E9" w:rsidRDefault="00A720EA" w:rsidP="00C75589">
      <w:pPr>
        <w:pStyle w:val="ListParagraph"/>
        <w:numPr>
          <w:ilvl w:val="0"/>
          <w:numId w:val="38"/>
        </w:numPr>
        <w:tabs>
          <w:tab w:val="left" w:pos="284"/>
        </w:tabs>
        <w:autoSpaceDE w:val="0"/>
        <w:autoSpaceDN w:val="0"/>
        <w:adjustRightInd w:val="0"/>
        <w:spacing w:after="0" w:line="276" w:lineRule="auto"/>
        <w:ind w:left="284" w:hanging="284"/>
        <w:rPr>
          <w:rFonts w:asciiTheme="minorHAnsi" w:hAnsiTheme="minorHAnsi"/>
        </w:rPr>
      </w:pPr>
      <w:r w:rsidRPr="00D050E9">
        <w:rPr>
          <w:rFonts w:asciiTheme="minorHAnsi" w:hAnsiTheme="minorHAnsi"/>
        </w:rPr>
        <w:t>obnova proizvodnega potenciala, prizadetega zaradi škodnih dogodkov.</w:t>
      </w:r>
    </w:p>
    <w:p w:rsidR="00A720EA" w:rsidRPr="00D050E9" w:rsidRDefault="00A720EA" w:rsidP="00C75589">
      <w:pPr>
        <w:spacing w:after="0" w:line="276" w:lineRule="auto"/>
        <w:rPr>
          <w:rFonts w:asciiTheme="minorHAnsi" w:hAnsiTheme="minorHAnsi"/>
        </w:rPr>
      </w:pPr>
    </w:p>
    <w:p w:rsidR="00A720EA" w:rsidRPr="00D050E9" w:rsidRDefault="00A720EA" w:rsidP="00C75589">
      <w:pPr>
        <w:spacing w:after="0" w:line="276" w:lineRule="auto"/>
        <w:rPr>
          <w:rFonts w:asciiTheme="minorHAnsi" w:hAnsiTheme="minorHAnsi"/>
        </w:rPr>
      </w:pPr>
      <w:r w:rsidRPr="00D050E9">
        <w:rPr>
          <w:rFonts w:asciiTheme="minorHAnsi" w:hAnsiTheme="minorHAnsi"/>
        </w:rPr>
        <w:t>V ta namen so vključene tudi pomoči za ohranjanje in varstvo tradicionalne krajine in stavb.</w:t>
      </w: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Ciljna skupina so kmetijska gospodarstva, dejavna v primarni kmetijski proizvodnji, ki ustrezajo kriterijem za MSP.</w:t>
      </w:r>
    </w:p>
    <w:p w:rsidR="00A720EA" w:rsidRPr="00D050E9" w:rsidRDefault="00A720EA" w:rsidP="00C75589">
      <w:pPr>
        <w:autoSpaceDE w:val="0"/>
        <w:autoSpaceDN w:val="0"/>
        <w:adjustRightInd w:val="0"/>
        <w:spacing w:after="0" w:line="276" w:lineRule="auto"/>
        <w:rPr>
          <w:rFonts w:asciiTheme="minorHAnsi" w:eastAsia="Times New Roman" w:hAnsiTheme="minorHAnsi" w:cs="Times New Roman"/>
        </w:rPr>
      </w:pPr>
    </w:p>
    <w:tbl>
      <w:tblPr>
        <w:tblStyle w:val="MediumGrid2-Accent5"/>
        <w:tblW w:w="9039" w:type="dxa"/>
        <w:tblLayout w:type="fixed"/>
        <w:tblLook w:val="04A0" w:firstRow="1" w:lastRow="0" w:firstColumn="1" w:lastColumn="0" w:noHBand="0" w:noVBand="1"/>
      </w:tblPr>
      <w:tblGrid>
        <w:gridCol w:w="1526"/>
        <w:gridCol w:w="3969"/>
        <w:gridCol w:w="1276"/>
        <w:gridCol w:w="2268"/>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276"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268"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Občine</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Investicije v kmetijska gospodarstva</w:t>
            </w: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tc>
        <w:tc>
          <w:tcPr>
            <w:tcW w:w="1276"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268" w:type="dxa"/>
            <w:vAlign w:val="center"/>
            <w:hideMark/>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13.958.411,54</w:t>
            </w:r>
          </w:p>
        </w:tc>
      </w:tr>
    </w:tbl>
    <w:p w:rsidR="00A720EA" w:rsidRDefault="00A720EA" w:rsidP="00A720EA">
      <w:pPr>
        <w:rPr>
          <w:rFonts w:asciiTheme="minorHAnsi" w:hAnsiTheme="minorHAnsi"/>
        </w:rPr>
      </w:pPr>
    </w:p>
    <w:p w:rsidR="009F6E61" w:rsidRPr="00D050E9" w:rsidRDefault="009F6E61" w:rsidP="00A720EA">
      <w:pPr>
        <w:rPr>
          <w:rFonts w:asciiTheme="minorHAnsi" w:hAnsiTheme="minorHAnsi"/>
        </w:rPr>
      </w:pPr>
    </w:p>
    <w:p w:rsidR="00A720EA" w:rsidRPr="00D050E9" w:rsidRDefault="00A720EA" w:rsidP="00C75589">
      <w:pPr>
        <w:spacing w:line="276" w:lineRule="auto"/>
        <w:rPr>
          <w:rFonts w:asciiTheme="minorHAnsi" w:hAnsiTheme="minorHAnsi"/>
        </w:rPr>
      </w:pPr>
      <w:r w:rsidRPr="00D050E9">
        <w:rPr>
          <w:rFonts w:asciiTheme="minorHAnsi" w:hAnsiTheme="minorHAnsi"/>
        </w:rPr>
        <w:t xml:space="preserve">V letu 2017 so občine za ukrep </w:t>
      </w:r>
      <w:r w:rsidRPr="00D050E9">
        <w:rPr>
          <w:rFonts w:asciiTheme="minorHAnsi" w:hAnsiTheme="minorHAnsi" w:cs="Arial"/>
        </w:rPr>
        <w:t xml:space="preserve">namenile </w:t>
      </w:r>
      <w:r w:rsidRPr="00D050E9">
        <w:rPr>
          <w:rFonts w:asciiTheme="minorHAnsi" w:eastAsia="Times New Roman" w:hAnsiTheme="minorHAnsi" w:cs="Arial"/>
          <w:color w:val="000000"/>
          <w:lang w:eastAsia="sl-SI"/>
        </w:rPr>
        <w:t xml:space="preserve">3.411.692,19 </w:t>
      </w:r>
      <w:r w:rsidRPr="00D050E9">
        <w:rPr>
          <w:rFonts w:asciiTheme="minorHAnsi" w:hAnsiTheme="minorHAnsi" w:cs="Arial"/>
        </w:rPr>
        <w:t>evrov</w:t>
      </w:r>
      <w:r w:rsidRPr="00D050E9">
        <w:rPr>
          <w:rFonts w:asciiTheme="minorHAnsi" w:hAnsiTheme="minorHAnsi"/>
        </w:rPr>
        <w:t>. Sredstva v podporo investicijam so se v letu 2017 v primerjavi s predhodnim letom neznatno povečala. Podpore občin za investicije v kmetijska gospodarstva so v največjem deležu namenjene sofinanciranju nakupa strojev in opreme.</w:t>
      </w:r>
    </w:p>
    <w:p w:rsidR="00A720EA" w:rsidRPr="00D050E9" w:rsidRDefault="00A720EA" w:rsidP="00C75589">
      <w:pPr>
        <w:spacing w:line="276" w:lineRule="auto"/>
        <w:rPr>
          <w:rFonts w:asciiTheme="minorHAnsi" w:hAnsiTheme="minorHAnsi"/>
        </w:rPr>
      </w:pPr>
      <w:r w:rsidRPr="00D050E9">
        <w:rPr>
          <w:rFonts w:asciiTheme="minorHAnsi" w:hAnsiTheme="minorHAnsi"/>
        </w:rPr>
        <w:t>Podpore je bilo deležnih 2.350 kmetijskih gospodarstev, od tega je 12 kmetijskih gospodarstev sredstva namenilo za ohranjanje in varstvo tradicionalne krajine in stavb.</w:t>
      </w:r>
    </w:p>
    <w:p w:rsidR="00A720EA" w:rsidRPr="00D050E9" w:rsidRDefault="00A720EA" w:rsidP="006041D4">
      <w:pPr>
        <w:spacing w:after="0" w:line="276" w:lineRule="auto"/>
        <w:rPr>
          <w:rFonts w:asciiTheme="minorHAnsi" w:hAnsiTheme="minorHAnsi"/>
        </w:rPr>
      </w:pPr>
      <w:r w:rsidRPr="00D050E9">
        <w:rPr>
          <w:rFonts w:asciiTheme="minorHAnsi" w:hAnsiTheme="minorHAnsi"/>
        </w:rPr>
        <w:t xml:space="preserve">Pri izvajanju ukrepa so zaznani pozitivni učinki na povečanju produktivnosti in konkurenčnosti v kmetijstvu, obdelanosti kmetijskih zemljišč, doseganju standardov ter starostni in posestni strukturi. </w:t>
      </w:r>
    </w:p>
    <w:p w:rsidR="006041D4" w:rsidRDefault="006041D4" w:rsidP="006041D4">
      <w:pPr>
        <w:tabs>
          <w:tab w:val="left" w:pos="284"/>
        </w:tabs>
        <w:autoSpaceDE w:val="0"/>
        <w:autoSpaceDN w:val="0"/>
        <w:adjustRightInd w:val="0"/>
        <w:spacing w:after="0" w:line="276" w:lineRule="auto"/>
        <w:rPr>
          <w:rFonts w:asciiTheme="minorHAnsi" w:hAnsiTheme="minorHAnsi"/>
          <w:b/>
          <w:i/>
          <w:u w:val="single"/>
        </w:rPr>
      </w:pPr>
    </w:p>
    <w:p w:rsidR="00A720EA" w:rsidRPr="00D050E9" w:rsidRDefault="00A720EA" w:rsidP="00C75589">
      <w:pPr>
        <w:tabs>
          <w:tab w:val="left" w:pos="284"/>
        </w:tabs>
        <w:autoSpaceDE w:val="0"/>
        <w:autoSpaceDN w:val="0"/>
        <w:adjustRightInd w:val="0"/>
        <w:spacing w:before="240" w:line="276" w:lineRule="auto"/>
        <w:rPr>
          <w:rFonts w:asciiTheme="minorHAnsi" w:hAnsiTheme="minorHAnsi"/>
          <w:b/>
          <w:i/>
          <w:u w:val="single"/>
        </w:rPr>
      </w:pPr>
      <w:r w:rsidRPr="00D050E9">
        <w:rPr>
          <w:rFonts w:asciiTheme="minorHAnsi" w:hAnsiTheme="minorHAnsi"/>
          <w:b/>
          <w:i/>
          <w:u w:val="single"/>
        </w:rPr>
        <w:t>Pomoč za dejavnosti prenosa znanja in informiranja v gozdarskem sektorju</w:t>
      </w:r>
    </w:p>
    <w:p w:rsidR="00A720EA" w:rsidRPr="00D050E9" w:rsidRDefault="00A720EA" w:rsidP="00C75589">
      <w:pPr>
        <w:tabs>
          <w:tab w:val="left" w:pos="284"/>
        </w:tabs>
        <w:autoSpaceDE w:val="0"/>
        <w:autoSpaceDN w:val="0"/>
        <w:adjustRightInd w:val="0"/>
        <w:spacing w:before="240" w:line="276" w:lineRule="auto"/>
        <w:rPr>
          <w:rFonts w:asciiTheme="minorHAnsi" w:hAnsiTheme="minorHAnsi"/>
        </w:rPr>
      </w:pPr>
      <w:r w:rsidRPr="00D050E9">
        <w:rPr>
          <w:rFonts w:asciiTheme="minorHAnsi" w:hAnsiTheme="minorHAnsi"/>
        </w:rPr>
        <w:t>Pomoč krije dejavnosti poklicnega usposabljanja in pridobivanja strokovnih znanj, vključno s tečaji usposabljanja, delavnicami in inštruiranjem, ter predstavitvene dejavnosti in dejavnosti informiranja v gozdarskem sektorju.</w:t>
      </w:r>
    </w:p>
    <w:p w:rsidR="00A720EA" w:rsidRPr="00D050E9" w:rsidRDefault="00A720EA" w:rsidP="00C75589">
      <w:pPr>
        <w:tabs>
          <w:tab w:val="left" w:pos="284"/>
        </w:tabs>
        <w:autoSpaceDE w:val="0"/>
        <w:autoSpaceDN w:val="0"/>
        <w:adjustRightInd w:val="0"/>
        <w:spacing w:before="240" w:line="276" w:lineRule="auto"/>
        <w:rPr>
          <w:rFonts w:asciiTheme="minorHAnsi" w:hAnsiTheme="minorHAnsi"/>
        </w:rPr>
      </w:pPr>
      <w:r w:rsidRPr="00D050E9">
        <w:rPr>
          <w:rFonts w:asciiTheme="minorHAnsi" w:hAnsiTheme="minorHAnsi"/>
        </w:rPr>
        <w:t>Usposabljanja so namenjena povečanju ravni usposobljenosti in znanja ciljnih skupin. Ciljne skupine so podjetja, dejavna v gozdarskem sektorju, ki pomoč prejmejo kot subvencionirano storitev. Ta bodo z večjo usposobljenostjo lahko varno delala v gozdu, skrbela za trajnostni razvoj gozdov in gozdna območja Natura 2000 ter prispevala k trajnostnem razvoju podeželskih območij.</w:t>
      </w:r>
    </w:p>
    <w:tbl>
      <w:tblPr>
        <w:tblStyle w:val="MediumGrid2-Accent5"/>
        <w:tblW w:w="9180" w:type="dxa"/>
        <w:tblLayout w:type="fixed"/>
        <w:tblLook w:val="04A0" w:firstRow="1" w:lastRow="0" w:firstColumn="1" w:lastColumn="0" w:noHBand="0" w:noVBand="1"/>
      </w:tblPr>
      <w:tblGrid>
        <w:gridCol w:w="1526"/>
        <w:gridCol w:w="3969"/>
        <w:gridCol w:w="1417"/>
        <w:gridCol w:w="2268"/>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417"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2268"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2015–2017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 občine</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dejavnosti prenosa znanja in informiranja v gozdarskem sektorju</w:t>
            </w:r>
          </w:p>
        </w:tc>
        <w:tc>
          <w:tcPr>
            <w:tcW w:w="1417"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2268"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304.114,94</w:t>
            </w:r>
          </w:p>
        </w:tc>
      </w:tr>
    </w:tbl>
    <w:p w:rsidR="00A720EA" w:rsidRPr="00D050E9" w:rsidRDefault="00A720EA" w:rsidP="00A720EA">
      <w:pPr>
        <w:tabs>
          <w:tab w:val="left" w:pos="284"/>
        </w:tabs>
        <w:autoSpaceDE w:val="0"/>
        <w:autoSpaceDN w:val="0"/>
        <w:adjustRightInd w:val="0"/>
        <w:rPr>
          <w:rFonts w:asciiTheme="minorHAnsi" w:hAnsiTheme="minorHAnsi"/>
        </w:rPr>
      </w:pPr>
    </w:p>
    <w:p w:rsidR="00A720EA" w:rsidRPr="00D050E9" w:rsidRDefault="00A720EA" w:rsidP="00C75589">
      <w:pPr>
        <w:tabs>
          <w:tab w:val="left" w:pos="284"/>
        </w:tabs>
        <w:autoSpaceDE w:val="0"/>
        <w:autoSpaceDN w:val="0"/>
        <w:adjustRightInd w:val="0"/>
        <w:spacing w:after="0"/>
        <w:rPr>
          <w:rFonts w:asciiTheme="minorHAnsi" w:hAnsiTheme="minorHAnsi"/>
        </w:rPr>
      </w:pPr>
      <w:r w:rsidRPr="00D050E9">
        <w:rPr>
          <w:rFonts w:asciiTheme="minorHAnsi" w:hAnsiTheme="minorHAnsi"/>
        </w:rPr>
        <w:t xml:space="preserve">V letu 2017 je bilo za ukrep namenjenih 153.233,66 evrov. Dejavnostim prenosa znanja in informiranja v gozdarskem sektorju, ki so se izvajale v okviru Programa razvoja podeželja 2014–2020, je bilo namenjenih 148.833,66 evrov. Dejavnosti se je udeležilo 1.074 udeležencev. </w:t>
      </w:r>
    </w:p>
    <w:p w:rsidR="00A720EA" w:rsidRPr="00D050E9" w:rsidRDefault="00A720EA" w:rsidP="00C75589">
      <w:pPr>
        <w:tabs>
          <w:tab w:val="left" w:pos="284"/>
        </w:tabs>
        <w:autoSpaceDE w:val="0"/>
        <w:autoSpaceDN w:val="0"/>
        <w:adjustRightInd w:val="0"/>
        <w:spacing w:before="240" w:after="0"/>
        <w:rPr>
          <w:rFonts w:asciiTheme="minorHAnsi" w:hAnsiTheme="minorHAnsi"/>
        </w:rPr>
      </w:pPr>
      <w:r w:rsidRPr="00D050E9">
        <w:rPr>
          <w:rFonts w:asciiTheme="minorHAnsi" w:hAnsiTheme="minorHAnsi"/>
        </w:rPr>
        <w:t xml:space="preserve">Na lokalnem nivoju je ukrep izvajala le ena občine, ki je za ta namen dodelila 4.400,00 evrov. </w:t>
      </w:r>
    </w:p>
    <w:p w:rsidR="006041D4" w:rsidRPr="00D050E9" w:rsidRDefault="006041D4" w:rsidP="00C75589">
      <w:pPr>
        <w:tabs>
          <w:tab w:val="left" w:pos="284"/>
        </w:tabs>
        <w:autoSpaceDE w:val="0"/>
        <w:autoSpaceDN w:val="0"/>
        <w:adjustRightInd w:val="0"/>
        <w:spacing w:after="0"/>
        <w:rPr>
          <w:rFonts w:asciiTheme="minorHAnsi" w:hAnsiTheme="minorHAnsi"/>
        </w:rPr>
      </w:pPr>
    </w:p>
    <w:p w:rsidR="00A720EA" w:rsidRPr="00D050E9" w:rsidRDefault="00A720EA" w:rsidP="00A720EA">
      <w:pPr>
        <w:tabs>
          <w:tab w:val="left" w:pos="284"/>
        </w:tabs>
        <w:autoSpaceDE w:val="0"/>
        <w:autoSpaceDN w:val="0"/>
        <w:adjustRightInd w:val="0"/>
        <w:spacing w:before="240"/>
        <w:rPr>
          <w:rFonts w:asciiTheme="minorHAnsi" w:hAnsiTheme="minorHAnsi"/>
          <w:b/>
          <w:i/>
          <w:u w:val="single"/>
        </w:rPr>
      </w:pPr>
      <w:r w:rsidRPr="00D050E9">
        <w:rPr>
          <w:rFonts w:asciiTheme="minorHAnsi" w:hAnsiTheme="minorHAnsi"/>
          <w:b/>
          <w:i/>
          <w:u w:val="single"/>
        </w:rPr>
        <w:t>Pomoč za preprečevanje in odpravo škode v gozdovih zaradi gozdnih požarov, naravnih nesreč, slabih vremenskih razmer, škodljivih organizmov na rastlinah in katastrofalnih dogodkov</w:t>
      </w:r>
    </w:p>
    <w:p w:rsidR="00A720EA" w:rsidRPr="00D050E9" w:rsidRDefault="00A720EA" w:rsidP="00C75589">
      <w:pPr>
        <w:spacing w:after="0" w:line="276" w:lineRule="auto"/>
        <w:rPr>
          <w:rFonts w:asciiTheme="minorHAnsi" w:hAnsiTheme="minorHAnsi" w:cs="Arial"/>
          <w:sz w:val="20"/>
          <w:szCs w:val="20"/>
        </w:rPr>
      </w:pPr>
    </w:p>
    <w:p w:rsidR="00A720EA" w:rsidRPr="00D050E9" w:rsidRDefault="00A720EA" w:rsidP="00C75589">
      <w:pPr>
        <w:spacing w:after="0" w:line="276" w:lineRule="auto"/>
        <w:rPr>
          <w:rFonts w:asciiTheme="minorHAnsi" w:hAnsiTheme="minorHAnsi"/>
        </w:rPr>
      </w:pPr>
      <w:r w:rsidRPr="00D050E9">
        <w:rPr>
          <w:rFonts w:asciiTheme="minorHAnsi" w:hAnsiTheme="minorHAnsi"/>
        </w:rPr>
        <w:t xml:space="preserve">V okviru sheme državne pomoči se izvaja podukrep 8.4 – preprečevanje in odprava škode v gozdovih zaradi gozdnih požarov ter naravnih nesreč in katastrofičnih dogodkov iz Programa razvoja podeželja 2014–2020. Cilj ukrepa je obnova poškodovanih gozdov zaradi žledoloma. </w:t>
      </w:r>
    </w:p>
    <w:p w:rsidR="00C75589" w:rsidRPr="00D050E9" w:rsidRDefault="00C75589" w:rsidP="00C75589">
      <w:pPr>
        <w:spacing w:after="0" w:line="276" w:lineRule="auto"/>
        <w:rPr>
          <w:rFonts w:asciiTheme="minorHAnsi" w:hAnsiTheme="minorHAnsi"/>
        </w:rPr>
      </w:pPr>
    </w:p>
    <w:p w:rsidR="00A720EA" w:rsidRPr="00D050E9" w:rsidRDefault="00A720EA" w:rsidP="00C75589">
      <w:pPr>
        <w:spacing w:after="0" w:line="276" w:lineRule="auto"/>
        <w:rPr>
          <w:rFonts w:asciiTheme="minorHAnsi" w:hAnsiTheme="minorHAnsi"/>
        </w:rPr>
      </w:pPr>
      <w:r w:rsidRPr="00D050E9">
        <w:rPr>
          <w:rFonts w:asciiTheme="minorHAnsi" w:hAnsiTheme="minorHAnsi"/>
        </w:rPr>
        <w:t>Aktivnosti vključujejo odstranjevanje poškodovanega drevja, priprava površin za naravno obnovo. Na površinah, na katerih naravna obnova ne bi bila uspešna, se izvaja sadnja z rastišču ustreznimi drevesnimi vrstami. Kjer je potrebno, se urejajo gozdne vlake, ki so izključno namenjene sanaciji gozdov.</w:t>
      </w:r>
    </w:p>
    <w:p w:rsidR="00A720EA" w:rsidRPr="00D050E9" w:rsidRDefault="00A720EA" w:rsidP="00A720EA">
      <w:pPr>
        <w:rPr>
          <w:rFonts w:asciiTheme="minorHAnsi" w:hAnsiTheme="minorHAnsi" w:cs="Arial"/>
          <w:sz w:val="20"/>
          <w:szCs w:val="20"/>
        </w:rPr>
      </w:pPr>
    </w:p>
    <w:tbl>
      <w:tblPr>
        <w:tblStyle w:val="MediumGrid2-Accent5"/>
        <w:tblW w:w="9087" w:type="dxa"/>
        <w:tblLayout w:type="fixed"/>
        <w:tblLook w:val="04A0" w:firstRow="1" w:lastRow="0" w:firstColumn="1" w:lastColumn="0" w:noHBand="0" w:noVBand="1"/>
      </w:tblPr>
      <w:tblGrid>
        <w:gridCol w:w="1526"/>
        <w:gridCol w:w="3969"/>
        <w:gridCol w:w="1608"/>
        <w:gridCol w:w="1984"/>
      </w:tblGrid>
      <w:tr w:rsidR="00A720EA" w:rsidRPr="00D050E9" w:rsidTr="00C7558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608"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1984"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2017 v EUR</w:t>
            </w:r>
          </w:p>
        </w:tc>
      </w:tr>
      <w:tr w:rsidR="00A720EA" w:rsidRPr="00D050E9" w:rsidTr="00C755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preprečevanje in odpravo škode v gozdovih zaradi gozdnih požarov, naravnih nesreč, slabih vremenskih razmer, škodljivih organizmov na rastlinah in katastrofalnih dogodkov</w:t>
            </w:r>
          </w:p>
        </w:tc>
        <w:tc>
          <w:tcPr>
            <w:tcW w:w="1608"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1984"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660.894,11</w:t>
            </w:r>
          </w:p>
        </w:tc>
      </w:tr>
    </w:tbl>
    <w:p w:rsidR="00A720EA" w:rsidRPr="00D050E9" w:rsidRDefault="00A720EA" w:rsidP="00C75589">
      <w:pPr>
        <w:spacing w:after="160" w:line="276" w:lineRule="auto"/>
        <w:rPr>
          <w:rFonts w:asciiTheme="minorHAnsi" w:eastAsia="Times New Roman" w:hAnsiTheme="minorHAnsi" w:cs="Times New Roman"/>
          <w:color w:val="000000"/>
          <w:sz w:val="18"/>
          <w:szCs w:val="18"/>
          <w:lang w:eastAsia="sl-SI"/>
        </w:rPr>
      </w:pPr>
    </w:p>
    <w:p w:rsidR="00A720EA" w:rsidRPr="00D050E9" w:rsidRDefault="00A720EA" w:rsidP="00C75589">
      <w:pPr>
        <w:spacing w:line="276" w:lineRule="auto"/>
        <w:rPr>
          <w:rFonts w:asciiTheme="minorHAnsi" w:hAnsiTheme="minorHAnsi"/>
        </w:rPr>
      </w:pPr>
      <w:r w:rsidRPr="00D050E9">
        <w:rPr>
          <w:rFonts w:asciiTheme="minorHAnsi" w:hAnsiTheme="minorHAnsi"/>
        </w:rPr>
        <w:t xml:space="preserve">V letu 2017 so bila dela za odpravo škode in obnovo poškodovanega gozda izvedena na površini 693,5 hektarov. Pomoč za izvedena dela je bila izplačana 143 upravičencem v višini 660.894,11 evrov. </w:t>
      </w:r>
      <w:r w:rsidR="00C665A1" w:rsidRPr="00962E2A">
        <w:rPr>
          <w:rFonts w:asciiTheme="minorHAnsi" w:hAnsiTheme="minorHAnsi"/>
        </w:rPr>
        <w:t xml:space="preserve">Upravičencem je bilo za obnovo gozdnega potenciala namenjenih 322.045,97 evrov, za izgradnjo vlak pa 338.848,13 evrov. </w:t>
      </w:r>
      <w:r w:rsidRPr="00D050E9">
        <w:rPr>
          <w:rFonts w:asciiTheme="minorHAnsi" w:hAnsiTheme="minorHAnsi"/>
        </w:rPr>
        <w:t>S tem ukrepom se dodeljuje sredstva tudi fizičnim osebam, ki so lastniki gozdov</w:t>
      </w:r>
      <w:r w:rsidR="00FA291B">
        <w:rPr>
          <w:rFonts w:asciiTheme="minorHAnsi" w:hAnsiTheme="minorHAnsi"/>
        </w:rPr>
        <w:t xml:space="preserve"> pa niso vpisani v register kmetijskih gospodarstev</w:t>
      </w:r>
      <w:r w:rsidR="0032318D">
        <w:rPr>
          <w:rFonts w:asciiTheme="minorHAnsi" w:hAnsiTheme="minorHAnsi"/>
        </w:rPr>
        <w:t xml:space="preserve"> (30 upravičencev). Tem u</w:t>
      </w:r>
      <w:r w:rsidRPr="00D050E9">
        <w:rPr>
          <w:rFonts w:asciiTheme="minorHAnsi" w:hAnsiTheme="minorHAnsi"/>
        </w:rPr>
        <w:t>pravičencem je bilo za obnovo gozdnega potenciala n</w:t>
      </w:r>
      <w:r w:rsidR="0032318D">
        <w:rPr>
          <w:rFonts w:asciiTheme="minorHAnsi" w:hAnsiTheme="minorHAnsi"/>
        </w:rPr>
        <w:t>amenjenih 54.813,44 evrov, za izgradnjo vlak pa 39.549,07 evrov</w:t>
      </w:r>
      <w:r w:rsidRPr="00D050E9">
        <w:rPr>
          <w:rFonts w:asciiTheme="minorHAnsi" w:hAnsiTheme="minorHAnsi"/>
        </w:rPr>
        <w:t xml:space="preserve">. </w:t>
      </w:r>
      <w:r w:rsidR="00A37411">
        <w:rPr>
          <w:rFonts w:asciiTheme="minorHAnsi" w:hAnsiTheme="minorHAnsi"/>
        </w:rPr>
        <w:t xml:space="preserve">Po tem ukrepu je bilo skupaj izplačana pomoč v višini 755.256,62 evrov. </w:t>
      </w:r>
      <w:r w:rsidRPr="00D050E9">
        <w:rPr>
          <w:rFonts w:asciiTheme="minorHAnsi" w:hAnsiTheme="minorHAnsi"/>
        </w:rPr>
        <w:t>Sredstva Evropskega kmetijskega sklada za razvoj podeželja predstavljajo 75 odstotkov pomoči.</w:t>
      </w:r>
    </w:p>
    <w:p w:rsidR="00A720EA" w:rsidRPr="00D050E9" w:rsidRDefault="00A720EA" w:rsidP="00C75589">
      <w:pPr>
        <w:spacing w:line="276" w:lineRule="auto"/>
        <w:rPr>
          <w:rFonts w:asciiTheme="minorHAnsi" w:hAnsiTheme="minorHAnsi"/>
          <w:b/>
        </w:rPr>
      </w:pPr>
      <w:r w:rsidRPr="00D050E9">
        <w:rPr>
          <w:rFonts w:asciiTheme="minorHAnsi" w:hAnsiTheme="minorHAnsi"/>
          <w:b/>
        </w:rPr>
        <w:t>Sistem za izvedbo podukrepa je bil dokončno vzpostavljen v letu 2017, zato so rezultati temu primerno skromni. Večina aktivnosti bo izvedena v naslednjih letih, zato dokončnih rezultatov o učinkovitosti še ni mogoče podati.</w:t>
      </w:r>
    </w:p>
    <w:p w:rsidR="00A720EA" w:rsidRPr="00D050E9" w:rsidRDefault="00A720EA" w:rsidP="00C75589">
      <w:pPr>
        <w:spacing w:line="276" w:lineRule="auto"/>
        <w:rPr>
          <w:rFonts w:asciiTheme="minorHAnsi" w:hAnsiTheme="minorHAnsi"/>
          <w:b/>
        </w:rPr>
      </w:pPr>
    </w:p>
    <w:p w:rsidR="00A720EA" w:rsidRPr="00D050E9" w:rsidRDefault="00A720EA" w:rsidP="00C75589">
      <w:pPr>
        <w:tabs>
          <w:tab w:val="left" w:pos="284"/>
        </w:tabs>
        <w:autoSpaceDE w:val="0"/>
        <w:autoSpaceDN w:val="0"/>
        <w:adjustRightInd w:val="0"/>
        <w:spacing w:line="276" w:lineRule="auto"/>
        <w:rPr>
          <w:rFonts w:asciiTheme="minorHAnsi" w:hAnsiTheme="minorHAnsi"/>
          <w:b/>
          <w:i/>
          <w:u w:val="single"/>
        </w:rPr>
      </w:pPr>
      <w:r w:rsidRPr="00D050E9">
        <w:rPr>
          <w:rFonts w:asciiTheme="minorHAnsi" w:hAnsiTheme="minorHAnsi"/>
          <w:b/>
          <w:i/>
          <w:u w:val="single"/>
        </w:rPr>
        <w:t>Pomoč za naložbe v zvezi s predelavo kmetijskih proizvodov v nekmetijske proizvode</w:t>
      </w:r>
    </w:p>
    <w:p w:rsidR="00A720EA" w:rsidRPr="00D050E9" w:rsidRDefault="00A720EA" w:rsidP="00C75589">
      <w:pPr>
        <w:tabs>
          <w:tab w:val="left" w:pos="284"/>
        </w:tabs>
        <w:autoSpaceDE w:val="0"/>
        <w:autoSpaceDN w:val="0"/>
        <w:adjustRightInd w:val="0"/>
        <w:spacing w:line="276" w:lineRule="auto"/>
        <w:rPr>
          <w:rFonts w:asciiTheme="minorHAnsi" w:hAnsiTheme="minorHAnsi"/>
        </w:rPr>
      </w:pPr>
      <w:r w:rsidRPr="00D050E9">
        <w:rPr>
          <w:rFonts w:asciiTheme="minorHAnsi" w:hAnsiTheme="minorHAnsi"/>
        </w:rPr>
        <w:t xml:space="preserve">V okviru podukrepa 4.2 – podpora za naložbe v predelavo/trženje in/ali razvoj kmetijskih proizvodov iz Programa razvoja podeželja 2014–2020 shema državne pomoči pokriva pomoč za naložbe v zvezi s predelavo kmetijskih proizvodov v nekmetijske proizvode. </w:t>
      </w:r>
    </w:p>
    <w:p w:rsidR="00A720EA" w:rsidRPr="00D050E9" w:rsidRDefault="00A720EA" w:rsidP="00C75589">
      <w:pPr>
        <w:tabs>
          <w:tab w:val="left" w:pos="284"/>
        </w:tabs>
        <w:autoSpaceDE w:val="0"/>
        <w:autoSpaceDN w:val="0"/>
        <w:adjustRightInd w:val="0"/>
        <w:spacing w:line="276" w:lineRule="auto"/>
        <w:rPr>
          <w:rFonts w:asciiTheme="minorHAnsi" w:hAnsiTheme="minorHAnsi"/>
        </w:rPr>
      </w:pPr>
      <w:r w:rsidRPr="00D050E9">
        <w:rPr>
          <w:rFonts w:asciiTheme="minorHAnsi" w:hAnsiTheme="minorHAnsi"/>
        </w:rPr>
        <w:t>Cilj ukrepa je izboljšanje konkurenčnosti živilskopredelovalne panoge, dvig dodane vrednosti kmetijskih proizvodov, vključno s predelavo kmetijskih proizvodov iz shem kakovosti, uvajanjem novih proizvodov, ki predstavljajo bistveno tehnološko novost na trgu, tesnejše horizontalno in vertikalno povezovanje ter tudi večjo okoljsko učinkovitost živilskopredelovalnih obratov.</w:t>
      </w:r>
    </w:p>
    <w:p w:rsidR="00A720EA" w:rsidRPr="00D050E9" w:rsidRDefault="00A720EA" w:rsidP="00C75589">
      <w:pPr>
        <w:tabs>
          <w:tab w:val="left" w:pos="284"/>
        </w:tabs>
        <w:autoSpaceDE w:val="0"/>
        <w:autoSpaceDN w:val="0"/>
        <w:adjustRightInd w:val="0"/>
        <w:spacing w:after="0"/>
        <w:rPr>
          <w:rFonts w:asciiTheme="minorHAnsi" w:hAnsiTheme="minorHAnsi"/>
          <w:b/>
          <w:i/>
          <w:u w:val="single"/>
        </w:rPr>
      </w:pPr>
    </w:p>
    <w:tbl>
      <w:tblPr>
        <w:tblStyle w:val="MediumGrid2-Accent5"/>
        <w:tblW w:w="9087" w:type="dxa"/>
        <w:tblLayout w:type="fixed"/>
        <w:tblLook w:val="04A0" w:firstRow="1" w:lastRow="0" w:firstColumn="1" w:lastColumn="0" w:noHBand="0" w:noVBand="1"/>
      </w:tblPr>
      <w:tblGrid>
        <w:gridCol w:w="1526"/>
        <w:gridCol w:w="3969"/>
        <w:gridCol w:w="1608"/>
        <w:gridCol w:w="1984"/>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608"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1984"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naložbe v zvezi s predelavo kmetijskih proizvodov v nekmetijske proizvode</w:t>
            </w:r>
          </w:p>
        </w:tc>
        <w:tc>
          <w:tcPr>
            <w:tcW w:w="1608"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1984"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201.834,96</w:t>
            </w:r>
          </w:p>
        </w:tc>
      </w:tr>
    </w:tbl>
    <w:p w:rsidR="00A720EA" w:rsidRPr="00D050E9" w:rsidRDefault="00A720EA" w:rsidP="00C75589">
      <w:pPr>
        <w:tabs>
          <w:tab w:val="left" w:pos="284"/>
        </w:tabs>
        <w:autoSpaceDE w:val="0"/>
        <w:autoSpaceDN w:val="0"/>
        <w:adjustRightInd w:val="0"/>
        <w:spacing w:line="276" w:lineRule="auto"/>
        <w:rPr>
          <w:rFonts w:asciiTheme="minorHAnsi" w:hAnsiTheme="minorHAnsi"/>
          <w:b/>
          <w:i/>
          <w:u w:val="single"/>
        </w:rPr>
      </w:pPr>
    </w:p>
    <w:p w:rsidR="00A720EA" w:rsidRPr="00D050E9" w:rsidRDefault="00A720EA" w:rsidP="00C75589">
      <w:pPr>
        <w:spacing w:line="276" w:lineRule="auto"/>
        <w:rPr>
          <w:rFonts w:asciiTheme="minorHAnsi" w:hAnsiTheme="minorHAnsi"/>
        </w:rPr>
      </w:pPr>
      <w:r w:rsidRPr="00D050E9">
        <w:rPr>
          <w:rFonts w:asciiTheme="minorHAnsi" w:hAnsiTheme="minorHAnsi"/>
        </w:rPr>
        <w:t>V letu 2017 je bila pomoč za naložbe v zvezi s predelavo kmetijskih proizvodov v nekmetijske proizvode izplačana štirim upravičencem, katerih naložbe se bodo praviloma izvajale več let. Pomoč je bila izplačana v višini 201.834,96 evrov. Sredstva Evropskega kmetijskega sklada za razvoj podeželja predstavljajo 75 odstotkov pomoči.</w:t>
      </w:r>
    </w:p>
    <w:p w:rsidR="00A720EA" w:rsidRPr="00D050E9" w:rsidRDefault="00A720EA" w:rsidP="00C75589">
      <w:pPr>
        <w:spacing w:line="276" w:lineRule="auto"/>
        <w:rPr>
          <w:rFonts w:asciiTheme="minorHAnsi" w:hAnsiTheme="minorHAnsi"/>
          <w:b/>
        </w:rPr>
      </w:pPr>
      <w:r w:rsidRPr="00D050E9">
        <w:rPr>
          <w:rFonts w:asciiTheme="minorHAnsi" w:hAnsiTheme="minorHAnsi"/>
          <w:b/>
        </w:rPr>
        <w:t>Izplačila za izvajanje ukrepa so se pričela v letu 2017, zato so rezultati temu primerno skromni. Večina aktivnosti bo izvedena v naslednjih letih, zato dokončnih rezultatov o učinkovitosti še ni mogoče podati.</w:t>
      </w:r>
    </w:p>
    <w:p w:rsidR="00A720EA" w:rsidRPr="00D050E9" w:rsidRDefault="00A720EA" w:rsidP="009F6E61">
      <w:pPr>
        <w:spacing w:after="0" w:line="276" w:lineRule="auto"/>
        <w:rPr>
          <w:rFonts w:asciiTheme="minorHAnsi" w:eastAsia="Times New Roman" w:hAnsiTheme="minorHAnsi" w:cs="Arial"/>
          <w:color w:val="000000"/>
          <w:lang w:eastAsia="sl-SI"/>
        </w:rPr>
      </w:pPr>
    </w:p>
    <w:p w:rsidR="00A720EA" w:rsidRPr="00D050E9" w:rsidRDefault="00A720EA" w:rsidP="00C75589">
      <w:pPr>
        <w:tabs>
          <w:tab w:val="left" w:pos="284"/>
        </w:tabs>
        <w:autoSpaceDE w:val="0"/>
        <w:autoSpaceDN w:val="0"/>
        <w:adjustRightInd w:val="0"/>
        <w:spacing w:line="276" w:lineRule="auto"/>
        <w:rPr>
          <w:rFonts w:asciiTheme="minorHAnsi" w:hAnsiTheme="minorHAnsi"/>
          <w:b/>
          <w:i/>
          <w:u w:val="single"/>
        </w:rPr>
      </w:pPr>
      <w:r w:rsidRPr="00D050E9">
        <w:rPr>
          <w:rFonts w:asciiTheme="minorHAnsi" w:hAnsiTheme="minorHAnsi"/>
          <w:b/>
          <w:i/>
          <w:u w:val="single"/>
        </w:rPr>
        <w:t>Pomoč za naložbe v infrastrukturo, povezano z razvojem, modernizacijo in prilagajanjem gozdarskega sektorja</w:t>
      </w:r>
    </w:p>
    <w:p w:rsidR="00A720EA" w:rsidRPr="00D050E9" w:rsidRDefault="00A720EA" w:rsidP="00C75589">
      <w:pPr>
        <w:spacing w:after="0" w:line="276" w:lineRule="auto"/>
        <w:rPr>
          <w:rFonts w:asciiTheme="minorHAnsi" w:hAnsiTheme="minorHAnsi"/>
          <w:b/>
          <w:i/>
          <w:u w:val="single"/>
        </w:rPr>
      </w:pPr>
    </w:p>
    <w:p w:rsidR="00A720EA" w:rsidRPr="00D050E9" w:rsidRDefault="00A720EA" w:rsidP="00C75589">
      <w:pPr>
        <w:spacing w:line="276" w:lineRule="auto"/>
        <w:rPr>
          <w:rFonts w:asciiTheme="minorHAnsi" w:hAnsiTheme="minorHAnsi" w:cs="Arial"/>
        </w:rPr>
      </w:pPr>
      <w:r w:rsidRPr="00D050E9">
        <w:rPr>
          <w:rFonts w:asciiTheme="minorHAnsi" w:hAnsiTheme="minorHAnsi"/>
        </w:rPr>
        <w:t xml:space="preserve">Ta shema državne pomoči vključuje operacijo 4 – ureditev gozdne infrastrukture iz podukrepa 4.3 – podpora za naložbe v infrastrukturo, povezano z razvojem, modernizacijo in prilagajanjem gozdarskega sektorja iz Programa razvoja podeželja 2014–2020.  Operacija 4 je namenjena podpori naložbam v gradnjo in rekonstrukcijo gozdnih cest ter gradnjo, rekonstrukcijo in pripravo gozdnih vlak. Do podpore so upravičene fizične in pravne osebe, ki so lastniki gozdov, ter njihova združenja, agrarne in pašne skupnosti. </w:t>
      </w:r>
      <w:r w:rsidRPr="00D050E9">
        <w:rPr>
          <w:rFonts w:asciiTheme="minorHAnsi" w:hAnsiTheme="minorHAnsi" w:cs="Arial"/>
        </w:rPr>
        <w:t xml:space="preserve">Stopnja javne podpore znaša 50 odstotkov upravičenih stroškov. </w:t>
      </w:r>
    </w:p>
    <w:tbl>
      <w:tblPr>
        <w:tblStyle w:val="MediumGrid2-Accent5"/>
        <w:tblW w:w="9087" w:type="dxa"/>
        <w:tblLayout w:type="fixed"/>
        <w:tblLook w:val="04A0" w:firstRow="1" w:lastRow="0" w:firstColumn="1" w:lastColumn="0" w:noHBand="0" w:noVBand="1"/>
      </w:tblPr>
      <w:tblGrid>
        <w:gridCol w:w="1526"/>
        <w:gridCol w:w="3969"/>
        <w:gridCol w:w="1608"/>
        <w:gridCol w:w="1984"/>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608"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1984"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naložbe v infrastrukturo, povezano z razvojem, modernizacijo in prilagajanjem gozdarskega sektorja</w:t>
            </w:r>
          </w:p>
        </w:tc>
        <w:tc>
          <w:tcPr>
            <w:tcW w:w="1608"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1984"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291.638,13</w:t>
            </w:r>
          </w:p>
        </w:tc>
      </w:tr>
    </w:tbl>
    <w:p w:rsidR="00A720EA" w:rsidRPr="00D050E9" w:rsidRDefault="00A720EA" w:rsidP="009F6E61">
      <w:pPr>
        <w:spacing w:after="0" w:line="259" w:lineRule="auto"/>
        <w:rPr>
          <w:rFonts w:asciiTheme="minorHAnsi" w:hAnsiTheme="minorHAnsi"/>
          <w:b/>
          <w:i/>
          <w:u w:val="single"/>
        </w:rPr>
      </w:pPr>
    </w:p>
    <w:p w:rsidR="00A720EA" w:rsidRPr="00D050E9" w:rsidRDefault="00A720EA" w:rsidP="00257CEB">
      <w:pPr>
        <w:spacing w:after="0" w:line="276" w:lineRule="auto"/>
        <w:rPr>
          <w:rFonts w:asciiTheme="minorHAnsi" w:hAnsiTheme="minorHAnsi"/>
        </w:rPr>
      </w:pPr>
      <w:r w:rsidRPr="00D050E9">
        <w:rPr>
          <w:rFonts w:asciiTheme="minorHAnsi" w:hAnsiTheme="minorHAnsi"/>
        </w:rPr>
        <w:t>V letu 2017 je bila pomoč za naložbe v infrastrukturo, povezano z razvojem, modernizacijo in prilagajanjem g</w:t>
      </w:r>
      <w:r w:rsidR="00822CFB">
        <w:rPr>
          <w:rFonts w:asciiTheme="minorHAnsi" w:hAnsiTheme="minorHAnsi"/>
        </w:rPr>
        <w:t>ozdarskega sektorja izplačana 52</w:t>
      </w:r>
      <w:r w:rsidRPr="00D050E9">
        <w:rPr>
          <w:rFonts w:asciiTheme="minorHAnsi" w:hAnsiTheme="minorHAnsi"/>
        </w:rPr>
        <w:t xml:space="preserve"> upravičencem</w:t>
      </w:r>
      <w:r w:rsidR="00257CEB">
        <w:rPr>
          <w:rFonts w:asciiTheme="minorHAnsi" w:hAnsiTheme="minorHAnsi"/>
        </w:rPr>
        <w:t xml:space="preserve"> v višini 291.638,13 evrov. </w:t>
      </w:r>
      <w:r w:rsidR="00257CEB" w:rsidRPr="00962E2A">
        <w:rPr>
          <w:rFonts w:asciiTheme="minorHAnsi" w:hAnsiTheme="minorHAnsi"/>
        </w:rPr>
        <w:t>S tem ukrepom se dodeljuje sredstva tudi fizičnim osebam, ki so lastniki gozdov</w:t>
      </w:r>
      <w:r w:rsidR="00257CEB">
        <w:rPr>
          <w:rFonts w:asciiTheme="minorHAnsi" w:hAnsiTheme="minorHAnsi"/>
        </w:rPr>
        <w:t xml:space="preserve"> pa niso vpisani v register kmetijskih gospodarstev</w:t>
      </w:r>
      <w:r w:rsidR="00257CEB" w:rsidRPr="00962E2A">
        <w:rPr>
          <w:rFonts w:asciiTheme="minorHAnsi" w:hAnsiTheme="minorHAnsi"/>
        </w:rPr>
        <w:t xml:space="preserve"> (</w:t>
      </w:r>
      <w:r w:rsidR="00257CEB">
        <w:rPr>
          <w:rFonts w:asciiTheme="minorHAnsi" w:hAnsiTheme="minorHAnsi"/>
        </w:rPr>
        <w:t>6</w:t>
      </w:r>
      <w:r w:rsidR="00257CEB" w:rsidRPr="00962E2A">
        <w:rPr>
          <w:rFonts w:asciiTheme="minorHAnsi" w:hAnsiTheme="minorHAnsi"/>
        </w:rPr>
        <w:t xml:space="preserve"> upravičencev</w:t>
      </w:r>
      <w:r w:rsidR="00257CEB">
        <w:rPr>
          <w:rFonts w:asciiTheme="minorHAnsi" w:hAnsiTheme="minorHAnsi"/>
        </w:rPr>
        <w:t xml:space="preserve"> je prejelo </w:t>
      </w:r>
      <w:r w:rsidR="00257CEB" w:rsidRPr="00962E2A">
        <w:rPr>
          <w:rFonts w:asciiTheme="minorHAnsi" w:hAnsiTheme="minorHAnsi"/>
        </w:rPr>
        <w:t>21.154,03 evrov).</w:t>
      </w:r>
      <w:r w:rsidRPr="00D050E9">
        <w:rPr>
          <w:rFonts w:asciiTheme="minorHAnsi" w:hAnsiTheme="minorHAnsi"/>
        </w:rPr>
        <w:t xml:space="preserve"> </w:t>
      </w:r>
      <w:r w:rsidR="00257CEB">
        <w:rPr>
          <w:rFonts w:asciiTheme="minorHAnsi" w:hAnsiTheme="minorHAnsi"/>
        </w:rPr>
        <w:t>Po tem ukrepu je bila skupaj izplačana pomoč</w:t>
      </w:r>
      <w:r w:rsidRPr="00D050E9">
        <w:rPr>
          <w:rFonts w:asciiTheme="minorHAnsi" w:hAnsiTheme="minorHAnsi"/>
        </w:rPr>
        <w:t xml:space="preserve"> v višini 312.792,16 evrov. Sredstva Evropskega kmetijskega sklada za razvoj podeželja predstavljajo 75 odstoktov pomoči.</w:t>
      </w:r>
    </w:p>
    <w:p w:rsidR="00A720EA" w:rsidRPr="00D050E9" w:rsidRDefault="00A720EA" w:rsidP="00C75589">
      <w:pPr>
        <w:spacing w:after="0" w:line="276" w:lineRule="auto"/>
        <w:rPr>
          <w:rFonts w:asciiTheme="minorHAnsi" w:hAnsiTheme="minorHAnsi"/>
        </w:rPr>
      </w:pPr>
    </w:p>
    <w:p w:rsidR="00A720EA" w:rsidRPr="00D050E9" w:rsidRDefault="00A720EA" w:rsidP="00C75589">
      <w:pPr>
        <w:spacing w:after="0" w:line="276" w:lineRule="auto"/>
        <w:rPr>
          <w:rFonts w:asciiTheme="minorHAnsi" w:hAnsiTheme="minorHAnsi"/>
          <w:b/>
        </w:rPr>
      </w:pPr>
      <w:r w:rsidRPr="00D050E9">
        <w:rPr>
          <w:rFonts w:asciiTheme="minorHAnsi" w:hAnsiTheme="minorHAnsi"/>
          <w:b/>
        </w:rPr>
        <w:t>Izplačila za izvajanje ukrepa so se pričela v letu 2017, zato so rezultati temu primerno skromni. Večina aktivnosti bo izvedena v naslednjih letih, zato dokončnih rezultatov o učinkovitosti še ni mogoče podati.</w:t>
      </w:r>
    </w:p>
    <w:p w:rsidR="00A720EA" w:rsidRPr="00D050E9" w:rsidRDefault="00A720EA" w:rsidP="00C75589">
      <w:pPr>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b/>
          <w:i/>
          <w:u w:val="single"/>
        </w:rPr>
      </w:pPr>
      <w:r w:rsidRPr="00D050E9">
        <w:rPr>
          <w:rFonts w:asciiTheme="minorHAnsi" w:hAnsiTheme="minorHAnsi"/>
          <w:b/>
          <w:i/>
          <w:u w:val="single"/>
        </w:rPr>
        <w:t>Pomoč za naložbe v gozdarske tehnologije ter predelavo, mobilizacijo in trženje gozdarskih proizvodov</w:t>
      </w:r>
    </w:p>
    <w:p w:rsidR="00A720EA" w:rsidRPr="00D050E9" w:rsidRDefault="00A720EA" w:rsidP="00C75589">
      <w:pPr>
        <w:tabs>
          <w:tab w:val="left" w:pos="284"/>
        </w:tabs>
        <w:autoSpaceDE w:val="0"/>
        <w:autoSpaceDN w:val="0"/>
        <w:adjustRightInd w:val="0"/>
        <w:spacing w:after="0" w:line="276" w:lineRule="auto"/>
        <w:rPr>
          <w:rFonts w:asciiTheme="minorHAnsi" w:hAnsiTheme="minorHAnsi"/>
          <w:b/>
          <w:i/>
          <w:u w:val="single"/>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 xml:space="preserve">Shema državne pomoči pokriva aktivnosti v okviru podukrepa  8.6 – podpora za naložbe v gozdarske tehnologije ter predelavo, mobilizacijo in trženje gozdarskih proizvodov iz Programa razvoja podeželja 2014–2020. </w:t>
      </w:r>
      <w:r w:rsidRPr="00D050E9">
        <w:rPr>
          <w:rFonts w:asciiTheme="minorHAnsi" w:hAnsiTheme="minorHAnsi" w:cs="Arial"/>
        </w:rPr>
        <w:t>Cilj podukrepa je intenziviranje gospodarjenja z gozdovi, profesionalizacija dela v gozdovih, zmanjšanje števila delovnih nesreč pri delu v gozdu in dodajanje vrednosti gozdarskim proizvodom.</w:t>
      </w:r>
    </w:p>
    <w:p w:rsidR="00A720EA" w:rsidRPr="00D050E9" w:rsidRDefault="00A720EA" w:rsidP="00C75589">
      <w:pPr>
        <w:spacing w:after="0" w:line="276" w:lineRule="auto"/>
        <w:rPr>
          <w:rFonts w:asciiTheme="minorHAnsi" w:hAnsiTheme="minorHAnsi" w:cs="Arial"/>
        </w:rPr>
      </w:pPr>
    </w:p>
    <w:p w:rsidR="00A720EA" w:rsidRPr="00D050E9" w:rsidRDefault="00A720EA" w:rsidP="00C75589">
      <w:pPr>
        <w:spacing w:after="0" w:line="276" w:lineRule="auto"/>
        <w:rPr>
          <w:rFonts w:asciiTheme="minorHAnsi" w:hAnsiTheme="minorHAnsi" w:cs="Arial"/>
        </w:rPr>
      </w:pPr>
      <w:r w:rsidRPr="00D050E9">
        <w:rPr>
          <w:rFonts w:asciiTheme="minorHAnsi" w:hAnsiTheme="minorHAnsi" w:cs="Arial"/>
        </w:rPr>
        <w:t xml:space="preserve">Upravičenci do podpore v okviru operacije </w:t>
      </w:r>
      <w:r w:rsidRPr="00D050E9">
        <w:rPr>
          <w:rFonts w:asciiTheme="minorHAnsi" w:hAnsiTheme="minorHAnsi" w:cs="Arial"/>
          <w:i/>
        </w:rPr>
        <w:t>naložbe v nakup nove mehanizacije in opreme za sečnjo in spravilo lesa</w:t>
      </w:r>
      <w:r w:rsidRPr="00D050E9">
        <w:rPr>
          <w:rFonts w:asciiTheme="minorHAnsi" w:hAnsiTheme="minorHAnsi" w:cs="Arial"/>
        </w:rPr>
        <w:t xml:space="preserve"> so pravne osebe, razen občin, in fizične osebe, agrarne, pašne skupnosti, ki so zasebni lastniki, solastniki ali zakupniki gozdov, ter gospodarske družbe in samostojni podjetniki, podjetja, ki izpolnjujejo pogoje za mikro, mala ali srednja podjetja in se ukvarjajo s sečnjo in spravilom lesa. Upravičenci do podpore v okviru operacije </w:t>
      </w:r>
      <w:r w:rsidRPr="00D050E9">
        <w:rPr>
          <w:rFonts w:asciiTheme="minorHAnsi" w:hAnsiTheme="minorHAnsi" w:cs="Arial"/>
          <w:i/>
        </w:rPr>
        <w:t>naložbe v predindustrijsko predelavo lesa</w:t>
      </w:r>
      <w:r w:rsidRPr="00D050E9">
        <w:rPr>
          <w:rFonts w:asciiTheme="minorHAnsi" w:hAnsiTheme="minorHAnsi" w:cs="Arial"/>
        </w:rPr>
        <w:t xml:space="preserve"> so gospodarske družbe, zadruge, samostojni podjetniki posamezniki in kmetije z registrirano dopolnilno dejavnostjo, ki so opredeljeni kot mikro ali malo podjetje.</w:t>
      </w:r>
    </w:p>
    <w:p w:rsidR="00C75589" w:rsidRPr="00D050E9" w:rsidRDefault="00C75589" w:rsidP="00C75589">
      <w:pPr>
        <w:spacing w:after="0" w:line="276" w:lineRule="auto"/>
        <w:rPr>
          <w:rFonts w:asciiTheme="minorHAnsi" w:hAnsiTheme="minorHAnsi" w:cs="Arial"/>
        </w:rPr>
      </w:pPr>
    </w:p>
    <w:p w:rsidR="00A720EA" w:rsidRPr="00D050E9" w:rsidRDefault="00A720EA" w:rsidP="00C75589">
      <w:pPr>
        <w:spacing w:after="0" w:line="276" w:lineRule="auto"/>
        <w:rPr>
          <w:rFonts w:asciiTheme="minorHAnsi" w:hAnsiTheme="minorHAnsi" w:cs="Arial"/>
        </w:rPr>
      </w:pPr>
      <w:r w:rsidRPr="00D050E9">
        <w:rPr>
          <w:rFonts w:asciiTheme="minorHAnsi" w:hAnsiTheme="minorHAnsi" w:cs="Arial"/>
        </w:rPr>
        <w:t>Podukrep 8.6 je namenjen trajnostnemu razvoju gozdarstva kot gospodarske panoge prek spodbujanja naložb v gozdarske tehnologije, mobilizacijo in predindustrijsko predelavo lesa. To so naložbe, ki so ključne za trajnostno gospodarjenje z gozdom, krepitev gozdno-lesne verige, povečanje dodane vrednosti lesa, večjo profesionalizacijo in varnost dela v gozdovih in potencialno ustvarjanje novih delovnih mest. Predindustrijska predelava lesa pomeni žagarsko dejavnost in druge dejavnosti, kot so npr. sušenje in impregnacija lesa ter predelava lesnih ostankov, ki nastanejo v obratu, v lesna goriva (peleti, sekanci).</w:t>
      </w:r>
    </w:p>
    <w:p w:rsidR="00A720EA" w:rsidRPr="00D050E9" w:rsidRDefault="00A720EA" w:rsidP="00C75589">
      <w:pPr>
        <w:spacing w:after="0" w:line="276" w:lineRule="auto"/>
        <w:rPr>
          <w:rFonts w:asciiTheme="minorHAnsi" w:hAnsiTheme="minorHAnsi" w:cs="Arial"/>
        </w:rPr>
      </w:pPr>
    </w:p>
    <w:p w:rsidR="00A720EA" w:rsidRPr="00D050E9" w:rsidRDefault="00A720EA" w:rsidP="00C75589">
      <w:pPr>
        <w:spacing w:after="0" w:line="276" w:lineRule="auto"/>
        <w:rPr>
          <w:rFonts w:asciiTheme="minorHAnsi" w:hAnsiTheme="minorHAnsi" w:cs="Arial"/>
        </w:rPr>
      </w:pPr>
      <w:r w:rsidRPr="00D050E9">
        <w:rPr>
          <w:rFonts w:asciiTheme="minorHAnsi" w:hAnsiTheme="minorHAnsi" w:cs="Arial"/>
        </w:rPr>
        <w:t>Podpora se izplačuje v obliki nepovratne pomoči in znaša 40 odstotkov upravičenih stroškov naložbe.</w:t>
      </w:r>
    </w:p>
    <w:p w:rsidR="00A720EA" w:rsidRPr="00D050E9" w:rsidRDefault="00A720EA" w:rsidP="00C75589">
      <w:pPr>
        <w:tabs>
          <w:tab w:val="left" w:pos="284"/>
        </w:tabs>
        <w:autoSpaceDE w:val="0"/>
        <w:autoSpaceDN w:val="0"/>
        <w:adjustRightInd w:val="0"/>
        <w:spacing w:after="0" w:line="276" w:lineRule="auto"/>
        <w:rPr>
          <w:rFonts w:asciiTheme="minorHAnsi" w:hAnsiTheme="minorHAnsi"/>
          <w:b/>
          <w:i/>
          <w:u w:val="single"/>
        </w:rPr>
      </w:pPr>
    </w:p>
    <w:tbl>
      <w:tblPr>
        <w:tblStyle w:val="MediumGrid2-Accent5"/>
        <w:tblW w:w="9087" w:type="dxa"/>
        <w:tblLayout w:type="fixed"/>
        <w:tblLook w:val="04A0" w:firstRow="1" w:lastRow="0" w:firstColumn="1" w:lastColumn="0" w:noHBand="0" w:noVBand="1"/>
      </w:tblPr>
      <w:tblGrid>
        <w:gridCol w:w="1526"/>
        <w:gridCol w:w="3969"/>
        <w:gridCol w:w="1608"/>
        <w:gridCol w:w="1984"/>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Dajalec</w:t>
            </w:r>
          </w:p>
        </w:tc>
        <w:tc>
          <w:tcPr>
            <w:tcW w:w="3969"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Namen</w:t>
            </w:r>
          </w:p>
        </w:tc>
        <w:tc>
          <w:tcPr>
            <w:tcW w:w="1608" w:type="dxa"/>
            <w:hideMark/>
          </w:tcPr>
          <w:p w:rsidR="00A720EA" w:rsidRPr="00D050E9" w:rsidRDefault="00A720EA" w:rsidP="00A720EA">
            <w:pPr>
              <w:spacing w:line="260"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Instrument</w:t>
            </w:r>
          </w:p>
        </w:tc>
        <w:tc>
          <w:tcPr>
            <w:tcW w:w="1984" w:type="dxa"/>
            <w:hideMark/>
          </w:tcPr>
          <w:p w:rsidR="00A720EA" w:rsidRPr="00D050E9" w:rsidRDefault="00A720EA" w:rsidP="00A720EA">
            <w:pPr>
              <w:spacing w:line="260" w:lineRule="atLeast"/>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Skupaj 2017 v EUR</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rsidR="00A720EA" w:rsidRPr="00D050E9" w:rsidRDefault="00A720EA" w:rsidP="00A720EA">
            <w:pPr>
              <w:spacing w:line="260" w:lineRule="atLeast"/>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MKGP</w:t>
            </w:r>
          </w:p>
        </w:tc>
        <w:tc>
          <w:tcPr>
            <w:tcW w:w="396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Pomoč za naložbe v gozdarske tehnologije ter predelavo, mobilizacijo in trženje gozdarskih proizvodov</w:t>
            </w:r>
          </w:p>
        </w:tc>
        <w:tc>
          <w:tcPr>
            <w:tcW w:w="1608" w:type="dxa"/>
            <w:vAlign w:val="center"/>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r w:rsidRPr="00D050E9">
              <w:rPr>
                <w:rFonts w:asciiTheme="minorHAnsi" w:eastAsia="Times New Roman" w:hAnsiTheme="minorHAnsi" w:cs="Arial"/>
                <w:color w:val="auto"/>
                <w:sz w:val="19"/>
                <w:szCs w:val="19"/>
                <w:lang w:eastAsia="sl-SI"/>
              </w:rPr>
              <w:t>Dotacije</w:t>
            </w:r>
          </w:p>
        </w:tc>
        <w:tc>
          <w:tcPr>
            <w:tcW w:w="1984" w:type="dxa"/>
            <w:vAlign w:val="center"/>
            <w:hideMark/>
          </w:tcPr>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auto"/>
                <w:sz w:val="19"/>
                <w:szCs w:val="19"/>
                <w:lang w:eastAsia="sl-SI"/>
              </w:rPr>
            </w:pPr>
          </w:p>
          <w:p w:rsidR="00A720EA" w:rsidRPr="00D050E9" w:rsidRDefault="00A720EA" w:rsidP="00A720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18"/>
                <w:szCs w:val="18"/>
              </w:rPr>
            </w:pPr>
            <w:r w:rsidRPr="00D050E9">
              <w:rPr>
                <w:rFonts w:asciiTheme="minorHAnsi" w:hAnsiTheme="minorHAnsi" w:cs="Arial"/>
                <w:b/>
                <w:bCs/>
                <w:color w:val="000000"/>
                <w:sz w:val="18"/>
                <w:szCs w:val="18"/>
              </w:rPr>
              <w:t>2.238.106,52</w:t>
            </w:r>
          </w:p>
        </w:tc>
      </w:tr>
    </w:tbl>
    <w:p w:rsidR="00A720EA" w:rsidRPr="00D050E9" w:rsidRDefault="00A720EA" w:rsidP="00C75589">
      <w:pPr>
        <w:tabs>
          <w:tab w:val="left" w:pos="284"/>
        </w:tabs>
        <w:autoSpaceDE w:val="0"/>
        <w:autoSpaceDN w:val="0"/>
        <w:adjustRightInd w:val="0"/>
        <w:spacing w:after="0" w:line="276" w:lineRule="auto"/>
        <w:rPr>
          <w:rFonts w:asciiTheme="minorHAnsi" w:hAnsiTheme="minorHAnsi"/>
          <w:b/>
          <w:i/>
          <w:u w:val="single"/>
        </w:rPr>
      </w:pPr>
    </w:p>
    <w:p w:rsidR="00A720EA" w:rsidRPr="00D050E9" w:rsidRDefault="00A720EA" w:rsidP="00C75589">
      <w:pPr>
        <w:spacing w:after="0" w:line="276" w:lineRule="auto"/>
        <w:rPr>
          <w:rFonts w:asciiTheme="minorHAnsi" w:hAnsiTheme="minorHAnsi"/>
        </w:rPr>
      </w:pPr>
      <w:r w:rsidRPr="00D050E9">
        <w:rPr>
          <w:rFonts w:asciiTheme="minorHAnsi" w:hAnsiTheme="minorHAnsi"/>
        </w:rPr>
        <w:t>V letu 2017 je bila pomoč za naložbe v gozdarske tehnologije ter predelavo, mobilizacijo in trženje gozdarskih proizvodov izplačana 133 upravičencem, katerih naložbe se bodo praviloma izvajale več let. Pomoč je bila izplačana v višini 2.238.106,52 evrov. Sredstva Evropskega kmetijskega sklada za razvoj podeželja predstavljajo 75 odstotkov pomoči.</w:t>
      </w:r>
    </w:p>
    <w:p w:rsidR="00A720EA" w:rsidRPr="00D050E9" w:rsidRDefault="00A720EA" w:rsidP="00C75589">
      <w:pPr>
        <w:spacing w:after="0" w:line="276" w:lineRule="auto"/>
        <w:rPr>
          <w:rFonts w:asciiTheme="minorHAnsi" w:hAnsiTheme="minorHAnsi"/>
        </w:rPr>
      </w:pPr>
    </w:p>
    <w:p w:rsidR="00A720EA" w:rsidRPr="00D050E9" w:rsidRDefault="00A720EA" w:rsidP="00C75589">
      <w:pPr>
        <w:spacing w:after="0" w:line="276" w:lineRule="auto"/>
        <w:rPr>
          <w:rFonts w:asciiTheme="minorHAnsi" w:hAnsiTheme="minorHAnsi"/>
          <w:b/>
        </w:rPr>
      </w:pPr>
      <w:r w:rsidRPr="00D050E9">
        <w:rPr>
          <w:rFonts w:asciiTheme="minorHAnsi" w:hAnsiTheme="minorHAnsi"/>
          <w:b/>
        </w:rPr>
        <w:t>Izplačila za izvajanje ukrepa so se pričela v letu 2017, zato so rezultati temu primerno skromni. Večina aktivnosti bo izvedena v naslednjih letih, zato dokončnih rezultatov o učinkovitosti še ni mogoče podati.</w:t>
      </w:r>
    </w:p>
    <w:p w:rsidR="00A720EA" w:rsidRDefault="00A720EA" w:rsidP="00C75589">
      <w:pPr>
        <w:tabs>
          <w:tab w:val="left" w:pos="284"/>
        </w:tabs>
        <w:autoSpaceDE w:val="0"/>
        <w:autoSpaceDN w:val="0"/>
        <w:adjustRightInd w:val="0"/>
        <w:spacing w:after="0" w:line="276" w:lineRule="auto"/>
        <w:rPr>
          <w:rFonts w:asciiTheme="minorHAnsi" w:hAnsiTheme="minorHAnsi"/>
        </w:rPr>
      </w:pPr>
    </w:p>
    <w:p w:rsidR="006041D4" w:rsidRPr="00D050E9" w:rsidRDefault="006041D4"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spacing w:after="0" w:line="276" w:lineRule="auto"/>
        <w:rPr>
          <w:rFonts w:asciiTheme="minorHAnsi" w:hAnsiTheme="minorHAnsi"/>
          <w:b/>
        </w:rPr>
      </w:pPr>
      <w:r w:rsidRPr="00D050E9">
        <w:rPr>
          <w:rFonts w:asciiTheme="minorHAnsi" w:hAnsiTheme="minorHAnsi"/>
          <w:b/>
        </w:rPr>
        <w:t>RIBIŠTVO</w:t>
      </w:r>
    </w:p>
    <w:p w:rsidR="00C75589" w:rsidRPr="00D050E9" w:rsidRDefault="00C75589" w:rsidP="00C75589">
      <w:pPr>
        <w:pStyle w:val="BodyText"/>
        <w:spacing w:after="0" w:line="276" w:lineRule="auto"/>
        <w:rPr>
          <w:rFonts w:asciiTheme="minorHAnsi" w:hAnsiTheme="minorHAnsi" w:cs="Arial"/>
          <w:b/>
          <w:i/>
          <w:szCs w:val="22"/>
        </w:rPr>
      </w:pPr>
    </w:p>
    <w:p w:rsidR="00A720EA" w:rsidRPr="00D050E9" w:rsidRDefault="00A720EA" w:rsidP="00C75589">
      <w:pPr>
        <w:pStyle w:val="BodyText"/>
        <w:spacing w:after="0" w:line="276" w:lineRule="auto"/>
        <w:rPr>
          <w:rFonts w:asciiTheme="minorHAnsi" w:hAnsiTheme="minorHAnsi" w:cs="Arial"/>
          <w:b/>
          <w:i/>
          <w:szCs w:val="22"/>
        </w:rPr>
      </w:pPr>
      <w:r w:rsidRPr="00D050E9">
        <w:rPr>
          <w:rFonts w:asciiTheme="minorHAnsi" w:hAnsiTheme="minorHAnsi" w:cs="Arial"/>
          <w:b/>
          <w:i/>
          <w:szCs w:val="22"/>
        </w:rPr>
        <w:t>V letu 2017 ni bilo dodeljenih državnih pomoči s področja ribištva.</w:t>
      </w:r>
      <w:r w:rsidR="00C75589" w:rsidRPr="00D050E9">
        <w:rPr>
          <w:rFonts w:asciiTheme="minorHAnsi" w:hAnsiTheme="minorHAnsi" w:cs="Arial"/>
          <w:b/>
          <w:i/>
          <w:szCs w:val="22"/>
        </w:rPr>
        <w:t xml:space="preserve"> Ocena ukrepov iz preteklih let je podana v nadaljevanju.</w:t>
      </w:r>
    </w:p>
    <w:p w:rsidR="00C75589" w:rsidRPr="00D050E9" w:rsidRDefault="00C75589" w:rsidP="00C75589">
      <w:pPr>
        <w:pStyle w:val="Heading4"/>
        <w:spacing w:before="0" w:line="276" w:lineRule="auto"/>
        <w:ind w:left="864" w:hanging="864"/>
        <w:rPr>
          <w:rFonts w:cs="Arial"/>
          <w:color w:val="auto"/>
          <w:sz w:val="22"/>
          <w:u w:val="single"/>
        </w:rPr>
      </w:pPr>
    </w:p>
    <w:p w:rsidR="00A720EA" w:rsidRPr="00D050E9" w:rsidRDefault="00A720EA" w:rsidP="00C75589">
      <w:pPr>
        <w:pStyle w:val="Heading4"/>
        <w:spacing w:before="0" w:line="276" w:lineRule="auto"/>
        <w:ind w:left="864" w:hanging="864"/>
        <w:rPr>
          <w:rFonts w:cs="Arial"/>
          <w:color w:val="auto"/>
          <w:sz w:val="22"/>
          <w:u w:val="single"/>
        </w:rPr>
      </w:pPr>
      <w:r w:rsidRPr="00D050E9">
        <w:rPr>
          <w:rFonts w:cs="Arial"/>
          <w:color w:val="auto"/>
          <w:sz w:val="22"/>
          <w:u w:val="single"/>
        </w:rPr>
        <w:t>Shema »Sofinanciranje operativnega programa s področja ribištva 2007-2013«</w:t>
      </w:r>
    </w:p>
    <w:p w:rsidR="00A720EA" w:rsidRPr="00D050E9" w:rsidRDefault="00A720EA" w:rsidP="00C75589">
      <w:pPr>
        <w:tabs>
          <w:tab w:val="left" w:pos="284"/>
        </w:tabs>
        <w:autoSpaceDE w:val="0"/>
        <w:autoSpaceDN w:val="0"/>
        <w:adjustRightInd w:val="0"/>
        <w:spacing w:after="0" w:line="276" w:lineRule="auto"/>
        <w:rPr>
          <w:rFonts w:asciiTheme="minorHAnsi" w:hAnsiTheme="minorHAnsi"/>
          <w:b/>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r w:rsidRPr="00D050E9">
        <w:rPr>
          <w:rFonts w:asciiTheme="minorHAnsi" w:hAnsiTheme="minorHAnsi"/>
        </w:rPr>
        <w:t xml:space="preserve">Glavni cilj izvajanja ukrepov je zagotavljanje ekonomskega razvoja ribiškega sektorja ob hkratnem zagotavljanju trajnosti razpoložljivih ribolovnih virov. </w:t>
      </w:r>
    </w:p>
    <w:p w:rsidR="00A720EA" w:rsidRPr="00D050E9" w:rsidRDefault="00A720EA" w:rsidP="00C75589">
      <w:pPr>
        <w:tabs>
          <w:tab w:val="left" w:pos="284"/>
        </w:tabs>
        <w:autoSpaceDE w:val="0"/>
        <w:autoSpaceDN w:val="0"/>
        <w:adjustRightInd w:val="0"/>
        <w:spacing w:after="0" w:line="276" w:lineRule="auto"/>
        <w:rPr>
          <w:rFonts w:asciiTheme="minorHAnsi" w:hAnsiTheme="minorHAnsi"/>
        </w:rPr>
      </w:pPr>
    </w:p>
    <w:p w:rsidR="00A720EA" w:rsidRPr="00D050E9" w:rsidRDefault="00A720EA" w:rsidP="00C75589">
      <w:pPr>
        <w:tabs>
          <w:tab w:val="left" w:pos="284"/>
        </w:tabs>
        <w:autoSpaceDE w:val="0"/>
        <w:autoSpaceDN w:val="0"/>
        <w:adjustRightInd w:val="0"/>
        <w:spacing w:after="0" w:line="276" w:lineRule="auto"/>
        <w:rPr>
          <w:rFonts w:asciiTheme="minorHAnsi" w:hAnsiTheme="minorHAnsi"/>
          <w:b/>
          <w:i/>
        </w:rPr>
      </w:pPr>
      <w:r w:rsidRPr="00D050E9">
        <w:rPr>
          <w:rFonts w:asciiTheme="minorHAnsi" w:hAnsiTheme="minorHAnsi"/>
        </w:rPr>
        <w:t xml:space="preserve">Rezultati izvajanja ukrepov v letu 2016 so pričakovani in so podani za zaključene projekte. </w:t>
      </w:r>
      <w:r w:rsidRPr="00D050E9">
        <w:rPr>
          <w:rFonts w:asciiTheme="minorHAnsi" w:hAnsiTheme="minorHAnsi"/>
          <w:b/>
          <w:i/>
        </w:rPr>
        <w:t>Dejanski učinki izvajanja posameznih projektov, ki so investicijskega značaja, pa bodo vidni šele leto ali več po zaključku posameznega individualnega projekta oziroma programa v celoti. Takrat bo možno podati tudi končno oceno o dejanski uspešnosti izvajanja Operativnega programa oziroma končno oceno o učinku dodeljenih državnih pomoči.</w:t>
      </w:r>
    </w:p>
    <w:p w:rsidR="00C75589" w:rsidRPr="00D050E9" w:rsidRDefault="00C75589" w:rsidP="00C75589">
      <w:pPr>
        <w:tabs>
          <w:tab w:val="left" w:pos="284"/>
        </w:tabs>
        <w:autoSpaceDE w:val="0"/>
        <w:autoSpaceDN w:val="0"/>
        <w:adjustRightInd w:val="0"/>
        <w:spacing w:after="0" w:line="276" w:lineRule="auto"/>
        <w:rPr>
          <w:rFonts w:asciiTheme="minorHAnsi" w:hAnsiTheme="minorHAnsi"/>
          <w:b/>
          <w:i/>
          <w:u w:val="single"/>
        </w:rPr>
      </w:pPr>
    </w:p>
    <w:p w:rsidR="00A720EA" w:rsidRPr="009F6E61" w:rsidRDefault="00A720EA" w:rsidP="00C75589">
      <w:pPr>
        <w:tabs>
          <w:tab w:val="left" w:pos="284"/>
        </w:tabs>
        <w:autoSpaceDE w:val="0"/>
        <w:autoSpaceDN w:val="0"/>
        <w:adjustRightInd w:val="0"/>
        <w:spacing w:after="0" w:line="276" w:lineRule="auto"/>
        <w:rPr>
          <w:rFonts w:asciiTheme="minorHAnsi" w:hAnsiTheme="minorHAnsi"/>
          <w:b/>
          <w:i/>
          <w:u w:val="single"/>
        </w:rPr>
      </w:pPr>
      <w:r w:rsidRPr="009F6E61">
        <w:rPr>
          <w:rFonts w:asciiTheme="minorHAnsi" w:hAnsiTheme="minorHAnsi"/>
          <w:b/>
          <w:i/>
          <w:u w:val="single"/>
        </w:rPr>
        <w:t>Pomoči pri predelavi in trženju</w:t>
      </w:r>
    </w:p>
    <w:p w:rsidR="00A720EA" w:rsidRPr="009F6E61" w:rsidRDefault="00A720EA" w:rsidP="00C75589">
      <w:pPr>
        <w:autoSpaceDE w:val="0"/>
        <w:autoSpaceDN w:val="0"/>
        <w:adjustRightInd w:val="0"/>
        <w:spacing w:after="0" w:line="276" w:lineRule="auto"/>
        <w:rPr>
          <w:rFonts w:asciiTheme="minorHAnsi" w:hAnsiTheme="minorHAnsi" w:cs="Arial"/>
        </w:rPr>
      </w:pPr>
    </w:p>
    <w:p w:rsidR="00A720EA" w:rsidRPr="009F6E61" w:rsidRDefault="00A720EA" w:rsidP="00C75589">
      <w:pPr>
        <w:autoSpaceDE w:val="0"/>
        <w:autoSpaceDN w:val="0"/>
        <w:adjustRightInd w:val="0"/>
        <w:spacing w:after="0" w:line="276" w:lineRule="auto"/>
        <w:rPr>
          <w:rFonts w:asciiTheme="minorHAnsi" w:hAnsiTheme="minorHAnsi"/>
        </w:rPr>
      </w:pPr>
      <w:r w:rsidRPr="009F6E61">
        <w:rPr>
          <w:rFonts w:asciiTheme="minorHAnsi" w:hAnsiTheme="minorHAnsi"/>
        </w:rPr>
        <w:t xml:space="preserve">Cilj ukrepa je dvig konkurenčnosti slovenske predelovalne industrije vključno z izboljšanjem trženja celotnega sektorja ribištva. </w:t>
      </w:r>
    </w:p>
    <w:p w:rsidR="00A720EA" w:rsidRPr="009F6E61" w:rsidRDefault="00A720EA" w:rsidP="00C75589">
      <w:pPr>
        <w:tabs>
          <w:tab w:val="left" w:pos="284"/>
        </w:tabs>
        <w:autoSpaceDE w:val="0"/>
        <w:autoSpaceDN w:val="0"/>
        <w:adjustRightInd w:val="0"/>
        <w:spacing w:after="0" w:line="276" w:lineRule="auto"/>
        <w:rPr>
          <w:rFonts w:asciiTheme="minorHAnsi" w:hAnsiTheme="minorHAnsi"/>
          <w:b/>
          <w:i/>
          <w:u w:val="single"/>
        </w:rPr>
      </w:pPr>
    </w:p>
    <w:tbl>
      <w:tblPr>
        <w:tblStyle w:val="MediumGrid2-Accent1"/>
        <w:tblW w:w="9180" w:type="dxa"/>
        <w:tblLayout w:type="fixed"/>
        <w:tblLook w:val="04A0" w:firstRow="1" w:lastRow="0" w:firstColumn="1" w:lastColumn="0" w:noHBand="0" w:noVBand="1"/>
      </w:tblPr>
      <w:tblGrid>
        <w:gridCol w:w="1526"/>
        <w:gridCol w:w="4819"/>
        <w:gridCol w:w="1134"/>
        <w:gridCol w:w="1701"/>
      </w:tblGrid>
      <w:tr w:rsidR="00A720EA" w:rsidRPr="009F6E61"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9F6E61" w:rsidRDefault="00A720EA" w:rsidP="00A720EA">
            <w:pPr>
              <w:spacing w:line="260" w:lineRule="atLeast"/>
              <w:jc w:val="center"/>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Dajalec</w:t>
            </w:r>
          </w:p>
        </w:tc>
        <w:tc>
          <w:tcPr>
            <w:tcW w:w="4819" w:type="dxa"/>
            <w:hideMark/>
          </w:tcPr>
          <w:p w:rsidR="00A720EA" w:rsidRPr="009F6E61"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Ukrep</w:t>
            </w:r>
          </w:p>
        </w:tc>
        <w:tc>
          <w:tcPr>
            <w:tcW w:w="1134" w:type="dxa"/>
            <w:hideMark/>
          </w:tcPr>
          <w:p w:rsidR="00A720EA" w:rsidRPr="009F6E61"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Instrument</w:t>
            </w:r>
          </w:p>
        </w:tc>
        <w:tc>
          <w:tcPr>
            <w:tcW w:w="1701" w:type="dxa"/>
            <w:hideMark/>
          </w:tcPr>
          <w:p w:rsidR="00A720EA" w:rsidRPr="009F6E61"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Skupaj 2014–2016</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hideMark/>
          </w:tcPr>
          <w:p w:rsidR="00A720EA" w:rsidRPr="009F6E61" w:rsidRDefault="00A720EA" w:rsidP="00A720EA">
            <w:pPr>
              <w:spacing w:line="260" w:lineRule="atLeast"/>
              <w:jc w:val="center"/>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MKGP</w:t>
            </w:r>
          </w:p>
        </w:tc>
        <w:tc>
          <w:tcPr>
            <w:tcW w:w="4819" w:type="dxa"/>
          </w:tcPr>
          <w:p w:rsidR="00A720EA" w:rsidRPr="009F6E61" w:rsidRDefault="00A720EA" w:rsidP="00A720EA">
            <w:pPr>
              <w:tabs>
                <w:tab w:val="left" w:pos="28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Pomoči pri predelavi in trženju</w:t>
            </w:r>
          </w:p>
        </w:tc>
        <w:tc>
          <w:tcPr>
            <w:tcW w:w="1134" w:type="dxa"/>
            <w:hideMark/>
          </w:tcPr>
          <w:p w:rsidR="00A720EA" w:rsidRPr="009F6E61"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9F6E61">
              <w:rPr>
                <w:rFonts w:asciiTheme="minorHAnsi" w:eastAsia="Times New Roman" w:hAnsiTheme="minorHAnsi" w:cs="Arial"/>
                <w:sz w:val="18"/>
                <w:szCs w:val="18"/>
                <w:lang w:eastAsia="sl-SI"/>
              </w:rPr>
              <w:t>Subvencije</w:t>
            </w:r>
          </w:p>
        </w:tc>
        <w:tc>
          <w:tcPr>
            <w:tcW w:w="1701" w:type="dxa"/>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18"/>
                <w:szCs w:val="18"/>
                <w:lang w:eastAsia="sl-SI"/>
              </w:rPr>
            </w:pPr>
            <w:r w:rsidRPr="009F6E61">
              <w:rPr>
                <w:rFonts w:asciiTheme="minorHAnsi" w:eastAsia="Times New Roman" w:hAnsiTheme="minorHAnsi" w:cs="Arial"/>
                <w:b/>
                <w:sz w:val="18"/>
                <w:szCs w:val="18"/>
                <w:lang w:eastAsia="sl-SI"/>
              </w:rPr>
              <w:t>1.232.883,88</w:t>
            </w:r>
          </w:p>
        </w:tc>
      </w:tr>
    </w:tbl>
    <w:p w:rsidR="00A720EA" w:rsidRPr="00D050E9" w:rsidRDefault="00A720EA" w:rsidP="00A720EA">
      <w:pPr>
        <w:tabs>
          <w:tab w:val="left" w:pos="284"/>
        </w:tabs>
        <w:autoSpaceDE w:val="0"/>
        <w:autoSpaceDN w:val="0"/>
        <w:adjustRightInd w:val="0"/>
        <w:rPr>
          <w:rFonts w:asciiTheme="minorHAnsi" w:hAnsiTheme="minorHAnsi"/>
          <w:b/>
          <w:i/>
          <w:u w:val="single"/>
        </w:rPr>
      </w:pPr>
    </w:p>
    <w:p w:rsidR="00A720EA" w:rsidRPr="00D050E9" w:rsidRDefault="00A720EA" w:rsidP="00A720EA">
      <w:pPr>
        <w:tabs>
          <w:tab w:val="left" w:pos="284"/>
        </w:tabs>
        <w:autoSpaceDE w:val="0"/>
        <w:autoSpaceDN w:val="0"/>
        <w:adjustRightInd w:val="0"/>
        <w:rPr>
          <w:rFonts w:asciiTheme="minorHAnsi" w:hAnsiTheme="minorHAnsi"/>
          <w:b/>
          <w:i/>
          <w:u w:val="single"/>
        </w:rPr>
      </w:pPr>
      <w:r w:rsidRPr="00D050E9">
        <w:rPr>
          <w:rFonts w:asciiTheme="minorHAnsi" w:hAnsiTheme="minorHAnsi"/>
          <w:b/>
          <w:i/>
          <w:u w:val="single"/>
        </w:rPr>
        <w:t>Socialno ekonomski ukrepi Zgodnje upokojevanje, dodelitev drugih individualnih premij ribičem</w:t>
      </w:r>
    </w:p>
    <w:p w:rsidR="00A720EA" w:rsidRPr="00D050E9" w:rsidRDefault="00A720EA" w:rsidP="00A720EA">
      <w:pPr>
        <w:spacing w:before="60" w:line="276" w:lineRule="auto"/>
        <w:rPr>
          <w:rFonts w:asciiTheme="minorHAnsi" w:hAnsiTheme="minorHAnsi"/>
        </w:rPr>
      </w:pPr>
      <w:r w:rsidRPr="00D050E9">
        <w:rPr>
          <w:rFonts w:asciiTheme="minorHAnsi" w:hAnsiTheme="minorHAnsi"/>
        </w:rPr>
        <w:t xml:space="preserve">Pomoč je bila dodeljena za ukrep Individualne premije za ribiče, katerega cilj je ohranitev dohodkovnega položaja za ribiče, ki so prizadeti zaradi nezmožnosti izvajanja ribolova na območju, določenem po Sporazumu o maloobmejnem prometu in sodelovanju med Slovenijo in Hrvaško. </w:t>
      </w:r>
    </w:p>
    <w:p w:rsidR="00A720EA" w:rsidRPr="00D050E9" w:rsidRDefault="00A720EA" w:rsidP="00C75589">
      <w:pPr>
        <w:tabs>
          <w:tab w:val="left" w:pos="284"/>
        </w:tabs>
        <w:autoSpaceDE w:val="0"/>
        <w:autoSpaceDN w:val="0"/>
        <w:adjustRightInd w:val="0"/>
        <w:spacing w:after="0"/>
        <w:rPr>
          <w:rFonts w:asciiTheme="minorHAnsi" w:hAnsiTheme="minorHAnsi"/>
        </w:rPr>
      </w:pPr>
    </w:p>
    <w:tbl>
      <w:tblPr>
        <w:tblStyle w:val="MediumGrid2-Accent1"/>
        <w:tblW w:w="9180" w:type="dxa"/>
        <w:tblLayout w:type="fixed"/>
        <w:tblLook w:val="04A0" w:firstRow="1" w:lastRow="0" w:firstColumn="1" w:lastColumn="0" w:noHBand="0" w:noVBand="1"/>
      </w:tblPr>
      <w:tblGrid>
        <w:gridCol w:w="1526"/>
        <w:gridCol w:w="4394"/>
        <w:gridCol w:w="1559"/>
        <w:gridCol w:w="170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jc w:val="center"/>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Dajalec</w:t>
            </w:r>
          </w:p>
        </w:tc>
        <w:tc>
          <w:tcPr>
            <w:tcW w:w="4394"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Ukrep</w:t>
            </w:r>
          </w:p>
        </w:tc>
        <w:tc>
          <w:tcPr>
            <w:tcW w:w="1559"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Instrument</w:t>
            </w:r>
          </w:p>
        </w:tc>
        <w:tc>
          <w:tcPr>
            <w:tcW w:w="1701"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Skupaj 2014–2016</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hideMark/>
          </w:tcPr>
          <w:p w:rsidR="00A720EA" w:rsidRPr="00D050E9" w:rsidRDefault="00A720EA" w:rsidP="00A720EA">
            <w:pPr>
              <w:spacing w:line="260" w:lineRule="atLeast"/>
              <w:jc w:val="center"/>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MKGP</w:t>
            </w:r>
          </w:p>
        </w:tc>
        <w:tc>
          <w:tcPr>
            <w:tcW w:w="4394" w:type="dxa"/>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Individualne premije za ribiče</w:t>
            </w:r>
          </w:p>
        </w:tc>
        <w:tc>
          <w:tcPr>
            <w:tcW w:w="155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Subvencije</w:t>
            </w:r>
          </w:p>
        </w:tc>
        <w:tc>
          <w:tcPr>
            <w:tcW w:w="1701" w:type="dxa"/>
          </w:tcPr>
          <w:p w:rsidR="00A720EA" w:rsidRPr="00D050E9" w:rsidRDefault="00A720EA" w:rsidP="00A720E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18"/>
                <w:szCs w:val="18"/>
                <w:lang w:eastAsia="sl-SI"/>
              </w:rPr>
            </w:pPr>
            <w:r w:rsidRPr="00D050E9">
              <w:rPr>
                <w:rFonts w:asciiTheme="minorHAnsi" w:eastAsia="Times New Roman" w:hAnsiTheme="minorHAnsi" w:cs="Arial"/>
                <w:b/>
                <w:sz w:val="18"/>
                <w:szCs w:val="18"/>
                <w:lang w:eastAsia="sl-SI"/>
              </w:rPr>
              <w:t>135.478,80</w:t>
            </w:r>
          </w:p>
        </w:tc>
      </w:tr>
    </w:tbl>
    <w:p w:rsidR="00A720EA" w:rsidRPr="00D050E9" w:rsidRDefault="00A720EA" w:rsidP="00A720EA">
      <w:pPr>
        <w:spacing w:after="160" w:line="276" w:lineRule="auto"/>
        <w:rPr>
          <w:rFonts w:asciiTheme="minorHAnsi" w:hAnsiTheme="minorHAnsi"/>
          <w:b/>
        </w:rPr>
      </w:pPr>
    </w:p>
    <w:p w:rsidR="00A720EA" w:rsidRPr="00D050E9" w:rsidRDefault="00A720EA" w:rsidP="00A720EA">
      <w:pPr>
        <w:spacing w:after="160" w:line="276" w:lineRule="auto"/>
        <w:rPr>
          <w:rFonts w:asciiTheme="minorHAnsi" w:hAnsiTheme="minorHAnsi"/>
        </w:rPr>
      </w:pPr>
      <w:r w:rsidRPr="00D050E9">
        <w:rPr>
          <w:rFonts w:asciiTheme="minorHAnsi" w:hAnsiTheme="minorHAnsi"/>
        </w:rPr>
        <w:t>V letu 2016 je pomoč prejelo 32 upravičencev v skupni višini 70.267,36 EUR.</w:t>
      </w:r>
    </w:p>
    <w:p w:rsidR="00A720EA" w:rsidRPr="00D050E9" w:rsidRDefault="00A720EA" w:rsidP="00A720EA">
      <w:pPr>
        <w:spacing w:after="160" w:line="276" w:lineRule="auto"/>
        <w:rPr>
          <w:rFonts w:asciiTheme="minorHAnsi" w:hAnsiTheme="minorHAnsi"/>
          <w:b/>
          <w:i/>
        </w:rPr>
      </w:pPr>
      <w:r w:rsidRPr="00D050E9">
        <w:rPr>
          <w:rFonts w:asciiTheme="minorHAnsi" w:hAnsiTheme="minorHAnsi"/>
          <w:b/>
          <w:i/>
        </w:rPr>
        <w:t>Namen ukrepa je bil v letu 2016 v celoti dosežen, pomoč ima pozitivne učinke in prispeva k izboljšanju ekonomskega položaja posameznih ribičev.</w:t>
      </w:r>
    </w:p>
    <w:p w:rsidR="006041D4" w:rsidRPr="00D050E9" w:rsidRDefault="006041D4" w:rsidP="006041D4">
      <w:pPr>
        <w:tabs>
          <w:tab w:val="left" w:pos="284"/>
        </w:tabs>
        <w:autoSpaceDE w:val="0"/>
        <w:autoSpaceDN w:val="0"/>
        <w:adjustRightInd w:val="0"/>
        <w:spacing w:after="0" w:line="276" w:lineRule="auto"/>
        <w:rPr>
          <w:rFonts w:asciiTheme="minorHAnsi" w:hAnsiTheme="minorHAnsi"/>
          <w:b/>
          <w:i/>
          <w:u w:val="single"/>
        </w:rPr>
      </w:pPr>
    </w:p>
    <w:p w:rsidR="00A720EA" w:rsidRPr="00D050E9" w:rsidRDefault="00A720EA" w:rsidP="00A720EA">
      <w:pPr>
        <w:tabs>
          <w:tab w:val="left" w:pos="284"/>
        </w:tabs>
        <w:autoSpaceDE w:val="0"/>
        <w:autoSpaceDN w:val="0"/>
        <w:adjustRightInd w:val="0"/>
        <w:spacing w:line="276" w:lineRule="auto"/>
        <w:rPr>
          <w:rFonts w:asciiTheme="minorHAnsi" w:hAnsiTheme="minorHAnsi"/>
          <w:b/>
          <w:i/>
          <w:u w:val="single"/>
        </w:rPr>
      </w:pPr>
      <w:r w:rsidRPr="00D050E9">
        <w:rPr>
          <w:rFonts w:asciiTheme="minorHAnsi" w:hAnsiTheme="minorHAnsi"/>
          <w:b/>
          <w:i/>
          <w:u w:val="single"/>
        </w:rPr>
        <w:t>Pomoči za varstvo in razvoj ribjih virov in obalnih voda</w:t>
      </w:r>
    </w:p>
    <w:p w:rsidR="00A720EA" w:rsidRPr="00D050E9" w:rsidRDefault="00A720EA" w:rsidP="00A720EA">
      <w:pPr>
        <w:tabs>
          <w:tab w:val="left" w:pos="284"/>
        </w:tabs>
        <w:autoSpaceDE w:val="0"/>
        <w:autoSpaceDN w:val="0"/>
        <w:adjustRightInd w:val="0"/>
        <w:spacing w:before="60" w:line="276" w:lineRule="auto"/>
        <w:rPr>
          <w:rFonts w:asciiTheme="minorHAnsi" w:hAnsiTheme="minorHAnsi"/>
        </w:rPr>
      </w:pPr>
      <w:r w:rsidRPr="00D050E9">
        <w:rPr>
          <w:rFonts w:asciiTheme="minorHAnsi" w:hAnsiTheme="minorHAnsi"/>
        </w:rPr>
        <w:t>V okviru tega namena se je v letu 2016 izvajal ukrep Produktivne naložbe v ribogojstvo, katerega cilj je doseganje visoke ravni konkurenčnosti ribogojstva tako na domačem kot evropskem tržišču s spodbujanjem uporabe metod, ki zagotavljajo zmanjševanje negativnih učinkov ribogojstva na okolje ter razvoj novih ribjih vrst z dobrimi tržnimi možnostmi.</w:t>
      </w:r>
    </w:p>
    <w:tbl>
      <w:tblPr>
        <w:tblStyle w:val="MediumGrid2-Accent1"/>
        <w:tblW w:w="9180" w:type="dxa"/>
        <w:tblLayout w:type="fixed"/>
        <w:tblLook w:val="04A0" w:firstRow="1" w:lastRow="0" w:firstColumn="1" w:lastColumn="0" w:noHBand="0" w:noVBand="1"/>
      </w:tblPr>
      <w:tblGrid>
        <w:gridCol w:w="1526"/>
        <w:gridCol w:w="4394"/>
        <w:gridCol w:w="1559"/>
        <w:gridCol w:w="1701"/>
      </w:tblGrid>
      <w:tr w:rsidR="00A720EA" w:rsidRPr="00D050E9" w:rsidTr="00A720E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26" w:type="dxa"/>
            <w:hideMark/>
          </w:tcPr>
          <w:p w:rsidR="00A720EA" w:rsidRPr="00D050E9" w:rsidRDefault="00A720EA" w:rsidP="00A720EA">
            <w:pPr>
              <w:spacing w:line="260" w:lineRule="atLeast"/>
              <w:jc w:val="center"/>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Dajalec</w:t>
            </w:r>
          </w:p>
        </w:tc>
        <w:tc>
          <w:tcPr>
            <w:tcW w:w="4394"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 xml:space="preserve">Ukrep </w:t>
            </w:r>
          </w:p>
        </w:tc>
        <w:tc>
          <w:tcPr>
            <w:tcW w:w="1559"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Instrument</w:t>
            </w:r>
          </w:p>
        </w:tc>
        <w:tc>
          <w:tcPr>
            <w:tcW w:w="1701" w:type="dxa"/>
            <w:hideMark/>
          </w:tcPr>
          <w:p w:rsidR="00A720EA" w:rsidRPr="00D050E9" w:rsidRDefault="00A720EA" w:rsidP="00A720EA">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Skupaj 2014–2016</w:t>
            </w:r>
          </w:p>
        </w:tc>
      </w:tr>
      <w:tr w:rsidR="00A720EA" w:rsidRPr="00D050E9" w:rsidTr="00A720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6" w:type="dxa"/>
            <w:hideMark/>
          </w:tcPr>
          <w:p w:rsidR="00A720EA" w:rsidRPr="00D050E9" w:rsidRDefault="00A720EA" w:rsidP="00A720EA">
            <w:pPr>
              <w:spacing w:line="260" w:lineRule="atLeast"/>
              <w:jc w:val="center"/>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MKGP</w:t>
            </w:r>
          </w:p>
        </w:tc>
        <w:tc>
          <w:tcPr>
            <w:tcW w:w="4394" w:type="dxa"/>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hAnsiTheme="minorHAnsi"/>
                <w:sz w:val="18"/>
                <w:szCs w:val="18"/>
              </w:rPr>
              <w:t>Produktivne naložbe v ribogojstvo</w:t>
            </w:r>
          </w:p>
        </w:tc>
        <w:tc>
          <w:tcPr>
            <w:tcW w:w="1559" w:type="dxa"/>
            <w:hideMark/>
          </w:tcPr>
          <w:p w:rsidR="00A720EA" w:rsidRPr="00D050E9" w:rsidRDefault="00A720EA" w:rsidP="00A720EA">
            <w:pPr>
              <w:spacing w:line="260"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Subvencije</w:t>
            </w:r>
          </w:p>
        </w:tc>
        <w:tc>
          <w:tcPr>
            <w:tcW w:w="1701" w:type="dxa"/>
          </w:tcPr>
          <w:p w:rsidR="00A720EA" w:rsidRPr="00D050E9" w:rsidRDefault="00A720EA" w:rsidP="00A720EA">
            <w:pPr>
              <w:spacing w:line="260" w:lineRule="atLeast"/>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18"/>
                <w:szCs w:val="18"/>
                <w:lang w:eastAsia="sl-SI"/>
              </w:rPr>
            </w:pPr>
            <w:r w:rsidRPr="00D050E9">
              <w:rPr>
                <w:rFonts w:asciiTheme="minorHAnsi" w:eastAsia="Times New Roman" w:hAnsiTheme="minorHAnsi" w:cs="Arial"/>
                <w:b/>
                <w:sz w:val="18"/>
                <w:szCs w:val="18"/>
                <w:lang w:eastAsia="sl-SI"/>
              </w:rPr>
              <w:t>654.868,35</w:t>
            </w:r>
          </w:p>
        </w:tc>
      </w:tr>
    </w:tbl>
    <w:p w:rsidR="00A720EA" w:rsidRPr="00D050E9" w:rsidRDefault="00A720EA" w:rsidP="00A720EA">
      <w:pPr>
        <w:tabs>
          <w:tab w:val="left" w:pos="284"/>
        </w:tabs>
        <w:autoSpaceDE w:val="0"/>
        <w:autoSpaceDN w:val="0"/>
        <w:adjustRightInd w:val="0"/>
        <w:rPr>
          <w:rFonts w:asciiTheme="minorHAnsi" w:hAnsiTheme="minorHAnsi"/>
          <w:b/>
          <w:i/>
          <w:u w:val="single"/>
        </w:rPr>
      </w:pPr>
    </w:p>
    <w:p w:rsidR="00A720EA" w:rsidRPr="00D050E9" w:rsidRDefault="00A720EA" w:rsidP="00A720EA">
      <w:pPr>
        <w:pStyle w:val="BodyText2ZnakZnak"/>
        <w:spacing w:line="276" w:lineRule="auto"/>
        <w:jc w:val="both"/>
        <w:rPr>
          <w:rFonts w:asciiTheme="minorHAnsi" w:eastAsiaTheme="minorHAnsi" w:hAnsiTheme="minorHAnsi" w:cstheme="minorBidi"/>
          <w:b w:val="0"/>
          <w:bCs w:val="0"/>
          <w:color w:val="auto"/>
          <w:sz w:val="22"/>
          <w:szCs w:val="22"/>
        </w:rPr>
      </w:pPr>
      <w:r w:rsidRPr="00D050E9">
        <w:rPr>
          <w:rFonts w:asciiTheme="minorHAnsi" w:eastAsiaTheme="minorHAnsi" w:hAnsiTheme="minorHAnsi" w:cstheme="minorBidi"/>
          <w:b w:val="0"/>
          <w:bCs w:val="0"/>
          <w:color w:val="auto"/>
          <w:sz w:val="22"/>
          <w:szCs w:val="22"/>
        </w:rPr>
        <w:t xml:space="preserve">Pomoč so v letu 2016 prejeli 4 projekti v skupni višini 73.501,99 EUR. Naložbe v nove in posodobljene ribogojnice so prispevale k povečanju proizvodnje v ribogojnicah za 43 t/leto, kar ima pozitiven učinek na sektor ribištva in poslovanje posameznih upravičencev. </w:t>
      </w:r>
    </w:p>
    <w:p w:rsidR="00A720EA" w:rsidRPr="00D050E9" w:rsidRDefault="00A720EA" w:rsidP="00C75589">
      <w:pPr>
        <w:pStyle w:val="BodyText2ZnakZnak"/>
        <w:jc w:val="both"/>
        <w:rPr>
          <w:rFonts w:asciiTheme="minorHAnsi" w:eastAsiaTheme="minorHAnsi" w:hAnsiTheme="minorHAnsi"/>
          <w:sz w:val="22"/>
          <w:szCs w:val="22"/>
        </w:rPr>
      </w:pPr>
      <w:r w:rsidRPr="00D050E9">
        <w:rPr>
          <w:rFonts w:asciiTheme="minorHAnsi" w:eastAsiaTheme="minorHAnsi" w:hAnsiTheme="minorHAnsi" w:cstheme="minorBidi"/>
          <w:bCs w:val="0"/>
          <w:i/>
          <w:color w:val="auto"/>
          <w:sz w:val="22"/>
          <w:szCs w:val="22"/>
        </w:rPr>
        <w:t>Namen ukrepa je bil v letu 2016 v celoti dosežen.</w:t>
      </w:r>
    </w:p>
    <w:p w:rsidR="00A136EE" w:rsidRPr="00D050E9" w:rsidRDefault="00A136EE" w:rsidP="00255B42">
      <w:pPr>
        <w:spacing w:line="276" w:lineRule="auto"/>
        <w:rPr>
          <w:rFonts w:asciiTheme="minorHAnsi" w:hAnsiTheme="minorHAnsi"/>
          <w:color w:val="FF0000"/>
        </w:rPr>
      </w:pPr>
    </w:p>
    <w:p w:rsidR="003075A9" w:rsidRPr="00D050E9" w:rsidRDefault="003075A9" w:rsidP="00255B42">
      <w:pPr>
        <w:spacing w:line="276" w:lineRule="auto"/>
        <w:rPr>
          <w:rFonts w:asciiTheme="minorHAnsi" w:hAnsiTheme="minorHAnsi"/>
          <w:color w:val="FF0000"/>
        </w:rPr>
      </w:pPr>
      <w:r w:rsidRPr="00D050E9">
        <w:rPr>
          <w:rFonts w:asciiTheme="minorHAnsi" w:hAnsiTheme="minorHAnsi"/>
          <w:color w:val="FF0000"/>
        </w:rPr>
        <w:br w:type="page"/>
      </w:r>
    </w:p>
    <w:p w:rsidR="003075A9" w:rsidRPr="00D050E9" w:rsidRDefault="00A20CB5" w:rsidP="0098340B">
      <w:pPr>
        <w:pStyle w:val="Heading1"/>
      </w:pPr>
      <w:bookmarkStart w:id="196" w:name="_Toc530654580"/>
      <w:r w:rsidRPr="00D050E9">
        <w:t>PRILOGE</w:t>
      </w:r>
      <w:bookmarkEnd w:id="196"/>
    </w:p>
    <w:p w:rsidR="00A20CB5" w:rsidRPr="00D050E9" w:rsidRDefault="00A20CB5" w:rsidP="00A20CB5">
      <w:pPr>
        <w:pStyle w:val="Naslov1"/>
        <w:ind w:firstLine="0"/>
      </w:pPr>
    </w:p>
    <w:p w:rsidR="00A20CB5" w:rsidRPr="00D050E9" w:rsidRDefault="00A20CB5" w:rsidP="00D223C7">
      <w:pPr>
        <w:rPr>
          <w:rFonts w:asciiTheme="minorHAnsi" w:hAnsiTheme="minorHAnsi"/>
          <w:b/>
          <w:color w:val="1F497D" w:themeColor="text2"/>
        </w:rPr>
      </w:pPr>
      <w:r w:rsidRPr="00D050E9">
        <w:rPr>
          <w:rFonts w:asciiTheme="minorHAnsi" w:hAnsiTheme="minorHAnsi"/>
          <w:b/>
          <w:color w:val="1F497D" w:themeColor="text2"/>
        </w:rPr>
        <w:t>PRILOGA A: METODOLOŠKA POJASNILA</w:t>
      </w:r>
      <w:r w:rsidRPr="00D050E9">
        <w:rPr>
          <w:rFonts w:asciiTheme="minorHAnsi" w:hAnsiTheme="minorHAnsi"/>
          <w:b/>
          <w:bCs/>
          <w:color w:val="1F497D" w:themeColor="text2"/>
        </w:rPr>
        <w:t xml:space="preserve"> </w:t>
      </w:r>
      <w:r w:rsidRPr="00D050E9">
        <w:rPr>
          <w:rFonts w:asciiTheme="minorHAnsi" w:hAnsiTheme="minorHAnsi"/>
          <w:b/>
          <w:color w:val="1F497D" w:themeColor="text2"/>
        </w:rPr>
        <w:t>IN VIRI PODATKOV</w:t>
      </w:r>
    </w:p>
    <w:p w:rsidR="00D223C7" w:rsidRPr="00D050E9" w:rsidRDefault="00D223C7" w:rsidP="00D223C7">
      <w:pPr>
        <w:rPr>
          <w:rFonts w:asciiTheme="minorHAnsi" w:hAnsiTheme="minorHAnsi"/>
          <w:b/>
          <w:color w:val="1F497D" w:themeColor="text2"/>
        </w:rPr>
      </w:pPr>
      <w:r w:rsidRPr="00D050E9">
        <w:rPr>
          <w:rFonts w:asciiTheme="minorHAnsi" w:hAnsiTheme="minorHAnsi"/>
          <w:b/>
          <w:color w:val="1F497D" w:themeColor="text2"/>
        </w:rPr>
        <w:t>PRILOGA B</w:t>
      </w:r>
      <w:r w:rsidR="00D73686" w:rsidRPr="00D050E9">
        <w:rPr>
          <w:rFonts w:asciiTheme="minorHAnsi" w:hAnsiTheme="minorHAnsi"/>
          <w:b/>
          <w:color w:val="1F497D" w:themeColor="text2"/>
        </w:rPr>
        <w:t>: KLASIFIKACIJE IN METODOLOGIJA OCENJEVANJA DRŽAVNIH POMOČI</w:t>
      </w:r>
    </w:p>
    <w:p w:rsidR="00D223C7" w:rsidRPr="00D050E9" w:rsidRDefault="00D223C7" w:rsidP="00D223C7">
      <w:pPr>
        <w:rPr>
          <w:rFonts w:asciiTheme="minorHAnsi" w:hAnsiTheme="minorHAnsi"/>
          <w:b/>
          <w:color w:val="1F497D" w:themeColor="text2"/>
        </w:rPr>
      </w:pPr>
      <w:r w:rsidRPr="00D050E9">
        <w:rPr>
          <w:rFonts w:asciiTheme="minorHAnsi" w:hAnsiTheme="minorHAnsi"/>
          <w:b/>
          <w:color w:val="1F497D" w:themeColor="text2"/>
        </w:rPr>
        <w:t>PRILOGA C</w:t>
      </w:r>
      <w:r w:rsidR="00F459D9" w:rsidRPr="00D050E9">
        <w:rPr>
          <w:rFonts w:asciiTheme="minorHAnsi" w:hAnsiTheme="minorHAnsi"/>
          <w:b/>
          <w:color w:val="1F497D" w:themeColor="text2"/>
        </w:rPr>
        <w:t>: PODROBNEJŠI PODATKI O DRŽAVNIH POMOČEH V SLOVENIJI</w:t>
      </w:r>
    </w:p>
    <w:p w:rsidR="00D223C7" w:rsidRPr="00D050E9" w:rsidRDefault="00D223C7" w:rsidP="00D223C7">
      <w:pPr>
        <w:rPr>
          <w:rFonts w:asciiTheme="minorHAnsi" w:hAnsiTheme="minorHAnsi"/>
          <w:b/>
          <w:color w:val="1F497D" w:themeColor="text2"/>
        </w:rPr>
      </w:pPr>
      <w:r w:rsidRPr="00D050E9">
        <w:rPr>
          <w:rFonts w:asciiTheme="minorHAnsi" w:hAnsiTheme="minorHAnsi"/>
          <w:b/>
          <w:color w:val="1F497D" w:themeColor="text2"/>
        </w:rPr>
        <w:t>PRILOGA Č</w:t>
      </w:r>
      <w:r w:rsidR="00F459D9" w:rsidRPr="00D050E9">
        <w:rPr>
          <w:rFonts w:asciiTheme="minorHAnsi" w:hAnsiTheme="minorHAnsi"/>
          <w:b/>
          <w:color w:val="1F497D" w:themeColor="text2"/>
        </w:rPr>
        <w:t>: SHEME DRŽAVNIH POMOČI V OBDOBJU 2015–2017 PO PRIGLASITELJIH</w:t>
      </w:r>
    </w:p>
    <w:p w:rsidR="00A20CB5" w:rsidRPr="00D050E9" w:rsidRDefault="00A20CB5" w:rsidP="00A20CB5">
      <w:pPr>
        <w:pStyle w:val="Naslov1"/>
      </w:pPr>
    </w:p>
    <w:p w:rsidR="00A20CB5" w:rsidRPr="00D050E9" w:rsidRDefault="00A20CB5" w:rsidP="007C5EB0">
      <w:pPr>
        <w:spacing w:line="276" w:lineRule="auto"/>
        <w:rPr>
          <w:rFonts w:asciiTheme="minorHAnsi" w:hAnsiTheme="minorHAnsi"/>
          <w:b/>
          <w:color w:val="7030A0"/>
          <w:sz w:val="24"/>
        </w:rPr>
      </w:pPr>
      <w:bookmarkStart w:id="197" w:name="_Toc501099246"/>
    </w:p>
    <w:p w:rsidR="00A20CB5" w:rsidRPr="00D050E9" w:rsidRDefault="00A20CB5" w:rsidP="007C5EB0">
      <w:pPr>
        <w:spacing w:line="276" w:lineRule="auto"/>
        <w:rPr>
          <w:rFonts w:asciiTheme="minorHAnsi" w:hAnsiTheme="minorHAnsi"/>
          <w:b/>
          <w:color w:val="7030A0"/>
          <w:sz w:val="24"/>
        </w:rPr>
      </w:pPr>
    </w:p>
    <w:p w:rsidR="00A20CB5" w:rsidRPr="00D050E9" w:rsidRDefault="00A20CB5">
      <w:pPr>
        <w:spacing w:line="276" w:lineRule="auto"/>
        <w:jc w:val="left"/>
        <w:rPr>
          <w:rFonts w:asciiTheme="minorHAnsi" w:hAnsiTheme="minorHAnsi"/>
          <w:b/>
          <w:color w:val="7030A0"/>
          <w:sz w:val="24"/>
        </w:rPr>
      </w:pPr>
      <w:r w:rsidRPr="00D050E9">
        <w:rPr>
          <w:rFonts w:asciiTheme="minorHAnsi" w:hAnsiTheme="minorHAnsi"/>
          <w:b/>
          <w:color w:val="7030A0"/>
          <w:sz w:val="24"/>
        </w:rPr>
        <w:br w:type="page"/>
      </w:r>
    </w:p>
    <w:p w:rsidR="007C5EB0" w:rsidRPr="00D050E9" w:rsidRDefault="007C5EB0" w:rsidP="0098340B">
      <w:pPr>
        <w:pStyle w:val="Heading2"/>
      </w:pPr>
      <w:bookmarkStart w:id="198" w:name="_Toc530654581"/>
      <w:r w:rsidRPr="00D050E9">
        <w:t xml:space="preserve">PRILOGA A: </w:t>
      </w:r>
      <w:bookmarkStart w:id="199" w:name="_Toc471207215"/>
      <w:r w:rsidRPr="00D050E9">
        <w:t xml:space="preserve"> METODOLOŠKA POJASNILA IN VIRI PODATKOV</w:t>
      </w:r>
      <w:bookmarkEnd w:id="197"/>
      <w:bookmarkEnd w:id="198"/>
      <w:bookmarkEnd w:id="199"/>
      <w:r w:rsidRPr="00D050E9">
        <w:t xml:space="preserve"> </w:t>
      </w:r>
    </w:p>
    <w:p w:rsidR="007805F3" w:rsidRPr="00D050E9" w:rsidRDefault="007805F3" w:rsidP="007805F3">
      <w:pPr>
        <w:spacing w:after="0" w:line="276" w:lineRule="auto"/>
        <w:rPr>
          <w:rFonts w:asciiTheme="minorHAnsi" w:hAnsiTheme="minorHAnsi"/>
          <w:b/>
          <w:sz w:val="21"/>
          <w:szCs w:val="20"/>
        </w:rPr>
      </w:pPr>
      <w:bookmarkStart w:id="200" w:name="_Toc501099247"/>
    </w:p>
    <w:p w:rsidR="00A20CB5" w:rsidRPr="00D050E9" w:rsidRDefault="00A20CB5" w:rsidP="00A20CB5">
      <w:pPr>
        <w:spacing w:line="276" w:lineRule="auto"/>
        <w:rPr>
          <w:rFonts w:asciiTheme="minorHAnsi" w:hAnsiTheme="minorHAnsi"/>
          <w:b/>
          <w:sz w:val="21"/>
          <w:szCs w:val="20"/>
        </w:rPr>
      </w:pPr>
      <w:r w:rsidRPr="00D050E9">
        <w:rPr>
          <w:rFonts w:asciiTheme="minorHAnsi" w:hAnsiTheme="minorHAnsi"/>
          <w:b/>
          <w:sz w:val="21"/>
          <w:szCs w:val="20"/>
        </w:rPr>
        <w:t xml:space="preserve">ZAKONSKA UREDITEV PODROČJA DRŽAVNIH POMOČI </w:t>
      </w: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Pravila državnih pomoči so določena v različnih </w:t>
      </w:r>
      <w:r w:rsidRPr="00D050E9">
        <w:rPr>
          <w:rFonts w:asciiTheme="minorHAnsi" w:hAnsiTheme="minorHAnsi"/>
          <w:b/>
          <w:sz w:val="21"/>
          <w:szCs w:val="21"/>
        </w:rPr>
        <w:t>predpisih EU</w:t>
      </w:r>
      <w:r w:rsidRPr="00D050E9">
        <w:rPr>
          <w:rFonts w:asciiTheme="minorHAnsi" w:hAnsiTheme="minorHAnsi"/>
          <w:sz w:val="21"/>
          <w:szCs w:val="21"/>
        </w:rPr>
        <w:t xml:space="preserve"> in so zavezujoča za vse države članice</w:t>
      </w:r>
      <w:r w:rsidRPr="00D050E9">
        <w:rPr>
          <w:rStyle w:val="FootnoteReference"/>
          <w:rFonts w:asciiTheme="minorHAnsi" w:hAnsiTheme="minorHAnsi" w:cs="Arial"/>
          <w:sz w:val="21"/>
          <w:szCs w:val="21"/>
        </w:rPr>
        <w:footnoteReference w:id="34"/>
      </w:r>
      <w:r w:rsidRPr="00D050E9">
        <w:rPr>
          <w:rFonts w:asciiTheme="minorHAnsi" w:hAnsiTheme="minorHAnsi"/>
          <w:sz w:val="21"/>
          <w:szCs w:val="21"/>
        </w:rPr>
        <w:t xml:space="preserve">. </w:t>
      </w: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Na nacionalni ravni državne pomoči ureja </w:t>
      </w:r>
      <w:r w:rsidRPr="00D050E9">
        <w:rPr>
          <w:rFonts w:asciiTheme="minorHAnsi" w:hAnsiTheme="minorHAnsi"/>
          <w:b/>
          <w:sz w:val="21"/>
          <w:szCs w:val="21"/>
        </w:rPr>
        <w:t>Zakon o spremljanju državnih pomoči</w:t>
      </w:r>
      <w:r w:rsidRPr="00D050E9">
        <w:rPr>
          <w:rFonts w:asciiTheme="minorHAnsi" w:hAnsiTheme="minorHAnsi"/>
          <w:sz w:val="21"/>
          <w:szCs w:val="21"/>
        </w:rPr>
        <w:t xml:space="preserve"> (Ur. l. RS, </w:t>
      </w:r>
      <w:r w:rsidRPr="00D050E9">
        <w:rPr>
          <w:rFonts w:asciiTheme="minorHAnsi" w:hAnsiTheme="minorHAnsi"/>
          <w:sz w:val="21"/>
          <w:szCs w:val="21"/>
        </w:rPr>
        <w:br/>
        <w:t xml:space="preserve">št. 37/04), ki določa tudi pravila za nadzor nad dodeljevanjem teh pomoči.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Uredba o posredovanju podatkov in poročanju o dodeljenih državnih pomočeh in pomočeh po pravilu »de minimis«</w:t>
      </w:r>
      <w:r w:rsidRPr="00D050E9">
        <w:rPr>
          <w:rFonts w:asciiTheme="minorHAnsi" w:hAnsiTheme="minorHAnsi"/>
          <w:b/>
          <w:i/>
          <w:sz w:val="21"/>
          <w:szCs w:val="21"/>
        </w:rPr>
        <w:t xml:space="preserve"> </w:t>
      </w:r>
      <w:r w:rsidRPr="00D050E9">
        <w:rPr>
          <w:rFonts w:asciiTheme="minorHAnsi" w:hAnsiTheme="minorHAnsi"/>
          <w:sz w:val="21"/>
          <w:szCs w:val="21"/>
        </w:rPr>
        <w:t xml:space="preserve">(Ur. l. RS, št. 6/04, 22/07 in 50/14) podrobneje ureja način poročanja ter obseg in vrsto posredovanih podatkov o državnih pomočeh. </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Navodilo za merjenje učinkovitosti dodeljenih državnih pomoči</w:t>
      </w:r>
      <w:r w:rsidRPr="00D050E9">
        <w:rPr>
          <w:rFonts w:asciiTheme="minorHAnsi" w:hAnsiTheme="minorHAnsi"/>
          <w:sz w:val="21"/>
          <w:szCs w:val="21"/>
        </w:rPr>
        <w:t xml:space="preserve"> (Sklep Vlade RS št. 401-01/2004-1 z dne 4.3.2004)</w:t>
      </w:r>
      <w:r w:rsidRPr="00D050E9">
        <w:rPr>
          <w:rStyle w:val="FootnoteReference"/>
          <w:rFonts w:asciiTheme="minorHAnsi" w:hAnsiTheme="minorHAnsi"/>
          <w:sz w:val="21"/>
          <w:szCs w:val="21"/>
        </w:rPr>
        <w:footnoteReference w:id="35"/>
      </w:r>
      <w:r w:rsidRPr="00D050E9">
        <w:rPr>
          <w:rFonts w:asciiTheme="minorHAnsi" w:hAnsiTheme="minorHAnsi"/>
          <w:sz w:val="21"/>
          <w:szCs w:val="21"/>
        </w:rPr>
        <w:t xml:space="preserve"> določa osnove in postopke za ugotavljanje učinkovitosti dodeljenih državnih pomoči kot podlago za oceno uspešnosti izvajanja shem državnih pomoči in individualnih državnih pomoči.</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 xml:space="preserve">Ministrstvo za finance, Sektor za spremljanje državnih pomoči (v nadaljevanju SSDP), </w:t>
      </w:r>
      <w:r w:rsidRPr="00D050E9">
        <w:rPr>
          <w:rFonts w:asciiTheme="minorHAnsi" w:hAnsiTheme="minorHAnsi"/>
          <w:sz w:val="21"/>
          <w:szCs w:val="21"/>
        </w:rPr>
        <w:t xml:space="preserve">izvaja, skladno z nacionalno zakonodajo, naslednje naloge: </w:t>
      </w:r>
    </w:p>
    <w:p w:rsidR="00A20CB5" w:rsidRPr="00D050E9" w:rsidRDefault="00A20CB5" w:rsidP="00C93FA7">
      <w:pPr>
        <w:pStyle w:val="ListParagraph"/>
        <w:numPr>
          <w:ilvl w:val="0"/>
          <w:numId w:val="6"/>
        </w:numPr>
        <w:spacing w:after="0" w:line="276" w:lineRule="auto"/>
        <w:rPr>
          <w:rFonts w:asciiTheme="minorHAnsi" w:hAnsiTheme="minorHAnsi"/>
          <w:sz w:val="21"/>
          <w:szCs w:val="21"/>
        </w:rPr>
      </w:pPr>
      <w:r w:rsidRPr="00D050E9">
        <w:rPr>
          <w:rFonts w:asciiTheme="minorHAnsi" w:hAnsiTheme="minorHAnsi"/>
          <w:sz w:val="21"/>
          <w:szCs w:val="21"/>
        </w:rPr>
        <w:t xml:space="preserve">obravnava, ocenjuje in daje zavezujoče mnenje za državne pomoči, ki pomenijo skupinsko izjemo in za pomoči po pravilu </w:t>
      </w:r>
      <w:r w:rsidRPr="00D050E9">
        <w:rPr>
          <w:rFonts w:asciiTheme="minorHAnsi" w:hAnsiTheme="minorHAnsi"/>
          <w:i/>
          <w:sz w:val="21"/>
          <w:szCs w:val="21"/>
        </w:rPr>
        <w:t>de minimis</w:t>
      </w:r>
      <w:r w:rsidRPr="00D050E9">
        <w:rPr>
          <w:rFonts w:asciiTheme="minorHAnsi" w:hAnsiTheme="minorHAnsi"/>
          <w:sz w:val="21"/>
          <w:szCs w:val="21"/>
        </w:rPr>
        <w:t xml:space="preserve">, </w:t>
      </w:r>
    </w:p>
    <w:p w:rsidR="00A20CB5" w:rsidRPr="00D050E9" w:rsidRDefault="00A20CB5" w:rsidP="00C93FA7">
      <w:pPr>
        <w:pStyle w:val="ListParagraph"/>
        <w:numPr>
          <w:ilvl w:val="0"/>
          <w:numId w:val="6"/>
        </w:numPr>
        <w:spacing w:after="0" w:line="276" w:lineRule="auto"/>
        <w:rPr>
          <w:rFonts w:asciiTheme="minorHAnsi" w:hAnsiTheme="minorHAnsi"/>
          <w:sz w:val="21"/>
          <w:szCs w:val="21"/>
        </w:rPr>
      </w:pPr>
      <w:r w:rsidRPr="00D050E9">
        <w:rPr>
          <w:rFonts w:asciiTheme="minorHAnsi" w:hAnsiTheme="minorHAnsi"/>
          <w:sz w:val="21"/>
          <w:szCs w:val="21"/>
        </w:rPr>
        <w:t>obravnava, ocenjuje in posreduje priglasitev državnih pomoči Evropski komisiji,</w:t>
      </w:r>
    </w:p>
    <w:p w:rsidR="00A20CB5" w:rsidRPr="00D050E9" w:rsidRDefault="00A20CB5" w:rsidP="00C93FA7">
      <w:pPr>
        <w:pStyle w:val="ListParagraph"/>
        <w:numPr>
          <w:ilvl w:val="0"/>
          <w:numId w:val="6"/>
        </w:numPr>
        <w:spacing w:after="0" w:line="276" w:lineRule="auto"/>
        <w:rPr>
          <w:rFonts w:asciiTheme="minorHAnsi" w:hAnsiTheme="minorHAnsi"/>
          <w:sz w:val="21"/>
          <w:szCs w:val="21"/>
        </w:rPr>
      </w:pPr>
      <w:r w:rsidRPr="00D050E9">
        <w:rPr>
          <w:rFonts w:asciiTheme="minorHAnsi" w:hAnsiTheme="minorHAnsi"/>
          <w:sz w:val="21"/>
          <w:szCs w:val="21"/>
        </w:rPr>
        <w:t xml:space="preserve">zbira, obdeluje in spremlja podatke o državnih pomočeh in o pomočeh, dodeljenih po pravilu </w:t>
      </w:r>
      <w:r w:rsidRPr="00D050E9">
        <w:rPr>
          <w:rFonts w:asciiTheme="minorHAnsi" w:hAnsiTheme="minorHAnsi"/>
          <w:i/>
          <w:sz w:val="21"/>
          <w:szCs w:val="21"/>
        </w:rPr>
        <w:t>de  minimis</w:t>
      </w:r>
      <w:r w:rsidRPr="00D050E9">
        <w:rPr>
          <w:rFonts w:asciiTheme="minorHAnsi" w:hAnsiTheme="minorHAnsi"/>
          <w:sz w:val="21"/>
          <w:szCs w:val="21"/>
        </w:rPr>
        <w:t xml:space="preserve">, ter vodi evidence o teh podatkih, </w:t>
      </w:r>
    </w:p>
    <w:p w:rsidR="00A20CB5" w:rsidRPr="00D050E9" w:rsidRDefault="00A20CB5" w:rsidP="00C93FA7">
      <w:pPr>
        <w:pStyle w:val="ListParagraph"/>
        <w:numPr>
          <w:ilvl w:val="0"/>
          <w:numId w:val="6"/>
        </w:numPr>
        <w:spacing w:after="0" w:line="276" w:lineRule="auto"/>
        <w:rPr>
          <w:rFonts w:asciiTheme="minorHAnsi" w:hAnsiTheme="minorHAnsi"/>
          <w:sz w:val="21"/>
          <w:szCs w:val="21"/>
        </w:rPr>
      </w:pPr>
      <w:r w:rsidRPr="00D050E9">
        <w:rPr>
          <w:rFonts w:asciiTheme="minorHAnsi" w:hAnsiTheme="minorHAnsi"/>
          <w:sz w:val="21"/>
          <w:szCs w:val="21"/>
        </w:rPr>
        <w:t xml:space="preserve">pripravi letno poročilo, </w:t>
      </w:r>
    </w:p>
    <w:p w:rsidR="00A20CB5" w:rsidRPr="00D050E9" w:rsidRDefault="00A20CB5" w:rsidP="00C93FA7">
      <w:pPr>
        <w:pStyle w:val="ListParagraph"/>
        <w:numPr>
          <w:ilvl w:val="0"/>
          <w:numId w:val="6"/>
        </w:numPr>
        <w:spacing w:after="0" w:line="276" w:lineRule="auto"/>
        <w:rPr>
          <w:rFonts w:asciiTheme="minorHAnsi" w:hAnsiTheme="minorHAnsi"/>
          <w:sz w:val="21"/>
          <w:szCs w:val="21"/>
        </w:rPr>
      </w:pPr>
      <w:r w:rsidRPr="00D050E9">
        <w:rPr>
          <w:rFonts w:asciiTheme="minorHAnsi" w:hAnsiTheme="minorHAnsi"/>
          <w:sz w:val="21"/>
          <w:szCs w:val="21"/>
        </w:rPr>
        <w:t>svetuje upravljavcem državnih pomoči.</w:t>
      </w:r>
    </w:p>
    <w:p w:rsidR="00A20CB5" w:rsidRPr="00D050E9" w:rsidRDefault="00A20CB5" w:rsidP="000309D7">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Nacionalna pravila določajo, da </w:t>
      </w:r>
      <w:r w:rsidRPr="00D050E9">
        <w:rPr>
          <w:rFonts w:asciiTheme="minorHAnsi" w:hAnsiTheme="minorHAnsi"/>
          <w:b/>
          <w:sz w:val="21"/>
          <w:szCs w:val="21"/>
        </w:rPr>
        <w:t>dajalci pomoči</w:t>
      </w:r>
      <w:r w:rsidRPr="00D050E9">
        <w:rPr>
          <w:rFonts w:asciiTheme="minorHAnsi" w:hAnsiTheme="minorHAnsi"/>
          <w:sz w:val="21"/>
          <w:szCs w:val="21"/>
        </w:rPr>
        <w:t xml:space="preserve"> (ministrstva, občine, javni </w:t>
      </w:r>
      <w:r w:rsidR="006041D4">
        <w:rPr>
          <w:rFonts w:asciiTheme="minorHAnsi" w:hAnsiTheme="minorHAnsi"/>
          <w:sz w:val="21"/>
          <w:szCs w:val="21"/>
        </w:rPr>
        <w:t xml:space="preserve">zavodi, </w:t>
      </w:r>
      <w:r w:rsidRPr="00D050E9">
        <w:rPr>
          <w:rFonts w:asciiTheme="minorHAnsi" w:hAnsiTheme="minorHAnsi"/>
          <w:sz w:val="21"/>
          <w:szCs w:val="21"/>
        </w:rPr>
        <w:t>skladi</w:t>
      </w:r>
      <w:r w:rsidR="006041D4">
        <w:rPr>
          <w:rFonts w:asciiTheme="minorHAnsi" w:hAnsiTheme="minorHAnsi"/>
          <w:sz w:val="21"/>
          <w:szCs w:val="21"/>
        </w:rPr>
        <w:t>, agencije</w:t>
      </w:r>
      <w:r w:rsidRPr="00D050E9">
        <w:rPr>
          <w:rFonts w:asciiTheme="minorHAnsi" w:hAnsiTheme="minorHAnsi"/>
          <w:sz w:val="21"/>
          <w:szCs w:val="21"/>
        </w:rPr>
        <w:t xml:space="preserve"> idr.) ukrepe pomoči predhodno </w:t>
      </w:r>
      <w:r w:rsidRPr="00D050E9">
        <w:rPr>
          <w:rFonts w:asciiTheme="minorHAnsi" w:hAnsiTheme="minorHAnsi"/>
          <w:b/>
          <w:i/>
          <w:sz w:val="21"/>
          <w:szCs w:val="21"/>
        </w:rPr>
        <w:t>priglasijo</w:t>
      </w:r>
      <w:r w:rsidRPr="00D050E9">
        <w:rPr>
          <w:rFonts w:asciiTheme="minorHAnsi" w:hAnsiTheme="minorHAnsi"/>
          <w:sz w:val="21"/>
          <w:szCs w:val="21"/>
        </w:rPr>
        <w:t xml:space="preserve"> SSDP, ki izda mnenje o njihovi skladnosti s pravili državnih pomoči (po Uredbi o skupinskih izjemah ali po Uredbi o pomoči </w:t>
      </w:r>
      <w:r w:rsidRPr="00D050E9">
        <w:rPr>
          <w:rFonts w:asciiTheme="minorHAnsi" w:hAnsiTheme="minorHAnsi"/>
          <w:i/>
          <w:sz w:val="21"/>
          <w:szCs w:val="21"/>
        </w:rPr>
        <w:t>de minimis</w:t>
      </w:r>
      <w:r w:rsidRPr="00D050E9">
        <w:rPr>
          <w:rFonts w:asciiTheme="minorHAnsi" w:hAnsiTheme="minorHAnsi"/>
          <w:sz w:val="21"/>
          <w:szCs w:val="21"/>
        </w:rPr>
        <w:t xml:space="preserve">). Dajalci so o dodeljenih pomočeh dolžni </w:t>
      </w:r>
      <w:r w:rsidRPr="00D050E9">
        <w:rPr>
          <w:rFonts w:asciiTheme="minorHAnsi" w:hAnsiTheme="minorHAnsi"/>
          <w:b/>
          <w:i/>
          <w:sz w:val="21"/>
          <w:szCs w:val="21"/>
        </w:rPr>
        <w:t>poročati</w:t>
      </w:r>
      <w:r w:rsidRPr="00D050E9">
        <w:rPr>
          <w:rFonts w:asciiTheme="minorHAnsi" w:hAnsiTheme="minorHAnsi"/>
          <w:sz w:val="21"/>
          <w:szCs w:val="21"/>
        </w:rPr>
        <w:t xml:space="preserve"> SSDP skladno z omenjeno Uredbo o posredovanju podatkov in poročanju o dodeljenih državnih pomočeh in pomočeh po pravilu </w:t>
      </w:r>
      <w:r w:rsidRPr="00D050E9">
        <w:rPr>
          <w:rFonts w:asciiTheme="minorHAnsi" w:hAnsiTheme="minorHAnsi"/>
          <w:i/>
          <w:sz w:val="21"/>
          <w:szCs w:val="21"/>
        </w:rPr>
        <w:t>de minimis</w:t>
      </w:r>
      <w:r w:rsidRPr="00D050E9">
        <w:rPr>
          <w:rFonts w:asciiTheme="minorHAnsi" w:hAnsiTheme="minorHAnsi"/>
          <w:sz w:val="21"/>
          <w:szCs w:val="21"/>
        </w:rPr>
        <w:t xml:space="preserve">. Ministrstvo za finance te podatke zbira in obdela. Od leta 1998 dalje je vzpostavljena celovita baza podatkov o dodeljenih državnih pomočeh, ki vsebuje seznam vseh priglasitev z natančnimi podatki o dodeljenih pomočeh po posameznih prejemnikih pomoči in dajalcih pomoči, po kategorijah in namenih pomoči in glede na instrument pomoči.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b/>
          <w:sz w:val="21"/>
          <w:szCs w:val="21"/>
        </w:rPr>
      </w:pPr>
      <w:r w:rsidRPr="00D050E9">
        <w:rPr>
          <w:rFonts w:asciiTheme="minorHAnsi" w:hAnsiTheme="minorHAnsi"/>
          <w:b/>
          <w:sz w:val="21"/>
          <w:szCs w:val="21"/>
        </w:rPr>
        <w:t>DEFINICIJE</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cs="Arial"/>
          <w:sz w:val="21"/>
          <w:szCs w:val="21"/>
        </w:rPr>
      </w:pPr>
      <w:r w:rsidRPr="00D050E9">
        <w:rPr>
          <w:rFonts w:asciiTheme="minorHAnsi" w:hAnsiTheme="minorHAnsi" w:cs="Arial"/>
          <w:b/>
          <w:sz w:val="21"/>
          <w:szCs w:val="21"/>
        </w:rPr>
        <w:t>Državne pomoči</w:t>
      </w:r>
      <w:r w:rsidRPr="00D050E9">
        <w:rPr>
          <w:rFonts w:asciiTheme="minorHAnsi" w:hAnsiTheme="minorHAnsi" w:cs="Arial"/>
          <w:sz w:val="21"/>
          <w:szCs w:val="21"/>
        </w:rPr>
        <w:t xml:space="preserve"> so </w:t>
      </w:r>
      <w:r w:rsidRPr="00D050E9">
        <w:rPr>
          <w:rFonts w:asciiTheme="minorHAnsi" w:hAnsiTheme="minorHAnsi" w:cs="Arial"/>
          <w:b/>
          <w:sz w:val="21"/>
          <w:szCs w:val="21"/>
        </w:rPr>
        <w:t xml:space="preserve">javna sredstva </w:t>
      </w:r>
      <w:r w:rsidRPr="00D050E9">
        <w:rPr>
          <w:rFonts w:asciiTheme="minorHAnsi" w:hAnsiTheme="minorHAnsi" w:cs="Arial"/>
          <w:sz w:val="21"/>
          <w:szCs w:val="21"/>
        </w:rPr>
        <w:t xml:space="preserve">(javnofinančni </w:t>
      </w:r>
      <w:r w:rsidRPr="00D050E9">
        <w:rPr>
          <w:rFonts w:asciiTheme="minorHAnsi" w:hAnsiTheme="minorHAnsi"/>
          <w:sz w:val="21"/>
          <w:szCs w:val="21"/>
        </w:rPr>
        <w:t>izdatki in/ali zmanjšani javno finančni prihodki)</w:t>
      </w:r>
      <w:r w:rsidRPr="00D050E9">
        <w:rPr>
          <w:rFonts w:asciiTheme="minorHAnsi" w:hAnsiTheme="minorHAnsi" w:cs="Arial"/>
          <w:sz w:val="21"/>
          <w:szCs w:val="21"/>
        </w:rPr>
        <w:t xml:space="preserve">, ki so </w:t>
      </w:r>
      <w:r w:rsidRPr="00D050E9">
        <w:rPr>
          <w:rFonts w:asciiTheme="minorHAnsi" w:hAnsiTheme="minorHAnsi" w:cs="Arial"/>
          <w:b/>
          <w:sz w:val="21"/>
          <w:szCs w:val="21"/>
        </w:rPr>
        <w:t>selektivno</w:t>
      </w:r>
      <w:r w:rsidRPr="00D050E9">
        <w:rPr>
          <w:rFonts w:asciiTheme="minorHAnsi" w:hAnsiTheme="minorHAnsi" w:cs="Arial"/>
          <w:sz w:val="21"/>
          <w:szCs w:val="21"/>
        </w:rPr>
        <w:t xml:space="preserve"> dodeljena subjektom, ki opravljajo </w:t>
      </w:r>
      <w:r w:rsidRPr="00D050E9">
        <w:rPr>
          <w:rFonts w:asciiTheme="minorHAnsi" w:hAnsiTheme="minorHAnsi" w:cs="Arial"/>
          <w:b/>
          <w:sz w:val="21"/>
          <w:szCs w:val="21"/>
        </w:rPr>
        <w:t>gospodarsko dejavnost</w:t>
      </w:r>
      <w:r w:rsidRPr="00D050E9">
        <w:rPr>
          <w:rFonts w:asciiTheme="minorHAnsi" w:hAnsiTheme="minorHAnsi" w:cs="Arial"/>
          <w:sz w:val="21"/>
          <w:szCs w:val="21"/>
        </w:rPr>
        <w:t xml:space="preserve"> in ki tem subjektom dajejo konkurenčno prednost, ki je pod običajnimi tržnimi pogoji ne bi dosegli. I</w:t>
      </w:r>
      <w:r w:rsidRPr="00D050E9">
        <w:rPr>
          <w:rFonts w:asciiTheme="minorHAnsi" w:hAnsiTheme="minorHAnsi"/>
          <w:sz w:val="21"/>
          <w:szCs w:val="21"/>
        </w:rPr>
        <w:t>nstitut državnih pomoči je opredeljen v 107. členu Pogodbe o delovanju Evropske skupnost</w:t>
      </w:r>
      <w:r w:rsidRPr="00D050E9">
        <w:rPr>
          <w:rFonts w:asciiTheme="minorHAnsi" w:hAnsiTheme="minorHAnsi"/>
          <w:bCs/>
          <w:sz w:val="21"/>
          <w:szCs w:val="21"/>
        </w:rPr>
        <w:t>i.</w:t>
      </w:r>
      <w:r w:rsidRPr="00D050E9">
        <w:rPr>
          <w:rFonts w:asciiTheme="minorHAnsi" w:hAnsiTheme="minorHAnsi"/>
          <w:bCs/>
          <w:i/>
          <w:sz w:val="21"/>
          <w:szCs w:val="21"/>
        </w:rPr>
        <w:t xml:space="preserve"> </w:t>
      </w:r>
      <w:r w:rsidRPr="00D050E9">
        <w:rPr>
          <w:rFonts w:asciiTheme="minorHAnsi" w:hAnsiTheme="minorHAnsi" w:cs="Arial"/>
          <w:sz w:val="21"/>
          <w:szCs w:val="21"/>
        </w:rPr>
        <w:t xml:space="preserve">Državne pomoči posegajo v prosto delovanje trga, zato so po pravilih EU na splošno prepovedane in se lahko dodelijo le izjemoma, ob strogem upoštevanju pravil EU na področju državnih pomoči. </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 xml:space="preserve">Priglasitelj </w:t>
      </w:r>
      <w:r w:rsidRPr="00D050E9">
        <w:rPr>
          <w:rFonts w:asciiTheme="minorHAnsi" w:hAnsiTheme="minorHAnsi"/>
          <w:sz w:val="21"/>
          <w:szCs w:val="21"/>
        </w:rPr>
        <w:t xml:space="preserve">(upravljavec) državne pomoči je resorno pristojen organ, ki pripravi vsebino sheme pomoči in jo priglasi ter skrbi za njeno pravilno izvajanje in poročanje. </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Dajalci</w:t>
      </w:r>
      <w:r w:rsidRPr="00D050E9">
        <w:rPr>
          <w:rFonts w:asciiTheme="minorHAnsi" w:hAnsiTheme="minorHAnsi"/>
          <w:sz w:val="21"/>
          <w:szCs w:val="21"/>
        </w:rPr>
        <w:t xml:space="preserve"> državnih pomoči so lahko vse institucionalne enote, ki so v skladu s statističnimi predpisi opredeljene v sektorju država in ki dodeljujejo javna sredstva (ministrstva, občine, javni skladi, javne agencije in drugi javni organi, ki dodeljujejo javna sredstva).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bCs/>
          <w:iCs/>
          <w:sz w:val="21"/>
          <w:szCs w:val="21"/>
        </w:rPr>
        <w:t>Prejemniki</w:t>
      </w:r>
      <w:r w:rsidRPr="00D050E9">
        <w:rPr>
          <w:rFonts w:asciiTheme="minorHAnsi" w:hAnsiTheme="minorHAnsi"/>
          <w:b/>
          <w:sz w:val="21"/>
          <w:szCs w:val="21"/>
        </w:rPr>
        <w:t xml:space="preserve"> državnih pomoči</w:t>
      </w:r>
      <w:r w:rsidRPr="00D050E9">
        <w:rPr>
          <w:rFonts w:asciiTheme="minorHAnsi" w:hAnsiTheme="minorHAnsi"/>
          <w:sz w:val="21"/>
          <w:szCs w:val="21"/>
        </w:rPr>
        <w:t xml:space="preserve"> so pravne in fizične osebe, ki opravljajo gospodarsko dejavnost (proizvodnjo ali dobavo blaga in izvajanje storitev na trgu), ne glede na njihov pravni status (osebe javnega ali zasebnega prava), načina financiranja in donosnost njihove dejavnosti. Prejemniki državne pomoči so lahko: gospodarske družbe, samostojni podjetniki, kmetje, zavodi, ustanove, društva, skladi, javni skladi, javne agencije, javna podjetja, podjetja v večinski lasti države, regionalne razvoje agencije, muzeji, kulturne in turistične organizacije, neprofitni subjekti, dobrodelne ustanove in drugi.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Državna pomoč je dodeljena </w:t>
      </w:r>
      <w:r w:rsidRPr="00D050E9">
        <w:rPr>
          <w:rFonts w:asciiTheme="minorHAnsi" w:hAnsiTheme="minorHAnsi"/>
          <w:b/>
          <w:sz w:val="21"/>
          <w:szCs w:val="21"/>
        </w:rPr>
        <w:t xml:space="preserve">iz različnih javnih </w:t>
      </w:r>
      <w:r w:rsidRPr="00D050E9">
        <w:rPr>
          <w:rFonts w:asciiTheme="minorHAnsi" w:hAnsiTheme="minorHAnsi"/>
          <w:b/>
          <w:bCs/>
          <w:iCs/>
          <w:sz w:val="21"/>
          <w:szCs w:val="21"/>
        </w:rPr>
        <w:t>virov</w:t>
      </w:r>
      <w:r w:rsidRPr="00D050E9">
        <w:rPr>
          <w:rFonts w:asciiTheme="minorHAnsi" w:hAnsiTheme="minorHAnsi"/>
          <w:bCs/>
          <w:iCs/>
          <w:sz w:val="21"/>
          <w:szCs w:val="21"/>
        </w:rPr>
        <w:t>,</w:t>
      </w:r>
      <w:r w:rsidRPr="00D050E9">
        <w:rPr>
          <w:rFonts w:asciiTheme="minorHAnsi" w:hAnsiTheme="minorHAnsi"/>
          <w:bCs/>
          <w:i/>
          <w:iCs/>
          <w:sz w:val="21"/>
          <w:szCs w:val="21"/>
        </w:rPr>
        <w:t xml:space="preserve"> </w:t>
      </w:r>
      <w:r w:rsidRPr="00D050E9">
        <w:rPr>
          <w:rFonts w:asciiTheme="minorHAnsi" w:hAnsiTheme="minorHAnsi"/>
          <w:bCs/>
          <w:iCs/>
          <w:sz w:val="21"/>
          <w:szCs w:val="21"/>
        </w:rPr>
        <w:t xml:space="preserve">tako nacionalnih kot tujih (npr. sredstva evropske kohezijske politike). Dodeljujejo se lahko z uporabo </w:t>
      </w:r>
      <w:r w:rsidRPr="00D050E9">
        <w:rPr>
          <w:rFonts w:asciiTheme="minorHAnsi" w:hAnsiTheme="minorHAnsi"/>
          <w:b/>
          <w:sz w:val="21"/>
          <w:szCs w:val="21"/>
        </w:rPr>
        <w:t>različnih instrumentov</w:t>
      </w:r>
      <w:r w:rsidRPr="00D050E9">
        <w:rPr>
          <w:rFonts w:asciiTheme="minorHAnsi" w:hAnsiTheme="minorHAnsi"/>
          <w:sz w:val="21"/>
          <w:szCs w:val="21"/>
        </w:rPr>
        <w:t xml:space="preserve">, na primer subvencije, ugodna posojila, garancije. Državne pomoči se lahko dodeljujejo </w:t>
      </w:r>
      <w:r w:rsidRPr="00D050E9">
        <w:rPr>
          <w:rFonts w:asciiTheme="minorHAnsi" w:hAnsiTheme="minorHAnsi"/>
          <w:b/>
          <w:sz w:val="21"/>
          <w:szCs w:val="21"/>
        </w:rPr>
        <w:t>za različne cilje in namene</w:t>
      </w:r>
      <w:r w:rsidRPr="00D050E9">
        <w:rPr>
          <w:rFonts w:asciiTheme="minorHAnsi" w:hAnsiTheme="minorHAnsi"/>
          <w:sz w:val="21"/>
          <w:szCs w:val="21"/>
        </w:rPr>
        <w:t xml:space="preserve"> (kategorije). Lahko zasledujejo splošne horizontalne cilje (npr. spodbujanje raziskav in razvoja) ali pa so namenjene samo določenemu sektorju gospodarstva (npr. pomoč za zapiranje rudnikov, nadomestilo za izvajanje javne gospodarske službe železniškega potniškega prometa).  Podrobnejša opredelitev kategorij in instrumentov pomoči je </w:t>
      </w:r>
      <w:r w:rsidRPr="00D050E9">
        <w:rPr>
          <w:rFonts w:asciiTheme="minorHAnsi" w:hAnsiTheme="minorHAnsi"/>
          <w:i/>
          <w:sz w:val="21"/>
          <w:szCs w:val="21"/>
        </w:rPr>
        <w:t>v Prilogi 1</w:t>
      </w:r>
      <w:r w:rsidRPr="00D050E9">
        <w:rPr>
          <w:rFonts w:asciiTheme="minorHAnsi" w:hAnsiTheme="minorHAnsi"/>
          <w:sz w:val="21"/>
          <w:szCs w:val="21"/>
        </w:rPr>
        <w:t>.</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 xml:space="preserve">Pomoči po pravilu </w:t>
      </w:r>
      <w:r w:rsidRPr="00D050E9">
        <w:rPr>
          <w:rFonts w:asciiTheme="minorHAnsi" w:hAnsiTheme="minorHAnsi"/>
          <w:b/>
          <w:i/>
          <w:sz w:val="21"/>
          <w:szCs w:val="21"/>
        </w:rPr>
        <w:t xml:space="preserve">de minimis </w:t>
      </w:r>
      <w:r w:rsidRPr="00D050E9">
        <w:rPr>
          <w:rFonts w:asciiTheme="minorHAnsi" w:hAnsiTheme="minorHAnsi"/>
          <w:sz w:val="21"/>
          <w:szCs w:val="21"/>
        </w:rPr>
        <w:t>so pomoči, ki zaradi svoje višine ne izkrivljajo ali ogrožajo konkurence in ne predstavljajo državne pomoči, opredeljene v 107. členu Pogodbe o delovanju Evropske skupnosti. To pomoč opredeljuje Uredba Komisije (EU) št. 1407/2013 z dne 18. decembra 2013, ki med drugimi opredelitvami določa zgornjo dovoljeno mejo pomoči na 200.000 EUR v zadnjih treh proračunskih letih.</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b/>
          <w:sz w:val="21"/>
          <w:szCs w:val="21"/>
        </w:rPr>
      </w:pPr>
      <w:r w:rsidRPr="00D050E9">
        <w:rPr>
          <w:rFonts w:asciiTheme="minorHAnsi" w:hAnsiTheme="minorHAnsi"/>
          <w:b/>
          <w:sz w:val="21"/>
          <w:szCs w:val="21"/>
        </w:rPr>
        <w:t xml:space="preserve">PRIKAZ IN VIRI PODATKOV </w:t>
      </w:r>
    </w:p>
    <w:p w:rsidR="00A20CB5" w:rsidRPr="00D050E9" w:rsidRDefault="00A20CB5" w:rsidP="000309D7">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V Poročilu so zajeti podatki o dodeljenih državnih pomočeh v Republiki Sloveniji (bodisi iz nacionalnih sredstev bodisi tujih javnih sredstev), ki so jih dodelili in o njih poročali javni organi v RS. Zajeta so le tista javna sredstva, ki skladno s 107. členom PDEU</w:t>
      </w:r>
      <w:r w:rsidRPr="00D050E9">
        <w:rPr>
          <w:rFonts w:asciiTheme="minorHAnsi" w:hAnsiTheme="minorHAnsi"/>
          <w:b/>
          <w:bCs/>
          <w:sz w:val="21"/>
          <w:szCs w:val="21"/>
        </w:rPr>
        <w:t xml:space="preserve"> </w:t>
      </w:r>
      <w:r w:rsidRPr="00D050E9">
        <w:rPr>
          <w:rFonts w:asciiTheme="minorHAnsi" w:hAnsiTheme="minorHAnsi"/>
          <w:sz w:val="21"/>
          <w:szCs w:val="21"/>
        </w:rPr>
        <w:t xml:space="preserve">predstavljajo državno pomoč. </w:t>
      </w:r>
    </w:p>
    <w:p w:rsidR="00A20CB5" w:rsidRPr="00D050E9" w:rsidRDefault="00A20CB5" w:rsidP="000309D7">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Državne pomoči lahko skladno z metodologijo, ki jo pri letnem poročanju uporablja tudi EU, razdelimo v štiri skupine. </w:t>
      </w:r>
      <w:r w:rsidRPr="00D050E9">
        <w:rPr>
          <w:rFonts w:asciiTheme="minorHAnsi" w:hAnsiTheme="minorHAnsi"/>
          <w:b/>
          <w:sz w:val="21"/>
          <w:szCs w:val="21"/>
        </w:rPr>
        <w:t>Horizontalne pomoči</w:t>
      </w:r>
      <w:r w:rsidRPr="00D050E9">
        <w:rPr>
          <w:rFonts w:asciiTheme="minorHAnsi" w:hAnsiTheme="minorHAnsi"/>
          <w:sz w:val="21"/>
          <w:szCs w:val="21"/>
        </w:rPr>
        <w:t xml:space="preserve"> (spodbude) so namenjene odpravljanju težav in tržnih nepopolnosti, ki se lahko pojavijo v vsakem sektorju gospodarstva. To so npr. pomoči, namenjene </w:t>
      </w:r>
      <w:r w:rsidRPr="00D050E9">
        <w:rPr>
          <w:rFonts w:asciiTheme="minorHAnsi" w:hAnsiTheme="minorHAnsi"/>
          <w:i/>
          <w:sz w:val="21"/>
          <w:szCs w:val="21"/>
        </w:rPr>
        <w:t>spodbujanju</w:t>
      </w:r>
      <w:r w:rsidRPr="00D050E9">
        <w:rPr>
          <w:rFonts w:asciiTheme="minorHAnsi" w:hAnsiTheme="minorHAnsi"/>
          <w:sz w:val="21"/>
          <w:szCs w:val="21"/>
        </w:rPr>
        <w:t xml:space="preserve"> investicij v majhnih in srednje velikih podjetjih, </w:t>
      </w:r>
      <w:r w:rsidRPr="00D050E9">
        <w:rPr>
          <w:rFonts w:asciiTheme="minorHAnsi" w:hAnsiTheme="minorHAnsi"/>
          <w:i/>
          <w:sz w:val="21"/>
          <w:szCs w:val="21"/>
        </w:rPr>
        <w:t>spodbujanju</w:t>
      </w:r>
      <w:r w:rsidRPr="00D050E9">
        <w:rPr>
          <w:rFonts w:asciiTheme="minorHAnsi" w:hAnsiTheme="minorHAnsi"/>
          <w:sz w:val="21"/>
          <w:szCs w:val="21"/>
        </w:rPr>
        <w:t xml:space="preserve"> zaposlovanja prikrajšanih delavcev in invalidnih oseb, za raziskave, razvoj in inovacije. Te pomoči ustvarjajo koristi, ki so praviloma večje od škode zaradi morebitnega izkrivljanja konkurence. Tudi EU zato spodbuja in daje prednost horizontalnim državnimi pomočem.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Druga skupina so </w:t>
      </w:r>
      <w:r w:rsidRPr="00D050E9">
        <w:rPr>
          <w:rFonts w:asciiTheme="minorHAnsi" w:hAnsiTheme="minorHAnsi"/>
          <w:b/>
          <w:sz w:val="21"/>
          <w:szCs w:val="21"/>
        </w:rPr>
        <w:t>sektorske pomoči</w:t>
      </w:r>
      <w:r w:rsidRPr="00D050E9">
        <w:rPr>
          <w:rFonts w:asciiTheme="minorHAnsi" w:hAnsiTheme="minorHAnsi"/>
          <w:sz w:val="21"/>
          <w:szCs w:val="21"/>
        </w:rPr>
        <w:t xml:space="preserve">, ki so namenjene prejemnikom v točno določenem sektorju npr. transport, premogovništvo, jeklarska industrija, pomoči za reševanje in prestrukturiranje. Gre za sektorje, v katerih je trgovina znotraj EU pomembna in v katerih je konkurenca še posebej ostra, povpraševanje po izdelkih stagnira ali pada, sektorji pa se soočajo s presežki zmogljivosti. Vsaka pomoč, ki jo država dodeli podjetjem v teh sektorjih, neposredno vpliva na trgovino med državami in lahko zato močno izkrivlja konkurenco. Sektorska pravila so v splošnem bolj omejevalna od horizontalnih pravil in manj zaželena.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Zaradi specifičnosti področja in posebnosti pravil, ki veljajo za </w:t>
      </w:r>
      <w:r w:rsidRPr="00D050E9">
        <w:rPr>
          <w:rFonts w:asciiTheme="minorHAnsi" w:hAnsiTheme="minorHAnsi"/>
          <w:b/>
          <w:sz w:val="21"/>
          <w:szCs w:val="21"/>
        </w:rPr>
        <w:t xml:space="preserve">pomoči na področju kmetijstva in ribištva </w:t>
      </w:r>
      <w:r w:rsidRPr="00D050E9">
        <w:rPr>
          <w:rFonts w:asciiTheme="minorHAnsi" w:hAnsiTheme="minorHAnsi"/>
          <w:b/>
          <w:color w:val="000000" w:themeColor="text1"/>
          <w:sz w:val="21"/>
          <w:szCs w:val="21"/>
        </w:rPr>
        <w:t>ter gozdarstva</w:t>
      </w:r>
      <w:r w:rsidRPr="00D050E9">
        <w:rPr>
          <w:rFonts w:asciiTheme="minorHAnsi" w:hAnsiTheme="minorHAnsi"/>
          <w:color w:val="000000" w:themeColor="text1"/>
          <w:sz w:val="21"/>
          <w:szCs w:val="21"/>
        </w:rPr>
        <w:t xml:space="preserve"> (v nadaljevanju pomoči na področju kmetijstva) v </w:t>
      </w:r>
      <w:r w:rsidRPr="00D050E9">
        <w:rPr>
          <w:rFonts w:asciiTheme="minorHAnsi" w:hAnsiTheme="minorHAnsi"/>
          <w:sz w:val="21"/>
          <w:szCs w:val="21"/>
        </w:rPr>
        <w:t xml:space="preserve">skladu z metodologijo EU te pomoči v poročilu prikazujemo posebej. Pomoči za kmetijstvo so za razliko od ostalih državnih pomoči, ki so v pristojnosti GD za konkurenco, v pristojnosti GD za kmetijstvo in razvoj podeželja ter GD za pomorske zadeve in ribištvo. V Sloveniji so te pomoči v celoti v pristojnosti Ministrstva za kmetijstvo, gozdarstvo in prehrano, ki je pristojno in odgovorno za spremljanje in poročanje ter priglasitve teh pomoči Evropski komisij. Zaradi celovitosti zajema podatkov o državnih pomočeh v Sloveniji, Ministrstvo za kmetijstvo, gozdarstvo in prehrano letno posreduje podatke o izplačanih državnih pomočeh za kmetijstvo v enotno bazo podatkov o poročanih državnih pomočeh, ki jo upravlja Ministrstvo za finance.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Vse tri skupine skupaj (horizontalne, sektorske in kmetijske pomoči) predstavljajo t.i. </w:t>
      </w:r>
      <w:r w:rsidRPr="00D050E9">
        <w:rPr>
          <w:rFonts w:asciiTheme="minorHAnsi" w:hAnsiTheme="minorHAnsi"/>
          <w:b/>
          <w:sz w:val="21"/>
          <w:szCs w:val="21"/>
        </w:rPr>
        <w:t>nekrizne pomoči</w:t>
      </w:r>
      <w:r w:rsidRPr="00D050E9">
        <w:rPr>
          <w:rFonts w:asciiTheme="minorHAnsi" w:hAnsiTheme="minorHAnsi"/>
          <w:sz w:val="21"/>
          <w:szCs w:val="21"/>
        </w:rPr>
        <w:t xml:space="preserve">. </w:t>
      </w:r>
    </w:p>
    <w:p w:rsidR="00A20CB5" w:rsidRPr="00D050E9" w:rsidRDefault="00A20CB5" w:rsidP="00A20CB5">
      <w:pPr>
        <w:spacing w:after="0" w:line="276" w:lineRule="auto"/>
        <w:rPr>
          <w:rFonts w:asciiTheme="minorHAnsi" w:hAnsiTheme="minorHAnsi"/>
          <w:b/>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b/>
          <w:sz w:val="21"/>
          <w:szCs w:val="21"/>
        </w:rPr>
        <w:t>Krizne pomoči,</w:t>
      </w:r>
      <w:r w:rsidRPr="00D050E9">
        <w:rPr>
          <w:rFonts w:asciiTheme="minorHAnsi" w:hAnsiTheme="minorHAnsi"/>
          <w:sz w:val="21"/>
          <w:szCs w:val="21"/>
        </w:rPr>
        <w:t xml:space="preserve"> ki so bile dodeljene za namen odprave finančne krize (sanacija bančnega sistema), so skladno z metodologijo EU prikazane posebej. Krizne pomoči so se dodeljevale izjemoma, na podlagi posebnih pravil in za omejeno časovno obdobje in močno izkrivljajo celotno sliko dodeljenih državnih pomoči. Tudi Evropska komisija in druge države članice zaradi navedenih razlogov pomoči za krizne ukrepe prikazujejo ločeno. V letu 2015 in 2016 se v Sloveniji tovrstne pomoči niso več dodeljevale. Če ni drugače navedeno, v Poročilu s pojmom »državne pomoči« mislimo na t.im. nekrizne državne pomoči – torej državne pomoči brez pomoči za namen odprave finančne krize.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V poročilu so v posebnem poglavju prikazane tudi pomoči, ki so bile dodeljene </w:t>
      </w:r>
      <w:r w:rsidRPr="00D050E9">
        <w:rPr>
          <w:rFonts w:asciiTheme="minorHAnsi" w:hAnsiTheme="minorHAnsi"/>
          <w:b/>
          <w:sz w:val="21"/>
          <w:szCs w:val="21"/>
        </w:rPr>
        <w:t xml:space="preserve">po pravilu </w:t>
      </w:r>
      <w:r w:rsidRPr="00D050E9">
        <w:rPr>
          <w:rFonts w:asciiTheme="minorHAnsi" w:hAnsiTheme="minorHAnsi"/>
          <w:b/>
          <w:i/>
          <w:sz w:val="21"/>
          <w:szCs w:val="21"/>
        </w:rPr>
        <w:t>de minimis</w:t>
      </w:r>
      <w:r w:rsidRPr="00D050E9">
        <w:rPr>
          <w:rFonts w:asciiTheme="minorHAnsi" w:hAnsiTheme="minorHAnsi"/>
          <w:b/>
          <w:sz w:val="21"/>
          <w:szCs w:val="21"/>
        </w:rPr>
        <w:t xml:space="preserve">. </w:t>
      </w:r>
      <w:r w:rsidRPr="00D050E9">
        <w:rPr>
          <w:rFonts w:asciiTheme="minorHAnsi" w:hAnsiTheme="minorHAnsi"/>
          <w:sz w:val="21"/>
          <w:szCs w:val="21"/>
        </w:rPr>
        <w:t xml:space="preserve">Pomoči po pravilu </w:t>
      </w:r>
      <w:r w:rsidRPr="00D050E9">
        <w:rPr>
          <w:rFonts w:asciiTheme="minorHAnsi" w:hAnsiTheme="minorHAnsi"/>
          <w:i/>
          <w:sz w:val="21"/>
          <w:szCs w:val="21"/>
        </w:rPr>
        <w:t xml:space="preserve">de minimis </w:t>
      </w:r>
      <w:r w:rsidRPr="00D050E9">
        <w:rPr>
          <w:rFonts w:asciiTheme="minorHAnsi" w:hAnsiTheme="minorHAnsi"/>
          <w:sz w:val="21"/>
          <w:szCs w:val="21"/>
        </w:rPr>
        <w:t xml:space="preserve">so pomoči, ki so sicer namenjene prejemniku, ki se ukvarja s tržno proizvodnjo blaga in storitev, vendar se dodelijo v manjših zneskih (do 200.000 EUR v obdobju treh let ne glede na namen pomoči) in zato po mnenju evropske komisije ne izkrivljajo konkurence in imajo zanemarljiv vpliv na konkurenco in trgovino med državami članicami EU. Pomoči </w:t>
      </w:r>
      <w:r w:rsidRPr="00D050E9">
        <w:rPr>
          <w:rFonts w:asciiTheme="minorHAnsi" w:hAnsiTheme="minorHAnsi"/>
          <w:i/>
          <w:sz w:val="21"/>
          <w:szCs w:val="21"/>
        </w:rPr>
        <w:t xml:space="preserve">de minimis </w:t>
      </w:r>
      <w:r w:rsidRPr="00D050E9">
        <w:rPr>
          <w:rFonts w:asciiTheme="minorHAnsi" w:hAnsiTheme="minorHAnsi"/>
          <w:sz w:val="21"/>
          <w:szCs w:val="21"/>
        </w:rPr>
        <w:t xml:space="preserve">ni potrebno priglasiti Evropski komisiji.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sz w:val="21"/>
          <w:szCs w:val="21"/>
        </w:rPr>
      </w:pPr>
      <w:r w:rsidRPr="00D050E9">
        <w:rPr>
          <w:rFonts w:asciiTheme="minorHAnsi" w:hAnsiTheme="minorHAnsi"/>
          <w:sz w:val="21"/>
          <w:szCs w:val="21"/>
        </w:rPr>
        <w:t xml:space="preserve">Poročilo natančneje  prikazuje podatke o dodeljenih državnih pomočeh </w:t>
      </w:r>
      <w:r w:rsidR="00CE6D2D" w:rsidRPr="00D050E9">
        <w:rPr>
          <w:rFonts w:asciiTheme="minorHAnsi" w:hAnsiTheme="minorHAnsi"/>
          <w:b/>
          <w:sz w:val="21"/>
          <w:szCs w:val="21"/>
        </w:rPr>
        <w:t>za leta 2015, 2016 in 2017</w:t>
      </w:r>
      <w:r w:rsidRPr="00D050E9">
        <w:rPr>
          <w:rFonts w:asciiTheme="minorHAnsi" w:hAnsiTheme="minorHAnsi"/>
          <w:b/>
          <w:sz w:val="21"/>
          <w:szCs w:val="21"/>
        </w:rPr>
        <w:t>.</w:t>
      </w:r>
      <w:r w:rsidRPr="00D050E9">
        <w:rPr>
          <w:rFonts w:asciiTheme="minorHAnsi" w:hAnsiTheme="minorHAnsi"/>
          <w:sz w:val="21"/>
          <w:szCs w:val="21"/>
        </w:rPr>
        <w:t xml:space="preserve"> Ne glede na to so za analizo sprememb obsega in strukture pomoči uporabljeni podatki za daljše časovno obdobje. Splošni podatki o državnih pomočeh v Sloveniji so na voljo od leta 1998 naprej, bolj zanesljivi pa od leta 2000. Podatki o državnih pomočeh po regijah so razpoložljivi od leta 2004. Pri pomočeh, dodeljenih po pravilu </w:t>
      </w:r>
      <w:r w:rsidRPr="00D050E9">
        <w:rPr>
          <w:rFonts w:asciiTheme="minorHAnsi" w:hAnsiTheme="minorHAnsi"/>
          <w:i/>
          <w:sz w:val="21"/>
          <w:szCs w:val="21"/>
        </w:rPr>
        <w:t>de minimis</w:t>
      </w:r>
      <w:r w:rsidRPr="00D050E9">
        <w:rPr>
          <w:rFonts w:asciiTheme="minorHAnsi" w:hAnsiTheme="minorHAnsi"/>
          <w:sz w:val="21"/>
          <w:szCs w:val="21"/>
        </w:rPr>
        <w:t xml:space="preserve">, pa so podatki na voljo od leta 2002, ko so se te pomoči začele dodeljevati. </w:t>
      </w:r>
    </w:p>
    <w:p w:rsidR="00A20CB5" w:rsidRPr="00D050E9" w:rsidRDefault="00A20CB5" w:rsidP="00A20CB5">
      <w:pPr>
        <w:spacing w:after="0" w:line="276" w:lineRule="auto"/>
        <w:rPr>
          <w:rFonts w:asciiTheme="minorHAnsi" w:hAnsiTheme="minorHAnsi"/>
          <w:sz w:val="21"/>
          <w:szCs w:val="21"/>
        </w:rPr>
      </w:pPr>
    </w:p>
    <w:p w:rsidR="00A20CB5" w:rsidRPr="00D050E9" w:rsidRDefault="00A20CB5" w:rsidP="00A20CB5">
      <w:pPr>
        <w:spacing w:after="0" w:line="276" w:lineRule="auto"/>
        <w:rPr>
          <w:rFonts w:asciiTheme="minorHAnsi" w:hAnsiTheme="minorHAnsi"/>
          <w:b/>
          <w:color w:val="1F497D" w:themeColor="text2"/>
          <w:sz w:val="21"/>
          <w:szCs w:val="21"/>
        </w:rPr>
      </w:pPr>
      <w:r w:rsidRPr="00D050E9">
        <w:rPr>
          <w:rFonts w:asciiTheme="minorHAnsi" w:hAnsiTheme="minorHAnsi"/>
          <w:sz w:val="21"/>
          <w:szCs w:val="21"/>
        </w:rPr>
        <w:t>V Poročilu uporabljeni makroekonomski podatki (podatki o bruto domačem proizvodu, dodani vrednosti, številu zaposlenih po dejavnosti ipd) temeljijo na Pomladanski na</w:t>
      </w:r>
      <w:r w:rsidR="00AA4165" w:rsidRPr="00D050E9">
        <w:rPr>
          <w:rFonts w:asciiTheme="minorHAnsi" w:hAnsiTheme="minorHAnsi"/>
          <w:sz w:val="21"/>
          <w:szCs w:val="21"/>
        </w:rPr>
        <w:t>povedi gospodarskih gibanj, 2018</w:t>
      </w:r>
      <w:r w:rsidRPr="00D050E9">
        <w:rPr>
          <w:rFonts w:asciiTheme="minorHAnsi" w:hAnsiTheme="minorHAnsi"/>
          <w:sz w:val="21"/>
          <w:szCs w:val="21"/>
        </w:rPr>
        <w:t xml:space="preserve"> (UMAR), za podatke o javnofinančnih odhodkih in prihodkih so bili uporabljani podatki iz B</w:t>
      </w:r>
      <w:r w:rsidR="00AA4165" w:rsidRPr="00D050E9">
        <w:rPr>
          <w:rFonts w:asciiTheme="minorHAnsi" w:hAnsiTheme="minorHAnsi"/>
          <w:sz w:val="21"/>
          <w:szCs w:val="21"/>
        </w:rPr>
        <w:t>iltena javnih financ, Junij 2018</w:t>
      </w:r>
      <w:r w:rsidRPr="00D050E9">
        <w:rPr>
          <w:rFonts w:asciiTheme="minorHAnsi" w:hAnsiTheme="minorHAnsi"/>
          <w:sz w:val="21"/>
          <w:szCs w:val="21"/>
        </w:rPr>
        <w:t xml:space="preserve"> (M</w:t>
      </w:r>
      <w:r w:rsidR="00AA4165" w:rsidRPr="00D050E9">
        <w:rPr>
          <w:rFonts w:asciiTheme="minorHAnsi" w:hAnsiTheme="minorHAnsi"/>
          <w:sz w:val="21"/>
          <w:szCs w:val="21"/>
        </w:rPr>
        <w:t>inistrstvo za finance</w:t>
      </w:r>
      <w:r w:rsidRPr="00D050E9">
        <w:rPr>
          <w:rFonts w:asciiTheme="minorHAnsi" w:hAnsiTheme="minorHAnsi"/>
          <w:sz w:val="21"/>
          <w:szCs w:val="21"/>
        </w:rPr>
        <w:t>), podatki o regionalnem BDP, dodani vrednosti, prebivalstvu so pridobljeni iz Statističnih informacij Statističnega urada RS. Za primerjavo podatkov o državnih pomočeh v Sloveniji z državami EU so podatki iz letnega poročila Evropske komisije, objavljeni na spletnih strani Generalnega direktorata za Konku</w:t>
      </w:r>
      <w:r w:rsidR="00AA4165" w:rsidRPr="00D050E9">
        <w:rPr>
          <w:rFonts w:asciiTheme="minorHAnsi" w:hAnsiTheme="minorHAnsi"/>
          <w:sz w:val="21"/>
          <w:szCs w:val="21"/>
        </w:rPr>
        <w:t>renco (State Aid Scoreboard 2017</w:t>
      </w:r>
      <w:r w:rsidRPr="00D050E9">
        <w:rPr>
          <w:rStyle w:val="FootnoteReference"/>
          <w:rFonts w:asciiTheme="minorHAnsi" w:hAnsiTheme="minorHAnsi"/>
          <w:sz w:val="21"/>
          <w:szCs w:val="21"/>
        </w:rPr>
        <w:footnoteReference w:id="36"/>
      </w:r>
      <w:r w:rsidRPr="00D050E9">
        <w:rPr>
          <w:rFonts w:asciiTheme="minorHAnsi" w:hAnsiTheme="minorHAnsi"/>
          <w:sz w:val="21"/>
          <w:szCs w:val="21"/>
        </w:rPr>
        <w:t xml:space="preserve">). </w:t>
      </w:r>
      <w:r w:rsidRPr="00D050E9">
        <w:rPr>
          <w:rFonts w:asciiTheme="minorHAnsi" w:hAnsiTheme="minorHAnsi"/>
          <w:b/>
          <w:color w:val="1F497D" w:themeColor="text2"/>
          <w:sz w:val="21"/>
          <w:szCs w:val="21"/>
        </w:rPr>
        <w:br w:type="page"/>
      </w:r>
    </w:p>
    <w:p w:rsidR="007C5EB0" w:rsidRPr="00D050E9" w:rsidRDefault="007C5EB0" w:rsidP="007805F3">
      <w:pPr>
        <w:pStyle w:val="Heading2"/>
      </w:pPr>
      <w:bookmarkStart w:id="201" w:name="_Toc530654582"/>
      <w:r w:rsidRPr="00D050E9">
        <w:t xml:space="preserve">PRILOGA B: </w:t>
      </w:r>
      <w:bookmarkStart w:id="202" w:name="_Toc471207259"/>
      <w:r w:rsidRPr="00D050E9">
        <w:t xml:space="preserve"> KLASIFIKACIJE IN METODOLOGIJA OCENJEVANJA DRŽAVNIH POMOČI</w:t>
      </w:r>
      <w:bookmarkEnd w:id="200"/>
      <w:bookmarkEnd w:id="201"/>
      <w:bookmarkEnd w:id="202"/>
    </w:p>
    <w:p w:rsidR="00EF0E3C" w:rsidRPr="00D050E9" w:rsidRDefault="00EF0E3C" w:rsidP="007805F3">
      <w:pPr>
        <w:spacing w:after="0"/>
        <w:rPr>
          <w:rFonts w:asciiTheme="minorHAnsi" w:hAnsiTheme="minorHAnsi"/>
          <w:b/>
          <w:i/>
          <w:sz w:val="21"/>
          <w:szCs w:val="21"/>
        </w:rPr>
      </w:pPr>
    </w:p>
    <w:p w:rsidR="00EF0E3C" w:rsidRPr="00D050E9" w:rsidRDefault="00EF0E3C" w:rsidP="00EF0E3C">
      <w:pPr>
        <w:spacing w:after="0"/>
        <w:rPr>
          <w:rFonts w:asciiTheme="minorHAnsi" w:hAnsiTheme="minorHAnsi"/>
          <w:b/>
          <w:i/>
          <w:sz w:val="21"/>
          <w:szCs w:val="21"/>
        </w:rPr>
      </w:pPr>
      <w:r w:rsidRPr="00D050E9">
        <w:rPr>
          <w:rFonts w:asciiTheme="minorHAnsi" w:hAnsiTheme="minorHAnsi"/>
          <w:b/>
          <w:i/>
          <w:sz w:val="21"/>
          <w:szCs w:val="21"/>
        </w:rPr>
        <w:t>SKUPINE IN KATEGORIJE DRŽAVNIH POMOČI</w:t>
      </w:r>
    </w:p>
    <w:p w:rsidR="00EF0E3C" w:rsidRPr="00D050E9" w:rsidRDefault="00EF0E3C" w:rsidP="00EF0E3C">
      <w:pPr>
        <w:spacing w:after="0"/>
        <w:rPr>
          <w:rFonts w:asciiTheme="minorHAnsi" w:hAnsiTheme="minorHAnsi"/>
          <w:sz w:val="21"/>
          <w:szCs w:val="21"/>
        </w:rPr>
      </w:pPr>
    </w:p>
    <w:p w:rsidR="00EF0E3C" w:rsidRPr="00D050E9" w:rsidRDefault="00EF0E3C" w:rsidP="00EF0E3C">
      <w:pPr>
        <w:spacing w:after="0"/>
        <w:rPr>
          <w:rFonts w:asciiTheme="minorHAnsi" w:hAnsiTheme="minorHAnsi"/>
          <w:sz w:val="21"/>
          <w:szCs w:val="21"/>
        </w:rPr>
      </w:pPr>
      <w:r w:rsidRPr="00D050E9">
        <w:rPr>
          <w:rFonts w:asciiTheme="minorHAnsi" w:hAnsiTheme="minorHAnsi"/>
          <w:sz w:val="21"/>
          <w:szCs w:val="21"/>
        </w:rPr>
        <w:t>Podatki o državnih pomočeh v Poročilu so razvrščeni na skupine in kategorije pomoči skladno z razvrstitvijo, ki jo za poročanje in prikaz podatkov o državnih pomočeh uporablja tudi Evropska komisija:</w:t>
      </w:r>
    </w:p>
    <w:p w:rsidR="00EF0E3C" w:rsidRPr="00D050E9" w:rsidRDefault="00EF0E3C" w:rsidP="00EF0E3C">
      <w:pPr>
        <w:spacing w:after="0"/>
        <w:rPr>
          <w:rFonts w:asciiTheme="minorHAnsi" w:hAnsiTheme="minorHAnsi"/>
          <w:color w:val="1F497D" w:themeColor="text2"/>
          <w:sz w:val="21"/>
          <w:szCs w:val="21"/>
        </w:rPr>
      </w:pPr>
    </w:p>
    <w:tbl>
      <w:tblPr>
        <w:tblW w:w="5020" w:type="pct"/>
        <w:tblCellMar>
          <w:left w:w="70" w:type="dxa"/>
          <w:right w:w="70" w:type="dxa"/>
        </w:tblCellMar>
        <w:tblLook w:val="04A0" w:firstRow="1" w:lastRow="0" w:firstColumn="1" w:lastColumn="0" w:noHBand="0" w:noVBand="1"/>
      </w:tblPr>
      <w:tblGrid>
        <w:gridCol w:w="6871"/>
        <w:gridCol w:w="1247"/>
        <w:gridCol w:w="1243"/>
      </w:tblGrid>
      <w:tr w:rsidR="00EF0E3C" w:rsidRPr="00D050E9" w:rsidTr="00CE6D2D">
        <w:trPr>
          <w:cantSplit/>
          <w:trHeight w:val="340"/>
        </w:trPr>
        <w:tc>
          <w:tcPr>
            <w:tcW w:w="3670" w:type="pct"/>
            <w:tcBorders>
              <w:top w:val="thinThickSmallGap" w:sz="24" w:space="0" w:color="7F7F7F" w:themeColor="text1" w:themeTint="80"/>
              <w:left w:val="nil"/>
              <w:bottom w:val="nil"/>
              <w:right w:val="nil"/>
            </w:tcBorders>
            <w:shd w:val="clear" w:color="000000" w:fill="DA9694"/>
            <w:noWrap/>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DRŽAVNE POMOČI</w:t>
            </w:r>
          </w:p>
        </w:tc>
        <w:tc>
          <w:tcPr>
            <w:tcW w:w="666" w:type="pct"/>
            <w:tcBorders>
              <w:top w:val="thinThickSmallGap" w:sz="24" w:space="0" w:color="7F7F7F" w:themeColor="text1" w:themeTint="80"/>
              <w:left w:val="nil"/>
              <w:bottom w:val="nil"/>
              <w:right w:val="nil"/>
            </w:tcBorders>
            <w:shd w:val="clear" w:color="000000" w:fill="DA9694"/>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w:t>
            </w:r>
          </w:p>
        </w:tc>
        <w:tc>
          <w:tcPr>
            <w:tcW w:w="664" w:type="pct"/>
            <w:tcBorders>
              <w:top w:val="thinThickSmallGap" w:sz="24" w:space="0" w:color="7F7F7F" w:themeColor="text1" w:themeTint="80"/>
              <w:left w:val="nil"/>
              <w:bottom w:val="nil"/>
              <w:right w:val="nil"/>
            </w:tcBorders>
            <w:shd w:val="clear" w:color="000000" w:fill="DA9694"/>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w:t>
            </w:r>
          </w:p>
        </w:tc>
      </w:tr>
      <w:tr w:rsidR="00EF0E3C" w:rsidRPr="00D050E9" w:rsidTr="00CE6D2D">
        <w:trPr>
          <w:cantSplit/>
          <w:trHeight w:val="340"/>
        </w:trPr>
        <w:tc>
          <w:tcPr>
            <w:tcW w:w="3670" w:type="pct"/>
            <w:tcBorders>
              <w:top w:val="double" w:sz="4" w:space="0" w:color="auto"/>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1.    HORIOZONTALNE POMOČI</w:t>
            </w:r>
          </w:p>
        </w:tc>
        <w:tc>
          <w:tcPr>
            <w:tcW w:w="666" w:type="pct"/>
            <w:vMerge w:val="restart"/>
            <w:tcBorders>
              <w:top w:val="double" w:sz="4" w:space="0" w:color="auto"/>
              <w:left w:val="single" w:sz="8" w:space="0" w:color="auto"/>
              <w:right w:val="single" w:sz="8" w:space="0" w:color="auto"/>
            </w:tcBorders>
            <w:shd w:val="clear" w:color="000000" w:fill="B7DEE8"/>
            <w:noWrap/>
            <w:textDirection w:val="tbLrV"/>
            <w:vAlign w:val="center"/>
            <w:hideMark/>
          </w:tcPr>
          <w:p w:rsidR="00EF0E3C" w:rsidRPr="00D050E9" w:rsidRDefault="00EF0E3C" w:rsidP="00EF0E3C">
            <w:pPr>
              <w:spacing w:after="0"/>
              <w:jc w:val="center"/>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NEKMETIJSKE POMOČI</w:t>
            </w:r>
          </w:p>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 </w:t>
            </w:r>
          </w:p>
        </w:tc>
        <w:tc>
          <w:tcPr>
            <w:tcW w:w="664" w:type="pct"/>
            <w:vMerge w:val="restart"/>
            <w:tcBorders>
              <w:top w:val="double" w:sz="4" w:space="0" w:color="auto"/>
              <w:left w:val="single" w:sz="8" w:space="0" w:color="auto"/>
              <w:bottom w:val="single" w:sz="8" w:space="0" w:color="000000"/>
              <w:right w:val="single" w:sz="8" w:space="0" w:color="auto"/>
            </w:tcBorders>
            <w:shd w:val="clear" w:color="000000" w:fill="D8E4BC"/>
            <w:textDirection w:val="tbLrV"/>
            <w:vAlign w:val="center"/>
            <w:hideMark/>
          </w:tcPr>
          <w:p w:rsidR="00EF0E3C" w:rsidRPr="00D050E9" w:rsidRDefault="00EF0E3C" w:rsidP="00EF0E3C">
            <w:pPr>
              <w:spacing w:after="0"/>
              <w:jc w:val="center"/>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NEKRIZNE POMOČI</w:t>
            </w: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Regionalne</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Varstvo okolja in varčna raba energije</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Raziskave in razvoj ter inovacije</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Zaposlovanje</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Usposabljanje</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Majhna in srednja podjetja</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Tvegani kapital</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Kultura in avdiovizualna dela</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Povračilo škode za naravne nesreče</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Storitve splošnega gospodarskega pomena</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2.    SEKTORSKE POMOČI</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Zapiranje rudnikov</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Jeklarstvo</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Energetika</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Ladjedelništvo</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Premogovništvo</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Reševanje podjetij v težavah</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Prestrukturiranje podjetij v težavah</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Transport**</w:t>
            </w:r>
          </w:p>
        </w:tc>
        <w:tc>
          <w:tcPr>
            <w:tcW w:w="666" w:type="pct"/>
            <w:vMerge/>
            <w:tcBorders>
              <w:left w:val="single" w:sz="8" w:space="0" w:color="auto"/>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nil"/>
              <w:left w:val="nil"/>
              <w:bottom w:val="nil"/>
              <w:right w:val="nil"/>
            </w:tcBorders>
            <w:shd w:val="clear" w:color="000000" w:fill="B7DEE8"/>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drugi sektorji</w:t>
            </w:r>
          </w:p>
        </w:tc>
        <w:tc>
          <w:tcPr>
            <w:tcW w:w="666" w:type="pct"/>
            <w:vMerge/>
            <w:tcBorders>
              <w:left w:val="single" w:sz="8" w:space="0" w:color="auto"/>
              <w:bottom w:val="nil"/>
              <w:right w:val="single" w:sz="8" w:space="0" w:color="auto"/>
            </w:tcBorders>
            <w:shd w:val="clear" w:color="000000" w:fill="B7DEE8"/>
            <w:noWrap/>
            <w:textDirection w:val="tbLrV"/>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single" w:sz="2" w:space="0" w:color="auto"/>
              <w:left w:val="nil"/>
              <w:bottom w:val="nil"/>
              <w:right w:val="nil"/>
            </w:tcBorders>
            <w:shd w:val="clear" w:color="000000" w:fill="FABF8F"/>
            <w:noWrap/>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3.    KMETIJSTVO IN RIBIŠTVO</w:t>
            </w:r>
          </w:p>
        </w:tc>
        <w:tc>
          <w:tcPr>
            <w:tcW w:w="666" w:type="pct"/>
            <w:tcBorders>
              <w:top w:val="single" w:sz="2" w:space="0" w:color="auto"/>
              <w:left w:val="single" w:sz="8" w:space="0" w:color="auto"/>
              <w:bottom w:val="single" w:sz="8" w:space="0" w:color="auto"/>
              <w:right w:val="single" w:sz="8" w:space="0" w:color="auto"/>
            </w:tcBorders>
            <w:shd w:val="clear" w:color="000000" w:fill="FABF8F"/>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xml:space="preserve">POMOČI ZA KMETIJSTVO </w:t>
            </w: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single" w:sz="2" w:space="0" w:color="auto"/>
              <w:left w:val="nil"/>
              <w:bottom w:val="nil"/>
              <w:right w:val="nil"/>
            </w:tcBorders>
            <w:shd w:val="clear" w:color="auto" w:fill="auto"/>
            <w:noWrap/>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4.    Transport*</w:t>
            </w:r>
          </w:p>
        </w:tc>
        <w:tc>
          <w:tcPr>
            <w:tcW w:w="666" w:type="pct"/>
            <w:tcBorders>
              <w:top w:val="single" w:sz="2" w:space="0" w:color="auto"/>
              <w:left w:val="nil"/>
              <w:bottom w:val="nil"/>
              <w:right w:val="nil"/>
            </w:tcBorders>
            <w:shd w:val="clear" w:color="auto" w:fill="auto"/>
            <w:noWrap/>
            <w:vAlign w:val="bottom"/>
            <w:hideMark/>
          </w:tcPr>
          <w:p w:rsidR="00EF0E3C" w:rsidRPr="00D050E9" w:rsidRDefault="00EF0E3C" w:rsidP="00EF0E3C">
            <w:pPr>
              <w:spacing w:after="0"/>
              <w:rPr>
                <w:rFonts w:asciiTheme="minorHAnsi" w:eastAsia="Times New Roman" w:hAnsiTheme="minorHAnsi" w:cs="Arial"/>
                <w:sz w:val="21"/>
                <w:szCs w:val="21"/>
                <w:lang w:eastAsia="sl-SI"/>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p>
        </w:tc>
      </w:tr>
      <w:tr w:rsidR="00EF0E3C" w:rsidRPr="00D050E9" w:rsidTr="00CE6D2D">
        <w:trPr>
          <w:cantSplit/>
          <w:trHeight w:val="340"/>
        </w:trPr>
        <w:tc>
          <w:tcPr>
            <w:tcW w:w="3670" w:type="pct"/>
            <w:tcBorders>
              <w:top w:val="single" w:sz="2" w:space="0" w:color="auto"/>
              <w:left w:val="nil"/>
              <w:bottom w:val="thickThinSmallGap" w:sz="24" w:space="0" w:color="7F7F7F" w:themeColor="text1" w:themeTint="80"/>
              <w:right w:val="nil"/>
            </w:tcBorders>
            <w:shd w:val="clear" w:color="000000" w:fill="B1A0C7"/>
            <w:noWrap/>
            <w:vAlign w:val="center"/>
            <w:hideMark/>
          </w:tcPr>
          <w:p w:rsidR="00EF0E3C" w:rsidRPr="00D050E9" w:rsidRDefault="00EF0E3C" w:rsidP="00EF0E3C">
            <w:pPr>
              <w:spacing w:after="0"/>
              <w:rPr>
                <w:rFonts w:asciiTheme="minorHAnsi" w:eastAsia="Times New Roman" w:hAnsiTheme="minorHAnsi" w:cs="Arial"/>
                <w:b/>
                <w:bCs/>
                <w:sz w:val="21"/>
                <w:szCs w:val="21"/>
                <w:lang w:eastAsia="sl-SI"/>
              </w:rPr>
            </w:pPr>
            <w:r w:rsidRPr="00D050E9">
              <w:rPr>
                <w:rFonts w:asciiTheme="minorHAnsi" w:eastAsia="Times New Roman" w:hAnsiTheme="minorHAnsi" w:cs="Arial"/>
                <w:b/>
                <w:bCs/>
                <w:sz w:val="21"/>
                <w:szCs w:val="21"/>
                <w:lang w:eastAsia="sl-SI"/>
              </w:rPr>
              <w:t>5.    Krizne pomoči</w:t>
            </w:r>
          </w:p>
        </w:tc>
        <w:tc>
          <w:tcPr>
            <w:tcW w:w="666" w:type="pct"/>
            <w:tcBorders>
              <w:top w:val="single" w:sz="2" w:space="0" w:color="auto"/>
              <w:left w:val="nil"/>
              <w:bottom w:val="thickThinSmallGap" w:sz="24" w:space="0" w:color="7F7F7F" w:themeColor="text1" w:themeTint="80"/>
              <w:right w:val="nil"/>
            </w:tcBorders>
            <w:shd w:val="clear" w:color="000000" w:fill="B1A0C7"/>
            <w:noWrap/>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 </w:t>
            </w:r>
          </w:p>
        </w:tc>
        <w:tc>
          <w:tcPr>
            <w:tcW w:w="664" w:type="pct"/>
            <w:tcBorders>
              <w:top w:val="nil"/>
              <w:left w:val="single" w:sz="8" w:space="0" w:color="auto"/>
              <w:bottom w:val="thickThinSmallGap" w:sz="24" w:space="0" w:color="7F7F7F" w:themeColor="text1" w:themeTint="80"/>
              <w:right w:val="single" w:sz="8" w:space="0" w:color="auto"/>
            </w:tcBorders>
            <w:shd w:val="clear" w:color="000000" w:fill="B1A0C7"/>
            <w:vAlign w:val="center"/>
            <w:hideMark/>
          </w:tcPr>
          <w:p w:rsidR="00EF0E3C" w:rsidRPr="00D050E9" w:rsidRDefault="00EF0E3C" w:rsidP="00EF0E3C">
            <w:pPr>
              <w:spacing w:after="0"/>
              <w:rPr>
                <w:rFonts w:asciiTheme="minorHAnsi" w:eastAsia="Times New Roman" w:hAnsiTheme="minorHAnsi" w:cs="Arial"/>
                <w:sz w:val="21"/>
                <w:szCs w:val="21"/>
                <w:lang w:eastAsia="sl-SI"/>
              </w:rPr>
            </w:pPr>
            <w:r w:rsidRPr="00D050E9">
              <w:rPr>
                <w:rFonts w:asciiTheme="minorHAnsi" w:eastAsia="Times New Roman" w:hAnsiTheme="minorHAnsi" w:cs="Arial"/>
                <w:sz w:val="21"/>
                <w:szCs w:val="21"/>
                <w:lang w:eastAsia="sl-SI"/>
              </w:rPr>
              <w:t>Krizne pomoči</w:t>
            </w:r>
          </w:p>
        </w:tc>
      </w:tr>
    </w:tbl>
    <w:p w:rsidR="00EF0E3C" w:rsidRPr="00D050E9" w:rsidRDefault="00EF0E3C" w:rsidP="00EF0E3C">
      <w:pPr>
        <w:spacing w:after="0"/>
        <w:rPr>
          <w:rFonts w:asciiTheme="minorHAnsi" w:hAnsiTheme="minorHAnsi"/>
          <w:i/>
          <w:sz w:val="21"/>
          <w:szCs w:val="21"/>
        </w:rPr>
      </w:pPr>
    </w:p>
    <w:p w:rsidR="00EF0E3C" w:rsidRPr="00D050E9" w:rsidRDefault="00EF0E3C" w:rsidP="00EF0E3C">
      <w:pPr>
        <w:spacing w:after="0"/>
        <w:rPr>
          <w:rFonts w:asciiTheme="minorHAnsi" w:hAnsiTheme="minorHAnsi"/>
          <w:i/>
          <w:sz w:val="21"/>
          <w:szCs w:val="21"/>
        </w:rPr>
      </w:pPr>
      <w:r w:rsidRPr="00D050E9">
        <w:rPr>
          <w:rFonts w:asciiTheme="minorHAnsi" w:hAnsiTheme="minorHAnsi"/>
          <w:i/>
          <w:sz w:val="21"/>
          <w:szCs w:val="21"/>
        </w:rPr>
        <w:t xml:space="preserve">*Evropska komisija podatke o državnih pomočeh za Transport prikazuje ločeno, pri tem pomoči za transport v poročilih EU ne vključujejo pomoči za železniški promet. V Sloveniji se pomoči za transport prikazujejo v okviru Sektorskih pomoči in zajemajo tudi pomoči za železniški promet. </w:t>
      </w:r>
    </w:p>
    <w:p w:rsidR="00EF0E3C" w:rsidRPr="00D050E9" w:rsidRDefault="00EF0E3C" w:rsidP="00EF0E3C">
      <w:pPr>
        <w:spacing w:after="0" w:line="276" w:lineRule="auto"/>
        <w:rPr>
          <w:rFonts w:asciiTheme="minorHAnsi" w:hAnsiTheme="minorHAnsi"/>
          <w:b/>
          <w:i/>
          <w:sz w:val="21"/>
          <w:szCs w:val="21"/>
        </w:rPr>
      </w:pPr>
    </w:p>
    <w:p w:rsidR="00EF0E3C" w:rsidRPr="00D050E9" w:rsidRDefault="00EF0E3C" w:rsidP="00EF0E3C">
      <w:pPr>
        <w:spacing w:after="0" w:line="276" w:lineRule="auto"/>
        <w:rPr>
          <w:rFonts w:asciiTheme="minorHAnsi" w:hAnsiTheme="minorHAnsi"/>
          <w:b/>
          <w:i/>
          <w:sz w:val="21"/>
          <w:szCs w:val="21"/>
        </w:rPr>
      </w:pPr>
    </w:p>
    <w:p w:rsidR="00EF0E3C" w:rsidRPr="00D050E9" w:rsidRDefault="00EF0E3C" w:rsidP="00EF0E3C">
      <w:pPr>
        <w:spacing w:after="0" w:line="276" w:lineRule="auto"/>
        <w:rPr>
          <w:rFonts w:asciiTheme="minorHAnsi" w:hAnsiTheme="minorHAnsi"/>
          <w:b/>
          <w:i/>
          <w:sz w:val="21"/>
          <w:szCs w:val="21"/>
        </w:rPr>
      </w:pPr>
      <w:r w:rsidRPr="00D050E9">
        <w:rPr>
          <w:rFonts w:asciiTheme="minorHAnsi" w:hAnsiTheme="minorHAnsi"/>
          <w:b/>
          <w:i/>
          <w:sz w:val="21"/>
          <w:szCs w:val="21"/>
        </w:rPr>
        <w:t>INSTRUMENTI POMOČI</w:t>
      </w:r>
      <w:r w:rsidRPr="00D050E9">
        <w:rPr>
          <w:rFonts w:asciiTheme="minorHAnsi" w:hAnsiTheme="minorHAnsi"/>
          <w:b/>
          <w:i/>
          <w:sz w:val="21"/>
          <w:szCs w:val="21"/>
        </w:rPr>
        <w:tab/>
      </w:r>
    </w:p>
    <w:p w:rsidR="00EF0E3C" w:rsidRPr="00D050E9" w:rsidRDefault="00EF0E3C" w:rsidP="00EF0E3C">
      <w:pPr>
        <w:spacing w:after="0" w:line="276" w:lineRule="auto"/>
        <w:rPr>
          <w:rFonts w:asciiTheme="minorHAnsi" w:hAnsiTheme="minorHAnsi"/>
          <w:color w:val="1F497D" w:themeColor="text2"/>
          <w:sz w:val="21"/>
          <w:szCs w:val="21"/>
        </w:rPr>
      </w:pP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sz w:val="21"/>
          <w:szCs w:val="21"/>
        </w:rPr>
        <w:t xml:space="preserve">Pomoči se lahko dodelijo z </w:t>
      </w:r>
      <w:r w:rsidRPr="00D050E9">
        <w:rPr>
          <w:rFonts w:asciiTheme="minorHAnsi" w:hAnsiTheme="minorHAnsi"/>
          <w:b/>
          <w:sz w:val="21"/>
          <w:szCs w:val="21"/>
        </w:rPr>
        <w:t>uporabo različnih instrumentov</w:t>
      </w:r>
      <w:r w:rsidRPr="00D050E9">
        <w:rPr>
          <w:rFonts w:asciiTheme="minorHAnsi" w:hAnsiTheme="minorHAnsi"/>
          <w:sz w:val="21"/>
          <w:szCs w:val="21"/>
        </w:rPr>
        <w:t xml:space="preserve">. Glede na prednosti, ki jih prinašajo prejemniku pomoči, so to naslednje skupine instrumentov: </w:t>
      </w:r>
    </w:p>
    <w:p w:rsidR="00EF0E3C" w:rsidRPr="00D050E9" w:rsidRDefault="00EF0E3C" w:rsidP="00EF0E3C">
      <w:pPr>
        <w:spacing w:after="0" w:line="276" w:lineRule="auto"/>
        <w:rPr>
          <w:rFonts w:asciiTheme="minorHAnsi" w:hAnsiTheme="minorHAnsi"/>
          <w:b/>
          <w:sz w:val="21"/>
          <w:szCs w:val="21"/>
        </w:rPr>
      </w:pP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sz w:val="21"/>
          <w:szCs w:val="21"/>
          <w:u w:val="single"/>
        </w:rPr>
        <w:t>Skupina A</w:t>
      </w:r>
      <w:r w:rsidRPr="00D050E9">
        <w:rPr>
          <w:rFonts w:asciiTheme="minorHAnsi" w:hAnsiTheme="minorHAnsi"/>
          <w:sz w:val="21"/>
          <w:szCs w:val="21"/>
        </w:rPr>
        <w:t xml:space="preserve"> : pomoči, kjer se korist v celoti prenese na prejemnika pomoči (npr. subvencije, subvencionirana obrestna mere, davčna olajšava)</w:t>
      </w: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i/>
          <w:iCs/>
          <w:sz w:val="21"/>
          <w:szCs w:val="21"/>
        </w:rPr>
        <w:t>A1,</w:t>
      </w:r>
      <w:r w:rsidRPr="00D050E9">
        <w:rPr>
          <w:rFonts w:asciiTheme="minorHAnsi" w:hAnsiTheme="minorHAnsi"/>
          <w:sz w:val="21"/>
          <w:szCs w:val="21"/>
        </w:rPr>
        <w:t xml:space="preserve"> pomoči, ki se dodeljujejo preko proračuna preko večjih javnofinančnih odhodkov: nepovratna sredstva (subvencije), subvencionirane obrestne mere, odpisi dolgov in zmanjšani zneski iztržkov iz prisilnih poravnav,</w:t>
      </w:r>
    </w:p>
    <w:p w:rsidR="00EF0E3C" w:rsidRPr="00D050E9" w:rsidRDefault="00EF0E3C" w:rsidP="00EF0E3C">
      <w:pPr>
        <w:spacing w:after="0" w:line="276" w:lineRule="auto"/>
        <w:rPr>
          <w:rFonts w:asciiTheme="minorHAnsi" w:hAnsiTheme="minorHAnsi"/>
          <w:sz w:val="21"/>
          <w:szCs w:val="21"/>
        </w:rPr>
      </w:pPr>
      <w:r w:rsidRPr="009F6E61">
        <w:rPr>
          <w:rFonts w:asciiTheme="minorHAnsi" w:hAnsiTheme="minorHAnsi"/>
          <w:b/>
          <w:i/>
          <w:iCs/>
          <w:sz w:val="21"/>
          <w:szCs w:val="21"/>
        </w:rPr>
        <w:t>A2,</w:t>
      </w:r>
      <w:r w:rsidRPr="009F6E61">
        <w:rPr>
          <w:rFonts w:asciiTheme="minorHAnsi" w:hAnsiTheme="minorHAnsi"/>
          <w:sz w:val="21"/>
          <w:szCs w:val="21"/>
        </w:rPr>
        <w:t xml:space="preserve"> pomoči preko davkov in socialno varstvenega sistema: zamiki pri odplačevanju davkov</w:t>
      </w:r>
      <w:r w:rsidR="003621DE" w:rsidRPr="009F6E61">
        <w:rPr>
          <w:rFonts w:asciiTheme="minorHAnsi" w:hAnsiTheme="minorHAnsi"/>
          <w:sz w:val="21"/>
          <w:szCs w:val="21"/>
        </w:rPr>
        <w:t>, davčne oprostitve, izjeme in olajšave</w:t>
      </w:r>
      <w:r w:rsidRPr="009F6E61">
        <w:rPr>
          <w:rFonts w:asciiTheme="minorHAnsi" w:hAnsiTheme="minorHAnsi"/>
          <w:sz w:val="21"/>
          <w:szCs w:val="21"/>
        </w:rPr>
        <w:t>.</w:t>
      </w:r>
    </w:p>
    <w:p w:rsidR="00EF0E3C" w:rsidRPr="00D050E9" w:rsidRDefault="00EF0E3C" w:rsidP="00EF0E3C">
      <w:pPr>
        <w:spacing w:after="0" w:line="276" w:lineRule="auto"/>
        <w:rPr>
          <w:rFonts w:asciiTheme="minorHAnsi" w:hAnsiTheme="minorHAnsi"/>
          <w:b/>
          <w:sz w:val="21"/>
          <w:szCs w:val="21"/>
        </w:rPr>
      </w:pP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sz w:val="21"/>
          <w:szCs w:val="21"/>
          <w:u w:val="single"/>
        </w:rPr>
        <w:t>Skupina B</w:t>
      </w:r>
      <w:r w:rsidRPr="00D050E9">
        <w:rPr>
          <w:rFonts w:asciiTheme="minorHAnsi" w:hAnsiTheme="minorHAnsi"/>
          <w:sz w:val="21"/>
          <w:szCs w:val="21"/>
        </w:rPr>
        <w:t>: finančni transferji države v obliki udeležb v kapitalu (kapitalske naložbe, konverzije terjatev v lastniške deleže).</w:t>
      </w:r>
    </w:p>
    <w:p w:rsidR="00EF0E3C" w:rsidRPr="00D050E9" w:rsidRDefault="00EF0E3C" w:rsidP="00EF0E3C">
      <w:pPr>
        <w:spacing w:after="0" w:line="276" w:lineRule="auto"/>
        <w:rPr>
          <w:rFonts w:asciiTheme="minorHAnsi" w:hAnsiTheme="minorHAnsi"/>
          <w:b/>
          <w:sz w:val="21"/>
          <w:szCs w:val="21"/>
        </w:rPr>
      </w:pP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sz w:val="21"/>
          <w:szCs w:val="21"/>
          <w:u w:val="single"/>
        </w:rPr>
        <w:t>Skupina C</w:t>
      </w:r>
      <w:r w:rsidRPr="00D050E9">
        <w:rPr>
          <w:rFonts w:asciiTheme="minorHAnsi" w:hAnsiTheme="minorHAnsi"/>
          <w:sz w:val="21"/>
          <w:szCs w:val="21"/>
        </w:rPr>
        <w:t>: finančni transferji, v obliki ugodnega posojila, pomoč pa predstavlja razlika do posojila pod tržnimi pogoji :</w:t>
      </w: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i/>
          <w:iCs/>
          <w:sz w:val="21"/>
          <w:szCs w:val="21"/>
        </w:rPr>
        <w:t>C1</w:t>
      </w:r>
      <w:r w:rsidRPr="00D050E9">
        <w:rPr>
          <w:rFonts w:asciiTheme="minorHAnsi" w:hAnsiTheme="minorHAnsi"/>
          <w:sz w:val="21"/>
          <w:szCs w:val="21"/>
        </w:rPr>
        <w:t>, ugodna posojila iz javnih ali privatnih virov in posojila podjetjem v težavah,</w:t>
      </w: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i/>
          <w:iCs/>
          <w:sz w:val="21"/>
          <w:szCs w:val="21"/>
        </w:rPr>
        <w:t>C2</w:t>
      </w:r>
      <w:r w:rsidRPr="00D050E9">
        <w:rPr>
          <w:rFonts w:asciiTheme="minorHAnsi" w:hAnsiTheme="minorHAnsi"/>
          <w:sz w:val="21"/>
          <w:szCs w:val="21"/>
        </w:rPr>
        <w:t>, različni ukrepi (rezervacije, oprostitve ali pospešeno amortiziranje).</w:t>
      </w:r>
    </w:p>
    <w:p w:rsidR="00EF0E3C" w:rsidRPr="00D050E9" w:rsidRDefault="00EF0E3C" w:rsidP="00EF0E3C">
      <w:pPr>
        <w:spacing w:after="0" w:line="276" w:lineRule="auto"/>
        <w:rPr>
          <w:rFonts w:asciiTheme="minorHAnsi" w:hAnsiTheme="minorHAnsi"/>
          <w:b/>
          <w:sz w:val="21"/>
          <w:szCs w:val="21"/>
        </w:rPr>
      </w:pP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b/>
          <w:sz w:val="21"/>
          <w:szCs w:val="21"/>
          <w:u w:val="single"/>
        </w:rPr>
        <w:t>Skupina D</w:t>
      </w:r>
      <w:r w:rsidRPr="00D050E9">
        <w:rPr>
          <w:rFonts w:asciiTheme="minorHAnsi" w:hAnsiTheme="minorHAnsi"/>
          <w:sz w:val="21"/>
          <w:szCs w:val="21"/>
        </w:rPr>
        <w:t>: garancije in jamstva, pomoč v tem primeru ustreza zavarovalnini, ki jo prejemnik prejme brezplačno ali po obrestni meri, nižji od tržne, če plača premijo za kritje tveganja</w:t>
      </w:r>
    </w:p>
    <w:p w:rsidR="00EF0E3C" w:rsidRPr="00D050E9" w:rsidRDefault="00EF0E3C" w:rsidP="00EF0E3C">
      <w:pPr>
        <w:spacing w:after="0" w:line="276" w:lineRule="auto"/>
        <w:rPr>
          <w:rFonts w:asciiTheme="minorHAnsi" w:hAnsiTheme="minorHAnsi"/>
          <w:sz w:val="21"/>
          <w:szCs w:val="21"/>
        </w:rPr>
      </w:pPr>
    </w:p>
    <w:p w:rsidR="00EF0E3C" w:rsidRPr="00D050E9" w:rsidRDefault="00EF0E3C" w:rsidP="00EF0E3C">
      <w:pPr>
        <w:spacing w:after="0" w:line="276" w:lineRule="auto"/>
        <w:rPr>
          <w:rFonts w:asciiTheme="minorHAnsi" w:hAnsiTheme="minorHAnsi"/>
          <w:sz w:val="21"/>
          <w:szCs w:val="21"/>
        </w:rPr>
      </w:pPr>
      <w:r w:rsidRPr="00D050E9">
        <w:rPr>
          <w:rFonts w:asciiTheme="minorHAnsi" w:hAnsiTheme="minorHAnsi"/>
          <w:sz w:val="21"/>
          <w:szCs w:val="21"/>
        </w:rPr>
        <w:t xml:space="preserve">Glede na </w:t>
      </w:r>
      <w:r w:rsidRPr="00D050E9">
        <w:rPr>
          <w:rFonts w:asciiTheme="minorHAnsi" w:hAnsiTheme="minorHAnsi"/>
          <w:b/>
          <w:sz w:val="21"/>
          <w:szCs w:val="21"/>
        </w:rPr>
        <w:t>vpliv na javne finance</w:t>
      </w:r>
      <w:r w:rsidRPr="00D050E9">
        <w:rPr>
          <w:rFonts w:asciiTheme="minorHAnsi" w:hAnsiTheme="minorHAnsi"/>
          <w:sz w:val="21"/>
          <w:szCs w:val="21"/>
        </w:rPr>
        <w:t xml:space="preserve"> se lahko pomoči in instrumente deli na i) pomoči, ki se zagotavljajo s proračunom (v obliki subvencij, kapitalskih naložb, ugodnih posojil, garancij – vse skupine instrumentov, razen skupine A2) in vplivajo na večje javnofinančne odhodke in ii) pomoči, ki se zagotavljajo s sistemom davčnih olajšav in izjem ter z oprostitvijo plačil prispevkov za socialno varnost (Skupina A2 - davčne olajšave ter oprostitve plačila socialnih prispevkov), ki se kažejo kot zmanjšanje javnofinančnih prihodkov. </w:t>
      </w:r>
    </w:p>
    <w:p w:rsidR="00EF0E3C" w:rsidRPr="00D050E9" w:rsidRDefault="00EF0E3C" w:rsidP="00EF0E3C">
      <w:pPr>
        <w:spacing w:after="0" w:line="276" w:lineRule="auto"/>
        <w:rPr>
          <w:rFonts w:asciiTheme="minorHAnsi" w:hAnsiTheme="minorHAnsi"/>
          <w:sz w:val="21"/>
          <w:szCs w:val="21"/>
        </w:rPr>
      </w:pPr>
    </w:p>
    <w:p w:rsidR="00EF0E3C" w:rsidRPr="00D050E9" w:rsidRDefault="00EF0E3C" w:rsidP="00EF0E3C">
      <w:pPr>
        <w:spacing w:after="0" w:line="276" w:lineRule="auto"/>
        <w:rPr>
          <w:rFonts w:asciiTheme="minorHAnsi" w:hAnsiTheme="minorHAnsi"/>
          <w:b/>
          <w:bCs/>
          <w:i/>
          <w:sz w:val="21"/>
          <w:szCs w:val="21"/>
        </w:rPr>
      </w:pPr>
      <w:r w:rsidRPr="00D050E9">
        <w:rPr>
          <w:rFonts w:asciiTheme="minorHAnsi" w:hAnsiTheme="minorHAnsi"/>
          <w:b/>
          <w:bCs/>
          <w:i/>
          <w:sz w:val="21"/>
          <w:szCs w:val="21"/>
        </w:rPr>
        <w:t xml:space="preserve">METODOLOGIJA OCENJEVANJA ELEMENTOV POMOČI </w:t>
      </w:r>
    </w:p>
    <w:p w:rsidR="00EF0E3C" w:rsidRPr="00D050E9" w:rsidRDefault="00EF0E3C" w:rsidP="00EF0E3C">
      <w:pPr>
        <w:spacing w:after="0" w:line="276" w:lineRule="auto"/>
        <w:rPr>
          <w:rFonts w:asciiTheme="minorHAnsi" w:hAnsiTheme="minorHAnsi"/>
          <w:b/>
          <w:bCs/>
          <w:sz w:val="21"/>
          <w:szCs w:val="21"/>
        </w:rPr>
      </w:pPr>
    </w:p>
    <w:p w:rsidR="00EF0E3C" w:rsidRPr="00D050E9" w:rsidRDefault="00EF0E3C" w:rsidP="00EF0E3C">
      <w:pPr>
        <w:spacing w:after="0" w:line="276" w:lineRule="auto"/>
        <w:rPr>
          <w:rFonts w:asciiTheme="minorHAnsi" w:hAnsiTheme="minorHAnsi"/>
          <w:b/>
          <w:bCs/>
          <w:sz w:val="21"/>
          <w:szCs w:val="21"/>
        </w:rPr>
      </w:pPr>
      <w:r w:rsidRPr="00D050E9">
        <w:rPr>
          <w:rFonts w:asciiTheme="minorHAnsi" w:hAnsiTheme="minorHAnsi"/>
          <w:b/>
          <w:bCs/>
          <w:sz w:val="21"/>
          <w:szCs w:val="21"/>
        </w:rPr>
        <w:t>SKUPINA A1</w:t>
      </w:r>
    </w:p>
    <w:p w:rsidR="00EF0E3C" w:rsidRPr="00D050E9" w:rsidRDefault="00EF0E3C" w:rsidP="00C93FA7">
      <w:pPr>
        <w:pStyle w:val="ListParagraph"/>
        <w:numPr>
          <w:ilvl w:val="0"/>
          <w:numId w:val="7"/>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subvencije - celotna vrednost prejete subvencije (v večini primerov so to po javno finančni statistiki subvencije);</w:t>
      </w:r>
    </w:p>
    <w:p w:rsidR="00EF0E3C" w:rsidRPr="00D050E9" w:rsidRDefault="00EF0E3C" w:rsidP="00C93FA7">
      <w:pPr>
        <w:pStyle w:val="ListParagraph"/>
        <w:numPr>
          <w:ilvl w:val="0"/>
          <w:numId w:val="7"/>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subvencije obresti, ki jih prejemniki prejmejo neposredno - celotna vrednost prejete subvencije (ali neplačanega dela obresti, če je država subvencioniranje za koristnika uredila neposredno preko banke);</w:t>
      </w:r>
    </w:p>
    <w:p w:rsidR="00EF0E3C" w:rsidRPr="00D050E9" w:rsidRDefault="00EF0E3C" w:rsidP="00C93FA7">
      <w:pPr>
        <w:pStyle w:val="ListParagraph"/>
        <w:numPr>
          <w:ilvl w:val="0"/>
          <w:numId w:val="7"/>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odpis dolga poslujočih podjetij iz kreditnih razmerij - celotna ocenjena vrednost odpisanega dolga</w:t>
      </w:r>
      <w:r w:rsidRPr="00D050E9">
        <w:rPr>
          <w:rStyle w:val="FootnoteReference"/>
          <w:rFonts w:asciiTheme="minorHAnsi" w:eastAsia="Times New Roman" w:hAnsiTheme="minorHAnsi"/>
          <w:sz w:val="21"/>
          <w:szCs w:val="21"/>
        </w:rPr>
        <w:footnoteReference w:customMarkFollows="1" w:id="37"/>
        <w:t>[1]</w:t>
      </w:r>
      <w:r w:rsidRPr="00D050E9">
        <w:rPr>
          <w:rFonts w:asciiTheme="minorHAnsi" w:eastAsia="Times New Roman" w:hAnsiTheme="minorHAnsi"/>
          <w:sz w:val="21"/>
          <w:szCs w:val="21"/>
        </w:rPr>
        <w:t>;</w:t>
      </w:r>
    </w:p>
    <w:p w:rsidR="00EF0E3C" w:rsidRPr="00D050E9" w:rsidRDefault="00EF0E3C" w:rsidP="00C93FA7">
      <w:pPr>
        <w:pStyle w:val="ListParagraph"/>
        <w:numPr>
          <w:ilvl w:val="0"/>
          <w:numId w:val="7"/>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prisilna poravnava in stečaj podjetij - ocenjeni zmanjšani znesek poravnave ali iztržka iz stečajne mase v primerjavi z drugimi upniki zaradi zavestno povzročenega slabšega položaja države kot upnice v postopku prisilne poravnave ali stečaja.</w:t>
      </w:r>
    </w:p>
    <w:p w:rsidR="00EF0E3C" w:rsidRPr="00D050E9" w:rsidRDefault="00EF0E3C" w:rsidP="00EF0E3C">
      <w:pPr>
        <w:spacing w:after="0" w:line="276" w:lineRule="auto"/>
        <w:rPr>
          <w:rFonts w:asciiTheme="minorHAnsi" w:hAnsiTheme="minorHAnsi"/>
          <w:b/>
          <w:bCs/>
          <w:sz w:val="21"/>
          <w:szCs w:val="21"/>
        </w:rPr>
      </w:pPr>
      <w:r w:rsidRPr="00D050E9">
        <w:rPr>
          <w:rFonts w:asciiTheme="minorHAnsi" w:hAnsiTheme="minorHAnsi"/>
          <w:b/>
          <w:bCs/>
          <w:sz w:val="21"/>
          <w:szCs w:val="21"/>
        </w:rPr>
        <w:t>SKUPINA A2</w:t>
      </w:r>
    </w:p>
    <w:p w:rsidR="00EF0E3C" w:rsidRPr="00D050E9" w:rsidRDefault="00EF0E3C" w:rsidP="00C93FA7">
      <w:pPr>
        <w:pStyle w:val="ListParagraph"/>
        <w:numPr>
          <w:ilvl w:val="0"/>
          <w:numId w:val="8"/>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odlog plačila davkov - znesek obresti za zamik, izračunan na sedanjo vrednost po realni letni referenčni obrestni meri;</w:t>
      </w:r>
    </w:p>
    <w:p w:rsidR="00EF0E3C" w:rsidRPr="009F6E61" w:rsidRDefault="00EF0E3C" w:rsidP="00C93FA7">
      <w:pPr>
        <w:pStyle w:val="ListParagraph"/>
        <w:numPr>
          <w:ilvl w:val="0"/>
          <w:numId w:val="8"/>
        </w:numPr>
        <w:spacing w:after="0" w:line="276" w:lineRule="auto"/>
        <w:rPr>
          <w:rFonts w:asciiTheme="minorHAnsi" w:eastAsia="Times New Roman" w:hAnsiTheme="minorHAnsi"/>
          <w:sz w:val="21"/>
          <w:szCs w:val="21"/>
        </w:rPr>
      </w:pPr>
      <w:r w:rsidRPr="009F6E61">
        <w:rPr>
          <w:rFonts w:asciiTheme="minorHAnsi" w:eastAsia="Times New Roman" w:hAnsiTheme="minorHAnsi"/>
          <w:sz w:val="21"/>
          <w:szCs w:val="21"/>
        </w:rPr>
        <w:t xml:space="preserve">davčne </w:t>
      </w:r>
      <w:r w:rsidR="00BA28D5" w:rsidRPr="009F6E61">
        <w:rPr>
          <w:rFonts w:asciiTheme="minorHAnsi" w:eastAsia="Times New Roman" w:hAnsiTheme="minorHAnsi"/>
          <w:sz w:val="21"/>
          <w:szCs w:val="21"/>
        </w:rPr>
        <w:t xml:space="preserve">izjeme in </w:t>
      </w:r>
      <w:r w:rsidRPr="009F6E61">
        <w:rPr>
          <w:rFonts w:asciiTheme="minorHAnsi" w:eastAsia="Times New Roman" w:hAnsiTheme="minorHAnsi"/>
          <w:sz w:val="21"/>
          <w:szCs w:val="21"/>
        </w:rPr>
        <w:t xml:space="preserve">olajšave in izjeme - med davčne olajšave in izjeme ne sodijo vse tiste olajšave, ki imajo splošni značaj (npr. olajšave za investiranje v okviru davka od dohodkov pravnih oseb, zmanjšanje davčne osnove za znesek pokrivanja izgub iz preteklih let, ipd.), temveč le olajšave, ki so specifične za določeno podjetje ali skupino podjetij; element državne pomoči je celoten znesek </w:t>
      </w:r>
      <w:r w:rsidR="00CC2F87" w:rsidRPr="009F6E61">
        <w:rPr>
          <w:rFonts w:asciiTheme="minorHAnsi" w:eastAsia="Times New Roman" w:hAnsiTheme="minorHAnsi"/>
          <w:sz w:val="21"/>
          <w:szCs w:val="21"/>
        </w:rPr>
        <w:t xml:space="preserve">znižanja davka zaradi </w:t>
      </w:r>
      <w:r w:rsidRPr="009F6E61">
        <w:rPr>
          <w:rFonts w:asciiTheme="minorHAnsi" w:eastAsia="Times New Roman" w:hAnsiTheme="minorHAnsi"/>
          <w:sz w:val="21"/>
          <w:szCs w:val="21"/>
        </w:rPr>
        <w:t>davčne olajšave oz. izjeme;</w:t>
      </w:r>
    </w:p>
    <w:p w:rsidR="00270EE3" w:rsidRPr="006041D4" w:rsidRDefault="00EF0E3C" w:rsidP="00EF0E3C">
      <w:pPr>
        <w:pStyle w:val="ListParagraph"/>
        <w:numPr>
          <w:ilvl w:val="0"/>
          <w:numId w:val="8"/>
        </w:numPr>
        <w:spacing w:after="0" w:line="276" w:lineRule="auto"/>
        <w:rPr>
          <w:rFonts w:asciiTheme="minorHAnsi" w:hAnsiTheme="minorHAnsi"/>
          <w:b/>
          <w:bCs/>
          <w:sz w:val="21"/>
          <w:szCs w:val="21"/>
        </w:rPr>
      </w:pPr>
      <w:r w:rsidRPr="006041D4">
        <w:rPr>
          <w:rFonts w:asciiTheme="minorHAnsi" w:eastAsia="Times New Roman" w:hAnsiTheme="minorHAnsi"/>
          <w:sz w:val="21"/>
          <w:szCs w:val="21"/>
        </w:rPr>
        <w:t>oprostitve in olajšave pri plačilu prispevkov za socialno varnost - med oprostitve in olajšave pri plačilu prispevkov za socialno varnost velja enaka logika kot pri davčnih oprostitvah - med državne pomoči ne sodijo vse tiste olajšave, ki imajo splošni značaj</w:t>
      </w:r>
      <w:r w:rsidR="006041D4">
        <w:rPr>
          <w:rFonts w:asciiTheme="minorHAnsi" w:eastAsia="Times New Roman" w:hAnsiTheme="minorHAnsi"/>
          <w:sz w:val="21"/>
          <w:szCs w:val="21"/>
        </w:rPr>
        <w:t xml:space="preserve">; </w:t>
      </w:r>
    </w:p>
    <w:p w:rsidR="006041D4" w:rsidRPr="006041D4" w:rsidRDefault="006041D4" w:rsidP="006041D4">
      <w:pPr>
        <w:pStyle w:val="ListParagraph"/>
        <w:spacing w:after="0" w:line="276" w:lineRule="auto"/>
        <w:rPr>
          <w:rFonts w:asciiTheme="minorHAnsi" w:hAnsiTheme="minorHAnsi"/>
          <w:b/>
          <w:bCs/>
          <w:sz w:val="21"/>
          <w:szCs w:val="21"/>
        </w:rPr>
      </w:pPr>
    </w:p>
    <w:p w:rsidR="00EF0E3C" w:rsidRPr="00D050E9" w:rsidRDefault="00EF0E3C" w:rsidP="00EF0E3C">
      <w:pPr>
        <w:spacing w:after="0" w:line="276" w:lineRule="auto"/>
        <w:rPr>
          <w:rFonts w:asciiTheme="minorHAnsi" w:hAnsiTheme="minorHAnsi"/>
          <w:b/>
          <w:bCs/>
          <w:sz w:val="21"/>
          <w:szCs w:val="21"/>
        </w:rPr>
      </w:pPr>
      <w:r w:rsidRPr="00D050E9">
        <w:rPr>
          <w:rFonts w:asciiTheme="minorHAnsi" w:hAnsiTheme="minorHAnsi"/>
          <w:b/>
          <w:bCs/>
          <w:sz w:val="21"/>
          <w:szCs w:val="21"/>
        </w:rPr>
        <w:t>SKUPINA B1</w:t>
      </w:r>
    </w:p>
    <w:p w:rsidR="00EF0E3C" w:rsidRPr="00D050E9" w:rsidRDefault="00EF0E3C" w:rsidP="00C93FA7">
      <w:pPr>
        <w:pStyle w:val="ListParagraph"/>
        <w:numPr>
          <w:ilvl w:val="0"/>
          <w:numId w:val="9"/>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kapitalske naložbe - element državnih pomoči je v vseh tistih naložbah, ki nimajo ustvarjanja dobička kot primarnega cilja državne naložbe; element pomoči je ocenjena vrednost koristi za prejemnika pomoči;</w:t>
      </w:r>
    </w:p>
    <w:p w:rsidR="00EF0E3C" w:rsidRPr="00D050E9" w:rsidRDefault="00EF0E3C" w:rsidP="00C93FA7">
      <w:pPr>
        <w:pStyle w:val="ListParagraph"/>
        <w:numPr>
          <w:ilvl w:val="0"/>
          <w:numId w:val="9"/>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konverzija terjatev v kapitalske naložbe - element pomoči je v primeru, kadar država ni v enakem položaju kot ostali nosilci terjatev, temveč v slabšem; element pomoči je ocenjena vrednost koristi prejemnika, ki jo ima zaradi slabšega položaja države;</w:t>
      </w:r>
    </w:p>
    <w:p w:rsidR="00EF0E3C" w:rsidRPr="00D050E9" w:rsidRDefault="00EF0E3C" w:rsidP="00C93FA7">
      <w:pPr>
        <w:pStyle w:val="ListParagraph"/>
        <w:numPr>
          <w:ilvl w:val="0"/>
          <w:numId w:val="9"/>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ugodne prodaje državnega premoženja - element državne pomoči je razlika med prodajno ceno premoženja in njegovo tržno vrednostjo (licitacija - 3 ponudbe; cenitvena vrednost);</w:t>
      </w:r>
    </w:p>
    <w:p w:rsidR="00EF0E3C" w:rsidRPr="00D050E9" w:rsidRDefault="00EF0E3C" w:rsidP="00C93FA7">
      <w:pPr>
        <w:pStyle w:val="ListParagraph"/>
        <w:numPr>
          <w:ilvl w:val="0"/>
          <w:numId w:val="9"/>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odpoved oz. zmanjšanje na udeležbi na dobičku podjetja - del razdeljenega dobička, ki izhaja iz lastnine države v podjetju in se mu država odpove, je v celoti element državne pomoči.</w:t>
      </w:r>
    </w:p>
    <w:p w:rsidR="00EF0E3C" w:rsidRPr="00D050E9" w:rsidRDefault="00EF0E3C" w:rsidP="00EF0E3C">
      <w:pPr>
        <w:spacing w:after="0" w:line="276" w:lineRule="auto"/>
        <w:rPr>
          <w:rFonts w:asciiTheme="minorHAnsi" w:hAnsiTheme="minorHAnsi"/>
          <w:sz w:val="21"/>
          <w:szCs w:val="21"/>
        </w:rPr>
      </w:pPr>
    </w:p>
    <w:p w:rsidR="00EF0E3C" w:rsidRPr="00D050E9" w:rsidRDefault="00EF0E3C" w:rsidP="00EF0E3C">
      <w:pPr>
        <w:spacing w:after="0" w:line="276" w:lineRule="auto"/>
        <w:rPr>
          <w:rFonts w:asciiTheme="minorHAnsi" w:hAnsiTheme="minorHAnsi"/>
          <w:b/>
          <w:bCs/>
          <w:sz w:val="21"/>
          <w:szCs w:val="21"/>
        </w:rPr>
      </w:pPr>
      <w:r w:rsidRPr="00D050E9">
        <w:rPr>
          <w:rFonts w:asciiTheme="minorHAnsi" w:hAnsiTheme="minorHAnsi"/>
          <w:b/>
          <w:bCs/>
          <w:sz w:val="21"/>
          <w:szCs w:val="21"/>
        </w:rPr>
        <w:t>SKUPINA C1</w:t>
      </w:r>
    </w:p>
    <w:p w:rsidR="00EF0E3C" w:rsidRPr="00D050E9" w:rsidRDefault="00EF0E3C" w:rsidP="00C93FA7">
      <w:pPr>
        <w:pStyle w:val="ListParagraph"/>
        <w:numPr>
          <w:ilvl w:val="0"/>
          <w:numId w:val="10"/>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 xml:space="preserve">ugodna posojila - razlika med stroški kredita z ugodno obrestno mero in letno referenčno obrestno mero, ki jo določi Evropska komisija </w:t>
      </w:r>
      <w:r w:rsidRPr="00D050E9">
        <w:rPr>
          <w:rStyle w:val="FootnoteReference"/>
          <w:rFonts w:asciiTheme="minorHAnsi" w:eastAsia="Times New Roman" w:hAnsiTheme="minorHAnsi"/>
          <w:sz w:val="21"/>
          <w:szCs w:val="21"/>
        </w:rPr>
        <w:footnoteReference w:customMarkFollows="1" w:id="38"/>
        <w:t>[2]</w:t>
      </w:r>
      <w:r w:rsidRPr="00D050E9">
        <w:rPr>
          <w:rFonts w:asciiTheme="minorHAnsi" w:eastAsia="Times New Roman" w:hAnsiTheme="minorHAnsi"/>
          <w:sz w:val="21"/>
          <w:szCs w:val="21"/>
        </w:rPr>
        <w:t>; izračun se izdela za celotno dobo kreditiranja (lahko poenostavljeno linearno za vsa leta enako) in vpiše v letu prejema kredita oz. prve tranše;</w:t>
      </w:r>
    </w:p>
    <w:p w:rsidR="00EF0E3C" w:rsidRPr="00D050E9" w:rsidRDefault="00EF0E3C" w:rsidP="00C93FA7">
      <w:pPr>
        <w:pStyle w:val="ListParagraph"/>
        <w:numPr>
          <w:ilvl w:val="0"/>
          <w:numId w:val="10"/>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posojila podjetjem v težavah - za podjetja v težavah (v prestrukturiranju), ki na trgu nimajo možnosti pridobitve kredita, je državna pomoč 20% vrednosti kredita ne glede na to, da je bil kredit izplačan po tržnih (ali celo slabših) pogojih;</w:t>
      </w:r>
    </w:p>
    <w:p w:rsidR="00EF0E3C" w:rsidRPr="00D050E9" w:rsidRDefault="00EF0E3C" w:rsidP="00C93FA7">
      <w:pPr>
        <w:pStyle w:val="ListParagraph"/>
        <w:numPr>
          <w:ilvl w:val="0"/>
          <w:numId w:val="10"/>
        </w:numPr>
        <w:spacing w:after="0" w:line="276" w:lineRule="auto"/>
        <w:rPr>
          <w:rFonts w:asciiTheme="minorHAnsi" w:eastAsia="Times New Roman" w:hAnsiTheme="minorHAnsi"/>
          <w:sz w:val="21"/>
          <w:szCs w:val="21"/>
        </w:rPr>
      </w:pPr>
      <w:r w:rsidRPr="00D050E9">
        <w:rPr>
          <w:rFonts w:asciiTheme="minorHAnsi" w:eastAsia="Times New Roman" w:hAnsiTheme="minorHAnsi"/>
          <w:sz w:val="21"/>
          <w:szCs w:val="21"/>
        </w:rPr>
        <w:t>vračljivi predujmi (vračljivi avansi).</w:t>
      </w:r>
    </w:p>
    <w:p w:rsidR="00EF0E3C" w:rsidRPr="00D050E9" w:rsidRDefault="00EF0E3C" w:rsidP="00EF0E3C">
      <w:pPr>
        <w:spacing w:after="0" w:line="276" w:lineRule="auto"/>
        <w:rPr>
          <w:rFonts w:asciiTheme="minorHAnsi" w:hAnsiTheme="minorHAnsi"/>
          <w:sz w:val="21"/>
          <w:szCs w:val="21"/>
        </w:rPr>
      </w:pPr>
    </w:p>
    <w:p w:rsidR="00EF0E3C" w:rsidRPr="00D050E9" w:rsidRDefault="00EF0E3C" w:rsidP="00EF0E3C">
      <w:pPr>
        <w:spacing w:after="0" w:line="276" w:lineRule="auto"/>
        <w:rPr>
          <w:rFonts w:asciiTheme="minorHAnsi" w:hAnsiTheme="minorHAnsi"/>
          <w:b/>
          <w:bCs/>
          <w:sz w:val="21"/>
          <w:szCs w:val="21"/>
        </w:rPr>
      </w:pPr>
      <w:r w:rsidRPr="00D050E9">
        <w:rPr>
          <w:rFonts w:asciiTheme="minorHAnsi" w:hAnsiTheme="minorHAnsi"/>
          <w:b/>
          <w:bCs/>
          <w:sz w:val="21"/>
          <w:szCs w:val="21"/>
        </w:rPr>
        <w:t>SKUPINA C2</w:t>
      </w:r>
    </w:p>
    <w:p w:rsidR="00EF0E3C" w:rsidRPr="00D050E9" w:rsidRDefault="00EF0E3C" w:rsidP="00C93FA7">
      <w:pPr>
        <w:pStyle w:val="ListParagraph"/>
        <w:numPr>
          <w:ilvl w:val="0"/>
          <w:numId w:val="11"/>
        </w:numPr>
        <w:spacing w:after="0" w:line="276" w:lineRule="auto"/>
        <w:rPr>
          <w:rFonts w:asciiTheme="minorHAnsi" w:hAnsiTheme="minorHAnsi"/>
          <w:sz w:val="21"/>
          <w:szCs w:val="21"/>
        </w:rPr>
      </w:pPr>
      <w:r w:rsidRPr="00D050E9">
        <w:rPr>
          <w:rFonts w:asciiTheme="minorHAnsi" w:hAnsiTheme="minorHAnsi"/>
          <w:sz w:val="21"/>
          <w:szCs w:val="21"/>
        </w:rPr>
        <w:t>drugi viri pomoči - ocenjene vrednosti pomoči.</w:t>
      </w:r>
    </w:p>
    <w:p w:rsidR="00EF0E3C" w:rsidRPr="00D050E9" w:rsidRDefault="00EF0E3C" w:rsidP="00EF0E3C">
      <w:pPr>
        <w:spacing w:after="0" w:line="276" w:lineRule="auto"/>
        <w:rPr>
          <w:rFonts w:asciiTheme="minorHAnsi" w:hAnsiTheme="minorHAnsi"/>
          <w:sz w:val="21"/>
          <w:szCs w:val="21"/>
        </w:rPr>
      </w:pPr>
    </w:p>
    <w:p w:rsidR="00EF0E3C" w:rsidRPr="00D050E9" w:rsidRDefault="00EF0E3C" w:rsidP="00EF0E3C">
      <w:pPr>
        <w:spacing w:after="0" w:line="276" w:lineRule="auto"/>
        <w:rPr>
          <w:rFonts w:asciiTheme="minorHAnsi" w:hAnsiTheme="minorHAnsi"/>
          <w:b/>
          <w:bCs/>
          <w:sz w:val="21"/>
          <w:szCs w:val="21"/>
        </w:rPr>
      </w:pPr>
      <w:r w:rsidRPr="00D050E9">
        <w:rPr>
          <w:rFonts w:asciiTheme="minorHAnsi" w:hAnsiTheme="minorHAnsi"/>
          <w:b/>
          <w:bCs/>
          <w:sz w:val="21"/>
          <w:szCs w:val="21"/>
        </w:rPr>
        <w:t>Skupina D</w:t>
      </w:r>
    </w:p>
    <w:p w:rsidR="00EF0E3C" w:rsidRPr="00D050E9" w:rsidRDefault="00EF0E3C" w:rsidP="00C93FA7">
      <w:pPr>
        <w:pStyle w:val="ListParagraph"/>
        <w:numPr>
          <w:ilvl w:val="0"/>
          <w:numId w:val="11"/>
        </w:numPr>
        <w:spacing w:after="0" w:line="276" w:lineRule="auto"/>
        <w:rPr>
          <w:rFonts w:asciiTheme="minorHAnsi" w:hAnsiTheme="minorHAnsi"/>
          <w:sz w:val="21"/>
          <w:szCs w:val="21"/>
        </w:rPr>
      </w:pPr>
      <w:r w:rsidRPr="00D050E9">
        <w:rPr>
          <w:rFonts w:asciiTheme="minorHAnsi" w:hAnsiTheme="minorHAnsi"/>
          <w:sz w:val="21"/>
          <w:szCs w:val="21"/>
        </w:rPr>
        <w:t>D1 garancije - razlika med državno garancijo, ki je brezplačna ali po nižji ceni in med tržno garancijo; element pomoči se izračuna preko garantiranega zneska dolga in referenčno stopnjo za riziko - strošek garancije;</w:t>
      </w:r>
    </w:p>
    <w:p w:rsidR="00EF0E3C" w:rsidRPr="00D050E9" w:rsidRDefault="00EF0E3C" w:rsidP="00C93FA7">
      <w:pPr>
        <w:pStyle w:val="ListParagraph"/>
        <w:numPr>
          <w:ilvl w:val="0"/>
          <w:numId w:val="11"/>
        </w:numPr>
        <w:spacing w:after="0" w:line="276" w:lineRule="auto"/>
        <w:rPr>
          <w:rFonts w:asciiTheme="minorHAnsi" w:hAnsiTheme="minorHAnsi"/>
          <w:b/>
          <w:color w:val="7030A0"/>
          <w:sz w:val="24"/>
        </w:rPr>
      </w:pPr>
      <w:r w:rsidRPr="00D050E9">
        <w:rPr>
          <w:rFonts w:asciiTheme="minorHAnsi" w:hAnsiTheme="minorHAnsi"/>
          <w:sz w:val="21"/>
          <w:szCs w:val="21"/>
        </w:rPr>
        <w:t>D1A garancije (plačilo garantiranih obveznosti) - celotno plačilo garantiranih obveznosti.</w:t>
      </w:r>
    </w:p>
    <w:p w:rsidR="003075A9" w:rsidRPr="00D050E9" w:rsidRDefault="003075A9" w:rsidP="007805F3">
      <w:pPr>
        <w:pStyle w:val="Heading2"/>
      </w:pPr>
      <w:bookmarkStart w:id="203" w:name="_Toc530654583"/>
      <w:r w:rsidRPr="00D050E9">
        <w:t>PRILOGA C: PODROBNEJŠI PODATKI O DRŽAVNIH POMOČEH V SLOVENIJI</w:t>
      </w:r>
      <w:bookmarkEnd w:id="203"/>
    </w:p>
    <w:p w:rsidR="00B14AD8" w:rsidRPr="00D050E9" w:rsidRDefault="00B14AD8" w:rsidP="007C5EB0">
      <w:pPr>
        <w:spacing w:line="276" w:lineRule="auto"/>
        <w:rPr>
          <w:rFonts w:asciiTheme="minorHAnsi" w:hAnsiTheme="minorHAnsi"/>
          <w:b/>
        </w:rPr>
      </w:pPr>
    </w:p>
    <w:p w:rsidR="007C5EB0" w:rsidRPr="00D050E9" w:rsidRDefault="007C5EB0" w:rsidP="007C5EB0">
      <w:pPr>
        <w:spacing w:line="276" w:lineRule="auto"/>
        <w:rPr>
          <w:rFonts w:asciiTheme="minorHAnsi" w:hAnsiTheme="minorHAnsi"/>
        </w:rPr>
      </w:pPr>
      <w:r w:rsidRPr="00D050E9">
        <w:rPr>
          <w:rFonts w:asciiTheme="minorHAnsi" w:hAnsiTheme="minorHAnsi"/>
          <w:b/>
        </w:rPr>
        <w:t>Tabela P1</w:t>
      </w:r>
      <w:r w:rsidRPr="00D050E9">
        <w:rPr>
          <w:rFonts w:asciiTheme="minorHAnsi" w:hAnsiTheme="minorHAnsi"/>
        </w:rPr>
        <w:t>: Državne pomoči v Sloveniji po skupinah (ciljih) in kategorijah, 2015–2017</w:t>
      </w:r>
    </w:p>
    <w:p w:rsidR="007C5EB0" w:rsidRPr="00D050E9" w:rsidRDefault="007C5EB0" w:rsidP="007C5EB0">
      <w:pPr>
        <w:spacing w:line="276" w:lineRule="auto"/>
        <w:rPr>
          <w:rFonts w:asciiTheme="minorHAnsi" w:hAnsiTheme="minorHAnsi"/>
        </w:rPr>
      </w:pPr>
      <w:r w:rsidRPr="00D050E9">
        <w:rPr>
          <w:rFonts w:asciiTheme="minorHAnsi" w:hAnsiTheme="minorHAnsi"/>
          <w:b/>
        </w:rPr>
        <w:t xml:space="preserve">Tabela P2: </w:t>
      </w:r>
      <w:r w:rsidRPr="00D050E9">
        <w:rPr>
          <w:rFonts w:asciiTheme="minorHAnsi" w:hAnsiTheme="minorHAnsi"/>
        </w:rPr>
        <w:t>Državne pomoči v Sloveniji po instrumentnih, 2015–2017</w:t>
      </w:r>
    </w:p>
    <w:p w:rsidR="007C5EB0" w:rsidRPr="00D050E9" w:rsidRDefault="007C5EB0" w:rsidP="007C5EB0">
      <w:pPr>
        <w:spacing w:line="276" w:lineRule="auto"/>
        <w:rPr>
          <w:rFonts w:asciiTheme="minorHAnsi" w:hAnsiTheme="minorHAnsi"/>
        </w:rPr>
      </w:pPr>
      <w:r w:rsidRPr="00D050E9">
        <w:rPr>
          <w:rFonts w:asciiTheme="minorHAnsi" w:hAnsiTheme="minorHAnsi"/>
          <w:b/>
        </w:rPr>
        <w:t xml:space="preserve">Tabela P3: </w:t>
      </w:r>
      <w:r w:rsidRPr="00D050E9">
        <w:rPr>
          <w:rFonts w:asciiTheme="minorHAnsi" w:hAnsiTheme="minorHAnsi"/>
        </w:rPr>
        <w:t>Državne pomoči v Sloveniji po instrumentih in kategorijah, 2015–2017</w:t>
      </w:r>
    </w:p>
    <w:p w:rsidR="007C5EB0" w:rsidRPr="00D050E9" w:rsidRDefault="007C5EB0" w:rsidP="007C5EB0">
      <w:pPr>
        <w:spacing w:line="276" w:lineRule="auto"/>
        <w:rPr>
          <w:rFonts w:asciiTheme="minorHAnsi" w:hAnsiTheme="minorHAnsi"/>
        </w:rPr>
      </w:pPr>
      <w:r w:rsidRPr="00D050E9">
        <w:rPr>
          <w:rFonts w:asciiTheme="minorHAnsi" w:hAnsiTheme="minorHAnsi"/>
          <w:b/>
        </w:rPr>
        <w:t>Tabela P4</w:t>
      </w:r>
      <w:r w:rsidRPr="00D050E9">
        <w:rPr>
          <w:rFonts w:asciiTheme="minorHAnsi" w:hAnsiTheme="minorHAnsi"/>
        </w:rPr>
        <w:t xml:space="preserve">: Državne pomoči po dajalcih pomoči in kategoriji pomoči, 2015–2017 </w:t>
      </w:r>
    </w:p>
    <w:p w:rsidR="007C5EB0" w:rsidRPr="00D050E9" w:rsidRDefault="007C5EB0" w:rsidP="007C5EB0">
      <w:pPr>
        <w:spacing w:line="276" w:lineRule="auto"/>
        <w:rPr>
          <w:rFonts w:asciiTheme="minorHAnsi" w:hAnsiTheme="minorHAnsi"/>
        </w:rPr>
      </w:pPr>
      <w:r w:rsidRPr="00D050E9">
        <w:rPr>
          <w:rFonts w:asciiTheme="minorHAnsi" w:hAnsiTheme="minorHAnsi"/>
          <w:b/>
        </w:rPr>
        <w:t xml:space="preserve">Tabela P5: </w:t>
      </w:r>
      <w:r w:rsidRPr="00D050E9">
        <w:rPr>
          <w:rFonts w:asciiTheme="minorHAnsi" w:hAnsiTheme="minorHAnsi"/>
        </w:rPr>
        <w:t>Državne pomoči po statističnih regijah, 2015–2017</w:t>
      </w:r>
    </w:p>
    <w:p w:rsidR="007C5EB0" w:rsidRPr="00D050E9" w:rsidRDefault="007C5EB0" w:rsidP="007C5EB0">
      <w:pPr>
        <w:spacing w:line="276" w:lineRule="auto"/>
        <w:rPr>
          <w:rFonts w:asciiTheme="minorHAnsi" w:hAnsiTheme="minorHAnsi"/>
          <w:b/>
        </w:rPr>
      </w:pPr>
      <w:r w:rsidRPr="00D050E9">
        <w:rPr>
          <w:rFonts w:asciiTheme="minorHAnsi" w:hAnsiTheme="minorHAnsi"/>
          <w:b/>
        </w:rPr>
        <w:t xml:space="preserve">Tabela P6: </w:t>
      </w:r>
      <w:r w:rsidRPr="00D050E9">
        <w:rPr>
          <w:rFonts w:asciiTheme="minorHAnsi" w:hAnsiTheme="minorHAnsi"/>
        </w:rPr>
        <w:t>Državne pomoči v Sloveniji po statističnih regijah in kategorijah, 2015–2017</w:t>
      </w:r>
    </w:p>
    <w:p w:rsidR="007C5EB0" w:rsidRPr="00D050E9" w:rsidRDefault="007C5EB0" w:rsidP="007C5EB0">
      <w:pPr>
        <w:spacing w:line="276" w:lineRule="auto"/>
        <w:rPr>
          <w:rFonts w:asciiTheme="minorHAnsi" w:hAnsiTheme="minorHAnsi"/>
        </w:rPr>
      </w:pPr>
      <w:r w:rsidRPr="00D050E9">
        <w:rPr>
          <w:rFonts w:asciiTheme="minorHAnsi" w:hAnsiTheme="minorHAnsi"/>
          <w:b/>
        </w:rPr>
        <w:t xml:space="preserve">Tabela P7: </w:t>
      </w:r>
      <w:r w:rsidRPr="00D050E9">
        <w:rPr>
          <w:rFonts w:asciiTheme="minorHAnsi" w:hAnsiTheme="minorHAnsi"/>
        </w:rPr>
        <w:t>Prejemniki pomoči, ki so v obdobju 2015–2017 prejeli več kot 500.000 EUR, po kategorijah pomoči</w:t>
      </w:r>
    </w:p>
    <w:p w:rsidR="007C5EB0" w:rsidRPr="00D050E9" w:rsidRDefault="007C5EB0" w:rsidP="007C5EB0">
      <w:pPr>
        <w:spacing w:line="276" w:lineRule="auto"/>
        <w:rPr>
          <w:rFonts w:asciiTheme="minorHAnsi" w:hAnsiTheme="minorHAnsi"/>
        </w:rPr>
      </w:pPr>
      <w:r w:rsidRPr="00D050E9">
        <w:rPr>
          <w:rFonts w:asciiTheme="minorHAnsi" w:hAnsiTheme="minorHAnsi"/>
          <w:b/>
        </w:rPr>
        <w:t xml:space="preserve">Tabela P8: </w:t>
      </w:r>
      <w:r w:rsidRPr="00D050E9">
        <w:rPr>
          <w:rFonts w:asciiTheme="minorHAnsi" w:hAnsiTheme="minorHAnsi"/>
        </w:rPr>
        <w:t>Prejemniki pomoči, ki so v obdobju 2015–2017 prejeli več kot 500.000 EUR, po statističnih regijah</w:t>
      </w:r>
    </w:p>
    <w:p w:rsidR="007C5EB0" w:rsidRPr="00D050E9" w:rsidRDefault="007C5EB0" w:rsidP="007C5EB0">
      <w:pPr>
        <w:spacing w:line="276" w:lineRule="auto"/>
        <w:rPr>
          <w:rFonts w:asciiTheme="minorHAnsi" w:hAnsiTheme="minorHAnsi"/>
          <w:b/>
        </w:rPr>
      </w:pPr>
      <w:r w:rsidRPr="00D050E9">
        <w:rPr>
          <w:rFonts w:asciiTheme="minorHAnsi" w:hAnsiTheme="minorHAnsi"/>
          <w:b/>
        </w:rPr>
        <w:t xml:space="preserve">Tabela P9: </w:t>
      </w:r>
      <w:r w:rsidRPr="00D050E9">
        <w:rPr>
          <w:rFonts w:asciiTheme="minorHAnsi" w:hAnsiTheme="minorHAnsi"/>
        </w:rPr>
        <w:t>Prejemniki pomoči, ki so v obdobju 2015–2017 prejeli več kot 1 mio EUR pomoči</w:t>
      </w:r>
    </w:p>
    <w:p w:rsidR="00FC780B" w:rsidRPr="00D050E9" w:rsidRDefault="00FC780B" w:rsidP="00AA7435">
      <w:pPr>
        <w:spacing w:line="276" w:lineRule="auto"/>
        <w:rPr>
          <w:rFonts w:asciiTheme="minorHAnsi" w:hAnsiTheme="minorHAnsi"/>
          <w:b/>
          <w:color w:val="7030A0"/>
          <w:sz w:val="24"/>
        </w:rPr>
      </w:pPr>
    </w:p>
    <w:p w:rsidR="00B14AD8" w:rsidRPr="00D050E9" w:rsidRDefault="00B14AD8">
      <w:pPr>
        <w:spacing w:line="276" w:lineRule="auto"/>
        <w:jc w:val="left"/>
      </w:pPr>
      <w:r w:rsidRPr="00D050E9">
        <w:br w:type="page"/>
      </w:r>
    </w:p>
    <w:p w:rsidR="00B14AD8" w:rsidRPr="00D050E9" w:rsidRDefault="00B14AD8" w:rsidP="00B14AD8">
      <w:pPr>
        <w:spacing w:line="276" w:lineRule="auto"/>
        <w:rPr>
          <w:rFonts w:asciiTheme="minorHAnsi" w:hAnsiTheme="minorHAnsi"/>
          <w:b/>
        </w:rPr>
      </w:pPr>
      <w:r w:rsidRPr="00D050E9">
        <w:rPr>
          <w:rFonts w:asciiTheme="minorHAnsi" w:hAnsiTheme="minorHAnsi"/>
          <w:b/>
        </w:rPr>
        <w:t>Tabela P1: Državne pomoči v Sloveniji po skupinah (ciljih) in kategorijah, 2015–2017</w:t>
      </w:r>
    </w:p>
    <w:tbl>
      <w:tblPr>
        <w:tblW w:w="5000" w:type="pct"/>
        <w:tblLayout w:type="fixed"/>
        <w:tblCellMar>
          <w:left w:w="70" w:type="dxa"/>
          <w:right w:w="70" w:type="dxa"/>
        </w:tblCellMar>
        <w:tblLook w:val="04A0" w:firstRow="1" w:lastRow="0" w:firstColumn="1" w:lastColumn="0" w:noHBand="0" w:noVBand="1"/>
      </w:tblPr>
      <w:tblGrid>
        <w:gridCol w:w="2223"/>
        <w:gridCol w:w="718"/>
        <w:gridCol w:w="865"/>
        <w:gridCol w:w="856"/>
        <w:gridCol w:w="860"/>
        <w:gridCol w:w="727"/>
        <w:gridCol w:w="716"/>
        <w:gridCol w:w="863"/>
        <w:gridCol w:w="813"/>
        <w:gridCol w:w="683"/>
      </w:tblGrid>
      <w:tr w:rsidR="00B14AD8" w:rsidRPr="00D050E9" w:rsidTr="00CE6D2D">
        <w:trPr>
          <w:trHeight w:val="20"/>
        </w:trPr>
        <w:tc>
          <w:tcPr>
            <w:tcW w:w="1192" w:type="pct"/>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B14AD8" w:rsidRPr="00D050E9" w:rsidRDefault="00B14AD8" w:rsidP="00CE6D2D">
            <w:pPr>
              <w:spacing w:after="0"/>
              <w:jc w:val="center"/>
              <w:rPr>
                <w:rFonts w:asciiTheme="minorHAnsi" w:eastAsia="Times New Roman" w:hAnsiTheme="minorHAnsi" w:cs="Arial"/>
                <w:b/>
                <w:bCs/>
                <w:sz w:val="18"/>
                <w:szCs w:val="19"/>
                <w:lang w:eastAsia="sl-SI"/>
              </w:rPr>
            </w:pPr>
            <w:r w:rsidRPr="00D050E9">
              <w:rPr>
                <w:rFonts w:asciiTheme="minorHAnsi" w:eastAsia="Times New Roman" w:hAnsiTheme="minorHAnsi" w:cs="Arial"/>
                <w:b/>
                <w:bCs/>
                <w:sz w:val="18"/>
                <w:szCs w:val="19"/>
                <w:lang w:eastAsia="sl-SI"/>
              </w:rPr>
              <w:t>Skupina / Kategorija</w:t>
            </w:r>
          </w:p>
        </w:tc>
        <w:tc>
          <w:tcPr>
            <w:tcW w:w="1308" w:type="pct"/>
            <w:gridSpan w:val="3"/>
            <w:tcBorders>
              <w:top w:val="single" w:sz="4" w:space="0" w:color="auto"/>
              <w:left w:val="nil"/>
              <w:bottom w:val="single" w:sz="4" w:space="0" w:color="auto"/>
              <w:right w:val="single" w:sz="4" w:space="0" w:color="000000"/>
            </w:tcBorders>
            <w:shd w:val="clear" w:color="000000" w:fill="B8CCE4"/>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2015</w:t>
            </w:r>
          </w:p>
        </w:tc>
        <w:tc>
          <w:tcPr>
            <w:tcW w:w="1235" w:type="pct"/>
            <w:gridSpan w:val="3"/>
            <w:tcBorders>
              <w:top w:val="single" w:sz="4" w:space="0" w:color="auto"/>
              <w:left w:val="nil"/>
              <w:bottom w:val="single" w:sz="4" w:space="0" w:color="auto"/>
              <w:right w:val="single" w:sz="4" w:space="0" w:color="000000"/>
            </w:tcBorders>
            <w:shd w:val="clear" w:color="000000" w:fill="B8CCE4"/>
            <w:noWrap/>
            <w:vAlign w:val="bottom"/>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2016</w:t>
            </w:r>
          </w:p>
        </w:tc>
        <w:tc>
          <w:tcPr>
            <w:tcW w:w="1265" w:type="pct"/>
            <w:gridSpan w:val="3"/>
            <w:tcBorders>
              <w:top w:val="single" w:sz="4" w:space="0" w:color="auto"/>
              <w:left w:val="nil"/>
              <w:bottom w:val="single" w:sz="4" w:space="0" w:color="auto"/>
              <w:right w:val="single" w:sz="4" w:space="0" w:color="000000"/>
            </w:tcBorders>
            <w:shd w:val="clear" w:color="000000" w:fill="B8CCE4"/>
            <w:noWrap/>
            <w:vAlign w:val="bottom"/>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2017</w:t>
            </w:r>
          </w:p>
        </w:tc>
      </w:tr>
      <w:tr w:rsidR="00B14AD8" w:rsidRPr="00D050E9" w:rsidTr="00CE6D2D">
        <w:trPr>
          <w:trHeight w:val="20"/>
        </w:trPr>
        <w:tc>
          <w:tcPr>
            <w:tcW w:w="1192" w:type="pct"/>
            <w:vMerge/>
            <w:tcBorders>
              <w:top w:val="single" w:sz="4" w:space="0" w:color="auto"/>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Theme="minorHAnsi" w:eastAsia="Times New Roman" w:hAnsiTheme="minorHAnsi" w:cs="Arial"/>
                <w:b/>
                <w:bCs/>
                <w:sz w:val="18"/>
                <w:szCs w:val="19"/>
                <w:lang w:eastAsia="sl-SI"/>
              </w:rPr>
            </w:pPr>
          </w:p>
        </w:tc>
        <w:tc>
          <w:tcPr>
            <w:tcW w:w="385" w:type="pct"/>
            <w:tcBorders>
              <w:top w:val="nil"/>
              <w:left w:val="nil"/>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v mio EUR</w:t>
            </w:r>
          </w:p>
        </w:tc>
        <w:tc>
          <w:tcPr>
            <w:tcW w:w="464" w:type="pct"/>
            <w:tcBorders>
              <w:top w:val="nil"/>
              <w:left w:val="nil"/>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delež v BDP</w:t>
            </w:r>
          </w:p>
        </w:tc>
        <w:tc>
          <w:tcPr>
            <w:tcW w:w="459"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delež v DP</w:t>
            </w:r>
          </w:p>
        </w:tc>
        <w:tc>
          <w:tcPr>
            <w:tcW w:w="461" w:type="pct"/>
            <w:tcBorders>
              <w:top w:val="nil"/>
              <w:left w:val="nil"/>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v mio EUR</w:t>
            </w:r>
          </w:p>
        </w:tc>
        <w:tc>
          <w:tcPr>
            <w:tcW w:w="390" w:type="pct"/>
            <w:tcBorders>
              <w:top w:val="nil"/>
              <w:left w:val="nil"/>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delež v BDP</w:t>
            </w:r>
          </w:p>
        </w:tc>
        <w:tc>
          <w:tcPr>
            <w:tcW w:w="384"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delež v DP</w:t>
            </w:r>
          </w:p>
        </w:tc>
        <w:tc>
          <w:tcPr>
            <w:tcW w:w="463" w:type="pct"/>
            <w:tcBorders>
              <w:top w:val="nil"/>
              <w:left w:val="nil"/>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v mio EUR</w:t>
            </w:r>
          </w:p>
        </w:tc>
        <w:tc>
          <w:tcPr>
            <w:tcW w:w="436" w:type="pct"/>
            <w:tcBorders>
              <w:top w:val="nil"/>
              <w:left w:val="nil"/>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delež v BDP</w:t>
            </w:r>
          </w:p>
        </w:tc>
        <w:tc>
          <w:tcPr>
            <w:tcW w:w="366"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delež v DP</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DDD9C4"/>
            <w:vAlign w:val="bottom"/>
            <w:hideMark/>
          </w:tcPr>
          <w:p w:rsidR="00B14AD8" w:rsidRPr="00D050E9" w:rsidRDefault="00B14AD8" w:rsidP="00CE6D2D">
            <w:pPr>
              <w:spacing w:after="0"/>
              <w:jc w:val="left"/>
              <w:rPr>
                <w:rFonts w:asciiTheme="minorHAnsi" w:eastAsia="Times New Roman" w:hAnsiTheme="minorHAnsi" w:cs="Arial"/>
                <w:b/>
                <w:bCs/>
                <w:color w:val="000066"/>
                <w:sz w:val="18"/>
                <w:szCs w:val="19"/>
                <w:lang w:eastAsia="sl-SI"/>
              </w:rPr>
            </w:pPr>
            <w:r w:rsidRPr="00D050E9">
              <w:rPr>
                <w:rFonts w:asciiTheme="minorHAnsi" w:eastAsia="Times New Roman" w:hAnsiTheme="minorHAnsi" w:cs="Arial"/>
                <w:b/>
                <w:bCs/>
                <w:color w:val="000066"/>
                <w:sz w:val="18"/>
                <w:szCs w:val="19"/>
                <w:lang w:eastAsia="sl-SI"/>
              </w:rPr>
              <w:t>HORIZONTALNE POMOČI</w:t>
            </w:r>
          </w:p>
        </w:tc>
        <w:tc>
          <w:tcPr>
            <w:tcW w:w="385"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330,50</w:t>
            </w:r>
          </w:p>
        </w:tc>
        <w:tc>
          <w:tcPr>
            <w:tcW w:w="464"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0,85%</w:t>
            </w:r>
          </w:p>
        </w:tc>
        <w:tc>
          <w:tcPr>
            <w:tcW w:w="459"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59,7%</w:t>
            </w:r>
          </w:p>
        </w:tc>
        <w:tc>
          <w:tcPr>
            <w:tcW w:w="461"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312,16</w:t>
            </w:r>
          </w:p>
        </w:tc>
        <w:tc>
          <w:tcPr>
            <w:tcW w:w="390"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0,77%</w:t>
            </w:r>
          </w:p>
        </w:tc>
        <w:tc>
          <w:tcPr>
            <w:tcW w:w="384"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83,2%</w:t>
            </w:r>
          </w:p>
        </w:tc>
        <w:tc>
          <w:tcPr>
            <w:tcW w:w="463"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351,17</w:t>
            </w:r>
          </w:p>
        </w:tc>
        <w:tc>
          <w:tcPr>
            <w:tcW w:w="436"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0,81%</w:t>
            </w:r>
          </w:p>
        </w:tc>
        <w:tc>
          <w:tcPr>
            <w:tcW w:w="366"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82,2%</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Varstvo okolja</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169,86</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0,44%</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30,7%</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176,56</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0,44%</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47,1%</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182,56</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0,42%</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42,7%</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Zaposlovanje</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93,77</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0,24%</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16,9%</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89,81</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0,22%</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23,9%</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98,47</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0,23%</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23,1%</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RRI</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20,61</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0,05%</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3,7%</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10,65</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0,03%</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2,8%</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34,40</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0,08%</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8,1%</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Regionalne pomoči</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28,42</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0,07%</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5,1%</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21,96</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0,05%</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5,9%</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20,97</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0,05%</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4,9%</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Kultura</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9,88</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0,03%</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1,8%</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10,31</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0,03%</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2,7%</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10,34</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0,02%</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2,4%</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MSP</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0,80</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2,16</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0,01%</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0,6%</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2,83</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0,01%</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0,7%</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Tvegani kapital</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4,92</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0,01%</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0,9%</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0,61</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0,90</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Usposabljanje</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0,67</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0,10</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0,69</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Naravne nesreče</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1,57</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0,3%</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DDD9C4"/>
            <w:vAlign w:val="bottom"/>
            <w:hideMark/>
          </w:tcPr>
          <w:p w:rsidR="00B14AD8" w:rsidRPr="00D050E9" w:rsidRDefault="00B14AD8" w:rsidP="00CE6D2D">
            <w:pPr>
              <w:spacing w:after="0"/>
              <w:jc w:val="left"/>
              <w:rPr>
                <w:rFonts w:asciiTheme="minorHAnsi" w:eastAsia="Times New Roman" w:hAnsiTheme="minorHAnsi" w:cs="Arial"/>
                <w:b/>
                <w:bCs/>
                <w:color w:val="000066"/>
                <w:sz w:val="18"/>
                <w:szCs w:val="19"/>
                <w:lang w:eastAsia="sl-SI"/>
              </w:rPr>
            </w:pPr>
            <w:r w:rsidRPr="00D050E9">
              <w:rPr>
                <w:rFonts w:asciiTheme="minorHAnsi" w:eastAsia="Times New Roman" w:hAnsiTheme="minorHAnsi" w:cs="Arial"/>
                <w:b/>
                <w:bCs/>
                <w:color w:val="000066"/>
                <w:sz w:val="18"/>
                <w:szCs w:val="19"/>
                <w:lang w:eastAsia="sl-SI"/>
              </w:rPr>
              <w:t>POSEBNI SEKTORJI</w:t>
            </w:r>
          </w:p>
        </w:tc>
        <w:tc>
          <w:tcPr>
            <w:tcW w:w="385"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160,44</w:t>
            </w:r>
          </w:p>
        </w:tc>
        <w:tc>
          <w:tcPr>
            <w:tcW w:w="464"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0,41%</w:t>
            </w:r>
          </w:p>
        </w:tc>
        <w:tc>
          <w:tcPr>
            <w:tcW w:w="459"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29,0%</w:t>
            </w:r>
          </w:p>
        </w:tc>
        <w:tc>
          <w:tcPr>
            <w:tcW w:w="461"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56,88</w:t>
            </w:r>
          </w:p>
        </w:tc>
        <w:tc>
          <w:tcPr>
            <w:tcW w:w="390"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0,14%</w:t>
            </w:r>
          </w:p>
        </w:tc>
        <w:tc>
          <w:tcPr>
            <w:tcW w:w="384"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15,2%</w:t>
            </w:r>
          </w:p>
        </w:tc>
        <w:tc>
          <w:tcPr>
            <w:tcW w:w="463"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62,07</w:t>
            </w:r>
          </w:p>
        </w:tc>
        <w:tc>
          <w:tcPr>
            <w:tcW w:w="436"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0,14%</w:t>
            </w:r>
          </w:p>
        </w:tc>
        <w:tc>
          <w:tcPr>
            <w:tcW w:w="366"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14,5%</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Transport (kopenski)</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52,65</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0,14%</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9,5%</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43,10</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0,11%</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11,5%</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45,66</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0,11%</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10,7%</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Premogovništvo</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4,84</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0,01%</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0,9%</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12,47</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0,03%</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3,3%</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15,75</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0,04%</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3,7%</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Transport zračni</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0,61</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Pomoči za reševanje</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 </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0,05</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Prestrukturiranje</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102,94</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0,27%</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18,6%</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1,30</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0,3%</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DDD9C4"/>
            <w:vAlign w:val="bottom"/>
            <w:hideMark/>
          </w:tcPr>
          <w:p w:rsidR="00B14AD8" w:rsidRPr="00D050E9" w:rsidRDefault="00B14AD8" w:rsidP="00CE6D2D">
            <w:pPr>
              <w:spacing w:after="0"/>
              <w:jc w:val="left"/>
              <w:rPr>
                <w:rFonts w:asciiTheme="minorHAnsi" w:eastAsia="Times New Roman" w:hAnsiTheme="minorHAnsi" w:cs="Arial"/>
                <w:b/>
                <w:bCs/>
                <w:color w:val="000066"/>
                <w:sz w:val="18"/>
                <w:szCs w:val="19"/>
                <w:lang w:eastAsia="sl-SI"/>
              </w:rPr>
            </w:pPr>
            <w:r w:rsidRPr="00D050E9">
              <w:rPr>
                <w:rFonts w:asciiTheme="minorHAnsi" w:eastAsia="Times New Roman" w:hAnsiTheme="minorHAnsi" w:cs="Arial"/>
                <w:b/>
                <w:bCs/>
                <w:color w:val="000066"/>
                <w:sz w:val="18"/>
                <w:szCs w:val="19"/>
                <w:lang w:eastAsia="sl-SI"/>
              </w:rPr>
              <w:t>KMETIJSTVO in RIBIŠTVO</w:t>
            </w:r>
          </w:p>
        </w:tc>
        <w:tc>
          <w:tcPr>
            <w:tcW w:w="385"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62,38</w:t>
            </w:r>
          </w:p>
        </w:tc>
        <w:tc>
          <w:tcPr>
            <w:tcW w:w="464"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0,16%</w:t>
            </w:r>
          </w:p>
        </w:tc>
        <w:tc>
          <w:tcPr>
            <w:tcW w:w="459"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11,3%</w:t>
            </w:r>
          </w:p>
        </w:tc>
        <w:tc>
          <w:tcPr>
            <w:tcW w:w="461"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5,99</w:t>
            </w:r>
          </w:p>
        </w:tc>
        <w:tc>
          <w:tcPr>
            <w:tcW w:w="390"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0,01%</w:t>
            </w:r>
          </w:p>
        </w:tc>
        <w:tc>
          <w:tcPr>
            <w:tcW w:w="384"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1,6%</w:t>
            </w:r>
          </w:p>
        </w:tc>
        <w:tc>
          <w:tcPr>
            <w:tcW w:w="463"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13,94</w:t>
            </w:r>
          </w:p>
        </w:tc>
        <w:tc>
          <w:tcPr>
            <w:tcW w:w="436"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0,03%</w:t>
            </w:r>
          </w:p>
        </w:tc>
        <w:tc>
          <w:tcPr>
            <w:tcW w:w="366" w:type="pct"/>
            <w:tcBorders>
              <w:top w:val="nil"/>
              <w:left w:val="nil"/>
              <w:bottom w:val="single" w:sz="4" w:space="0" w:color="auto"/>
              <w:right w:val="single" w:sz="4" w:space="0" w:color="auto"/>
            </w:tcBorders>
            <w:shd w:val="clear" w:color="000000" w:fill="DDD9C4"/>
            <w:vAlign w:val="bottom"/>
            <w:hideMark/>
          </w:tcPr>
          <w:p w:rsidR="00B14AD8" w:rsidRPr="00D050E9" w:rsidRDefault="00B14AD8" w:rsidP="00CE6D2D">
            <w:pPr>
              <w:spacing w:after="0"/>
              <w:jc w:val="right"/>
              <w:rPr>
                <w:rFonts w:asciiTheme="minorHAnsi" w:eastAsia="Times New Roman" w:hAnsiTheme="minorHAnsi" w:cs="Arial"/>
                <w:b/>
                <w:bCs/>
                <w:color w:val="000000"/>
                <w:sz w:val="18"/>
                <w:szCs w:val="19"/>
                <w:lang w:eastAsia="sl-SI"/>
              </w:rPr>
            </w:pPr>
            <w:r w:rsidRPr="00D050E9">
              <w:rPr>
                <w:rFonts w:asciiTheme="minorHAnsi" w:eastAsia="Times New Roman" w:hAnsiTheme="minorHAnsi" w:cs="Arial"/>
                <w:b/>
                <w:bCs/>
                <w:color w:val="000000"/>
                <w:sz w:val="18"/>
                <w:szCs w:val="19"/>
                <w:lang w:eastAsia="sl-SI"/>
              </w:rPr>
              <w:t>3,3%</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Kmetijstvo</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61,79</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0,16%</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11,2%</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5,53</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0,01%</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1,5%</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13,94</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0,03%</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3,3%</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Ribištvo</w:t>
            </w:r>
          </w:p>
        </w:tc>
        <w:tc>
          <w:tcPr>
            <w:tcW w:w="38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0,59</w:t>
            </w:r>
          </w:p>
        </w:tc>
        <w:tc>
          <w:tcPr>
            <w:tcW w:w="46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45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w:t>
            </w:r>
          </w:p>
        </w:tc>
        <w:tc>
          <w:tcPr>
            <w:tcW w:w="46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0,47</w:t>
            </w:r>
          </w:p>
        </w:tc>
        <w:tc>
          <w:tcPr>
            <w:tcW w:w="39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8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0,1%</w:t>
            </w:r>
          </w:p>
        </w:tc>
        <w:tc>
          <w:tcPr>
            <w:tcW w:w="46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43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0,00%</w:t>
            </w:r>
          </w:p>
        </w:tc>
        <w:tc>
          <w:tcPr>
            <w:tcW w:w="36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Theme="minorHAnsi" w:eastAsia="Times New Roman" w:hAnsiTheme="minorHAnsi" w:cs="Arial"/>
                <w:color w:val="000000"/>
                <w:sz w:val="18"/>
                <w:szCs w:val="19"/>
                <w:lang w:eastAsia="sl-SI"/>
              </w:rPr>
            </w:pPr>
            <w:r w:rsidRPr="00D050E9">
              <w:rPr>
                <w:rFonts w:asciiTheme="minorHAnsi" w:eastAsia="Times New Roman" w:hAnsiTheme="minorHAnsi" w:cs="Arial"/>
                <w:color w:val="000000"/>
                <w:sz w:val="18"/>
                <w:szCs w:val="19"/>
                <w:lang w:eastAsia="sl-SI"/>
              </w:rPr>
              <w:t>0,0%</w:t>
            </w:r>
          </w:p>
        </w:tc>
      </w:tr>
      <w:tr w:rsidR="00B14AD8" w:rsidRPr="00D050E9" w:rsidTr="00CE6D2D">
        <w:trPr>
          <w:trHeight w:val="20"/>
        </w:trPr>
        <w:tc>
          <w:tcPr>
            <w:tcW w:w="1192" w:type="pct"/>
            <w:tcBorders>
              <w:top w:val="nil"/>
              <w:left w:val="single" w:sz="4" w:space="0" w:color="auto"/>
              <w:bottom w:val="single" w:sz="4" w:space="0" w:color="auto"/>
              <w:right w:val="single" w:sz="4" w:space="0" w:color="auto"/>
            </w:tcBorders>
            <w:shd w:val="clear" w:color="000000" w:fill="002060"/>
            <w:vAlign w:val="bottom"/>
            <w:hideMark/>
          </w:tcPr>
          <w:p w:rsidR="00B14AD8" w:rsidRPr="00D050E9" w:rsidRDefault="00B14AD8" w:rsidP="00CE6D2D">
            <w:pPr>
              <w:spacing w:after="0"/>
              <w:jc w:val="lef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SKUPAJ</w:t>
            </w:r>
          </w:p>
        </w:tc>
        <w:tc>
          <w:tcPr>
            <w:tcW w:w="385"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553,32</w:t>
            </w:r>
          </w:p>
        </w:tc>
        <w:tc>
          <w:tcPr>
            <w:tcW w:w="464"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1,42%</w:t>
            </w:r>
          </w:p>
        </w:tc>
        <w:tc>
          <w:tcPr>
            <w:tcW w:w="459"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100,0%</w:t>
            </w:r>
          </w:p>
        </w:tc>
        <w:tc>
          <w:tcPr>
            <w:tcW w:w="461"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375,03</w:t>
            </w:r>
          </w:p>
        </w:tc>
        <w:tc>
          <w:tcPr>
            <w:tcW w:w="390"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0,93%</w:t>
            </w:r>
          </w:p>
        </w:tc>
        <w:tc>
          <w:tcPr>
            <w:tcW w:w="384"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100,0%</w:t>
            </w:r>
          </w:p>
        </w:tc>
        <w:tc>
          <w:tcPr>
            <w:tcW w:w="463"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 xml:space="preserve">427,18 </w:t>
            </w:r>
          </w:p>
        </w:tc>
        <w:tc>
          <w:tcPr>
            <w:tcW w:w="436"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0,99%</w:t>
            </w:r>
          </w:p>
        </w:tc>
        <w:tc>
          <w:tcPr>
            <w:tcW w:w="366"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Theme="minorHAnsi" w:eastAsia="Times New Roman" w:hAnsiTheme="minorHAnsi" w:cs="Arial"/>
                <w:b/>
                <w:bCs/>
                <w:color w:val="FFFFFF"/>
                <w:sz w:val="18"/>
                <w:szCs w:val="19"/>
                <w:lang w:eastAsia="sl-SI"/>
              </w:rPr>
            </w:pPr>
            <w:r w:rsidRPr="00D050E9">
              <w:rPr>
                <w:rFonts w:asciiTheme="minorHAnsi" w:eastAsia="Times New Roman" w:hAnsiTheme="minorHAnsi" w:cs="Arial"/>
                <w:b/>
                <w:bCs/>
                <w:color w:val="FFFFFF"/>
                <w:sz w:val="18"/>
                <w:szCs w:val="19"/>
                <w:lang w:eastAsia="sl-SI"/>
              </w:rPr>
              <w:t>100,0%</w:t>
            </w:r>
          </w:p>
        </w:tc>
      </w:tr>
    </w:tbl>
    <w:p w:rsidR="00B14AD8" w:rsidRPr="00D050E9" w:rsidRDefault="00B14AD8" w:rsidP="00B14AD8">
      <w:pPr>
        <w:spacing w:line="276" w:lineRule="auto"/>
        <w:rPr>
          <w:rFonts w:asciiTheme="minorHAnsi" w:hAnsiTheme="minorHAnsi"/>
        </w:rPr>
      </w:pPr>
    </w:p>
    <w:p w:rsidR="00B14AD8" w:rsidRPr="00D050E9" w:rsidRDefault="00B14AD8" w:rsidP="00B14AD8">
      <w:pPr>
        <w:spacing w:line="276" w:lineRule="auto"/>
        <w:rPr>
          <w:rFonts w:asciiTheme="minorHAnsi" w:hAnsiTheme="minorHAnsi"/>
          <w:b/>
        </w:rPr>
      </w:pPr>
      <w:r w:rsidRPr="00D050E9">
        <w:rPr>
          <w:rFonts w:asciiTheme="minorHAnsi" w:hAnsiTheme="minorHAnsi"/>
          <w:b/>
        </w:rPr>
        <w:t>Tabela P2: Državne pomoči v Sloveniji po instrumentih, 2015–2017</w:t>
      </w:r>
    </w:p>
    <w:tbl>
      <w:tblPr>
        <w:tblW w:w="5000" w:type="pct"/>
        <w:tblCellMar>
          <w:left w:w="70" w:type="dxa"/>
          <w:right w:w="70" w:type="dxa"/>
        </w:tblCellMar>
        <w:tblLook w:val="04A0" w:firstRow="1" w:lastRow="0" w:firstColumn="1" w:lastColumn="0" w:noHBand="0" w:noVBand="1"/>
      </w:tblPr>
      <w:tblGrid>
        <w:gridCol w:w="3072"/>
        <w:gridCol w:w="1303"/>
        <w:gridCol w:w="856"/>
        <w:gridCol w:w="1303"/>
        <w:gridCol w:w="752"/>
        <w:gridCol w:w="1303"/>
        <w:gridCol w:w="735"/>
      </w:tblGrid>
      <w:tr w:rsidR="00B14AD8" w:rsidRPr="00D050E9" w:rsidTr="00CE6D2D">
        <w:trPr>
          <w:trHeight w:val="20"/>
        </w:trPr>
        <w:tc>
          <w:tcPr>
            <w:tcW w:w="1647" w:type="pct"/>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Instrument</w:t>
            </w:r>
          </w:p>
        </w:tc>
        <w:tc>
          <w:tcPr>
            <w:tcW w:w="699" w:type="pct"/>
            <w:tcBorders>
              <w:top w:val="single" w:sz="4" w:space="0" w:color="auto"/>
              <w:left w:val="nil"/>
              <w:bottom w:val="single" w:sz="4" w:space="0" w:color="auto"/>
              <w:right w:val="nil"/>
            </w:tcBorders>
            <w:shd w:val="clear" w:color="000000" w:fill="B8CCE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2015</w:t>
            </w:r>
          </w:p>
        </w:tc>
        <w:tc>
          <w:tcPr>
            <w:tcW w:w="459"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w:t>
            </w:r>
          </w:p>
        </w:tc>
        <w:tc>
          <w:tcPr>
            <w:tcW w:w="1102" w:type="pct"/>
            <w:gridSpan w:val="2"/>
            <w:tcBorders>
              <w:top w:val="single" w:sz="4" w:space="0" w:color="auto"/>
              <w:left w:val="nil"/>
              <w:bottom w:val="single" w:sz="4" w:space="0" w:color="auto"/>
              <w:right w:val="nil"/>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2016</w:t>
            </w:r>
          </w:p>
        </w:tc>
        <w:tc>
          <w:tcPr>
            <w:tcW w:w="1093"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2017</w:t>
            </w:r>
          </w:p>
        </w:tc>
      </w:tr>
      <w:tr w:rsidR="00B14AD8" w:rsidRPr="00D050E9" w:rsidTr="00CE6D2D">
        <w:trPr>
          <w:trHeight w:val="20"/>
        </w:trPr>
        <w:tc>
          <w:tcPr>
            <w:tcW w:w="1647" w:type="pct"/>
            <w:vMerge/>
            <w:tcBorders>
              <w:top w:val="single" w:sz="4" w:space="0" w:color="auto"/>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699"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EUR</w:t>
            </w:r>
          </w:p>
        </w:tc>
        <w:tc>
          <w:tcPr>
            <w:tcW w:w="459"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 DP</w:t>
            </w:r>
          </w:p>
        </w:tc>
        <w:tc>
          <w:tcPr>
            <w:tcW w:w="699"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EUR</w:t>
            </w:r>
          </w:p>
        </w:tc>
        <w:tc>
          <w:tcPr>
            <w:tcW w:w="403"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 DP</w:t>
            </w:r>
          </w:p>
        </w:tc>
        <w:tc>
          <w:tcPr>
            <w:tcW w:w="699"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EUR</w:t>
            </w:r>
          </w:p>
        </w:tc>
        <w:tc>
          <w:tcPr>
            <w:tcW w:w="394" w:type="pct"/>
            <w:tcBorders>
              <w:top w:val="nil"/>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 % DP</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DDD9C4"/>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Skupina A1 (Nepovratna sredstva)</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371.992.035,77</w:t>
            </w:r>
          </w:p>
        </w:tc>
        <w:tc>
          <w:tcPr>
            <w:tcW w:w="45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67,2%</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246.538.262,53</w:t>
            </w:r>
          </w:p>
        </w:tc>
        <w:tc>
          <w:tcPr>
            <w:tcW w:w="403"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65,7%</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302.435.733,60</w:t>
            </w:r>
          </w:p>
        </w:tc>
        <w:tc>
          <w:tcPr>
            <w:tcW w:w="394"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70,8%</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Subvencije</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327.852.382,24</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59,3%</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246.513.235,32</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65,7%</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302.430.051,87</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70,8%</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Subvencioniranje obrestne mere</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16.616.248,57</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3,0%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25.027,21</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0,0%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5.681,73</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0,0%</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Odpis posojila - prisilna poravnava</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27.523.404,96</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0,0%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0,0%</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DDD9C4"/>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Skupina B1 (Kapitalske naložbe)</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56.728.240,64</w:t>
            </w:r>
          </w:p>
        </w:tc>
        <w:tc>
          <w:tcPr>
            <w:tcW w:w="45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10,3%</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1.463.881,09</w:t>
            </w:r>
          </w:p>
        </w:tc>
        <w:tc>
          <w:tcPr>
            <w:tcW w:w="403"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0,4%</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904.952,81</w:t>
            </w:r>
          </w:p>
        </w:tc>
        <w:tc>
          <w:tcPr>
            <w:tcW w:w="394"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0,2%</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Kapitalske naložbe</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5.372.323,44</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1.463.881,09</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0,4%</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904.952,81</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0,2%</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Konverzija dolga v lastniški delež</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51.355.917,20</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9,3%</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 </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DDD9C4"/>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Skupina C1 (Ugodna posojila)</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9.634.286,24</w:t>
            </w:r>
          </w:p>
        </w:tc>
        <w:tc>
          <w:tcPr>
            <w:tcW w:w="45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1,7%</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3.283.972,36</w:t>
            </w:r>
          </w:p>
        </w:tc>
        <w:tc>
          <w:tcPr>
            <w:tcW w:w="403"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0,9%</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1.026.734,98</w:t>
            </w:r>
          </w:p>
        </w:tc>
        <w:tc>
          <w:tcPr>
            <w:tcW w:w="394"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0,2%</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Ugodna posojila</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2.169.946,66</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0,4%</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2.483.972,36</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0,7%</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972.365,98</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Posojila podjetjem v težavah</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7.464.339,58</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1,3%</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800.000,00</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0,2%</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54.369,00</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0,0%</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DDD9C4"/>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Skupina D (Garancije)</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2.608,00</w:t>
            </w:r>
          </w:p>
        </w:tc>
        <w:tc>
          <w:tcPr>
            <w:tcW w:w="45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531.251,01</w:t>
            </w:r>
          </w:p>
        </w:tc>
        <w:tc>
          <w:tcPr>
            <w:tcW w:w="403"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0,1%</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33.644,00</w:t>
            </w:r>
          </w:p>
        </w:tc>
        <w:tc>
          <w:tcPr>
            <w:tcW w:w="394"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Garancije</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2.608,00</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531.251,01</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0,1%</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33.644,00</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0,0%</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DDD9C4"/>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Skupina A2 (Davčne olajšave, znižanje prispevkov)</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114.958.491,99</w:t>
            </w:r>
          </w:p>
        </w:tc>
        <w:tc>
          <w:tcPr>
            <w:tcW w:w="45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20,8%</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123.212.863,64</w:t>
            </w:r>
          </w:p>
        </w:tc>
        <w:tc>
          <w:tcPr>
            <w:tcW w:w="403"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32,9%</w:t>
            </w:r>
          </w:p>
        </w:tc>
        <w:tc>
          <w:tcPr>
            <w:tcW w:w="699"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122.780.614,03</w:t>
            </w:r>
          </w:p>
        </w:tc>
        <w:tc>
          <w:tcPr>
            <w:tcW w:w="394" w:type="pct"/>
            <w:tcBorders>
              <w:top w:val="nil"/>
              <w:left w:val="nil"/>
              <w:bottom w:val="single" w:sz="4" w:space="0" w:color="auto"/>
              <w:right w:val="single" w:sz="4" w:space="0" w:color="auto"/>
            </w:tcBorders>
            <w:shd w:val="clear" w:color="000000" w:fill="DDD9C4"/>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28,7%</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Znižanje prispevkov za socialno varnost</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72.221.182,62</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13,1%</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73.252.443,81</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19,5%</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80.611.308,49</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18,9%</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Davčne oprostitve, izjeme in olajšave</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42.737.309,37</w:t>
            </w:r>
          </w:p>
        </w:tc>
        <w:tc>
          <w:tcPr>
            <w:tcW w:w="45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7,7%</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49.960.419,83</w:t>
            </w:r>
          </w:p>
        </w:tc>
        <w:tc>
          <w:tcPr>
            <w:tcW w:w="403"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13,3%</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42.169.305,54</w:t>
            </w:r>
          </w:p>
        </w:tc>
        <w:tc>
          <w:tcPr>
            <w:tcW w:w="394"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9,9%</w:t>
            </w:r>
          </w:p>
        </w:tc>
      </w:tr>
      <w:tr w:rsidR="00B14AD8" w:rsidRPr="00D050E9" w:rsidTr="00CE6D2D">
        <w:trPr>
          <w:trHeight w:val="20"/>
        </w:trPr>
        <w:tc>
          <w:tcPr>
            <w:tcW w:w="1647" w:type="pct"/>
            <w:tcBorders>
              <w:top w:val="nil"/>
              <w:left w:val="single" w:sz="4" w:space="0" w:color="auto"/>
              <w:bottom w:val="single" w:sz="4" w:space="0" w:color="auto"/>
              <w:right w:val="single" w:sz="4" w:space="0" w:color="auto"/>
            </w:tcBorders>
            <w:shd w:val="clear" w:color="000000" w:fill="002060"/>
            <w:vAlign w:val="center"/>
            <w:hideMark/>
          </w:tcPr>
          <w:p w:rsidR="00B14AD8" w:rsidRPr="00D050E9" w:rsidRDefault="00B14AD8" w:rsidP="00CE6D2D">
            <w:pPr>
              <w:spacing w:after="0"/>
              <w:jc w:val="lef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SKUPAJ</w:t>
            </w:r>
          </w:p>
        </w:tc>
        <w:tc>
          <w:tcPr>
            <w:tcW w:w="699" w:type="pct"/>
            <w:tcBorders>
              <w:top w:val="nil"/>
              <w:left w:val="nil"/>
              <w:bottom w:val="single" w:sz="4" w:space="0" w:color="auto"/>
              <w:right w:val="single" w:sz="4" w:space="0" w:color="auto"/>
            </w:tcBorders>
            <w:shd w:val="clear" w:color="000000" w:fill="002060"/>
            <w:vAlign w:val="center"/>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553.315.662,64</w:t>
            </w:r>
          </w:p>
        </w:tc>
        <w:tc>
          <w:tcPr>
            <w:tcW w:w="459" w:type="pct"/>
            <w:tcBorders>
              <w:top w:val="nil"/>
              <w:left w:val="nil"/>
              <w:bottom w:val="single" w:sz="4" w:space="0" w:color="auto"/>
              <w:right w:val="single" w:sz="4" w:space="0" w:color="auto"/>
            </w:tcBorders>
            <w:shd w:val="clear" w:color="000000" w:fill="002060"/>
            <w:vAlign w:val="center"/>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100,0%</w:t>
            </w:r>
          </w:p>
        </w:tc>
        <w:tc>
          <w:tcPr>
            <w:tcW w:w="699" w:type="pct"/>
            <w:tcBorders>
              <w:top w:val="nil"/>
              <w:left w:val="nil"/>
              <w:bottom w:val="single" w:sz="4" w:space="0" w:color="auto"/>
              <w:right w:val="single" w:sz="4" w:space="0" w:color="auto"/>
            </w:tcBorders>
            <w:shd w:val="clear" w:color="000000" w:fill="002060"/>
            <w:vAlign w:val="center"/>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375.030.230,63</w:t>
            </w:r>
          </w:p>
        </w:tc>
        <w:tc>
          <w:tcPr>
            <w:tcW w:w="403" w:type="pct"/>
            <w:tcBorders>
              <w:top w:val="nil"/>
              <w:left w:val="nil"/>
              <w:bottom w:val="single" w:sz="4" w:space="0" w:color="auto"/>
              <w:right w:val="single" w:sz="4" w:space="0" w:color="auto"/>
            </w:tcBorders>
            <w:shd w:val="clear" w:color="000000" w:fill="002060"/>
            <w:vAlign w:val="center"/>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100,0%</w:t>
            </w:r>
          </w:p>
        </w:tc>
        <w:tc>
          <w:tcPr>
            <w:tcW w:w="699" w:type="pct"/>
            <w:tcBorders>
              <w:top w:val="nil"/>
              <w:left w:val="nil"/>
              <w:bottom w:val="single" w:sz="4" w:space="0" w:color="auto"/>
              <w:right w:val="single" w:sz="4" w:space="0" w:color="auto"/>
            </w:tcBorders>
            <w:shd w:val="clear" w:color="000000" w:fill="002060"/>
            <w:vAlign w:val="center"/>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 xml:space="preserve">427.181.679,42 </w:t>
            </w:r>
          </w:p>
        </w:tc>
        <w:tc>
          <w:tcPr>
            <w:tcW w:w="394" w:type="pct"/>
            <w:tcBorders>
              <w:top w:val="nil"/>
              <w:left w:val="nil"/>
              <w:bottom w:val="single" w:sz="4" w:space="0" w:color="auto"/>
              <w:right w:val="single" w:sz="4" w:space="0" w:color="auto"/>
            </w:tcBorders>
            <w:shd w:val="clear" w:color="000000" w:fill="002060"/>
            <w:vAlign w:val="center"/>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100,0%</w:t>
            </w:r>
          </w:p>
        </w:tc>
      </w:tr>
    </w:tbl>
    <w:p w:rsidR="00B14AD8" w:rsidRPr="00D050E9" w:rsidRDefault="00B14AD8" w:rsidP="00B14AD8">
      <w:pPr>
        <w:spacing w:line="276" w:lineRule="auto"/>
        <w:rPr>
          <w:rFonts w:ascii="Calibri" w:eastAsia="Times New Roman" w:hAnsi="Calibri" w:cs="Arial"/>
          <w:b/>
          <w:bCs/>
          <w:color w:val="000000"/>
          <w:sz w:val="18"/>
          <w:szCs w:val="18"/>
          <w:lang w:eastAsia="sl-SI"/>
        </w:rPr>
      </w:pPr>
    </w:p>
    <w:p w:rsidR="00B14AD8" w:rsidRPr="00D050E9" w:rsidRDefault="00B14AD8" w:rsidP="00B14AD8">
      <w:pPr>
        <w:spacing w:line="276" w:lineRule="auto"/>
        <w:rPr>
          <w:rFonts w:ascii="Calibri" w:eastAsia="Times New Roman" w:hAnsi="Calibri" w:cs="Arial"/>
          <w:b/>
          <w:bCs/>
          <w:color w:val="000000"/>
          <w:sz w:val="18"/>
          <w:szCs w:val="18"/>
          <w:lang w:eastAsia="sl-SI"/>
        </w:rPr>
      </w:pPr>
    </w:p>
    <w:p w:rsidR="00B14AD8" w:rsidRPr="00D050E9" w:rsidRDefault="00B14AD8" w:rsidP="00B14AD8">
      <w:pPr>
        <w:spacing w:line="276" w:lineRule="auto"/>
        <w:rPr>
          <w:rFonts w:ascii="Calibri" w:eastAsia="Times New Roman" w:hAnsi="Calibri" w:cs="Arial"/>
          <w:b/>
          <w:bCs/>
          <w:color w:val="000000"/>
          <w:sz w:val="18"/>
          <w:szCs w:val="18"/>
          <w:lang w:eastAsia="sl-SI"/>
        </w:rPr>
      </w:pPr>
    </w:p>
    <w:p w:rsidR="00B14AD8" w:rsidRPr="00D050E9" w:rsidRDefault="00B14AD8" w:rsidP="00B14AD8">
      <w:pPr>
        <w:spacing w:line="276" w:lineRule="auto"/>
        <w:rPr>
          <w:rFonts w:ascii="Calibri" w:eastAsia="Times New Roman" w:hAnsi="Calibri" w:cs="Arial"/>
          <w:b/>
          <w:bCs/>
          <w:color w:val="000000"/>
          <w:sz w:val="18"/>
          <w:szCs w:val="18"/>
          <w:lang w:eastAsia="sl-SI"/>
        </w:rPr>
      </w:pPr>
    </w:p>
    <w:p w:rsidR="00B14AD8" w:rsidRPr="00D050E9" w:rsidRDefault="00B14AD8" w:rsidP="00B14AD8">
      <w:pPr>
        <w:spacing w:line="276" w:lineRule="auto"/>
        <w:rPr>
          <w:rFonts w:ascii="Calibri" w:eastAsia="Times New Roman" w:hAnsi="Calibri" w:cs="Arial"/>
          <w:b/>
          <w:bCs/>
          <w:color w:val="000000"/>
          <w:sz w:val="18"/>
          <w:szCs w:val="18"/>
          <w:lang w:eastAsia="sl-SI"/>
        </w:rPr>
      </w:pPr>
    </w:p>
    <w:p w:rsidR="00B14AD8" w:rsidRPr="00D050E9" w:rsidRDefault="00B14AD8" w:rsidP="00B14AD8">
      <w:pPr>
        <w:spacing w:line="276" w:lineRule="auto"/>
        <w:rPr>
          <w:rFonts w:ascii="Calibri" w:eastAsia="Times New Roman" w:hAnsi="Calibri" w:cs="Arial"/>
          <w:b/>
          <w:bCs/>
          <w:color w:val="000000"/>
          <w:sz w:val="18"/>
          <w:szCs w:val="18"/>
          <w:lang w:eastAsia="sl-SI"/>
        </w:rPr>
      </w:pPr>
    </w:p>
    <w:p w:rsidR="00B14AD8" w:rsidRDefault="00B14AD8" w:rsidP="00B14AD8">
      <w:pPr>
        <w:spacing w:line="276" w:lineRule="auto"/>
        <w:rPr>
          <w:rFonts w:asciiTheme="minorHAnsi" w:hAnsiTheme="minorHAnsi"/>
          <w:b/>
        </w:rPr>
      </w:pPr>
      <w:r w:rsidRPr="00D050E9">
        <w:rPr>
          <w:rFonts w:asciiTheme="minorHAnsi" w:hAnsiTheme="minorHAnsi"/>
          <w:b/>
        </w:rPr>
        <w:t>Tabela P3: Državne pomoči v Sloveniji po instrumentih in kategorijah, 2015–2017, v EUR</w:t>
      </w:r>
    </w:p>
    <w:tbl>
      <w:tblPr>
        <w:tblW w:w="5000" w:type="pct"/>
        <w:tblCellMar>
          <w:left w:w="70" w:type="dxa"/>
          <w:right w:w="70" w:type="dxa"/>
        </w:tblCellMar>
        <w:tblLook w:val="04A0" w:firstRow="1" w:lastRow="0" w:firstColumn="1" w:lastColumn="0" w:noHBand="0" w:noVBand="1"/>
      </w:tblPr>
      <w:tblGrid>
        <w:gridCol w:w="1168"/>
        <w:gridCol w:w="2174"/>
        <w:gridCol w:w="2074"/>
        <w:gridCol w:w="1303"/>
        <w:gridCol w:w="1303"/>
        <w:gridCol w:w="1302"/>
      </w:tblGrid>
      <w:tr w:rsidR="00B14AD8" w:rsidRPr="00D050E9" w:rsidTr="001960D2">
        <w:trPr>
          <w:trHeight w:val="20"/>
        </w:trPr>
        <w:tc>
          <w:tcPr>
            <w:tcW w:w="626"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Skupina instrumentov</w:t>
            </w:r>
          </w:p>
        </w:tc>
        <w:tc>
          <w:tcPr>
            <w:tcW w:w="1166"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Instrument</w:t>
            </w:r>
          </w:p>
        </w:tc>
        <w:tc>
          <w:tcPr>
            <w:tcW w:w="1112"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Kategorija</w:t>
            </w:r>
          </w:p>
        </w:tc>
        <w:tc>
          <w:tcPr>
            <w:tcW w:w="699"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2015</w:t>
            </w:r>
          </w:p>
        </w:tc>
        <w:tc>
          <w:tcPr>
            <w:tcW w:w="699"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2016</w:t>
            </w:r>
          </w:p>
        </w:tc>
        <w:tc>
          <w:tcPr>
            <w:tcW w:w="698"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2017</w:t>
            </w:r>
          </w:p>
        </w:tc>
      </w:tr>
      <w:tr w:rsidR="00B14AD8" w:rsidRPr="00D050E9" w:rsidTr="001960D2">
        <w:trPr>
          <w:trHeight w:val="20"/>
        </w:trPr>
        <w:tc>
          <w:tcPr>
            <w:tcW w:w="62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A1</w:t>
            </w:r>
            <w:r w:rsidRPr="00D050E9">
              <w:rPr>
                <w:rFonts w:ascii="Calibri" w:eastAsia="Times New Roman" w:hAnsi="Calibri" w:cs="Arial"/>
                <w:color w:val="000000"/>
                <w:sz w:val="18"/>
                <w:szCs w:val="18"/>
                <w:lang w:eastAsia="sl-SI"/>
              </w:rPr>
              <w:br/>
              <w:t>(Nepovratna sredstva)</w:t>
            </w:r>
          </w:p>
        </w:tc>
        <w:tc>
          <w:tcPr>
            <w:tcW w:w="116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Subvencije</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Varstvo okolja</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135.651.768,58</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130.753.983,76</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144.074.655,27</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Transport (kopenski)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52.652.492,19</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43.101.325,37</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45.662.099,98</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Raziskave in razvoj ter inovacije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19.702.986,27</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9.756.379,76</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34.353.778,64</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Zaposlovanje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16.812.016,05</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16.243.360,80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17.643.735,38</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Regionalne pomoči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23.540.499,52</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17.566.391,78</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17.179.124,63</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Premogovništvo</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4.839.898,52</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12.474.809,28</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15.749.805,65</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Kmetijstvo</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61.771.559,17</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5.496.426,29</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13.916.355,50</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Kultura</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9.883.840,36</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10.311.751,10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10.336.163,78</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Mala in srednje velika podjetja</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172.367,50</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240.020,00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2.214.748,27</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Usposabljanje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673.273,61</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102.999,91</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694.196,75</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Transport zračni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605.388,00</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Ribištvo</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585.894,55</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465.787,27</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Naravne nesreče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1.565.785,92</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Subvencioniranje obrestne mere</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Prestrukturiranje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16.600.000,00</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Kmetijstvo</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16.248,57</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25.027,21</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5.681,73</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Odpis posojila - prisilna poravnava</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Prestrukturiranje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27.523.404,96</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2904" w:type="pct"/>
            <w:gridSpan w:val="3"/>
            <w:tcBorders>
              <w:top w:val="single" w:sz="4" w:space="0" w:color="auto"/>
              <w:left w:val="single" w:sz="4" w:space="0" w:color="auto"/>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 A1</w:t>
            </w:r>
          </w:p>
        </w:tc>
        <w:tc>
          <w:tcPr>
            <w:tcW w:w="699" w:type="pct"/>
            <w:tcBorders>
              <w:top w:val="nil"/>
              <w:left w:val="single" w:sz="4" w:space="0" w:color="auto"/>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371.992.035,77</w:t>
            </w:r>
          </w:p>
        </w:tc>
        <w:tc>
          <w:tcPr>
            <w:tcW w:w="699"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246.538.262,53</w:t>
            </w:r>
          </w:p>
        </w:tc>
        <w:tc>
          <w:tcPr>
            <w:tcW w:w="698"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302.435.733,58</w:t>
            </w:r>
          </w:p>
        </w:tc>
      </w:tr>
      <w:tr w:rsidR="00B14AD8" w:rsidRPr="00D050E9" w:rsidTr="001960D2">
        <w:trPr>
          <w:trHeight w:val="20"/>
        </w:trPr>
        <w:tc>
          <w:tcPr>
            <w:tcW w:w="62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C1</w:t>
            </w:r>
            <w:r w:rsidRPr="00D050E9">
              <w:rPr>
                <w:rFonts w:ascii="Calibri" w:eastAsia="Times New Roman" w:hAnsi="Calibri" w:cs="Arial"/>
                <w:color w:val="000000"/>
                <w:sz w:val="18"/>
                <w:szCs w:val="18"/>
                <w:lang w:eastAsia="sl-SI"/>
              </w:rPr>
              <w:br/>
              <w:t>(Ugodna posojila)</w:t>
            </w:r>
          </w:p>
        </w:tc>
        <w:tc>
          <w:tcPr>
            <w:tcW w:w="116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Ugodna posojila</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Regionalne pomoči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1.375.273,91</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590.816,60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342.734,44</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Raziskave in razvoj ter inovacije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616.243,13</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816.952,36</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Mala in srednje velika podjetja</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174.389,86</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1.070.692,21</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616.034,72</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Kmetijstvo</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4.039,76</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5.511,19</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13.596,82</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Prestrukturiranje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800.000,00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Posojila podjetjem v težavah</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Prestrukturiranje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7.464.339,58</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Pomoči za reševanje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54.369,00</w:t>
            </w:r>
          </w:p>
        </w:tc>
      </w:tr>
      <w:tr w:rsidR="00B14AD8" w:rsidRPr="00D050E9" w:rsidTr="001960D2">
        <w:trPr>
          <w:trHeight w:val="20"/>
        </w:trPr>
        <w:tc>
          <w:tcPr>
            <w:tcW w:w="2904" w:type="pct"/>
            <w:gridSpan w:val="3"/>
            <w:tcBorders>
              <w:top w:val="single" w:sz="4" w:space="0" w:color="auto"/>
              <w:left w:val="single" w:sz="4" w:space="0" w:color="auto"/>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 C1</w:t>
            </w:r>
          </w:p>
        </w:tc>
        <w:tc>
          <w:tcPr>
            <w:tcW w:w="699" w:type="pct"/>
            <w:tcBorders>
              <w:top w:val="nil"/>
              <w:left w:val="single" w:sz="4" w:space="0" w:color="auto"/>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9.634.286,24</w:t>
            </w:r>
          </w:p>
        </w:tc>
        <w:tc>
          <w:tcPr>
            <w:tcW w:w="699"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3.283.972,36</w:t>
            </w:r>
          </w:p>
        </w:tc>
        <w:tc>
          <w:tcPr>
            <w:tcW w:w="698"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1.026.734,98</w:t>
            </w:r>
          </w:p>
        </w:tc>
      </w:tr>
      <w:tr w:rsidR="00B14AD8" w:rsidRPr="00D050E9" w:rsidTr="001960D2">
        <w:trPr>
          <w:trHeight w:val="20"/>
        </w:trPr>
        <w:tc>
          <w:tcPr>
            <w:tcW w:w="62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D</w:t>
            </w:r>
            <w:r w:rsidRPr="00D050E9">
              <w:rPr>
                <w:rFonts w:ascii="Calibri" w:eastAsia="Times New Roman" w:hAnsi="Calibri" w:cs="Arial"/>
                <w:color w:val="000000"/>
                <w:sz w:val="18"/>
                <w:szCs w:val="18"/>
                <w:lang w:eastAsia="sl-SI"/>
              </w:rPr>
              <w:br/>
              <w:t>(Garancije)</w:t>
            </w:r>
          </w:p>
        </w:tc>
        <w:tc>
          <w:tcPr>
            <w:tcW w:w="116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Garancije</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Regionalne pomoči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2.608,00</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31.251,01</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33.644,00</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Prestrukturiranje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2904" w:type="pct"/>
            <w:gridSpan w:val="3"/>
            <w:tcBorders>
              <w:top w:val="single" w:sz="4" w:space="0" w:color="auto"/>
              <w:left w:val="single" w:sz="4" w:space="0" w:color="auto"/>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 D</w:t>
            </w:r>
          </w:p>
        </w:tc>
        <w:tc>
          <w:tcPr>
            <w:tcW w:w="699" w:type="pct"/>
            <w:tcBorders>
              <w:top w:val="nil"/>
              <w:left w:val="single" w:sz="4" w:space="0" w:color="auto"/>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2.608,00</w:t>
            </w:r>
          </w:p>
        </w:tc>
        <w:tc>
          <w:tcPr>
            <w:tcW w:w="699"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531.251,01</w:t>
            </w:r>
          </w:p>
        </w:tc>
        <w:tc>
          <w:tcPr>
            <w:tcW w:w="698"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33.644,00</w:t>
            </w:r>
          </w:p>
        </w:tc>
      </w:tr>
      <w:tr w:rsidR="00B14AD8" w:rsidRPr="00D050E9" w:rsidTr="001960D2">
        <w:trPr>
          <w:trHeight w:val="20"/>
        </w:trPr>
        <w:tc>
          <w:tcPr>
            <w:tcW w:w="6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B1</w:t>
            </w:r>
            <w:r w:rsidRPr="00D050E9">
              <w:rPr>
                <w:rFonts w:ascii="Calibri" w:eastAsia="Times New Roman" w:hAnsi="Calibri" w:cs="Arial"/>
                <w:color w:val="000000"/>
                <w:sz w:val="18"/>
                <w:szCs w:val="18"/>
                <w:lang w:eastAsia="sl-SI"/>
              </w:rPr>
              <w:br/>
              <w:t>(Kapitalske naložbe, konvezije terjatev)</w:t>
            </w:r>
          </w:p>
        </w:tc>
        <w:tc>
          <w:tcPr>
            <w:tcW w:w="11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Kapitalske naložbe</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Mala in srednje velika podjetja</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450.000,00</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850.000,00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626"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Tvegani kapital</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4.922.323,44</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613.881,09</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904.952,81</w:t>
            </w:r>
          </w:p>
        </w:tc>
      </w:tr>
      <w:tr w:rsidR="00B14AD8" w:rsidRPr="00D050E9" w:rsidTr="001960D2">
        <w:trPr>
          <w:trHeight w:val="20"/>
        </w:trPr>
        <w:tc>
          <w:tcPr>
            <w:tcW w:w="626"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Konverzija dolga v lastniški delež</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Prestrukturiranje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51.355.917,20</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r>
      <w:tr w:rsidR="00B14AD8" w:rsidRPr="00D050E9" w:rsidTr="001960D2">
        <w:trPr>
          <w:trHeight w:val="20"/>
        </w:trPr>
        <w:tc>
          <w:tcPr>
            <w:tcW w:w="2904" w:type="pct"/>
            <w:gridSpan w:val="3"/>
            <w:tcBorders>
              <w:top w:val="single" w:sz="4" w:space="0" w:color="auto"/>
              <w:left w:val="single" w:sz="4" w:space="0" w:color="auto"/>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 B1</w:t>
            </w:r>
          </w:p>
        </w:tc>
        <w:tc>
          <w:tcPr>
            <w:tcW w:w="699" w:type="pct"/>
            <w:tcBorders>
              <w:top w:val="nil"/>
              <w:left w:val="single" w:sz="4" w:space="0" w:color="auto"/>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56.728.240,64</w:t>
            </w:r>
          </w:p>
        </w:tc>
        <w:tc>
          <w:tcPr>
            <w:tcW w:w="699"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1.463.881,09</w:t>
            </w:r>
          </w:p>
        </w:tc>
        <w:tc>
          <w:tcPr>
            <w:tcW w:w="698"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904.952,81</w:t>
            </w:r>
          </w:p>
        </w:tc>
      </w:tr>
      <w:tr w:rsidR="00B14AD8" w:rsidRPr="00D050E9" w:rsidTr="001960D2">
        <w:trPr>
          <w:trHeight w:val="20"/>
        </w:trPr>
        <w:tc>
          <w:tcPr>
            <w:tcW w:w="62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Skupina A2</w:t>
            </w:r>
            <w:r w:rsidRPr="00D050E9">
              <w:rPr>
                <w:rFonts w:ascii="Calibri" w:eastAsia="Times New Roman" w:hAnsi="Calibri" w:cs="Arial"/>
                <w:color w:val="000000"/>
                <w:sz w:val="18"/>
                <w:szCs w:val="18"/>
                <w:lang w:eastAsia="sl-SI"/>
              </w:rPr>
              <w:br/>
              <w:t>(Davčne olajšave, znižanje prispevkov)</w:t>
            </w:r>
          </w:p>
        </w:tc>
        <w:tc>
          <w:tcPr>
            <w:tcW w:w="1166"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Davčne oprostitve, izjeme in olajšave</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Varstvo okolja</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34.203.755,31</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45.803.101,89</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38.487.058,32</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Regionalne pomoči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3.505.912,91</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3.770.404,00</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3.412.195,08</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Zaposlovanje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4.737.225,38</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313.277,57</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219.355,28</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Raziskave in razvoj ter inovacije</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290.415,77</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73.636,37</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48.610,50</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Transport morski</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2.086,36</w:t>
            </w:r>
          </w:p>
        </w:tc>
      </w:tr>
      <w:tr w:rsidR="00B14AD8" w:rsidRPr="00D050E9" w:rsidTr="001960D2">
        <w:trPr>
          <w:trHeight w:val="20"/>
        </w:trPr>
        <w:tc>
          <w:tcPr>
            <w:tcW w:w="626"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p>
        </w:tc>
        <w:tc>
          <w:tcPr>
            <w:tcW w:w="116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Znižanje prispevkov za soc. varnost</w:t>
            </w:r>
          </w:p>
        </w:tc>
        <w:tc>
          <w:tcPr>
            <w:tcW w:w="111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Zaposlovanje</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72.221.182,62</w:t>
            </w:r>
          </w:p>
        </w:tc>
        <w:tc>
          <w:tcPr>
            <w:tcW w:w="699"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73.252.443,81</w:t>
            </w:r>
          </w:p>
        </w:tc>
        <w:tc>
          <w:tcPr>
            <w:tcW w:w="698"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80.611.308,49</w:t>
            </w:r>
          </w:p>
        </w:tc>
      </w:tr>
      <w:tr w:rsidR="00B14AD8" w:rsidRPr="00D050E9" w:rsidTr="001960D2">
        <w:trPr>
          <w:trHeight w:val="20"/>
        </w:trPr>
        <w:tc>
          <w:tcPr>
            <w:tcW w:w="626" w:type="pct"/>
            <w:tcBorders>
              <w:top w:val="nil"/>
              <w:left w:val="single" w:sz="4" w:space="0" w:color="auto"/>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SKUPAJ A2</w:t>
            </w:r>
          </w:p>
        </w:tc>
        <w:tc>
          <w:tcPr>
            <w:tcW w:w="1166" w:type="pct"/>
            <w:tcBorders>
              <w:top w:val="nil"/>
              <w:left w:val="nil"/>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1112" w:type="pct"/>
            <w:tcBorders>
              <w:top w:val="nil"/>
              <w:left w:val="nil"/>
              <w:bottom w:val="single" w:sz="4" w:space="0" w:color="auto"/>
              <w:right w:val="nil"/>
            </w:tcBorders>
            <w:shd w:val="clear" w:color="000000" w:fill="C4BD97"/>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9" w:type="pct"/>
            <w:tcBorders>
              <w:top w:val="nil"/>
              <w:left w:val="single" w:sz="4" w:space="0" w:color="auto"/>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114.958.491,99</w:t>
            </w:r>
          </w:p>
        </w:tc>
        <w:tc>
          <w:tcPr>
            <w:tcW w:w="699"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123.212.863,64</w:t>
            </w:r>
          </w:p>
        </w:tc>
        <w:tc>
          <w:tcPr>
            <w:tcW w:w="698" w:type="pct"/>
            <w:tcBorders>
              <w:top w:val="nil"/>
              <w:left w:val="nil"/>
              <w:bottom w:val="single" w:sz="4" w:space="0" w:color="auto"/>
              <w:right w:val="single" w:sz="4" w:space="0" w:color="auto"/>
            </w:tcBorders>
            <w:shd w:val="clear" w:color="000000" w:fill="C4BD97"/>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122.780.614,03</w:t>
            </w:r>
          </w:p>
        </w:tc>
      </w:tr>
      <w:tr w:rsidR="00B14AD8" w:rsidRPr="00D050E9" w:rsidTr="001960D2">
        <w:trPr>
          <w:trHeight w:val="20"/>
        </w:trPr>
        <w:tc>
          <w:tcPr>
            <w:tcW w:w="626" w:type="pct"/>
            <w:tcBorders>
              <w:top w:val="nil"/>
              <w:left w:val="single" w:sz="4" w:space="0" w:color="000000"/>
              <w:bottom w:val="single" w:sz="4" w:space="0" w:color="000000"/>
              <w:right w:val="nil"/>
            </w:tcBorders>
            <w:shd w:val="clear" w:color="000000" w:fill="002060"/>
            <w:vAlign w:val="bottom"/>
            <w:hideMark/>
          </w:tcPr>
          <w:p w:rsidR="00B14AD8" w:rsidRPr="00D050E9" w:rsidRDefault="00B14AD8" w:rsidP="00CE6D2D">
            <w:pPr>
              <w:spacing w:after="0"/>
              <w:jc w:val="lef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SKUPAJ</w:t>
            </w:r>
          </w:p>
        </w:tc>
        <w:tc>
          <w:tcPr>
            <w:tcW w:w="1166" w:type="pct"/>
            <w:tcBorders>
              <w:top w:val="nil"/>
              <w:left w:val="nil"/>
              <w:bottom w:val="single" w:sz="4" w:space="0" w:color="000000"/>
              <w:right w:val="nil"/>
            </w:tcBorders>
            <w:shd w:val="clear" w:color="000000" w:fill="002060"/>
            <w:vAlign w:val="bottom"/>
            <w:hideMark/>
          </w:tcPr>
          <w:p w:rsidR="00B14AD8" w:rsidRPr="00D050E9" w:rsidRDefault="00B14AD8" w:rsidP="00CE6D2D">
            <w:pPr>
              <w:spacing w:after="0"/>
              <w:jc w:val="lef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 </w:t>
            </w:r>
          </w:p>
        </w:tc>
        <w:tc>
          <w:tcPr>
            <w:tcW w:w="1112" w:type="pct"/>
            <w:tcBorders>
              <w:top w:val="nil"/>
              <w:left w:val="nil"/>
              <w:bottom w:val="single" w:sz="4" w:space="0" w:color="000000"/>
              <w:right w:val="single" w:sz="4" w:space="0" w:color="BBBBBB"/>
            </w:tcBorders>
            <w:shd w:val="clear" w:color="000000" w:fill="002060"/>
            <w:vAlign w:val="bottom"/>
            <w:hideMark/>
          </w:tcPr>
          <w:p w:rsidR="00B14AD8" w:rsidRPr="00D050E9" w:rsidRDefault="00B14AD8" w:rsidP="00CE6D2D">
            <w:pPr>
              <w:spacing w:after="0"/>
              <w:jc w:val="lef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 </w:t>
            </w:r>
          </w:p>
        </w:tc>
        <w:tc>
          <w:tcPr>
            <w:tcW w:w="699" w:type="pct"/>
            <w:tcBorders>
              <w:top w:val="nil"/>
              <w:left w:val="single" w:sz="4" w:space="0" w:color="CCCCCC"/>
              <w:bottom w:val="single" w:sz="4" w:space="0" w:color="000000"/>
              <w:right w:val="single" w:sz="4" w:space="0" w:color="CCCCCC"/>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553.315.662,64</w:t>
            </w:r>
          </w:p>
        </w:tc>
        <w:tc>
          <w:tcPr>
            <w:tcW w:w="699" w:type="pct"/>
            <w:tcBorders>
              <w:top w:val="nil"/>
              <w:left w:val="nil"/>
              <w:bottom w:val="single" w:sz="4" w:space="0" w:color="000000"/>
              <w:right w:val="single" w:sz="4" w:space="0" w:color="CCCCCC"/>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375.030.230,63</w:t>
            </w:r>
          </w:p>
        </w:tc>
        <w:tc>
          <w:tcPr>
            <w:tcW w:w="698" w:type="pct"/>
            <w:tcBorders>
              <w:top w:val="nil"/>
              <w:left w:val="nil"/>
              <w:bottom w:val="single" w:sz="4" w:space="0" w:color="000000"/>
              <w:right w:val="single" w:sz="4" w:space="0" w:color="000000"/>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 xml:space="preserve">427.181.679,40 </w:t>
            </w:r>
          </w:p>
        </w:tc>
      </w:tr>
    </w:tbl>
    <w:p w:rsidR="00B14AD8" w:rsidRPr="00D050E9" w:rsidRDefault="00B14AD8" w:rsidP="00B14AD8">
      <w:pPr>
        <w:spacing w:line="276" w:lineRule="auto"/>
        <w:rPr>
          <w:rFonts w:asciiTheme="minorHAnsi" w:hAnsiTheme="minorHAnsi"/>
        </w:rPr>
      </w:pPr>
    </w:p>
    <w:p w:rsidR="00B14AD8" w:rsidRPr="00D050E9" w:rsidRDefault="00B14AD8" w:rsidP="00B14AD8">
      <w:pPr>
        <w:spacing w:line="276" w:lineRule="auto"/>
        <w:rPr>
          <w:rFonts w:asciiTheme="minorHAnsi" w:hAnsiTheme="minorHAnsi"/>
        </w:rPr>
      </w:pPr>
    </w:p>
    <w:p w:rsidR="00B14AD8" w:rsidRPr="00D050E9" w:rsidRDefault="00B14AD8" w:rsidP="00B14AD8">
      <w:pPr>
        <w:spacing w:line="276" w:lineRule="auto"/>
        <w:rPr>
          <w:rFonts w:asciiTheme="minorHAnsi" w:hAnsiTheme="minorHAnsi"/>
        </w:rPr>
      </w:pPr>
    </w:p>
    <w:p w:rsidR="00B14AD8" w:rsidRDefault="00B14AD8" w:rsidP="00B14AD8">
      <w:pPr>
        <w:spacing w:line="276" w:lineRule="auto"/>
        <w:rPr>
          <w:rFonts w:asciiTheme="minorHAnsi" w:hAnsiTheme="minorHAnsi"/>
          <w:b/>
        </w:rPr>
      </w:pPr>
      <w:r w:rsidRPr="00D050E9">
        <w:rPr>
          <w:rFonts w:asciiTheme="minorHAnsi" w:hAnsiTheme="minorHAnsi"/>
          <w:b/>
        </w:rPr>
        <w:t>Tabela P4: Državne pomoči po dajalcih pomoči in kategoriji pomoči, 2015–2017</w:t>
      </w:r>
    </w:p>
    <w:tbl>
      <w:tblPr>
        <w:tblW w:w="5000" w:type="pct"/>
        <w:tblCellMar>
          <w:left w:w="70" w:type="dxa"/>
          <w:right w:w="70" w:type="dxa"/>
        </w:tblCellMar>
        <w:tblLook w:val="04A0" w:firstRow="1" w:lastRow="0" w:firstColumn="1" w:lastColumn="0" w:noHBand="0" w:noVBand="1"/>
      </w:tblPr>
      <w:tblGrid>
        <w:gridCol w:w="2981"/>
        <w:gridCol w:w="1884"/>
        <w:gridCol w:w="950"/>
        <w:gridCol w:w="949"/>
        <w:gridCol w:w="949"/>
        <w:gridCol w:w="757"/>
        <w:gridCol w:w="854"/>
      </w:tblGrid>
      <w:tr w:rsidR="001960D2" w:rsidRPr="001960D2" w:rsidTr="001960D2">
        <w:trPr>
          <w:trHeight w:val="408"/>
        </w:trPr>
        <w:tc>
          <w:tcPr>
            <w:tcW w:w="1598"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1960D2" w:rsidRPr="001960D2" w:rsidRDefault="001960D2" w:rsidP="001960D2">
            <w:pPr>
              <w:spacing w:after="0"/>
              <w:jc w:val="left"/>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Dajalci pomoči</w:t>
            </w:r>
          </w:p>
        </w:tc>
        <w:tc>
          <w:tcPr>
            <w:tcW w:w="1010" w:type="pct"/>
            <w:tcBorders>
              <w:top w:val="single" w:sz="4" w:space="0" w:color="auto"/>
              <w:left w:val="nil"/>
              <w:bottom w:val="single" w:sz="4" w:space="0" w:color="auto"/>
              <w:right w:val="single" w:sz="4" w:space="0" w:color="auto"/>
            </w:tcBorders>
            <w:shd w:val="clear" w:color="000000" w:fill="B8CCE4"/>
            <w:vAlign w:val="center"/>
            <w:hideMark/>
          </w:tcPr>
          <w:p w:rsidR="001960D2" w:rsidRPr="001960D2" w:rsidRDefault="001960D2" w:rsidP="001960D2">
            <w:pPr>
              <w:spacing w:after="0"/>
              <w:jc w:val="left"/>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Kategorija</w:t>
            </w:r>
          </w:p>
        </w:tc>
        <w:tc>
          <w:tcPr>
            <w:tcW w:w="509" w:type="pct"/>
            <w:tcBorders>
              <w:top w:val="single" w:sz="4" w:space="0" w:color="auto"/>
              <w:left w:val="nil"/>
              <w:bottom w:val="single" w:sz="4" w:space="0" w:color="auto"/>
              <w:right w:val="single" w:sz="4" w:space="0" w:color="auto"/>
            </w:tcBorders>
            <w:shd w:val="clear" w:color="000000" w:fill="B8CCE4"/>
            <w:vAlign w:val="center"/>
            <w:hideMark/>
          </w:tcPr>
          <w:p w:rsidR="001960D2" w:rsidRPr="001960D2" w:rsidRDefault="001960D2" w:rsidP="001960D2">
            <w:pPr>
              <w:spacing w:after="0"/>
              <w:jc w:val="center"/>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2015</w:t>
            </w:r>
            <w:r w:rsidRPr="001960D2">
              <w:rPr>
                <w:rFonts w:ascii="Calibri" w:eastAsia="Times New Roman" w:hAnsi="Calibri" w:cs="Arial"/>
                <w:b/>
                <w:bCs/>
                <w:sz w:val="18"/>
                <w:szCs w:val="18"/>
                <w:lang w:eastAsia="sl-SI"/>
              </w:rPr>
              <w:br/>
              <w:t>v mio EUR</w:t>
            </w:r>
          </w:p>
        </w:tc>
        <w:tc>
          <w:tcPr>
            <w:tcW w:w="509" w:type="pct"/>
            <w:tcBorders>
              <w:top w:val="single" w:sz="4" w:space="0" w:color="auto"/>
              <w:left w:val="nil"/>
              <w:bottom w:val="single" w:sz="4" w:space="0" w:color="auto"/>
              <w:right w:val="single" w:sz="4" w:space="0" w:color="auto"/>
            </w:tcBorders>
            <w:shd w:val="clear" w:color="000000" w:fill="B8CCE4"/>
            <w:vAlign w:val="center"/>
            <w:hideMark/>
          </w:tcPr>
          <w:p w:rsidR="001960D2" w:rsidRPr="001960D2" w:rsidRDefault="001960D2" w:rsidP="001960D2">
            <w:pPr>
              <w:spacing w:after="0"/>
              <w:jc w:val="center"/>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2016</w:t>
            </w:r>
            <w:r w:rsidRPr="001960D2">
              <w:rPr>
                <w:rFonts w:ascii="Calibri" w:eastAsia="Times New Roman" w:hAnsi="Calibri" w:cs="Arial"/>
                <w:b/>
                <w:bCs/>
                <w:sz w:val="18"/>
                <w:szCs w:val="18"/>
                <w:lang w:eastAsia="sl-SI"/>
              </w:rPr>
              <w:br/>
              <w:t>v mio EUR</w:t>
            </w:r>
          </w:p>
        </w:tc>
        <w:tc>
          <w:tcPr>
            <w:tcW w:w="509" w:type="pct"/>
            <w:tcBorders>
              <w:top w:val="single" w:sz="4" w:space="0" w:color="auto"/>
              <w:left w:val="nil"/>
              <w:bottom w:val="single" w:sz="4" w:space="0" w:color="auto"/>
              <w:right w:val="single" w:sz="4" w:space="0" w:color="auto"/>
            </w:tcBorders>
            <w:shd w:val="clear" w:color="000000" w:fill="B8CCE4"/>
            <w:vAlign w:val="center"/>
            <w:hideMark/>
          </w:tcPr>
          <w:p w:rsidR="001960D2" w:rsidRPr="001960D2" w:rsidRDefault="001960D2" w:rsidP="001960D2">
            <w:pPr>
              <w:spacing w:after="0"/>
              <w:jc w:val="center"/>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2017</w:t>
            </w:r>
            <w:r w:rsidRPr="001960D2">
              <w:rPr>
                <w:rFonts w:ascii="Calibri" w:eastAsia="Times New Roman" w:hAnsi="Calibri" w:cs="Arial"/>
                <w:b/>
                <w:bCs/>
                <w:sz w:val="18"/>
                <w:szCs w:val="18"/>
                <w:lang w:eastAsia="sl-SI"/>
              </w:rPr>
              <w:br/>
              <w:t>v mio EUR</w:t>
            </w:r>
          </w:p>
        </w:tc>
        <w:tc>
          <w:tcPr>
            <w:tcW w:w="406" w:type="pct"/>
            <w:tcBorders>
              <w:top w:val="single" w:sz="4" w:space="0" w:color="auto"/>
              <w:left w:val="nil"/>
              <w:bottom w:val="single" w:sz="4" w:space="0" w:color="auto"/>
              <w:right w:val="single" w:sz="4" w:space="0" w:color="auto"/>
            </w:tcBorders>
            <w:shd w:val="clear" w:color="000000" w:fill="B8CCE4"/>
            <w:vAlign w:val="center"/>
            <w:hideMark/>
          </w:tcPr>
          <w:p w:rsidR="001960D2" w:rsidRPr="001960D2" w:rsidRDefault="001960D2" w:rsidP="001960D2">
            <w:pPr>
              <w:spacing w:after="0"/>
              <w:jc w:val="center"/>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Delež</w:t>
            </w:r>
            <w:r w:rsidRPr="001960D2">
              <w:rPr>
                <w:rFonts w:ascii="Calibri" w:eastAsia="Times New Roman" w:hAnsi="Calibri" w:cs="Arial"/>
                <w:b/>
                <w:bCs/>
                <w:sz w:val="18"/>
                <w:szCs w:val="18"/>
                <w:lang w:eastAsia="sl-SI"/>
              </w:rPr>
              <w:br/>
              <w:t>2017</w:t>
            </w:r>
          </w:p>
        </w:tc>
        <w:tc>
          <w:tcPr>
            <w:tcW w:w="458" w:type="pct"/>
            <w:tcBorders>
              <w:top w:val="single" w:sz="4" w:space="0" w:color="auto"/>
              <w:left w:val="nil"/>
              <w:bottom w:val="single" w:sz="4" w:space="0" w:color="auto"/>
              <w:right w:val="single" w:sz="4" w:space="0" w:color="auto"/>
            </w:tcBorders>
            <w:shd w:val="clear" w:color="000000" w:fill="B8CCE4"/>
            <w:vAlign w:val="center"/>
            <w:hideMark/>
          </w:tcPr>
          <w:p w:rsidR="001960D2" w:rsidRPr="001960D2" w:rsidRDefault="001960D2" w:rsidP="001960D2">
            <w:pPr>
              <w:spacing w:after="0"/>
              <w:jc w:val="center"/>
              <w:rPr>
                <w:rFonts w:ascii="Calibri" w:eastAsia="Times New Roman" w:hAnsi="Calibri" w:cs="Arial"/>
                <w:b/>
                <w:bCs/>
                <w:sz w:val="18"/>
                <w:szCs w:val="18"/>
                <w:lang w:eastAsia="sl-SI"/>
              </w:rPr>
            </w:pPr>
            <w:r w:rsidRPr="001960D2">
              <w:rPr>
                <w:rFonts w:ascii="Calibri" w:eastAsia="Times New Roman" w:hAnsi="Calibri" w:cs="Arial"/>
                <w:b/>
                <w:bCs/>
                <w:sz w:val="18"/>
                <w:szCs w:val="18"/>
                <w:lang w:eastAsia="sl-SI"/>
              </w:rPr>
              <w:t>delež</w:t>
            </w:r>
            <w:r w:rsidRPr="001960D2">
              <w:rPr>
                <w:rFonts w:ascii="Calibri" w:eastAsia="Times New Roman" w:hAnsi="Calibri" w:cs="Arial"/>
                <w:b/>
                <w:bCs/>
                <w:sz w:val="18"/>
                <w:szCs w:val="18"/>
                <w:lang w:eastAsia="sl-SI"/>
              </w:rPr>
              <w:br/>
              <w:t xml:space="preserve"> 2015-2017</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INFRASTRUKTURO</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200,03</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209,45</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227,77</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53,3%</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47,0%</w:t>
            </w:r>
          </w:p>
        </w:tc>
      </w:tr>
      <w:tr w:rsidR="001960D2" w:rsidRPr="001960D2" w:rsidTr="001960D2">
        <w:trPr>
          <w:trHeight w:val="276"/>
        </w:trPr>
        <w:tc>
          <w:tcPr>
            <w:tcW w:w="1598" w:type="pct"/>
            <w:vMerge w:val="restar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INFRASTRUKTURO</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Varstvo okolja</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141,83</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153,87</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165,76</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72,8%</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72,4%</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Transport (kopenski)</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52,65</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43,10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45,66</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20,0%</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22,2%</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Regionalne pomoči</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0,71</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0,1%</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Premogovništvo</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4,84</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12,47</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15,75</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6,9%</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5,2%</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Transport zračni</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0,61</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0,3%</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0,1%</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DELO, DRUŽINO, SOCIALNE ZADEVE IN ENAKE MOŽNOSTI</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92,95</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89,10</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97,29</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22,8%</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20,6%</w:t>
            </w:r>
          </w:p>
        </w:tc>
      </w:tr>
      <w:tr w:rsidR="001960D2" w:rsidRPr="001960D2" w:rsidTr="001960D2">
        <w:trPr>
          <w:trHeight w:val="480"/>
        </w:trPr>
        <w:tc>
          <w:tcPr>
            <w:tcW w:w="1598" w:type="pc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DELO, DRUŽINO, SOCIALNE ZADEVE IN ENAKE MOŽNOSTI</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Zaposlovanje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92,95</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89,10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97,29</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20,6%</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GOSPODARSKI RAZVOJ IN TEHNOLOGIJO</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40,10</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18,68</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25,91</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6,1%</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6,2%</w:t>
            </w:r>
          </w:p>
        </w:tc>
      </w:tr>
      <w:tr w:rsidR="001960D2" w:rsidRPr="001960D2" w:rsidTr="001960D2">
        <w:trPr>
          <w:trHeight w:val="276"/>
        </w:trPr>
        <w:tc>
          <w:tcPr>
            <w:tcW w:w="1598" w:type="pct"/>
            <w:vMerge w:val="restar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GOSPODARSKI RAZVOJ IN TEHNOLOGIJO</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Regionalne pomoči</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21,95</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15,81</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16,29</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62,9%</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63,8%</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Raziskave in razvoj ter inovacije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10,99</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1,56</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9,57</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36,9%</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26,1%</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Prestrukturiranje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5,60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1,30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8,1%</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Pomoči za reševanje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0,05</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0,2%</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0,1%</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Naravne nesreče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1,57</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1,8%</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KMETIJSTVO, GOZDARSTVO IN PREHRANO</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60,05</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3,46</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9,97</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2,3%</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5,4%</w:t>
            </w:r>
          </w:p>
        </w:tc>
      </w:tr>
      <w:tr w:rsidR="001960D2" w:rsidRPr="001960D2" w:rsidTr="001960D2">
        <w:trPr>
          <w:trHeight w:val="276"/>
        </w:trPr>
        <w:tc>
          <w:tcPr>
            <w:tcW w:w="1598" w:type="pct"/>
            <w:vMerge w:val="restar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KMETIJSTVO, GOZDARSTVO IN PREHRANO</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Kmetijstvo</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59,03</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1,87</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9,97</w:t>
            </w:r>
          </w:p>
        </w:tc>
        <w:tc>
          <w:tcPr>
            <w:tcW w:w="406"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100,0%</w:t>
            </w:r>
          </w:p>
        </w:tc>
        <w:tc>
          <w:tcPr>
            <w:tcW w:w="458"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96,4%</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Ribištvo</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0,59</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0,47</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0,00</w:t>
            </w:r>
          </w:p>
        </w:tc>
        <w:tc>
          <w:tcPr>
            <w:tcW w:w="406"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w:t>
            </w:r>
          </w:p>
        </w:tc>
        <w:tc>
          <w:tcPr>
            <w:tcW w:w="458"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1,4%</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Regionalne pomoči</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0,43</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1,13</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2,1%</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OKOLJE IN PROSTOR</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27,60</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22,17</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15,63</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3,7%</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4,8%</w:t>
            </w:r>
          </w:p>
        </w:tc>
      </w:tr>
      <w:tr w:rsidR="001960D2" w:rsidRPr="001960D2" w:rsidTr="001960D2">
        <w:trPr>
          <w:trHeight w:val="276"/>
        </w:trPr>
        <w:tc>
          <w:tcPr>
            <w:tcW w:w="1598" w:type="pct"/>
            <w:vMerge w:val="restar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OKOLJE IN PROSTOR</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Varstvo okolja</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27,48</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22,17</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15,63</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100,0%</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99,8%</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Kmetijstvo</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0,12</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0,2%</w:t>
            </w:r>
          </w:p>
        </w:tc>
      </w:tr>
      <w:tr w:rsidR="001960D2" w:rsidRPr="001960D2" w:rsidTr="001960D2">
        <w:trPr>
          <w:trHeight w:val="276"/>
        </w:trPr>
        <w:tc>
          <w:tcPr>
            <w:tcW w:w="1598" w:type="pct"/>
            <w:tcBorders>
              <w:top w:val="nil"/>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FINANCE</w:t>
            </w:r>
          </w:p>
        </w:tc>
        <w:tc>
          <w:tcPr>
            <w:tcW w:w="1010" w:type="pct"/>
            <w:tcBorders>
              <w:top w:val="nil"/>
              <w:left w:val="nil"/>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 </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61,82</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0,0%</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4,6%</w:t>
            </w:r>
          </w:p>
        </w:tc>
      </w:tr>
      <w:tr w:rsidR="001960D2" w:rsidRPr="001960D2" w:rsidTr="001960D2">
        <w:trPr>
          <w:trHeight w:val="276"/>
        </w:trPr>
        <w:tc>
          <w:tcPr>
            <w:tcW w:w="1598" w:type="pc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FINANCE</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Prestrukturiranje</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61,82</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FFFFF"/>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SID - Slovenska izvozna in razvojna banka, d.d., Ljubljana</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37,35</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2,48</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0,66</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0,2%</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3,0%</w:t>
            </w:r>
          </w:p>
        </w:tc>
      </w:tr>
      <w:tr w:rsidR="001960D2" w:rsidRPr="001960D2" w:rsidTr="001960D2">
        <w:trPr>
          <w:trHeight w:val="276"/>
        </w:trPr>
        <w:tc>
          <w:tcPr>
            <w:tcW w:w="1598" w:type="pct"/>
            <w:vMerge w:val="restar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SID - Slovenska izvozna in razvojna banka, d.d., Ljubljana</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Prestrukturiranje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35,19</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86,9%</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Regionalne pomoči</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1,36</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0,59</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0,04</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6,3%</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4,9%</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Raziskave in razvoj ter inovacije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0,62</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0,82</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3,5%</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Mala in srednje velika podjetja</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0,17</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1,07</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0,62</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93,7%</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4,6%</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JAVNA AGENCIJA ZA RAZISKOVALNO DEJAVNOST RS</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7,65</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8,20</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6,66</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1,6%</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1,7%</w:t>
            </w:r>
          </w:p>
        </w:tc>
      </w:tr>
      <w:tr w:rsidR="001960D2" w:rsidRPr="001960D2" w:rsidTr="001960D2">
        <w:trPr>
          <w:trHeight w:val="276"/>
        </w:trPr>
        <w:tc>
          <w:tcPr>
            <w:tcW w:w="1598" w:type="pc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JAVNA AGENCIJA ZA RAZISKOVALNO DEJAVNOST RS</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Raziskave in razvoj ter inovacije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7,65</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8,20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6,66</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 </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MINISTRSTVO ZA IZOBRAŽEVANJE, ZNANOST IN ŠPORT</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1,21</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0,00</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18,12</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4,2%</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1,4%</w:t>
            </w:r>
          </w:p>
        </w:tc>
      </w:tr>
      <w:tr w:rsidR="001960D2" w:rsidRPr="001960D2" w:rsidTr="001960D2">
        <w:trPr>
          <w:trHeight w:val="276"/>
        </w:trPr>
        <w:tc>
          <w:tcPr>
            <w:tcW w:w="1598" w:type="pct"/>
            <w:vMerge w:val="restart"/>
            <w:tcBorders>
              <w:top w:val="nil"/>
              <w:left w:val="single" w:sz="4" w:space="0" w:color="auto"/>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MINISTRSTVO ZA IZOBRAŽEVANJE, ZNANOST IN ŠPORT</w:t>
            </w: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Raziskave in razvoj ter inovacije</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1,03</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18,12</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100,0%</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99,1%</w:t>
            </w:r>
          </w:p>
        </w:tc>
      </w:tr>
      <w:tr w:rsidR="001960D2" w:rsidRPr="001960D2" w:rsidTr="001960D2">
        <w:trPr>
          <w:trHeight w:val="276"/>
        </w:trPr>
        <w:tc>
          <w:tcPr>
            <w:tcW w:w="1598" w:type="pct"/>
            <w:vMerge/>
            <w:tcBorders>
              <w:top w:val="nil"/>
              <w:left w:val="single" w:sz="4" w:space="0" w:color="auto"/>
              <w:bottom w:val="single" w:sz="4" w:space="0" w:color="auto"/>
              <w:right w:val="single" w:sz="4" w:space="0" w:color="auto"/>
            </w:tcBorders>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p>
        </w:tc>
        <w:tc>
          <w:tcPr>
            <w:tcW w:w="1010" w:type="pct"/>
            <w:tcBorders>
              <w:top w:val="nil"/>
              <w:left w:val="nil"/>
              <w:bottom w:val="single" w:sz="4" w:space="0" w:color="auto"/>
              <w:right w:val="single" w:sz="4" w:space="0" w:color="auto"/>
            </w:tcBorders>
            <w:shd w:val="clear" w:color="000000" w:fill="FFFFFF"/>
            <w:vAlign w:val="center"/>
            <w:hideMark/>
          </w:tcPr>
          <w:p w:rsidR="001960D2" w:rsidRPr="001960D2" w:rsidRDefault="001960D2" w:rsidP="001960D2">
            <w:pPr>
              <w:spacing w:after="0"/>
              <w:jc w:val="lef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Kultura</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0,18</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0,00</w:t>
            </w:r>
          </w:p>
        </w:tc>
        <w:tc>
          <w:tcPr>
            <w:tcW w:w="509"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0,00</w:t>
            </w:r>
          </w:p>
        </w:tc>
        <w:tc>
          <w:tcPr>
            <w:tcW w:w="406"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0,0%</w:t>
            </w:r>
          </w:p>
        </w:tc>
        <w:tc>
          <w:tcPr>
            <w:tcW w:w="458" w:type="pct"/>
            <w:tcBorders>
              <w:top w:val="nil"/>
              <w:left w:val="nil"/>
              <w:bottom w:val="single" w:sz="4" w:space="0" w:color="auto"/>
              <w:right w:val="single" w:sz="4" w:space="0" w:color="auto"/>
            </w:tcBorders>
            <w:shd w:val="clear" w:color="000000" w:fill="F2F2F2"/>
            <w:hideMark/>
          </w:tcPr>
          <w:p w:rsidR="001960D2" w:rsidRPr="001960D2" w:rsidRDefault="001960D2" w:rsidP="001960D2">
            <w:pPr>
              <w:spacing w:after="0"/>
              <w:jc w:val="right"/>
              <w:rPr>
                <w:rFonts w:ascii="Calibri" w:eastAsia="Times New Roman" w:hAnsi="Calibri" w:cs="Arial"/>
                <w:color w:val="000000"/>
                <w:sz w:val="18"/>
                <w:szCs w:val="18"/>
                <w:lang w:eastAsia="sl-SI"/>
              </w:rPr>
            </w:pPr>
            <w:r w:rsidRPr="001960D2">
              <w:rPr>
                <w:rFonts w:ascii="Calibri" w:eastAsia="Times New Roman" w:hAnsi="Calibri" w:cs="Arial"/>
                <w:color w:val="000000"/>
                <w:sz w:val="18"/>
                <w:szCs w:val="18"/>
                <w:lang w:eastAsia="sl-SI"/>
              </w:rPr>
              <w:t>0,9%</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1960D2" w:rsidRPr="001960D2" w:rsidRDefault="001960D2" w:rsidP="001960D2">
            <w:pPr>
              <w:spacing w:after="0"/>
              <w:jc w:val="left"/>
              <w:rPr>
                <w:rFonts w:ascii="Calibri" w:eastAsia="Times New Roman" w:hAnsi="Calibri" w:cs="Arial"/>
                <w:b/>
                <w:bCs/>
                <w:color w:val="000066"/>
                <w:sz w:val="18"/>
                <w:szCs w:val="18"/>
                <w:lang w:eastAsia="sl-SI"/>
              </w:rPr>
            </w:pPr>
            <w:r w:rsidRPr="001960D2">
              <w:rPr>
                <w:rFonts w:ascii="Calibri" w:eastAsia="Times New Roman" w:hAnsi="Calibri" w:cs="Arial"/>
                <w:b/>
                <w:bCs/>
                <w:color w:val="000066"/>
                <w:sz w:val="18"/>
                <w:szCs w:val="18"/>
                <w:lang w:eastAsia="sl-SI"/>
              </w:rPr>
              <w:t>DRUGI</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24,56</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21,49</w:t>
            </w:r>
          </w:p>
        </w:tc>
        <w:tc>
          <w:tcPr>
            <w:tcW w:w="509"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25,17</w:t>
            </w:r>
          </w:p>
        </w:tc>
        <w:tc>
          <w:tcPr>
            <w:tcW w:w="406"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5,9%</w:t>
            </w:r>
          </w:p>
        </w:tc>
        <w:tc>
          <w:tcPr>
            <w:tcW w:w="458" w:type="pct"/>
            <w:tcBorders>
              <w:top w:val="nil"/>
              <w:left w:val="nil"/>
              <w:bottom w:val="single" w:sz="4" w:space="0" w:color="auto"/>
              <w:right w:val="single" w:sz="4" w:space="0" w:color="auto"/>
            </w:tcBorders>
            <w:shd w:val="clear" w:color="000000" w:fill="C4BD97"/>
            <w:hideMark/>
          </w:tcPr>
          <w:p w:rsidR="001960D2" w:rsidRPr="001960D2" w:rsidRDefault="001960D2" w:rsidP="001960D2">
            <w:pPr>
              <w:spacing w:after="0"/>
              <w:jc w:val="right"/>
              <w:rPr>
                <w:rFonts w:ascii="Calibri" w:eastAsia="Times New Roman" w:hAnsi="Calibri" w:cs="Arial"/>
                <w:b/>
                <w:bCs/>
                <w:color w:val="000000"/>
                <w:sz w:val="18"/>
                <w:szCs w:val="18"/>
                <w:lang w:eastAsia="sl-SI"/>
              </w:rPr>
            </w:pPr>
            <w:r w:rsidRPr="001960D2">
              <w:rPr>
                <w:rFonts w:ascii="Calibri" w:eastAsia="Times New Roman" w:hAnsi="Calibri" w:cs="Arial"/>
                <w:b/>
                <w:bCs/>
                <w:color w:val="000000"/>
                <w:sz w:val="18"/>
                <w:szCs w:val="18"/>
                <w:lang w:eastAsia="sl-SI"/>
              </w:rPr>
              <w:t>5,3%</w:t>
            </w:r>
          </w:p>
        </w:tc>
      </w:tr>
      <w:tr w:rsidR="001960D2" w:rsidRPr="001960D2" w:rsidTr="001960D2">
        <w:trPr>
          <w:trHeight w:val="276"/>
        </w:trPr>
        <w:tc>
          <w:tcPr>
            <w:tcW w:w="2608" w:type="pct"/>
            <w:gridSpan w:val="2"/>
            <w:tcBorders>
              <w:top w:val="single" w:sz="4" w:space="0" w:color="auto"/>
              <w:left w:val="single" w:sz="4" w:space="0" w:color="auto"/>
              <w:bottom w:val="single" w:sz="4" w:space="0" w:color="auto"/>
              <w:right w:val="single" w:sz="4" w:space="0" w:color="auto"/>
            </w:tcBorders>
            <w:shd w:val="clear" w:color="000000" w:fill="002060"/>
            <w:vAlign w:val="bottom"/>
            <w:hideMark/>
          </w:tcPr>
          <w:p w:rsidR="001960D2" w:rsidRPr="001960D2" w:rsidRDefault="001960D2" w:rsidP="001960D2">
            <w:pPr>
              <w:spacing w:after="0"/>
              <w:jc w:val="left"/>
              <w:rPr>
                <w:rFonts w:ascii="Calibri" w:eastAsia="Times New Roman" w:hAnsi="Calibri" w:cs="Arial"/>
                <w:b/>
                <w:bCs/>
                <w:color w:val="FFFFFF"/>
                <w:sz w:val="20"/>
                <w:szCs w:val="20"/>
                <w:lang w:eastAsia="sl-SI"/>
              </w:rPr>
            </w:pPr>
            <w:r w:rsidRPr="001960D2">
              <w:rPr>
                <w:rFonts w:ascii="Calibri" w:eastAsia="Times New Roman" w:hAnsi="Calibri" w:cs="Arial"/>
                <w:b/>
                <w:bCs/>
                <w:color w:val="FFFFFF"/>
                <w:sz w:val="20"/>
                <w:szCs w:val="20"/>
                <w:lang w:eastAsia="sl-SI"/>
              </w:rPr>
              <w:t>SKUPAJ</w:t>
            </w:r>
          </w:p>
        </w:tc>
        <w:tc>
          <w:tcPr>
            <w:tcW w:w="509" w:type="pct"/>
            <w:tcBorders>
              <w:top w:val="nil"/>
              <w:left w:val="nil"/>
              <w:bottom w:val="single" w:sz="4" w:space="0" w:color="auto"/>
              <w:right w:val="single" w:sz="4" w:space="0" w:color="auto"/>
            </w:tcBorders>
            <w:shd w:val="clear" w:color="000000" w:fill="002060"/>
            <w:hideMark/>
          </w:tcPr>
          <w:p w:rsidR="001960D2" w:rsidRPr="001960D2" w:rsidRDefault="001960D2" w:rsidP="001960D2">
            <w:pPr>
              <w:spacing w:after="0"/>
              <w:jc w:val="right"/>
              <w:rPr>
                <w:rFonts w:ascii="Calibri" w:eastAsia="Times New Roman" w:hAnsi="Calibri" w:cs="Arial"/>
                <w:b/>
                <w:bCs/>
                <w:color w:val="FFFFFF"/>
                <w:sz w:val="18"/>
                <w:szCs w:val="18"/>
                <w:lang w:eastAsia="sl-SI"/>
              </w:rPr>
            </w:pPr>
            <w:r w:rsidRPr="001960D2">
              <w:rPr>
                <w:rFonts w:ascii="Calibri" w:eastAsia="Times New Roman" w:hAnsi="Calibri" w:cs="Arial"/>
                <w:b/>
                <w:bCs/>
                <w:color w:val="FFFFFF"/>
                <w:sz w:val="18"/>
                <w:szCs w:val="18"/>
                <w:lang w:eastAsia="sl-SI"/>
              </w:rPr>
              <w:t>553,32</w:t>
            </w:r>
          </w:p>
        </w:tc>
        <w:tc>
          <w:tcPr>
            <w:tcW w:w="509" w:type="pct"/>
            <w:tcBorders>
              <w:top w:val="nil"/>
              <w:left w:val="nil"/>
              <w:bottom w:val="single" w:sz="4" w:space="0" w:color="auto"/>
              <w:right w:val="single" w:sz="4" w:space="0" w:color="auto"/>
            </w:tcBorders>
            <w:shd w:val="clear" w:color="000000" w:fill="002060"/>
            <w:hideMark/>
          </w:tcPr>
          <w:p w:rsidR="001960D2" w:rsidRPr="001960D2" w:rsidRDefault="001960D2" w:rsidP="001960D2">
            <w:pPr>
              <w:spacing w:after="0"/>
              <w:jc w:val="right"/>
              <w:rPr>
                <w:rFonts w:ascii="Calibri" w:eastAsia="Times New Roman" w:hAnsi="Calibri" w:cs="Arial"/>
                <w:b/>
                <w:bCs/>
                <w:color w:val="FFFFFF"/>
                <w:sz w:val="18"/>
                <w:szCs w:val="18"/>
                <w:lang w:eastAsia="sl-SI"/>
              </w:rPr>
            </w:pPr>
            <w:r w:rsidRPr="001960D2">
              <w:rPr>
                <w:rFonts w:ascii="Calibri" w:eastAsia="Times New Roman" w:hAnsi="Calibri" w:cs="Arial"/>
                <w:b/>
                <w:bCs/>
                <w:color w:val="FFFFFF"/>
                <w:sz w:val="18"/>
                <w:szCs w:val="18"/>
                <w:lang w:eastAsia="sl-SI"/>
              </w:rPr>
              <w:t>375,03</w:t>
            </w:r>
          </w:p>
        </w:tc>
        <w:tc>
          <w:tcPr>
            <w:tcW w:w="509" w:type="pct"/>
            <w:tcBorders>
              <w:top w:val="nil"/>
              <w:left w:val="nil"/>
              <w:bottom w:val="single" w:sz="4" w:space="0" w:color="auto"/>
              <w:right w:val="single" w:sz="4" w:space="0" w:color="auto"/>
            </w:tcBorders>
            <w:shd w:val="clear" w:color="000000" w:fill="002060"/>
            <w:hideMark/>
          </w:tcPr>
          <w:p w:rsidR="001960D2" w:rsidRPr="001960D2" w:rsidRDefault="001960D2" w:rsidP="001960D2">
            <w:pPr>
              <w:spacing w:after="0"/>
              <w:jc w:val="right"/>
              <w:rPr>
                <w:rFonts w:ascii="Calibri" w:eastAsia="Times New Roman" w:hAnsi="Calibri" w:cs="Arial"/>
                <w:b/>
                <w:bCs/>
                <w:color w:val="FFFFFF"/>
                <w:sz w:val="18"/>
                <w:szCs w:val="18"/>
                <w:lang w:eastAsia="sl-SI"/>
              </w:rPr>
            </w:pPr>
            <w:r w:rsidRPr="001960D2">
              <w:rPr>
                <w:rFonts w:ascii="Calibri" w:eastAsia="Times New Roman" w:hAnsi="Calibri" w:cs="Arial"/>
                <w:b/>
                <w:bCs/>
                <w:color w:val="FFFFFF"/>
                <w:sz w:val="18"/>
                <w:szCs w:val="18"/>
                <w:lang w:eastAsia="sl-SI"/>
              </w:rPr>
              <w:t xml:space="preserve">427,18 </w:t>
            </w:r>
          </w:p>
        </w:tc>
        <w:tc>
          <w:tcPr>
            <w:tcW w:w="406" w:type="pct"/>
            <w:tcBorders>
              <w:top w:val="nil"/>
              <w:left w:val="nil"/>
              <w:bottom w:val="single" w:sz="4" w:space="0" w:color="auto"/>
              <w:right w:val="single" w:sz="4" w:space="0" w:color="auto"/>
            </w:tcBorders>
            <w:shd w:val="clear" w:color="000000" w:fill="002060"/>
            <w:hideMark/>
          </w:tcPr>
          <w:p w:rsidR="001960D2" w:rsidRPr="001960D2" w:rsidRDefault="001960D2" w:rsidP="001960D2">
            <w:pPr>
              <w:spacing w:after="0"/>
              <w:jc w:val="right"/>
              <w:rPr>
                <w:rFonts w:ascii="Calibri" w:eastAsia="Times New Roman" w:hAnsi="Calibri" w:cs="Arial"/>
                <w:b/>
                <w:bCs/>
                <w:color w:val="FFFFFF"/>
                <w:sz w:val="18"/>
                <w:szCs w:val="18"/>
                <w:lang w:eastAsia="sl-SI"/>
              </w:rPr>
            </w:pPr>
            <w:r w:rsidRPr="001960D2">
              <w:rPr>
                <w:rFonts w:ascii="Calibri" w:eastAsia="Times New Roman" w:hAnsi="Calibri" w:cs="Arial"/>
                <w:b/>
                <w:bCs/>
                <w:color w:val="FFFFFF"/>
                <w:sz w:val="18"/>
                <w:szCs w:val="18"/>
                <w:lang w:eastAsia="sl-SI"/>
              </w:rPr>
              <w:t>100,0%</w:t>
            </w:r>
          </w:p>
        </w:tc>
        <w:tc>
          <w:tcPr>
            <w:tcW w:w="458" w:type="pct"/>
            <w:tcBorders>
              <w:top w:val="nil"/>
              <w:left w:val="nil"/>
              <w:bottom w:val="single" w:sz="4" w:space="0" w:color="auto"/>
              <w:right w:val="single" w:sz="4" w:space="0" w:color="auto"/>
            </w:tcBorders>
            <w:shd w:val="clear" w:color="000000" w:fill="002060"/>
            <w:hideMark/>
          </w:tcPr>
          <w:p w:rsidR="001960D2" w:rsidRPr="001960D2" w:rsidRDefault="001960D2" w:rsidP="001960D2">
            <w:pPr>
              <w:spacing w:after="0"/>
              <w:jc w:val="right"/>
              <w:rPr>
                <w:rFonts w:ascii="Calibri" w:eastAsia="Times New Roman" w:hAnsi="Calibri" w:cs="Arial"/>
                <w:b/>
                <w:bCs/>
                <w:color w:val="FFFFFF"/>
                <w:sz w:val="18"/>
                <w:szCs w:val="18"/>
                <w:lang w:eastAsia="sl-SI"/>
              </w:rPr>
            </w:pPr>
            <w:r w:rsidRPr="001960D2">
              <w:rPr>
                <w:rFonts w:ascii="Calibri" w:eastAsia="Times New Roman" w:hAnsi="Calibri" w:cs="Arial"/>
                <w:b/>
                <w:bCs/>
                <w:color w:val="FFFFFF"/>
                <w:sz w:val="18"/>
                <w:szCs w:val="18"/>
                <w:lang w:eastAsia="sl-SI"/>
              </w:rPr>
              <w:t xml:space="preserve">100,0% </w:t>
            </w:r>
          </w:p>
        </w:tc>
      </w:tr>
    </w:tbl>
    <w:p w:rsidR="001960D2" w:rsidRDefault="001960D2" w:rsidP="00B14AD8">
      <w:pPr>
        <w:spacing w:line="276" w:lineRule="auto"/>
        <w:rPr>
          <w:rFonts w:asciiTheme="minorHAnsi" w:hAnsiTheme="minorHAnsi"/>
          <w:b/>
        </w:rPr>
      </w:pPr>
    </w:p>
    <w:p w:rsidR="00B14AD8" w:rsidRPr="00D050E9" w:rsidRDefault="00B14AD8" w:rsidP="00B14AD8">
      <w:pPr>
        <w:spacing w:line="276" w:lineRule="auto"/>
        <w:rPr>
          <w:rFonts w:asciiTheme="minorHAnsi" w:hAnsiTheme="minorHAnsi"/>
        </w:rPr>
      </w:pPr>
    </w:p>
    <w:p w:rsidR="00B14AD8" w:rsidRPr="00D050E9" w:rsidRDefault="00B14AD8" w:rsidP="00B14AD8">
      <w:pPr>
        <w:spacing w:line="276" w:lineRule="auto"/>
        <w:rPr>
          <w:rFonts w:asciiTheme="minorHAnsi" w:hAnsiTheme="minorHAnsi"/>
          <w:b/>
        </w:rPr>
      </w:pPr>
      <w:r w:rsidRPr="00D050E9">
        <w:rPr>
          <w:rFonts w:asciiTheme="minorHAnsi" w:hAnsiTheme="minorHAnsi"/>
          <w:b/>
        </w:rPr>
        <w:t>Tabela P5: Državne pomoči po statističnih regijah, 2015–2017</w:t>
      </w:r>
    </w:p>
    <w:tbl>
      <w:tblPr>
        <w:tblW w:w="5000" w:type="pct"/>
        <w:tblCellMar>
          <w:left w:w="70" w:type="dxa"/>
          <w:right w:w="70" w:type="dxa"/>
        </w:tblCellMar>
        <w:tblLook w:val="04A0" w:firstRow="1" w:lastRow="0" w:firstColumn="1" w:lastColumn="0" w:noHBand="0" w:noVBand="1"/>
      </w:tblPr>
      <w:tblGrid>
        <w:gridCol w:w="1695"/>
        <w:gridCol w:w="1223"/>
        <w:gridCol w:w="658"/>
        <w:gridCol w:w="1223"/>
        <w:gridCol w:w="710"/>
        <w:gridCol w:w="1223"/>
        <w:gridCol w:w="649"/>
        <w:gridCol w:w="1223"/>
        <w:gridCol w:w="720"/>
      </w:tblGrid>
      <w:tr w:rsidR="00B14AD8" w:rsidRPr="00D050E9" w:rsidTr="00CE6D2D">
        <w:trPr>
          <w:trHeight w:val="20"/>
        </w:trPr>
        <w:tc>
          <w:tcPr>
            <w:tcW w:w="915"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Statistična regija</w:t>
            </w:r>
          </w:p>
        </w:tc>
        <w:tc>
          <w:tcPr>
            <w:tcW w:w="1000" w:type="pct"/>
            <w:gridSpan w:val="2"/>
            <w:tcBorders>
              <w:top w:val="single" w:sz="4" w:space="0" w:color="auto"/>
              <w:left w:val="nil"/>
              <w:bottom w:val="single" w:sz="4" w:space="0" w:color="auto"/>
              <w:right w:val="single" w:sz="4" w:space="0" w:color="000000"/>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2015</w:t>
            </w:r>
          </w:p>
        </w:tc>
        <w:tc>
          <w:tcPr>
            <w:tcW w:w="1047" w:type="pct"/>
            <w:gridSpan w:val="2"/>
            <w:tcBorders>
              <w:top w:val="single" w:sz="4" w:space="0" w:color="auto"/>
              <w:left w:val="nil"/>
              <w:bottom w:val="single" w:sz="4" w:space="0" w:color="auto"/>
              <w:right w:val="single" w:sz="4" w:space="0" w:color="000000"/>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2016</w:t>
            </w:r>
          </w:p>
        </w:tc>
        <w:tc>
          <w:tcPr>
            <w:tcW w:w="981" w:type="pct"/>
            <w:gridSpan w:val="2"/>
            <w:tcBorders>
              <w:top w:val="single" w:sz="4" w:space="0" w:color="auto"/>
              <w:left w:val="nil"/>
              <w:bottom w:val="single" w:sz="4" w:space="0" w:color="auto"/>
              <w:right w:val="single" w:sz="4" w:space="0" w:color="000000"/>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2017</w:t>
            </w:r>
          </w:p>
        </w:tc>
        <w:tc>
          <w:tcPr>
            <w:tcW w:w="1057" w:type="pct"/>
            <w:gridSpan w:val="2"/>
            <w:tcBorders>
              <w:top w:val="single" w:sz="4" w:space="0" w:color="auto"/>
              <w:left w:val="nil"/>
              <w:bottom w:val="single" w:sz="4" w:space="0" w:color="auto"/>
              <w:right w:val="single" w:sz="4" w:space="0" w:color="000000"/>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Povprečje 2015-2017</w:t>
            </w:r>
          </w:p>
        </w:tc>
      </w:tr>
      <w:tr w:rsidR="00B14AD8" w:rsidRPr="00D050E9" w:rsidTr="00CE6D2D">
        <w:trPr>
          <w:trHeight w:val="20"/>
        </w:trPr>
        <w:tc>
          <w:tcPr>
            <w:tcW w:w="915" w:type="pct"/>
            <w:vMerge/>
            <w:tcBorders>
              <w:top w:val="single" w:sz="4" w:space="0" w:color="auto"/>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642"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v EUR</w:t>
            </w:r>
          </w:p>
        </w:tc>
        <w:tc>
          <w:tcPr>
            <w:tcW w:w="358"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 xml:space="preserve">v % </w:t>
            </w:r>
          </w:p>
        </w:tc>
        <w:tc>
          <w:tcPr>
            <w:tcW w:w="660"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v EUR</w:t>
            </w:r>
          </w:p>
        </w:tc>
        <w:tc>
          <w:tcPr>
            <w:tcW w:w="387"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 xml:space="preserve">v % </w:t>
            </w:r>
          </w:p>
        </w:tc>
        <w:tc>
          <w:tcPr>
            <w:tcW w:w="632"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v EUR</w:t>
            </w:r>
          </w:p>
        </w:tc>
        <w:tc>
          <w:tcPr>
            <w:tcW w:w="349"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 xml:space="preserve">v % </w:t>
            </w:r>
          </w:p>
        </w:tc>
        <w:tc>
          <w:tcPr>
            <w:tcW w:w="660"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v EUR</w:t>
            </w:r>
          </w:p>
        </w:tc>
        <w:tc>
          <w:tcPr>
            <w:tcW w:w="396" w:type="pct"/>
            <w:tcBorders>
              <w:top w:val="nil"/>
              <w:left w:val="nil"/>
              <w:bottom w:val="single" w:sz="4" w:space="0" w:color="auto"/>
              <w:right w:val="single" w:sz="4" w:space="0" w:color="auto"/>
            </w:tcBorders>
            <w:shd w:val="clear" w:color="000000" w:fill="DCE6F1"/>
            <w:vAlign w:val="bottom"/>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 xml:space="preserve">v % </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GORENJSKA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27.242.616,58</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21.164.048,83</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25.580.733,64</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24.662.466,35</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GORIŠKA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19.386.584,53</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13.305.761,91</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15.038.676,98</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15.910.341,14</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JUGOVZHODNA SLOVENIJA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25.023.870,51</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22.727.033,18</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21.183.226,20</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22.978.043,30</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KOROŠKA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14.472.947,85</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11.593.465,12</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13.667.938,00</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13.244.783,66</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NOTRANJSKO-KRAŠKA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5.147.421,76</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0,9%</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3.965.819,88</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5.018.527,82</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4.710.589,82</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OBALNO-KRAŠKA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103.316.077,46</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18,7%</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5.525.406,70</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7.722.036,61</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38.854.506,92</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OSREDNJESLOVENSKA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193.209.614,66</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34,9%</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138.052.488,63</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36,8%</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159.480.002,84</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37,3%</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163.580.702,04</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36,2%</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PODRAVSKA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63.126.123,26</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11,4%</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55.285.271,79</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14,7%</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64.999.889,51</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61.137.094,85</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13,5%</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POMURSKA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20.316.650,26</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17.548.568,44</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19.251.050,84</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19.038.756,51</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POSAVSKA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11.244.777,33</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9.619.423,90</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11.560.689,20</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10.808.296,81</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SAVINJSKA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58.074.613,65</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56.120.445,70</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15,0%</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59.929.384,88</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14,0%</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58.041.481,41</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12,8%</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ZASAVSKA</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12.743.846,72</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20.100.822,99</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23.730.124,13</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18.858.264,61</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NI RAZVRŠČENO</w:t>
            </w:r>
          </w:p>
        </w:tc>
        <w:tc>
          <w:tcPr>
            <w:tcW w:w="64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10.518,07</w:t>
            </w:r>
          </w:p>
        </w:tc>
        <w:tc>
          <w:tcPr>
            <w:tcW w:w="358"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0,0%</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21.673,56</w:t>
            </w:r>
          </w:p>
        </w:tc>
        <w:tc>
          <w:tcPr>
            <w:tcW w:w="387"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0,0%</w:t>
            </w:r>
          </w:p>
        </w:tc>
        <w:tc>
          <w:tcPr>
            <w:tcW w:w="632"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19.398,75</w:t>
            </w:r>
          </w:p>
        </w:tc>
        <w:tc>
          <w:tcPr>
            <w:tcW w:w="349"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0,0%</w:t>
            </w:r>
          </w:p>
        </w:tc>
        <w:tc>
          <w:tcPr>
            <w:tcW w:w="660"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17.196,79</w:t>
            </w:r>
          </w:p>
        </w:tc>
        <w:tc>
          <w:tcPr>
            <w:tcW w:w="396"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0,0%</w:t>
            </w:r>
          </w:p>
        </w:tc>
      </w:tr>
      <w:tr w:rsidR="00B14AD8" w:rsidRPr="00D050E9" w:rsidTr="00CE6D2D">
        <w:trPr>
          <w:trHeight w:val="20"/>
        </w:trPr>
        <w:tc>
          <w:tcPr>
            <w:tcW w:w="915" w:type="pct"/>
            <w:tcBorders>
              <w:top w:val="nil"/>
              <w:left w:val="single" w:sz="4" w:space="0" w:color="auto"/>
              <w:bottom w:val="single" w:sz="4" w:space="0" w:color="auto"/>
              <w:right w:val="single" w:sz="4" w:space="0" w:color="auto"/>
            </w:tcBorders>
            <w:shd w:val="clear" w:color="000000" w:fill="1F497D"/>
            <w:vAlign w:val="bottom"/>
            <w:hideMark/>
          </w:tcPr>
          <w:p w:rsidR="00B14AD8" w:rsidRPr="00D050E9" w:rsidRDefault="00B14AD8" w:rsidP="00CE6D2D">
            <w:pPr>
              <w:spacing w:after="0"/>
              <w:jc w:val="left"/>
              <w:rPr>
                <w:rFonts w:ascii="Calibri" w:eastAsia="Times New Roman" w:hAnsi="Calibri" w:cs="Arial"/>
                <w:b/>
                <w:bCs/>
                <w:color w:val="F2F2F2"/>
                <w:sz w:val="17"/>
                <w:szCs w:val="17"/>
                <w:lang w:eastAsia="sl-SI"/>
              </w:rPr>
            </w:pPr>
            <w:r w:rsidRPr="00D050E9">
              <w:rPr>
                <w:rFonts w:ascii="Calibri" w:eastAsia="Times New Roman" w:hAnsi="Calibri" w:cs="Arial"/>
                <w:b/>
                <w:bCs/>
                <w:color w:val="F2F2F2"/>
                <w:sz w:val="17"/>
                <w:szCs w:val="17"/>
                <w:lang w:eastAsia="sl-SI"/>
              </w:rPr>
              <w:t>SKUPAJ</w:t>
            </w:r>
          </w:p>
        </w:tc>
        <w:tc>
          <w:tcPr>
            <w:tcW w:w="642"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b/>
                <w:bCs/>
                <w:color w:val="F2F2F2"/>
                <w:sz w:val="17"/>
                <w:szCs w:val="17"/>
                <w:lang w:eastAsia="sl-SI"/>
              </w:rPr>
            </w:pPr>
            <w:r w:rsidRPr="00D050E9">
              <w:rPr>
                <w:rFonts w:ascii="Calibri" w:eastAsia="Times New Roman" w:hAnsi="Calibri" w:cs="Arial"/>
                <w:b/>
                <w:bCs/>
                <w:color w:val="F2F2F2"/>
                <w:sz w:val="17"/>
                <w:szCs w:val="17"/>
                <w:lang w:eastAsia="sl-SI"/>
              </w:rPr>
              <w:t>553.315.662,64</w:t>
            </w:r>
          </w:p>
        </w:tc>
        <w:tc>
          <w:tcPr>
            <w:tcW w:w="358"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color w:val="F2F2F2"/>
                <w:sz w:val="17"/>
                <w:szCs w:val="17"/>
                <w:lang w:eastAsia="sl-SI"/>
              </w:rPr>
            </w:pPr>
            <w:r w:rsidRPr="00D050E9">
              <w:rPr>
                <w:rFonts w:ascii="Calibri" w:eastAsia="Times New Roman" w:hAnsi="Calibri" w:cs="Arial"/>
                <w:color w:val="F2F2F2"/>
                <w:sz w:val="17"/>
                <w:szCs w:val="17"/>
                <w:lang w:eastAsia="sl-SI"/>
              </w:rPr>
              <w:t>100,0%</w:t>
            </w:r>
          </w:p>
        </w:tc>
        <w:tc>
          <w:tcPr>
            <w:tcW w:w="660"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b/>
                <w:bCs/>
                <w:color w:val="F2F2F2"/>
                <w:sz w:val="17"/>
                <w:szCs w:val="17"/>
                <w:lang w:eastAsia="sl-SI"/>
              </w:rPr>
            </w:pPr>
            <w:r w:rsidRPr="00D050E9">
              <w:rPr>
                <w:rFonts w:ascii="Calibri" w:eastAsia="Times New Roman" w:hAnsi="Calibri" w:cs="Arial"/>
                <w:b/>
                <w:bCs/>
                <w:color w:val="F2F2F2"/>
                <w:sz w:val="17"/>
                <w:szCs w:val="17"/>
                <w:lang w:eastAsia="sl-SI"/>
              </w:rPr>
              <w:t>375.030.230,63</w:t>
            </w:r>
          </w:p>
        </w:tc>
        <w:tc>
          <w:tcPr>
            <w:tcW w:w="387"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color w:val="FFFFFF"/>
                <w:sz w:val="17"/>
                <w:szCs w:val="17"/>
                <w:lang w:eastAsia="sl-SI"/>
              </w:rPr>
            </w:pPr>
            <w:r w:rsidRPr="00D050E9">
              <w:rPr>
                <w:rFonts w:ascii="Calibri" w:eastAsia="Times New Roman" w:hAnsi="Calibri" w:cs="Arial"/>
                <w:color w:val="FFFFFF"/>
                <w:sz w:val="17"/>
                <w:szCs w:val="17"/>
                <w:lang w:eastAsia="sl-SI"/>
              </w:rPr>
              <w:t>100,0%</w:t>
            </w:r>
          </w:p>
        </w:tc>
        <w:tc>
          <w:tcPr>
            <w:tcW w:w="632"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b/>
                <w:bCs/>
                <w:color w:val="F2F2F2"/>
                <w:sz w:val="17"/>
                <w:szCs w:val="17"/>
                <w:lang w:eastAsia="sl-SI"/>
              </w:rPr>
            </w:pPr>
            <w:r w:rsidRPr="00D050E9">
              <w:rPr>
                <w:rFonts w:ascii="Calibri" w:eastAsia="Times New Roman" w:hAnsi="Calibri" w:cs="Arial"/>
                <w:b/>
                <w:bCs/>
                <w:color w:val="F2F2F2"/>
                <w:sz w:val="17"/>
                <w:szCs w:val="17"/>
                <w:lang w:eastAsia="sl-SI"/>
              </w:rPr>
              <w:t xml:space="preserve">427.181.679,40 </w:t>
            </w:r>
          </w:p>
        </w:tc>
        <w:tc>
          <w:tcPr>
            <w:tcW w:w="349"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color w:val="FFFFFF"/>
                <w:sz w:val="17"/>
                <w:szCs w:val="17"/>
                <w:lang w:eastAsia="sl-SI"/>
              </w:rPr>
            </w:pPr>
            <w:r w:rsidRPr="00D050E9">
              <w:rPr>
                <w:rFonts w:ascii="Calibri" w:eastAsia="Times New Roman" w:hAnsi="Calibri" w:cs="Arial"/>
                <w:color w:val="FFFFFF"/>
                <w:sz w:val="17"/>
                <w:szCs w:val="17"/>
                <w:lang w:eastAsia="sl-SI"/>
              </w:rPr>
              <w:t>100,0%</w:t>
            </w:r>
          </w:p>
        </w:tc>
        <w:tc>
          <w:tcPr>
            <w:tcW w:w="660"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b/>
                <w:bCs/>
                <w:color w:val="F2F2F2"/>
                <w:sz w:val="17"/>
                <w:szCs w:val="17"/>
                <w:lang w:eastAsia="sl-SI"/>
              </w:rPr>
            </w:pPr>
            <w:r w:rsidRPr="00D050E9">
              <w:rPr>
                <w:rFonts w:ascii="Calibri" w:eastAsia="Times New Roman" w:hAnsi="Calibri" w:cs="Arial"/>
                <w:b/>
                <w:bCs/>
                <w:color w:val="F2F2F2"/>
                <w:sz w:val="17"/>
                <w:szCs w:val="17"/>
                <w:lang w:eastAsia="sl-SI"/>
              </w:rPr>
              <w:t xml:space="preserve">451.842.524,22 </w:t>
            </w:r>
          </w:p>
        </w:tc>
        <w:tc>
          <w:tcPr>
            <w:tcW w:w="396" w:type="pct"/>
            <w:tcBorders>
              <w:top w:val="nil"/>
              <w:left w:val="nil"/>
              <w:bottom w:val="single" w:sz="4" w:space="0" w:color="auto"/>
              <w:right w:val="single" w:sz="4" w:space="0" w:color="auto"/>
            </w:tcBorders>
            <w:shd w:val="clear" w:color="000000" w:fill="1F497D"/>
            <w:vAlign w:val="bottom"/>
            <w:hideMark/>
          </w:tcPr>
          <w:p w:rsidR="00B14AD8" w:rsidRPr="00D050E9" w:rsidRDefault="00B14AD8" w:rsidP="00CE6D2D">
            <w:pPr>
              <w:spacing w:after="0"/>
              <w:jc w:val="right"/>
              <w:rPr>
                <w:rFonts w:ascii="Calibri" w:eastAsia="Times New Roman" w:hAnsi="Calibri" w:cs="Arial"/>
                <w:color w:val="FFFFFF"/>
                <w:sz w:val="17"/>
                <w:szCs w:val="17"/>
                <w:lang w:eastAsia="sl-SI"/>
              </w:rPr>
            </w:pPr>
            <w:r w:rsidRPr="00D050E9">
              <w:rPr>
                <w:rFonts w:ascii="Calibri" w:eastAsia="Times New Roman" w:hAnsi="Calibri" w:cs="Arial"/>
                <w:color w:val="FFFFFF"/>
                <w:sz w:val="17"/>
                <w:szCs w:val="17"/>
                <w:lang w:eastAsia="sl-SI"/>
              </w:rPr>
              <w:t>100,0%</w:t>
            </w:r>
          </w:p>
        </w:tc>
      </w:tr>
    </w:tbl>
    <w:p w:rsidR="00B14AD8" w:rsidRPr="00D050E9" w:rsidRDefault="00B14AD8" w:rsidP="00B14AD8">
      <w:pPr>
        <w:spacing w:line="276" w:lineRule="auto"/>
        <w:rPr>
          <w:rFonts w:asciiTheme="minorHAnsi" w:hAnsiTheme="minorHAnsi"/>
        </w:rPr>
      </w:pPr>
    </w:p>
    <w:p w:rsidR="00B14AD8" w:rsidRPr="00D050E9" w:rsidRDefault="00B14AD8" w:rsidP="00B14AD8">
      <w:pPr>
        <w:spacing w:line="276" w:lineRule="auto"/>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b/>
        </w:rPr>
      </w:pPr>
      <w:r w:rsidRPr="00D050E9">
        <w:rPr>
          <w:rFonts w:asciiTheme="minorHAnsi" w:hAnsiTheme="minorHAnsi"/>
          <w:b/>
        </w:rPr>
        <w:t>Tabela P6: Državne pomoči v Sloveniji po statističnih regijah, 2015–2017, v EUR</w:t>
      </w:r>
    </w:p>
    <w:tbl>
      <w:tblPr>
        <w:tblW w:w="5000" w:type="pct"/>
        <w:tblCellMar>
          <w:left w:w="70" w:type="dxa"/>
          <w:right w:w="70" w:type="dxa"/>
        </w:tblCellMar>
        <w:tblLook w:val="04A0" w:firstRow="1" w:lastRow="0" w:firstColumn="1" w:lastColumn="0" w:noHBand="0" w:noVBand="1"/>
      </w:tblPr>
      <w:tblGrid>
        <w:gridCol w:w="1648"/>
        <w:gridCol w:w="2044"/>
        <w:gridCol w:w="1408"/>
        <w:gridCol w:w="1408"/>
        <w:gridCol w:w="1408"/>
        <w:gridCol w:w="1408"/>
      </w:tblGrid>
      <w:tr w:rsidR="00B14AD8" w:rsidRPr="00D050E9" w:rsidTr="00CE6D2D">
        <w:trPr>
          <w:trHeight w:val="20"/>
          <w:tblHeader/>
        </w:trPr>
        <w:tc>
          <w:tcPr>
            <w:tcW w:w="884" w:type="pct"/>
            <w:tcBorders>
              <w:top w:val="single" w:sz="4" w:space="0" w:color="auto"/>
              <w:left w:val="single" w:sz="4" w:space="0" w:color="auto"/>
              <w:bottom w:val="single" w:sz="4" w:space="0" w:color="auto"/>
              <w:right w:val="single" w:sz="4" w:space="0" w:color="auto"/>
            </w:tcBorders>
            <w:shd w:val="clear" w:color="000000" w:fill="B8CCE4"/>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Statistična regija</w:t>
            </w:r>
          </w:p>
        </w:tc>
        <w:tc>
          <w:tcPr>
            <w:tcW w:w="1096" w:type="pct"/>
            <w:tcBorders>
              <w:top w:val="single" w:sz="4" w:space="0" w:color="auto"/>
              <w:left w:val="nil"/>
              <w:bottom w:val="single" w:sz="4" w:space="0" w:color="auto"/>
              <w:right w:val="single" w:sz="4" w:space="0" w:color="auto"/>
            </w:tcBorders>
            <w:shd w:val="clear" w:color="000000" w:fill="B8CCE4"/>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Kategorija</w:t>
            </w:r>
          </w:p>
        </w:tc>
        <w:tc>
          <w:tcPr>
            <w:tcW w:w="755" w:type="pct"/>
            <w:tcBorders>
              <w:top w:val="single" w:sz="4" w:space="0" w:color="auto"/>
              <w:left w:val="nil"/>
              <w:bottom w:val="single" w:sz="4" w:space="0" w:color="auto"/>
              <w:right w:val="single" w:sz="4" w:space="0" w:color="auto"/>
            </w:tcBorders>
            <w:shd w:val="clear" w:color="000000" w:fill="B8CCE4"/>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2015</w:t>
            </w:r>
          </w:p>
        </w:tc>
        <w:tc>
          <w:tcPr>
            <w:tcW w:w="755" w:type="pct"/>
            <w:tcBorders>
              <w:top w:val="single" w:sz="4" w:space="0" w:color="auto"/>
              <w:left w:val="nil"/>
              <w:bottom w:val="single" w:sz="4" w:space="0" w:color="auto"/>
              <w:right w:val="single" w:sz="4" w:space="0" w:color="auto"/>
            </w:tcBorders>
            <w:shd w:val="clear" w:color="000000" w:fill="B8CCE4"/>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2016</w:t>
            </w:r>
          </w:p>
        </w:tc>
        <w:tc>
          <w:tcPr>
            <w:tcW w:w="755" w:type="pct"/>
            <w:tcBorders>
              <w:top w:val="single" w:sz="4" w:space="0" w:color="auto"/>
              <w:left w:val="nil"/>
              <w:bottom w:val="single" w:sz="4" w:space="0" w:color="auto"/>
              <w:right w:val="single" w:sz="4" w:space="0" w:color="auto"/>
            </w:tcBorders>
            <w:shd w:val="clear" w:color="000000" w:fill="B8CCE4"/>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2017</w:t>
            </w:r>
          </w:p>
        </w:tc>
        <w:tc>
          <w:tcPr>
            <w:tcW w:w="755" w:type="pct"/>
            <w:tcBorders>
              <w:top w:val="single" w:sz="4" w:space="0" w:color="auto"/>
              <w:left w:val="nil"/>
              <w:bottom w:val="single" w:sz="4" w:space="0" w:color="auto"/>
              <w:right w:val="single" w:sz="4" w:space="0" w:color="auto"/>
            </w:tcBorders>
            <w:shd w:val="clear" w:color="000000" w:fill="B8CCE4"/>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Skupaj          2015-2017</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GORENJSKA</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17.390.338,23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15.183.947,80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16.143.247,06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48.717.533,09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5.269.383,30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4.482.387,42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5.268.319,03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15.020.089,75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1.369.369,62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200.157,41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2.266.704,50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3.836.231,53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1.548.372,34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536.679,24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867.479,67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2.952.531,25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401.865,17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394.136,62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389.130,11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1.185.131,90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785.345,68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109.139,40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331.497,96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1.225.983,04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9.000,00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137.751,49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249.199,25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395.950,74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74.574,20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65.156,06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139.730,26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389.012,62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389.012,62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Ribištvo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5.179,41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119.849,45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125.028,86</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auto"/>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GORENJSKA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27.242.440,57</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21.164.048,83</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25.580.733,64</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73.987.223,04</w:t>
            </w:r>
          </w:p>
        </w:tc>
      </w:tr>
      <w:tr w:rsidR="00B14AD8" w:rsidRPr="00D050E9" w:rsidTr="00CE6D2D">
        <w:trPr>
          <w:trHeight w:val="20"/>
        </w:trPr>
        <w:tc>
          <w:tcPr>
            <w:tcW w:w="8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9.464.720,65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8.447.987,91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8.136.866,50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26.049.575,06</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3.714.112,96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3.835.610,99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3.389.210,64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10.938.934,59</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1.848.064,17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519.380,61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2.453.775,86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4.821.220,64</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2.809.382,62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2.809.382,62</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1.025.077,70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336.106,79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681.153,75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2.042.338,24</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212.758,25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141.262,13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168.767,65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522.788,03</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Ribištvo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277.119,94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277.119,94</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13.450,00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17.490,41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152.437,86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183.378,27</w:t>
            </w:r>
          </w:p>
        </w:tc>
      </w:tr>
      <w:tr w:rsidR="00B14AD8" w:rsidRPr="00D050E9" w:rsidTr="00CE6D2D">
        <w:trPr>
          <w:trHeight w:val="20"/>
        </w:trPr>
        <w:tc>
          <w:tcPr>
            <w:tcW w:w="884"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21.898,24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7.923,07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56.464,72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86.286,03</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GORIŠKA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19.386.584,53</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13.305.761,91</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15.038.676,98</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47.731.023,42</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6.715.442,73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7.609.798,29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8.757.753,62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23.082.994,64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9.759.312,61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8.467.065,39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3.217.595,55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21.443.973,55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5.685.601,32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5.583.315,01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6.145.418,33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17.414.334,66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1.894.026,61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507.053,44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879.205,15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3.280.285,20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546.310,13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190.064,43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1.722.905,46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2.459.280,02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256.958,88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323.992,76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323.226,35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904.177,99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45.743,86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101.513,36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151.757,22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66.962,84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35.608,38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102.571,22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81.026,99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81.026,99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Ribištvo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13.728,40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13.728,40</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JUGOVZHODNA SLOVENIJA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25.023.870,51</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22.727.033,18</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21.183.226,20</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68.934.129,89</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8.689.658,17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7.338.319,58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8.312.973,08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24.340.950,83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4.247.150,07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3.618.363,48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3.538.995,96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11.404.509,51</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933.902,62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132.426,71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638.704,56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1.705.033,89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320.458,37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335.139,63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468.513,77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1.124.111,77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148.761,22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41,96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431.446,45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580.249,63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16.089,33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101.173,76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184.284,61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301.547,70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79.978,10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68.000,00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77.144,45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225.122,55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29.466,84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15.875,12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45.341,96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7.483,13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7.483,13</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KOROŠKA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14.472.947,85</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11.593.465,12</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13.667.938,00</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39.734.350,97</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1.055.886,66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1.475.227,52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2.106.525,87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4.637.640,05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1.596.375,18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1.377.693,96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1.475.102,42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4.449.171,56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875.987,07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67.897,73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743.083,60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1.686.968,40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782.893,92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691.247,25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176.314,70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1.650.455,87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523.773,75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92.607,96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401.229,96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1.017.611,67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60.483,24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241.945,46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75.500,00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377.928,70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229.012,44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229.012,44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23.009,50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22.318,39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45.327,89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19.200,00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18.452,88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37.652,88</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NOTRANJSKO-KRAŠKA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5.147.421,76</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3.965.819,88</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5.018.527,82</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14.131.769,46</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Prestrukturiranje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96.920.808,16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96.920.808,16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2.896.045,31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2.693.271,87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2.939.473,78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8.528.790,96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1.756.058,46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1.917.829,72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2.799.079,14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6.472.967,32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582.089,53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227.882,20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645.224,37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1.455.196,10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456.477,67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155.333,12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230.126,09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841.936,88</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Transport zračni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605.388,00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605.388,00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Ribištvo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222.366,80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270.057,40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492.424,20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113.125,12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156.556,99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133.444,41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403.126,52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83.327,02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306.304,47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389.631,49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327.664,89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327.664,89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23.742,52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7.923,07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62.996,35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94.661,94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17.699,00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13.225,31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30.924,31</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OBALNO-KRAŠKA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103.316.077,46</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5.525.406,70</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7.722.036,61</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116.563.520,77</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44.441.101,63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48.346.607,98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48.968.312,49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141.756.022,10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Transport (kopenski)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52.652.492,19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43.101.325,37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45.662.099,98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141.415.917,54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26.789.524,33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24.999.698,63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27.780.580,64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79.569.803,60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41.892.019,20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870.290,56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2.016.487,29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44.778.797,05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10.260.776,11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7.897.594,33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18.952.387,24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37.110.757,68</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7.554.153,88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7.882.255,54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7.826.534,38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23.262.943,80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3.803.043,21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3.423.899,46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6.486.034,07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13.712.976,74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Tvegani kapital</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4.922.323,44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613.881,09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904.952,81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6.441.157,34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343.871,04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869.397,25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726.656,41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1.939.924,70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243.883,15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47.538,42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155.957,53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447.379,10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306.602,49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306.602,49</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OSREDNJESLOVENSKA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193.209.790,67</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138.052.488,63</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159.480.002,84</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490.742.282,14</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35.191.326,51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37.849.042,07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39.973.070,83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113.013.439,41</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13.330.077,11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12.707.448,83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14.431.529,38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40.469.055,32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2.578.232,67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2.646.445,69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3.645.573,15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8.870.251,51</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4.475.772,90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825.853,94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3.143.203,70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8.444.830,54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2.062.696,55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613.146,57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3.033.867,57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5.709.710,69</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Prestrukturiranje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5.100.000,00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5.100.000,00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311.311,28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390.372,37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411.702,75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1.113.386,40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17.750,00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253.129,21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268.725,43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539.604,64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59.009,64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92.216,70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151.226,34</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PODRAVSKA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63.126.176,66</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55.285.438,68</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64.999.889,51</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183.411.504,85</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9.110.210,69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9.452.417,98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9.042.447,11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27.605.075,78</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4.186.770,78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3.724.148,94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4.084.986,00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11.995.905,72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3.417.504,46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3.368.369,82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4.359.871,74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11.145.746,02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2.852.076,49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463.977,31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1.119.559,54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4.435.613,34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325.335,09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336.998,07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310.396,99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972.730,15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210.646,04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20.803,30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172.522,87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403.972,21</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126.247,50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173.929,95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77.275,00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377.452,45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33.013,17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7.923,07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29.622,59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70.558,83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Pomoči za reševanje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54.369,00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54.369,00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31.894,04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31.894,04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Premogovništvo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22.952,00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22.952,00</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POMURSKA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20.316.650,26</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17.548.568,44</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19.251.050,84</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57.116.269,54</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5.254.530,05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6.247.388,01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6.354.960,12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17.856.878,18</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2.863.658,33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2.491.616,45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2.715.098,72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8.070.373,50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2.096.333,46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610.868,85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1.794.214,84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4.501.417,15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601.473,06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194.122,35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484.522,12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1.280.117,53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331.234,07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135.281,77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466.515,84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14.723,37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69.376,63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84.100,00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Ribištvo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58.304,87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58.304,87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42.550,36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3.900,00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48.850,36</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32.046,00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3.335,00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35.381,00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Premogovništvo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22.952,00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22.952,00</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POSAVSKA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11.244.777,33</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9.619.423,90</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11.560.689,20</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32.424.890,43</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26.586.585,66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29.364.024,02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28.581.615,57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84.532.225,25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21.231.765,95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21.387.558,44</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23.200.030,75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65.819.355,14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3.731.505,83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947.132,62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2.037.461,06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6.716.099,51</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2.545.395,01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1.579.838,85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1.739.342,01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5.864.575,87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1.909.157,26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775.611,50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3.073.321,76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5.758.090,52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Prestrukturiranje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922.853,58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1.300.000,00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2.222.853,58</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464.542,13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466.437,12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560.028,28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1.491.007,53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35.170,00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158.600,43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610.509,97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804.280,40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Premogovništvo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321.328,00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91.808,00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413.136,00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65.667,51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31.692,28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127.075,48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224.435,27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Naravne nesreče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193.089,32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193.089,32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Ribištvo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67.500,00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17.575,55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85.075,55</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SAVINJSKA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58.074.560,25</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56.120.278,81</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59.929.384,88</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174.124.223,94</w:t>
            </w:r>
          </w:p>
        </w:tc>
      </w:tr>
      <w:tr w:rsidR="00B14AD8" w:rsidRPr="00D050E9" w:rsidTr="00CE6D2D">
        <w:trPr>
          <w:trHeight w:val="20"/>
        </w:trPr>
        <w:tc>
          <w:tcPr>
            <w:tcW w:w="884" w:type="pct"/>
            <w:vMerge w:val="restart"/>
            <w:tcBorders>
              <w:top w:val="nil"/>
              <w:left w:val="single" w:sz="4" w:space="0" w:color="auto"/>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Premogovništvo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4.472.666,52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12.383.001,28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15.749.805,65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32.605.473,45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Varstvo okolja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4.199.664,45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3.324.494,77</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3.384.862,20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10.909.021,42</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Zaposlovanje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2.729.225,73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3.263.747,28</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3.230.767,76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9.223.740,77</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Raziskave in razvoj ter inovacije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464.553,40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134.388,45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771.867,69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1.370.809,54</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Regionalne pomoči</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234.287,41</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774.591,12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333.318,82</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1.342.197,35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Kmetijstvo</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360.240,86</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48.410,59</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112.796,05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521.447,50</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Kultura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113.012,10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108.689,50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110.135,53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331.837,13</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Mala in srednje velika podjetja</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170.196,25</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63.500,00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9.000,00</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242.696,25</w:t>
            </w:r>
          </w:p>
        </w:tc>
      </w:tr>
      <w:tr w:rsidR="00B14AD8" w:rsidRPr="00D050E9" w:rsidTr="00CE6D2D">
        <w:trPr>
          <w:trHeight w:val="20"/>
        </w:trPr>
        <w:tc>
          <w:tcPr>
            <w:tcW w:w="884"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sz w:val="18"/>
                <w:szCs w:val="18"/>
                <w:lang w:eastAsia="sl-SI"/>
              </w:rPr>
            </w:pPr>
          </w:p>
        </w:tc>
        <w:tc>
          <w:tcPr>
            <w:tcW w:w="1096"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sz w:val="18"/>
                <w:szCs w:val="18"/>
                <w:lang w:eastAsia="sl-SI"/>
              </w:rPr>
            </w:pPr>
            <w:r w:rsidRPr="00D050E9">
              <w:rPr>
                <w:rFonts w:ascii="Calibri" w:eastAsia="Times New Roman" w:hAnsi="Calibri" w:cs="Arial"/>
                <w:sz w:val="18"/>
                <w:szCs w:val="18"/>
                <w:lang w:eastAsia="sl-SI"/>
              </w:rPr>
              <w:t>Usposabljanje</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 </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27.570,43</w:t>
            </w:r>
          </w:p>
        </w:tc>
        <w:tc>
          <w:tcPr>
            <w:tcW w:w="75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sz w:val="18"/>
                <w:szCs w:val="18"/>
                <w:lang w:eastAsia="sl-SI"/>
              </w:rPr>
            </w:pPr>
            <w:r w:rsidRPr="00D050E9">
              <w:rPr>
                <w:rFonts w:ascii="Calibri" w:eastAsia="Times New Roman" w:hAnsi="Calibri" w:cs="Arial"/>
                <w:sz w:val="18"/>
                <w:szCs w:val="18"/>
                <w:lang w:eastAsia="sl-SI"/>
              </w:rPr>
              <w:t>27.570,43</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C4BD97"/>
            <w:vAlign w:val="bottom"/>
            <w:hideMark/>
          </w:tcPr>
          <w:p w:rsidR="00B14AD8" w:rsidRPr="00D050E9" w:rsidRDefault="00B14AD8" w:rsidP="00CE6D2D">
            <w:pPr>
              <w:spacing w:after="0"/>
              <w:jc w:val="lef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ZASAVSKA Skupaj</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12.743.846,72</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20.100.822,99</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23.730.124,13</w:t>
            </w:r>
          </w:p>
        </w:tc>
        <w:tc>
          <w:tcPr>
            <w:tcW w:w="755" w:type="pct"/>
            <w:tcBorders>
              <w:top w:val="nil"/>
              <w:left w:val="nil"/>
              <w:bottom w:val="single" w:sz="4" w:space="0" w:color="auto"/>
              <w:right w:val="single" w:sz="4" w:space="0" w:color="auto"/>
            </w:tcBorders>
            <w:shd w:val="clear" w:color="000000" w:fill="C4BD97"/>
            <w:vAlign w:val="bottom"/>
            <w:hideMark/>
          </w:tcPr>
          <w:p w:rsidR="00B14AD8" w:rsidRPr="00D050E9" w:rsidRDefault="00B14AD8" w:rsidP="00CE6D2D">
            <w:pPr>
              <w:spacing w:after="0"/>
              <w:jc w:val="right"/>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56.574.793,84</w:t>
            </w:r>
          </w:p>
        </w:tc>
      </w:tr>
      <w:tr w:rsidR="00B14AD8" w:rsidRPr="00D050E9" w:rsidTr="00CE6D2D">
        <w:trPr>
          <w:trHeight w:val="20"/>
        </w:trPr>
        <w:tc>
          <w:tcPr>
            <w:tcW w:w="1980" w:type="pct"/>
            <w:gridSpan w:val="2"/>
            <w:tcBorders>
              <w:top w:val="single" w:sz="4" w:space="0" w:color="auto"/>
              <w:left w:val="single" w:sz="4" w:space="0" w:color="auto"/>
              <w:bottom w:val="single" w:sz="4" w:space="0" w:color="auto"/>
              <w:right w:val="single" w:sz="4" w:space="0" w:color="000000"/>
            </w:tcBorders>
            <w:shd w:val="clear" w:color="000000" w:fill="002060"/>
            <w:vAlign w:val="bottom"/>
            <w:hideMark/>
          </w:tcPr>
          <w:p w:rsidR="00B14AD8" w:rsidRPr="00D050E9" w:rsidRDefault="00B14AD8" w:rsidP="00CE6D2D">
            <w:pPr>
              <w:spacing w:after="0"/>
              <w:jc w:val="lef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Skupaj</w:t>
            </w:r>
          </w:p>
        </w:tc>
        <w:tc>
          <w:tcPr>
            <w:tcW w:w="755"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553.315.662,64</w:t>
            </w:r>
          </w:p>
        </w:tc>
        <w:tc>
          <w:tcPr>
            <w:tcW w:w="755"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375.030.230,63</w:t>
            </w:r>
          </w:p>
        </w:tc>
        <w:tc>
          <w:tcPr>
            <w:tcW w:w="755"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427.181.679,40</w:t>
            </w:r>
          </w:p>
        </w:tc>
        <w:tc>
          <w:tcPr>
            <w:tcW w:w="755" w:type="pct"/>
            <w:tcBorders>
              <w:top w:val="nil"/>
              <w:left w:val="nil"/>
              <w:bottom w:val="single" w:sz="4" w:space="0" w:color="auto"/>
              <w:right w:val="single" w:sz="4" w:space="0" w:color="auto"/>
            </w:tcBorders>
            <w:shd w:val="clear" w:color="000000" w:fill="002060"/>
            <w:vAlign w:val="bottom"/>
            <w:hideMark/>
          </w:tcPr>
          <w:p w:rsidR="00B14AD8" w:rsidRPr="00D050E9" w:rsidRDefault="00B14AD8" w:rsidP="00CE6D2D">
            <w:pPr>
              <w:spacing w:after="0"/>
              <w:jc w:val="right"/>
              <w:rPr>
                <w:rFonts w:ascii="Calibri" w:eastAsia="Times New Roman" w:hAnsi="Calibri" w:cs="Arial"/>
                <w:b/>
                <w:bCs/>
                <w:color w:val="FFFFFF"/>
                <w:sz w:val="18"/>
                <w:szCs w:val="18"/>
                <w:lang w:eastAsia="sl-SI"/>
              </w:rPr>
            </w:pPr>
            <w:r w:rsidRPr="00D050E9">
              <w:rPr>
                <w:rFonts w:ascii="Calibri" w:eastAsia="Times New Roman" w:hAnsi="Calibri" w:cs="Arial"/>
                <w:b/>
                <w:bCs/>
                <w:color w:val="FFFFFF"/>
                <w:sz w:val="18"/>
                <w:szCs w:val="18"/>
                <w:lang w:eastAsia="sl-SI"/>
              </w:rPr>
              <w:t>427.181.679,40</w:t>
            </w:r>
          </w:p>
        </w:tc>
      </w:tr>
    </w:tbl>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b/>
          <w:sz w:val="21"/>
          <w:szCs w:val="21"/>
        </w:rPr>
      </w:pPr>
      <w:r w:rsidRPr="00D050E9">
        <w:rPr>
          <w:rFonts w:asciiTheme="minorHAnsi" w:hAnsiTheme="minorHAnsi"/>
          <w:b/>
          <w:sz w:val="21"/>
          <w:szCs w:val="21"/>
        </w:rPr>
        <w:br w:type="page"/>
      </w:r>
    </w:p>
    <w:p w:rsidR="00B14AD8" w:rsidRPr="00D050E9" w:rsidRDefault="00B14AD8" w:rsidP="00B14AD8">
      <w:pPr>
        <w:jc w:val="left"/>
        <w:rPr>
          <w:rFonts w:asciiTheme="minorHAnsi" w:hAnsiTheme="minorHAnsi"/>
          <w:b/>
          <w:sz w:val="21"/>
          <w:szCs w:val="21"/>
        </w:rPr>
      </w:pPr>
      <w:r w:rsidRPr="00D050E9">
        <w:rPr>
          <w:rFonts w:asciiTheme="minorHAnsi" w:hAnsiTheme="minorHAnsi"/>
          <w:b/>
          <w:sz w:val="21"/>
          <w:szCs w:val="21"/>
        </w:rPr>
        <w:t>Tabela P7: Prejemniki pomoči, ki so prejeli več kot 500.000 EUR pomoči v 2015–2017, po kategorijah</w:t>
      </w:r>
    </w:p>
    <w:tbl>
      <w:tblPr>
        <w:tblW w:w="5000" w:type="pct"/>
        <w:tblCellMar>
          <w:left w:w="70" w:type="dxa"/>
          <w:right w:w="70" w:type="dxa"/>
        </w:tblCellMar>
        <w:tblLook w:val="04A0" w:firstRow="1" w:lastRow="0" w:firstColumn="1" w:lastColumn="0" w:noHBand="0" w:noVBand="1"/>
      </w:tblPr>
      <w:tblGrid>
        <w:gridCol w:w="1636"/>
        <w:gridCol w:w="2783"/>
        <w:gridCol w:w="1203"/>
        <w:gridCol w:w="1203"/>
        <w:gridCol w:w="1203"/>
        <w:gridCol w:w="1296"/>
      </w:tblGrid>
      <w:tr w:rsidR="00B14AD8" w:rsidRPr="00D050E9" w:rsidTr="00CE6D2D">
        <w:trPr>
          <w:trHeight w:val="20"/>
          <w:tblHeader/>
        </w:trPr>
        <w:tc>
          <w:tcPr>
            <w:tcW w:w="87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Kategorija</w:t>
            </w:r>
          </w:p>
        </w:tc>
        <w:tc>
          <w:tcPr>
            <w:tcW w:w="1492"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Prejemnik pomoči</w:t>
            </w:r>
          </w:p>
        </w:tc>
        <w:tc>
          <w:tcPr>
            <w:tcW w:w="645"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2015</w:t>
            </w:r>
          </w:p>
        </w:tc>
        <w:tc>
          <w:tcPr>
            <w:tcW w:w="645"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2016</w:t>
            </w:r>
          </w:p>
        </w:tc>
        <w:tc>
          <w:tcPr>
            <w:tcW w:w="645"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2017</w:t>
            </w:r>
          </w:p>
        </w:tc>
        <w:tc>
          <w:tcPr>
            <w:tcW w:w="695"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sz w:val="18"/>
                <w:szCs w:val="18"/>
                <w:lang w:eastAsia="sl-SI"/>
              </w:rPr>
            </w:pPr>
            <w:r w:rsidRPr="00D050E9">
              <w:rPr>
                <w:rFonts w:ascii="Calibri" w:eastAsia="Times New Roman" w:hAnsi="Calibri" w:cs="Arial"/>
                <w:b/>
                <w:bCs/>
                <w:sz w:val="18"/>
                <w:szCs w:val="18"/>
                <w:lang w:eastAsia="sl-SI"/>
              </w:rPr>
              <w:t>Skupaj</w:t>
            </w:r>
            <w:r w:rsidRPr="00D050E9">
              <w:rPr>
                <w:rFonts w:ascii="Calibri" w:eastAsia="Times New Roman" w:hAnsi="Calibri" w:cs="Arial"/>
                <w:b/>
                <w:bCs/>
                <w:sz w:val="18"/>
                <w:szCs w:val="18"/>
                <w:lang w:eastAsia="sl-SI"/>
              </w:rPr>
              <w:br/>
              <w:t>2015-2017</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VARSTVO OKOLJA</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JAVNO PODJETJE ENERGETIKA LJUBLJANA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12.534.462,63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12.372.155,61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10.320.926,08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35.227.544,32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TALUM Tovarna aluminija d.d. Kidričevo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4.053.075,75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10.969.045,92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9.604.575,53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24.626.697,20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MERKSCHA furnirnica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5.879.045,23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6.647.469,13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5.756.410,17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18.282.924,53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PETROL, Slovenska energetska družba, d.d.,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3.726.780,11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3.791.852,25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3.338.351,88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10.856.984,24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PANVITA EKOTEH, proizvodnja energije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3.443.336,35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3.671.413,87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3.605.183,02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10.719.933,24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PETROL ENERGETIKA proizvodnja in distribucija energetskih medijev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4.400.635,34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2.123.577,55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3.788.527,95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10.312.740,84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BIO-ELEKT družba za pridobivanje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1.075.502,40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4.212.271,70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3.806.742,29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9.094.516,39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VIPAP VIDEM KRŠKO proizvodnja papirja in vlaknin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2.282.902,91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2.262.979,67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1.855.356,03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6.401.238,61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SIJ ACRONI podjetje za proizvodnjo jekla in jeklenih izdelkov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1.977.157,35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1.932.177,22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1.937.743,78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5.847.078,35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ESOL lesna predelava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1.814.460,64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2.095.463,42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1.806.625,35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5.716.549,41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MOJA ENERGIJA celovita oskrba z energijo, družba za proizvodnjo, trgovino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3.867.132,99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1.089.016,75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688.633,66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5.644.783,40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ENOS, oskrba s toplo vodo, paro, elektriko in plinom,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2.409.378,76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1.271.290,74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1.779.002,90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5.459.672,40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JAVNO PODJETJE KOMUNALA TRBOVLJE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2.169.230,00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1.223.566,21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1.791.164,96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5.183.961,17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KOLIČEVO KARTON Proizvodnja kartona,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1.411.903,29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1.882.716,43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1.718.280,48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5.012.900,20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SIJ METAL RAVNE podjetje za proizvodnjo plemenitih jekel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1.713.222,89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1.908.046,61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1.060.565,95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4.681.835,45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SOENERGETIKA Gorenjske elektrarne, Holding Slovenske Elektrarne, Domplan in Petrol, družba za proizvodnjo elektrike in toplote,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1.758.970,01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872.884,61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1.661.196,17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4.293.050,79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ENERGIJA IN OKOLJE, družba za napredne energetske in okoljske rešitve,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1.646.181,73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959.007,88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1.203.518,58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3.808.708,19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BIO PLINARNA, BRANKO ARNUŠ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1.150.562,50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1.308.170,40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1.318.959,15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3.777.692,05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GORENJSKE ELEKTRARNE, proizvodnja elektrike,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1.249.544,54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1.348.266,64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1.136.153,54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3.733.964,72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IMPOL, industrija metalnih polizdelkov,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856.348,14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1.412.363,08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1.399.683,00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3.668.394,22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SALONIT ANHOVO Gradbeni materiali,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1.770.375,72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1.345.293,36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525.696,08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3.641.365,16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ENERGETIKA - ŽELEZARNA JESENICE, podjetje za proizvodnjo in storitve na področju energetike,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955.905,56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1.276.337,03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1.050.753,17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3.282.995,76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iENERGIJA proizvodnja in distribucija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1.073.961,04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1.132.714,81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1.013.692,94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3.220.368,79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TERMOELEKTRARNA ŠOŠTANJ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1.733.377,09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1.470.887,71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3.204.264,80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BPT naložbe, energetika, nepremičnine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1.067.490,27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1.163.243,78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947.114,85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3.177.848,90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PLINPROM, proizvodnja elektrike,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1.096.564,41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1.275.075,56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801.791,27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3.173.431,24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SOLVUS proizvodnja, trgovina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996.221,77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818.478,21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1.271.044,93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3.085.744,91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PP ENERGIJA,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815.763,76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1.137.093,71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1.059.650,89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3.012.508,36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KRKA, tovarna zdravil, d.d., Novo mesto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1.074.644,51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711.141,53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1.204.427,29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2.990.213,33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PANONICA ENERGETIKA d.o.o., družba za energijo, posredništvo in trgovino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870.303,49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750.129,76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1.337.177,14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2.957.610,39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ENERVE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665.247,24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1.003.332,49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1.029.681,51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2.698.261,24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 3, ENERGETIKA, EKOLOGIJA, EKONOMIJA,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1.123.290,86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493.037,73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1.067.365,95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2.683.694,54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ZE SOLAR 1, družba za proizvodnjo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802.045,98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836.718,83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841.639,02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2.480.403,83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BIOENERGETIKA, proizvodnja, trgovina in distribucija, električne in toplotne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364.389,34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940.252,41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1.104.131,37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2.408.773,12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PAPIRNICA VEVČE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786.878,84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867.222,56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730.245,22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2.384.346,62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SILKEM proizvodnja zeolitov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1.304.447,34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550.061,87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525.717,56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2.380.226,77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CINKARNA Metalurško-kemična industrija Celje,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553.601,52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909.407,91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850.515,71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2.313.525,14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OVEN ELEKTRO MARIBOR, proizvodnja elektrike in obnovljivi viri energije Elektro Maribor,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766.302,92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902.730,53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636.101,40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2.305.134,85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Paloma, higienski papirji,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620.905,58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828.006,93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817.419,08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2.266.331,59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TANIN SEVNICA Kemična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856.336,51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793.834,49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611.665,89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2.261.836,89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ŠTORE STEEL podjetje za proizvodnjo jekel,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764.097,98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997.466,20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404.185,49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2.165.749,67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ISTRABENZ PLINI, plini in plinske tehnologije,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560.021,30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493.938,91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1.061.619,55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2.115.579,76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GEOPLIN d.o.o. Ljubljana, Družba za trgovanje z zemeljskim plinom</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561.957,03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684.506,12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862.975,24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2.109.438,39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MEGAENERGIJA proizvodnja, storitve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1.012.925,02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351.402,66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714.573,17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2.078.900,85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BIOMASA, Družba za trgovino, servis in montažo kotlov na biomaso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581.778,74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735.819,65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712.741,38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2.030.339,77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TOPSOL, druge inženirske dejavnosti in tehnično svetovanje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680.707,13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648.236,03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673.293,31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2.002.236,47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6,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598.116,57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670.081,78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695.236,18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1.963.434,53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PV DBL, proizvodnja el.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629.448,30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640.581,39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661.819,35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1.931.849,04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PULVEREM, posredništvo, storitve in svetovanje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1.564.780,72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272.538,98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1.837.319,70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ECOS - storitve pri varovanju okolja, d.o.o. - v stečaju</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1.578.299,36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140.601,23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96.765,29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1.815.665,88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2,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536.389,52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601.762,32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616.164,58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1.754.316,42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STEKLARSTVO MLAKAR, MLAKAR FRANC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61.565,68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845.436,41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799.389,12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1.706.391,21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VIPA NALOŽBE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567.608,46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537.589,24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587.745,13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1.692.942,83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TEP-Solar solarna energija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480.419,19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560.794,92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636.978,80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1.678.192,91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PLINARNA MARIBOR družba za proizvodnjo, distribucijo energentov, trgovino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666.223,16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310.286,31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673.876,09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1.650.385,56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Zeleni biser, Proizvodnja električne energije iz obnovljivih virov,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509.357,10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556.148,14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580.506,77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1.646.012,01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ESC3 proizvodnja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544.978,69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443.736,86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631.573,75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1.620.289,30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GEA NOVA, proizvodnja električne energije, storitvene in trgovske dejavnosti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395.528,65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1.207.705,42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1.603.234,07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3,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488.522,70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544.032,77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556.106,77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1.588.662,24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SOLCEL, družba za trgovino, investicije, storitve in vzdrževanje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517.426,36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301.714,34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733.443,19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1.552.583,89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BLAGOVNO TRGOVINSKI CENTER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492.838,38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495.179,85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534.907,96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1.522.926,19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KNAUF INSULATION, d.o.o., industrija termičnih izolacij, Škofja Loka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1.204.179,89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153.824,95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158.568,34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1.516.573,18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GORIČANE tovarna papirja Medvode,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406.459,12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574.205,59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531.966,69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1.512.631,40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KOTO proizvodno in trgovsko podjetje,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502.246,11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504.371,21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495.483,26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1.502.100,58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UNIOR Kovaška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734.180,12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308.368,73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413.616,88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1.456.165,73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HOFER trgovina na drobno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472.489,06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510.982,17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441.189,53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1.424.660,76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STEKLARNA HRASTNIK, družba za proizvodnjo steklenih izdelkov,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693.422,46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527.207,51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199.010,13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1.419.640,10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DRAVSKE ELEKTRARNE MARIBOR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404.240,55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499.626,71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505.731,17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1.409.598,43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SC1, proizvodnja, trgovina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254.360,25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520.007,66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612.122,03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1.386.489,94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FRUMA trgovina, posredništvo, nepremičnine in investicije,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419.666,64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482.111,26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477.962,02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1.379.739,92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FITOSOL,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258.902,48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282.003,98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824.879,81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1.365.786,27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E2S, energetske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386.313,14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342.653,89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622.125,67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1.351.092,70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ADRIAPLIN, Podjetje za distribucijo zemeljskega plina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510.532,18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279.540,07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528.467,75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1.318.540,00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TASOLAR, oskrba z energijo, investicije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406.384,30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425.817,52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436.952,69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1.269.154,51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SPLOŠNA BOLNIŠNICA CELJE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534.857,10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272.448,12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425.646,60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1.232.951,82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ISKRA, ENERGETIKA, STROJI IN VZDRŽEVANJE, podjetje za energetiko, izdelavo in vzdrževanje strojev, naprav in opreme d.d., Kranj</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547.768,71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287.457,05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389.031,81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1.224.257,57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AquafilSLO Proizvodnja poliamidnih filamentov in granulatov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138.812,17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523.875,49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558.068,89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1.220.756,55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ENERGEN, energetske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463.959,59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252.560,12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498.300,85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1.214.820,56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GOODYEAR DUNLOP SAVA TIRES, proizvodnja pnevmatik,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400.836,04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378.864,35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415.737,65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1.195.438,04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CALCIT, proizvodnja kalcitnih polnil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44.948,43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557.151,98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584.739,76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1.186.840,17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AM kapital in posredništvo,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350.963,85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408.476,20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413.101,62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1.172.541,67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AVEK ENERGO, vzhodna energetska družba,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340.981,71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406.475,57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416.872,40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1.164.329,68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Interenergo, energetski inženiring,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350.626,94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380.411,38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433.200,59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1.164.238,91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IMPOL-MONTAL podjetje za projektiranje, izdelavo in montažo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381.572,73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394.764,49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380.289,82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1.156.627,04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RADEČE PAPIR NOVA proizvodnja, trgovina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227.013,52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450.439,73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471.968,24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1.149.421,49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3SOLAR,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379.628,71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383.825,01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364.126,53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1.127.580,25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JAVNO PODJETJE KOMUNALA SLOVENJ GRADEC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284.681,56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276.694,25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543.880,40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1.105.256,21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OMAHEN-TRANSPORT podjetje za prevoz, trgovino in predelavo,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348.291,46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353.861,29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386.417,23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1.088.569,98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 &amp; G ENERGIJA,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354.921,94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365.656,00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359.176,83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1.079.754,77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ŠESTSOLAR, oskrba z energijo, investicije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346.916,12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363.168,04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365.614,65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1.075.698,81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ŽAGA - ZORA proizvodnja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345.818,50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371.185,67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350.118,10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1.067.122,27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SNAGA Javno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585.534,07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325.624,95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150.986,86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1.062.145,88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VESOL, družba za proizvodnjo, trgovino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347.601,10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364.712,63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346.603,85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1.058.917,58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PETSOLAR, oskrba z energijo, investicije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337.772,31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356.647,18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363.611,79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1.058.031,28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PROSOLAR, projektiranje, gradnje in proizvodnja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441.129,37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201.480,45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413.832,62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1.056.442,44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BIRINGSOL 1, oskrba z energijo, investicije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309.299,93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367.803,50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354.915,73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1.032.019,16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ELDES 1,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298.580,94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359.878,61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358.836,22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1.017.295,77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AVANT CAR, poslovni inženiring,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352.257,80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137.611,50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522.720,27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1.012.589,57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TOVARNA KEMIČNIH IZDELKOV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207.793,22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397.306,80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387.187,45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992.287,47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SONČNA ELEKTRARNA DOLAR, energetika in storitve, d.o.o. - v stečaju</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254.683,53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355.646,58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364.794,77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975.124,88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TOP ENERGIJA celovita oskrba z energijo, družba za proizvodnjo, trgovino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568.209,62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224.104,00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176.857,25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969.170,87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BJ SOLAR PVKU, inženiring, izgradnja sončnih elektraren in investicije,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333.237,53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363.956,18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270.417,79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967.611,50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GORICA LEASING d.o.o. Nova Gorica - Skupina Nove KBM - v likvidaciji</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402.332,91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242.670,98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320.070,47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965.074,36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KOMUNALA, javno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392.222,34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190.185,26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360.242,38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942.649,98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9, proizvodnja, prodaja,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298.133,33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319.544,77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309.887,60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927.565,70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1,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283.752,22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310.567,98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313.352,99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907.673,19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RESALTA DRUŽBA ZA UPRAVLJANJE ENERGETSKIH STORITEV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438.115,43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165.015,04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300.030,84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903.161,31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LESONIT, lesno kemična industrija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70.042,23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425.789,61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404.472,43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900.304,27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5,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296.973,75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291.994,17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309.651,36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898.619,28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KREATIV ART CRYSTAL ROGAŠKA podjetje za proizvodnjo, obrt, trgovino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299.020,32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360.604,14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237.224,02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896.848,48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TOPLARNA ŽELEZNIKI, proizvodnja in distribucija toplotne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286.817,57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323.294,73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268.863,47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878.975,77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Lek farmacevtska družba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316.196,64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296.730,17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264.937,03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877.863,84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SOLPRO, investiranje in svetovanje, vzdrževanje sončnih elektrarn,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301.181,70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295.302,23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279.870,00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876.353,93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11, proizvodnja, prodaja,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279.294,72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285.434,60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308.387,71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873.117,03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REVOZ podjetje za proizvodnjo in komercializacijo avtomobilov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263.816,94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261.541,46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343.441,06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868.799,46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8,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259.364,21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297.371,03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300.088,43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856.823,67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ADRIA MOBIL Proizvodnja, trgovina in storitve, d.o.o. Novo mesto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126.529,14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118.520,11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607.920,57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852.969,82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EE holding, družba za upravljanje,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305.608,82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191.600,41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351.597,33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848.806,56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12, proizvodnja, prodaja,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268.938,77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271.999,97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290.675,76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831.614,50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Sončna elektrarna OKLJUK 2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262.601,80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272.534,46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293.970,03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829.106,29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Sončna elektrarna OKLJUK 1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259.635,27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274.550,24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293.527,64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827.713,15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BJ SOLAR, inženiring, izgradnja sončnih elektraren in investicije,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268.484,81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283.359,60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274.041,41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825.885,82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SPV ELGO ENERGIJA, podjetje za gradbeništvo in proizvodnjo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288.322,88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478.232,00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56.378,94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822.933,82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ECO SOLAR, energetske rešitve,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233.904,61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288.358,07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299.548,46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821.811,14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PLUSOL d.o.o., družba za proizvodnjo in storitve na področju obnovljivih virov energije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258.393,58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270.304,25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285.746,62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814.444,45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BELINKA PERKEMIJA kemična industrija,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341.407,11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284.020,75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171.086,53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796.514,39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ELDES 3,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234.433,37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282.841,59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273.661,72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790.936,68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ADRIA ENERGO, trgovanje z električno energijo,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452.838,79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204.151,46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126.249,40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783.239,65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PROIZVODNJA ELEKTRIČNE ENERGIJE, DRAGO ŠOLAR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254.266,64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316.487,28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211.068,14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781.822,06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ENERGOLES BOHOR, proizvodnja, trgovina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296.789,90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250.828,60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221.593,59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769.212,09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ESA SOLAR 2,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235.190,32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264.151,79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268.533,51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767.875,62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ITH FOTOVOLTAIKA,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241.927,91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247.712,96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258.089,29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747.730,16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4, proizvodnja, prodaja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245.437,43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245.231,66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251.603,30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742.272,39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EKOEN d.o.o., družba za proizvodnjo in distribucijo ekološke energije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735.746,70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735.746,70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EVROKREDIT, družba za svetovanje, storitve in posredništvo,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220.052,79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249.587,86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256.950,61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726.591,26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INVEST ZORENCI, električna energija,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227.756,80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241.134,58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255.508,38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724.399,76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PH SOLAR, solarna energija,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222.165,04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251.301,64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248.264,73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721.731,41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CIMOS d.d. AVTOMOBILSKA INDUSTRIJA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45.470,87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276.520,87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394.194,73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716.186,47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AC ENERGO trgovina in storive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215.199,30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245.340,43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255.245,98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715.785,71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Elektro Ljubljana OVE, inženiring s področja obnovljivih virov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222.663,07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222.484,63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261.096,05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706.243,75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BIOPLIN KNAUS, proizvodnja in distribucija energije, Dejan Knaus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287.731,58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255.439,14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160.417,00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703.587,72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DEKO, druga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225.330,97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235.235,89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242.884,23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703.451,09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ELDES 2,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205.652,97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246.640,99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240.750,35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693.044,31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 - MONT, montaža, proizvodnja,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226.378,50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230.462,72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231.451,59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688.292,81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KNEŠCA d.o.o. Proizvodnja električne energije, Kneža 78, Most na Soči</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230.264,27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278.016,58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173.622,62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681.903,47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BUTAN PLIN družba za distribucijo plina, d.d.,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263.692,55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166.427,10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245.284,87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675.404,52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TEP ELEKTRARNE SB sončne elektrarne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207.399,39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230.873,27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234.176,05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672.448,71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VRC, podjetje za proizvodnjo vzmeti in žičnih izdelkov,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232.044,30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218.929,31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220.310,25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671.283,86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Javno podjetje Energetika Šentrupert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169.706,33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252.245,90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243.750,79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665.703,02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STAR SOLAR, druga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198.734,33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232.464,61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233.853,83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665.052,77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KRAJCARCA Proizvodnja in prodaja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316.638,22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346.818,41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663.456,63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THERMOKON družba za proizvodnjo tekstila in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192.561,27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248.130,97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218.938,69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659.630,93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ISKRA, elektro in elektronska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329.222,53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119.452,86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206.499,70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655.175,09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MASOL INVEST, investiranje v sončne elektrarne,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196.304,18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216.572,26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233.197,79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646.074,23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EVJ ELEKTROPROM trgovina, proizvodnja, instalacije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229.180,41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210.131,95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204.073,62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643.385,98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15, proizvodnja, prodaja,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202.360,42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211.588,43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220.019,74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633.968,59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SONČNA ELEKTRARNA BAH, PROIZVODNJA ELEKTRIKE DRAGICA BAH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196.851,06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211.677,21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223.162,90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631.691,17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EKOD, trgovina, storitve, proizvodnja,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192.539,21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213.844,86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220.935,45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627.319,52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SAVSKE ELEKTRARNE LJUBLJANA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191.704,70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200.089,69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223.946,80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615.741,19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CELJSKI SEJEM družba za organiziranje in prirejanje sejmov, športnih in kulturno zabavnih prireditev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202.677,98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215.308,46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194.404,43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612.390,87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MODRA ENERGIJA, obnovljivi viri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92.539,31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83.741,32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435.719,67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612.000,30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FINGAL, podjetje za trgovino in servis strojev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162.396,95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216.171,36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220.960,68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599.528,99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REPO podjetje za poslovne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179.121,06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205.920,45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213.643,95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598.685,46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VRATA DERŽIČ, izdelovanje požarnih vrat, DERŽIČ RUDOLF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192.464,86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196.937,34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207.130,95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596.533,15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LIVAR, Proizvodnja in obdelava ulitkov,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45.748,44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271.408,76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277.152,83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594.310,03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ORTAR, proizvodnja in svetovanje,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155.455,22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229.427,29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199.896,10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584.778,61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SPV PODGORJE,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171.753,68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197.057,00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211.123,47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579.934,15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TRGOVANJE Z ELEKTRIČNO ENERGIJO, EGRO-GROBIN IVAN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181.184,15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190.124,06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202.094,90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573.403,11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EKO GEA TRGOVINA NA DEBELO S KEMIČNIMI PROIZVODI NEJC ĐORĐIĆ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156.201,76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413.738,96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569.940,72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EUROCITY podjetje za transport in proizvodnjo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171.478,25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195.750,43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197.402,34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564.631,02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ENERGETIKA DOLENC, Podjetje za proizvodnjo energije iz obnovljivih virov,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563.571,07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563.571,07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URSA SLOVENIJA, proizvodnja steklene volne d.o.o., Novo mesto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222.845,35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222.770,20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115.210,48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560.826,03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MGS ENERGO, proizvodnja in trženje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210.164,81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347.335,76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557.500,57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UNIVERZITETNI KLINIČNI CENTER MARIBOR</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212.747,11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337.176,44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549.923,55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RIEDL CNC, proizvodno, storitveno in trgovsko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228.223,00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135.854,54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184.028,38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548.105,92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GRASON,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181.892,61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174.329,93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182.323,22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538.545,76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AAE VE, vetrna energija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27.511,11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250.864,69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254.154,24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532.530,04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Elgo Energija, podjetje za gradbeništvo in proizvodnjo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505.779,88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14.650,59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520.430,47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BISOL PVPP 10, proizvodnja, prodaja,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165.983,22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174.651,58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178.593,51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519.228,31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FOTONIS, proizvodnja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157.942,60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177.449,95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183.518,16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518.910,71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SONČNE REŠITVE, proizvodnja zelene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65.930,89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437.534,91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15.195,75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518.661,55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Lesna zadruga Loški Potok z.b.o., so.p.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518.209,57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518.209,57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PSU Poslovne storitve, upravljanje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169.921,74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170.229,89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177.620,45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517.772,08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GMT podjetje za gradbeništvo, marketing in trgovino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164.646,73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176.833,03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175.398,55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516.878,31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DORON pridobivanje in prodaja energije iz obnovljivih virov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119.283,62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186.744,77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208.238,49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514.266,88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PV ZORENCI, električna energija,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155.195,89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171.310,36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184.238,40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510.744,65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BVI proizvodnja, trgovina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177.723,89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183.333,79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149.499,74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510.557,42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DOMPLAN, družba za inženiring, nepremičnine, urbanizem in energetiko,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183.173,71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132.508,79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194.326,40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510.008,90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AC ENERGO PIVKA, proizvodnja električne energije,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154.269,57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173.093,34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178.402,36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505.765,27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Javno podjetje Energetika Maribor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125.304,05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162.633,63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214.791,40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502.729,08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JAGROS trgovina, proizvodnja in storitve, d.o.o. Laše 1/b, Podplat</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151.800,83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170.014,77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178.543,78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500.359,38</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ZAPOSLOVANJE</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HTZ Harmonija tehnologije in znanja, invalidsko podjetje, d.o.o. Velenje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6.602.415,54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6.692.737,81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7.063.240,79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20.358.394,14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SŽ-ŽIP,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4.662.511,38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4.969.819,43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4.182.218,19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13.814.549,00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GORENJE I.P.C., Invalidsko podjetniški center,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3.989.059,86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4.280.287,08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4.638.894,80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12.908.241,74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SALOMON d.o.o., podjetje za zaposlovanje invalidov, proizvodnjo, posredovanje in storitve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1.352.396,05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1.155.146,93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5.744.777,64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8.252.320,62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Mercator IP,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1.765.911,95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1.845.164,15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2.013.209,28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5.624.285,38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PAPIR SERVIS d.o.o., Družba za ravnanje z odpadki - v stečaju</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2.831.451,06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1.574.622,20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181.528,16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4.587.601,42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LUKA KOPER INPO - invalidsko podjetje, d.o.o., gradbeništvo, proizvodne in druge storitve v kopenskem in vodnem prometu, invalidska dejavnost.</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1.587.162,12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1.472.991,63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1.447.524,69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4.507.678,44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IPPS Invalidsko Podjetje Pošte Slovenije, proizvodnja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75.360,53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1.549.622,57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2.778.592,09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4.403.575,19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ŽELVA podjetje za usposabljanje in zaposlovanje invalidov,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1.695.665,36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1.215.458,50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868.526,70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3.779.650,56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ARCONT IP, proizvodnja oken in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1.191.317,46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1.048.364,12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769.762,03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3.009.443,61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KOLEKTOR ASCOM - proizvodnja drsnih obročev in komutatorjev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833.116,19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1.240.459,26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836.333,02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2.909.908,47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SICO,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656.455,48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848.827,35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1.236.661,52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2.741.944,35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SINET podjetje za storitve in proizvodnjo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650.576,80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1.216.806,34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850.240,67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2.717.623,81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ESOL lesna predelava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702.486,72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925.772,32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1.030.029,05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2.658.288,09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TAB-IPM logistika, plastika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1.189.702,12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717.037,84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674.298,70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2.581.038,66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SAVA MEDICAL IN STORITVE,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937.536,38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567.659,86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1.056.056,43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2.561.252,67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POŠTA SLOVENIJE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1.713.271,57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619.395,94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191.049,40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2.523.716,91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TURNA proizvodnja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856.565,68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816.570,57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797.794,68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2.470.930,93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ETI PROPLAST, plastika, orodja in naprave,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745.494,00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780.743,65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872.557,65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2.398.795,30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BODOČNOST podjetje za rehabilitacijo in zaposlitev invalidov Maribor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600.464,94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827.932,42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779.551,81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2.207.949,17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AKTIVA INPOD invalidsko, proizvodno, storitveno in trgovsko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676.162,19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715.397,51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812.968,96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2.204.528,66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 INLES d.o.o., družba za usposabljanje invalidov</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753.497,37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724.183,58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701.551,46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2.179.232,41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AKTIVA TS, storitveno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611.639,94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695.171,88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718.812,38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2.025.624,20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HIDRIA - IP, d.o.o., družba za proizvodnjo izolacijskih izdelkov, Tolmin</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642.403,76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691.420,51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605.361,61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1.939.185,88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BIROGRAFIKA BORI Invalidsko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585.347,00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662.578,66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669.420,59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1.917.346,25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RECINKO, družba za proizvodnjo, storitve in trgovino, d.o.o., Kočevje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603.545,77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585.952,22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683.033,64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1.872.531,63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MOST LJUBLJANA, proizvodnja in storitve, d. o. 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469.132,07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642.487,56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696.663,10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1.808.282,73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AKUSTIKA GROUP, družba za gospodarsko razvojno in organizacijsko upravljanje podjetij,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539.333,47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605.166,37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654.402,67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1.798.902,51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SIJ SUZ d.o.o., Proizvodnja in storitve, IP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693.190,96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558.226,62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544.656,29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1.796.073,87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INO grafično podjetje za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572.457,09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608.991,85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568.204,62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1.749.653,56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SIJ ZIP CENTER podjetje za proizvodnjo, storitve,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560.634,55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557.610,05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608.411,04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1.726.655,64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SET Podjetje za usposabljanje invalidov d.o.o. - v stečaju</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679.061,21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757.461,47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237.152,22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1.673.674,90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LOKATEKS, podjetje za zaposlovanje invalidov, d.o.o. Škofja Loka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561.665,39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400.087,77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598.946,95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1.560.700,11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INVALIDSKO PODJETJE POSOČJE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558.605,97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497.052,12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498.000,47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1.553.658,56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LEVAS zaposlovanje in usposabljanje invalidov Krško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505.815,37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492.508,46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529.477,08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1.527.800,91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ELEKTROMATERIAL IPO, Družba za proizvodnjo elektroinstalacijskega materiala,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462.910,99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494.167,89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565.619,52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1.522.698,40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INTOS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460.287,91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517.882,51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500.806,81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1.478.977,23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PRO ČIS-TEAM podjetje za čiščenje, inženiring,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511.107,39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439.712,21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514.639,88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1.465.459,48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STEKLARSKI HRAM trgovina, gostinstvo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552.441,35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450.646,21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436.704,65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1.439.792,21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INDE invalidske delavnice Sevnica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468.754,31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515.355,77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432.079,25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1.416.189,33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ZAVOD DETEL, zavod za usposabljanje in zaposlovanje težje zaposljivih invalidov</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468.596,93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464.397,64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469.857,10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1.402.851,67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VARGAS-AL družba za fizično-tehnično in protipožarno varovanje premoženja, trgovino in servis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453.761,22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397.186,55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514.358,54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1.365.306,31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CRI CELJE rehabilitacija, proizvodnja,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387.271,97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425.961,55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552.059,66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1.365.293,18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TCR INPRO Invalidsko, proizvodno, storitveno in trgovsko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421.305,94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439.307,62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480.812,46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1.341.426,02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UNIOR Kovaška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470.501,56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456.636,82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402.827,82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1.329.966,20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CENTERKONTURA družba za svetovanje, socialni razvoj, usposabljanje in založništvo,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354.494,90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445.430,36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524.251,38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1.324.176,64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ISKRA IP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371.775,89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331.786,81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533.332,21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1.236.894,91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BSH Hišni aparati I.D. INVALIDSKA DRUŽBA,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413.249,89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443.983,13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378.644,05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1.235.877,07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Zaposlitveni center Zarja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391.440,26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379.723,24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409.553,38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1.180.716,88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Slovenske železnice - Infrastruktura, družba za upravljanje in vzdrževanje železniške infrastrukture ter vodenje železniškega prometa,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450.253,68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371.734,96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354.964,84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1.176.953,48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ZAPOSLITVENI CENTER JADRO družba za socialne dejavnosti, proizvodnjo, trgovino, poslovne storitve in druge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336.225,59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389.269,40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421.585,92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1.147.080,91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EKOTAL, čiščenje in urejanje okolja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381.091,78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359.438,17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404.224,91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1.144.754,86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 RIBNICA, družba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514.659,55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316.161,41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309.707,56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1.140.528,52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OZARA storitveno in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360.189,67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376.456,17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399.978,28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1.136.624,12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INDE, SALONIT ANHOVO Podjetje za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387.391,64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366.745,85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353.090,29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1.107.227,78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AKRON d.o.o., podjetje za svetovanje, marketing, inženiring, proizvodnjo, komercialno posredovanje ter promet blaga na debelo in drobno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374.140,85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342.129,63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383.348,13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1.099.618,61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CENTER ISI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386.105,49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346.854,19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363.867,04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1.096.826,72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IPB razvoj, proizvodnja, inženiring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346.842,90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190.790,34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463.301,40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1.000.934,64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CSS, proizvodnja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346.412,05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315.257,97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316.386,79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978.056,81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DOBROVITA Družba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263.553,92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301.849,81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395.613,10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961.016,83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CIMOS IP, invalidsko podjetje za storitve in proizvodnjo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223.453,20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264.400,38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452.411,89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940.265,47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SPAR SLOVENIJA trgovsko podjetje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196.403,19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429.627,79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311.047,06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937.078,04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SGP KOGRAD IGEM ZOD zaključna gradbena dela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244.935,56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370.484,09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308.081,29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923.500,94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UNIDEL podjetje za zaposlovanje in usposabljanje invalidnih oseb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388.158,45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240.724,86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255.515,42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884.398,73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MUFLON, družba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190.337,40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236.034,35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453.271,02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879.642,77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PGP INDE, proizvodnja podplatov,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358.603,45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295.921,42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218.765,79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873.290,66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ZAVOD KEKEC, zavod za usposabljanje in zaposlovanje invalidov in drugih težje zaposljivih oseb, Maribor</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321.697,62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299.629,45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248.097,60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869.424,67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SNEŽNIK SINPO Proizvodnja, storitve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314.651,74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295.422,86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254.192,23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864.266,83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LITI podjetje za zaposlovanje in usposabljanje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296.499,14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262.616,46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284.612,61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843.728,21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PALOMA PIS družba za proizvodnjo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337.742,84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283.733,44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219.423,77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840.900,05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I.P.Č. čistilni in knjigovodski servis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369.622,58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315.828,61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153.593,75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839.044,94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CGP-GIP, podjetje za proizvodnjo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250.772,47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277.075,40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287.452,30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815.300,17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IPIL, invalidsko podjetje Ilirska Bistrica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269.808,17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223.068,46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236.547,14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729.423,77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FORTUNA-PIL storitve, proizvodnja in trgovina, d.o.o., Trbovlje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241.594,24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247.265,65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229.195,32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718.055,21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TIM SVETLOBA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236.131,24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241.949,25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238.545,16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716.625,65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PERUTNINA PTUJ reja perutnine, proizvodnja krmil, perutninskega mesa in izdelkov, trgovina in storitve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335.684,07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192.279,41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175.987,06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703.950,54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INVARST, storitveno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257.241,82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220.624,33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225.184,61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703.050,76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INTES STORITVE invalidsko podjetje za proizvodnjo, trgovino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504.625,81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176.980,41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12.662,18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694.268,40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SKIPPER Podjetje za usposabljanje in zaposlovanje invalidov, organizacijsko svetovanje in informacijski inženiring ...,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205.758,26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221.406,70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249.038,38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676.203,34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TINDE, Trebanjsko invalidsko podjetje d.o.o. Trebnje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242.595,38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208.526,10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224.889,71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676.011,19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TALUM IZPARILNIKI, proizvodnja izparilnih plošč, lesenih in drugih izdelkov, storitve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233.424,94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208.675,77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229.779,08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671.879,79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MONTER DRAVOGRAD STORITVE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205.675,55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223.345,78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238.248,68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667.270,01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TERME KRKA, zdraviliške, turistične in gostinske storitve, d.o.o., Novo mesto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208.860,60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215.136,86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242.964,16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666.961,62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GLASHUTA, storitve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216.417,76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446.147,62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662.565,38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SINTAL IPO Podjetje za zaposlovanje in usposabljanje invalidnih oseb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185.811,18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200.725,11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268.198,63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654.734,92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Marles PSP, proizvodnja stavbnega pohištva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276.544,08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188.793,13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183.165,03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648.502,24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GRIFFIN - razvojni center podeželja,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117.266,14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210.872,38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320.062,73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648.201,25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ZAVAROVALNICA TRIGLAV,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283.758,77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168.698,13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179.536,82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631.993,72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ZAVOD DETEL MURSKA SOBOTA, zavod za usposabljanje in zaposlovanje težje zaposljivih invalidov</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182.506,59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202.110,12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231.632,03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616.248,74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ZAPOSLITVENI CENTER RUJ, Zavod za usposabljanje in zaposlovanje invalidov, Nazarje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220.937,60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205.964,81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188.865,84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615.768,25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ZAVOD DETEL PTUJ, zavod za usposabljanje in zaposlovanje težje zaposljivih invalidov</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191.163,79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200.704,69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212.195,22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604.063,70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HIT hoteli, igralnice, turizem d.d. Nova Gorica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205.668,92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195.927,69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192.237,47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593.834,08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CINKARNA Metalurško-kemična industrija Celje,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309.358,25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149.491,17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129.180,38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588.029,80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KODEL,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195.941,21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184.633,93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203.285,49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583.860,63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ELEKTRO MARIBOR, podjetje za distribucijo električne energije,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280.239,87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178.866,08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120.237,63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579.343,58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STRUC-EKOING, podjetje za storitvene dejavnosti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180.406,92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190.071,47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187.914,44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558.392,83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KARSO Zaposlitveni center,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175.697,58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174.170,17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206.215,26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556.083,01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Zaposlitveni Center Zarja 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181.874,93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168.669,85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203.705,74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554.250,52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OZARA ZAPOSLITVENI CENTER, proizvodnja, trgovina, posredništvo,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166.120,05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179.389,84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208.167,33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553.677,22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GG-INPO podjetje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165.267,29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205.093,45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178.289,72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548.650,46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IP Central, družba za hotelirstvo -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167.432,72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178.591,88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193.911,68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539.936,28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REDNAK I.P., proizvodnja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217.479,89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167.153,51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154.140,60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538.774,00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NOVA LJUBLJANSKA BANKA d.d.,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75.090,59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275.429,03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185.067,44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535.587,06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JAZON Podjetje za turizem, proizvodnjo in storitev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124.938,29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110.496,04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298.993,68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534.428,01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SWATY-INPO družba za usposabljanje in zaposlovanje invalidov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232.857,42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216.147,45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85.261,32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534.266,19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GOSTOL-GOIN podjetje za zaposlovanje in usposabljanje invalidov d.o.o. Nova Gorica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201.730,18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182.657,68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148.087,55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532.475,41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SINTAL VAZI, varovanje,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164.207,43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182.650,47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178.011,61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524.869,51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DOMEL IP Invalidsko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147.629,67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190.526,86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175.826,28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513.982,81</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RAZISKAVE, RAZVOJ IN INOVACIJE</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LJUBLJANI</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2.283.354,39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2.557.585,47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2.177.255,45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7.018.195,31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INSTITUT JOŽEF STEFAN V angl.jeziku: Jožef Stefan Institute, Ljubljana, Slovenia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1.042.851,16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1.232.883,76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1.801.947,27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4.077.682,19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Kemijski inštitut</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294.036,27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282.181,30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940.490,22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1.516.707,79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SiEVA, podjetje za razvoj in trženje v avtomobilski industriji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713.624,63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7.444,38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772.069,42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1.493.138,43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GORENJE gospodinjski aparati,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665.920,05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5.862,98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761.184,96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1.432.967,99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MARIBORU</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338.095,70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431.372,13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591.750,79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1.361.218,62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INTECH-LES, razvojni center,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734.252,57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24.657,50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487.610,34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1.246.520,41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KOLEKTOR GROUP Vodenje in upravljanje družb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302.294,93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57.410,89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757.262,24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1.116.968,06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METRONIK elementi in sistemi za avtomatiko, Ljubljana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287.541,25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198.509,07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471.787,72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957.838,04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LJUBLJANI, FAKULTETA ZA STROJNIŠTVO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948.970,00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948.970,00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ZAVOD ZA GRADBENIŠTVO SLOVENIJE firma v angleškem jeziku: SLOVENIAN NATIONAL BUILDING AND CIVIL ENGINEERING INSTITUTE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189.013,18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158.339,43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584.434,64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931.787,25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Inštitut za kovinske materiale in tehnologije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160.884,57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192.430,90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507.383,92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860.699,39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RC 31, razvojni center kreativne pohištvene industrije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754.021,33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94.486,53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848.507,86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NACIONALNI INŠTITUT ZA BIOLOGIJO National Institute of Biology</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174.879,76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177.618,53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453.503,66</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806.001,95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Znanstvenoraziskovalni center Slovenske akademije znanosti in umetnosti</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188.050,97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265.141,71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280.259,61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733.452,29</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LJUBLJANI, BIOTEHNIŠKA FAKULTETA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653.432,00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653.432,00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LJUBLJANI, FAKULTETA ZA ELEKTROTEHNIKO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634.053,38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634.053,38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Lek farmacevtska družba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198.372,45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6.750,69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415.582,12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620.705,26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POLYCOM predelava plastičnih mas in orodjarstvo Škofja Loka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237.833,67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110.789,02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249.885,41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598.508,10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COSYLAB, laboratorij za kontrolne sisteme,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10.511,70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583.404,64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593.916,34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UNIOR Kovaška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28.465,11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465.672,67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48.282,03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542.419,81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NELA, razvojni center za elektroindustrijo in elektroniko,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538.714,90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538.714,90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ALPINEON razvoj in raziskave,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247.030,90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109.199,47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167.190,80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523.421,17</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REGIONALNE POMOČI</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REVOZ podjetje za proizvodnjo in komercializacijo avtomobilov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7.664.902,00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6.930.698,00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14.595.600,00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HELLA SATURNUS SLOVENIJA, proizvodnja svetlobne opreme za motorna in druga vozila,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2.634.282,00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3.007.854,00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5.642.136,00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MAGNA STEYR, avtomobilski dobavitelj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3.000.000,00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3.000.000,00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SiEVA, podjetje za razvoj in trženje v avtomobilski industriji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2.769.604,72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2.769.604,72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Lek farmacevtska družba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2.000.000,00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smartMELAMINE, podjetje za proizvodnjo melaminskih flisov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375.000,00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1.125.000,00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1.500.000,00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GORENJE gospodinjski aparati,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1.364.735,82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1.364.735,82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GEBERIT proizvodnja, proizvodno in trgovsko podjetje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352.318,43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421.372,95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539.433,07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1.313.124,45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ELRAD INTERNATIONAL razvoj in proizvodnja elektronskih naprav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63.873,09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820.464,39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123.720,63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1.008.058,11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STERIS AST, storitve v zdravstvu,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988.480,00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988.480,00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ECOM RUŠE- inženiring, proizvodnja, storitve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277.958,60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665.353,83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943.312,43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XAL SVETILA, proizvodnja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800.000,00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800.000,00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MOBITEX, proizvodnja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778.095,00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778.095,00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odelo Slovenija, podjetje za razvoj, proizvodnjo in trženje avtomobilskih delov,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750.000,00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750.000,00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SEGRAP rudarstvo, proizvodnja in gradbeništvo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737.161,14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737.161,14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YASKAWA Europe Robotics, razvoj in proizvodnja robotov,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697.000,00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697.000,00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AVSEC, proizvodnja, trgovina in prevozništvo, d.o.o. Pivka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691.247,25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691.247,25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INTECH-LES, razvojni center,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682.033,92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682.033,92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RIKO EKOS industrija ekoloških strojev,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18.813,94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6.589,48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629.984,74</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655.388,16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Razvojni center informacijsko - komunikacijskih tehnologij Savinja Žalec,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639.875,26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639.875,26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STARKOM, proizvodnja in trgovina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98.829,10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214.403,79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325.480,38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638.713,27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UNIOR Kovaška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590.816,60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590.816,60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GKN DRIVELINE SLOVENIJA, Proizvodnja avtomobilskih transmisij in avto delov,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560.000,00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ZEL-EN, razvojni center energetike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550.100,01</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550.100,01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ISKRA, elektro in elektronska industrija,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530.413,50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530.413,50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BJB STROJNO KLJUČAVNIČARSTVO JANEZ BALAŽIC S.P.</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305.014,35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222.238,85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527.253,20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MIRAG INVEST posredovanje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377,49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205,48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500.582,97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NOVEM CAR INTERIOR DESIGN proizvodnja komponent za avtomobilsko in ostalo industrijo,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500.000,00</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KULTURA</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VERTIGO zavod za kulturne dejavnosti,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384.684,80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464.501,38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629.107,57</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1.478.293,75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PERFO produkcija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485.641,34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423.480,75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425.433,79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1.334.555,88</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Beletrina, zavod za založniško dejavnost</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340.251,40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423.381,73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421.554,33</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1.185.187,46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STARA GARA Zavod za kulturne dejavnosti,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487.316,25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190.855,00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487.772,70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1.165.943,95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DRUŠTVO SLOVENSKIH PISATELJEV</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396.327,00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458.526,80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234.040,00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1.088.893,80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GUSTAV FILM produkcija in storitve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309.042,00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206.625,00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258.064,21</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773.731,21</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NUKLEUS FILM, FILMSKA PRODUKCIJA,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204.250,00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431.659,13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131.854,00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767.763,13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MLADINSKA KNJIGA ZALOŽBA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171.100,00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222.500,00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227.850,00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621.450,00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LITERARNO - UMETNIŠKO DRUŠTVO LITERATURA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202.852,62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157.628,65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211.360,00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571.841,27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A.A.C. PRODUCTIONS, filmska in video produkcija,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385.000,00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164.882,85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15.977,50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565.860,35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CANKARJEVA ZALOŽBA - ZALOŽNIŠTVO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171.125,00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152.950,00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197.850,00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521.925,00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NORA PRODUCTION GROUP produkcija, komunikacijskih sredstev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217.500,00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281.388,04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19.600,00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518.488,04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ARSMEDIA intermedialni inženiring za kulturo,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121.739,00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255.194,25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133.599,80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510.533,05</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TVEGANI KAPITAL</w:t>
            </w:r>
            <w:r w:rsidRPr="00D050E9">
              <w:rPr>
                <w:rFonts w:ascii="Calibri" w:eastAsia="Times New Roman" w:hAnsi="Calibri" w:cs="Arial"/>
                <w:b/>
                <w:bCs/>
                <w:color w:val="000000"/>
                <w:sz w:val="18"/>
                <w:szCs w:val="18"/>
                <w:lang w:eastAsia="sl-SI"/>
              </w:rPr>
              <w:br/>
              <w:t>MSP</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META Ingenium, družba tveganega kapitala,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2.468.690,34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106.767,40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2.575.457,74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PRVI SKLAD, družba tveganega kapitala,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1.325.227,38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205.885,28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177.049,89</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1.708.162,55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STH VENTURES, družba tveganega kapitala,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874.772,50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48.598,00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37.450,92</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960.821,42</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PRESTRUKTU-</w:t>
            </w:r>
            <w:r w:rsidRPr="00D050E9">
              <w:rPr>
                <w:rFonts w:ascii="Calibri" w:eastAsia="Times New Roman" w:hAnsi="Calibri" w:cs="Arial"/>
                <w:b/>
                <w:bCs/>
                <w:color w:val="000000"/>
                <w:sz w:val="18"/>
                <w:szCs w:val="18"/>
                <w:lang w:eastAsia="sl-SI"/>
              </w:rPr>
              <w:br/>
              <w:t>RIRANJE</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CIMOS d.d. AVTOMOBILSKA INDUSTRIJA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96.920.808,16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96.920.808,16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MARIBORSKA LIVARNA MARIBOR d.d.</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5.100.000,00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5.100.000,00</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POLZELA tovarna nogavic d. o. o. - v stečaju</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922.853,58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1.300.000,00</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2.222.853,58</w:t>
            </w:r>
          </w:p>
        </w:tc>
      </w:tr>
      <w:tr w:rsidR="00B14AD8" w:rsidRPr="00D050E9" w:rsidTr="00CE6D2D">
        <w:trPr>
          <w:trHeight w:val="20"/>
        </w:trPr>
        <w:tc>
          <w:tcPr>
            <w:tcW w:w="877" w:type="pct"/>
            <w:tcBorders>
              <w:top w:val="nil"/>
              <w:left w:val="single" w:sz="4" w:space="0" w:color="auto"/>
              <w:bottom w:val="single" w:sz="4" w:space="0" w:color="auto"/>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TRANSPORT</w:t>
            </w:r>
            <w:r w:rsidRPr="00D050E9">
              <w:rPr>
                <w:rFonts w:ascii="Calibri" w:eastAsia="Times New Roman" w:hAnsi="Calibri" w:cs="Arial"/>
                <w:b/>
                <w:bCs/>
                <w:color w:val="000000"/>
                <w:sz w:val="18"/>
                <w:szCs w:val="18"/>
                <w:lang w:eastAsia="sl-SI"/>
              </w:rPr>
              <w:br/>
              <w:t>(kopenski)</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Slovenske železnice - Potniški promet, družba za opravljanje prevoza potnikov v notranjem in mednarodnem železniškem prometu, d.o.o.</w:t>
            </w:r>
          </w:p>
        </w:tc>
        <w:tc>
          <w:tcPr>
            <w:tcW w:w="645"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52.652.492,19</w:t>
            </w:r>
          </w:p>
        </w:tc>
        <w:tc>
          <w:tcPr>
            <w:tcW w:w="645"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43.101.325,37</w:t>
            </w:r>
          </w:p>
        </w:tc>
        <w:tc>
          <w:tcPr>
            <w:tcW w:w="645"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45.662.099,98</w:t>
            </w:r>
          </w:p>
        </w:tc>
        <w:tc>
          <w:tcPr>
            <w:tcW w:w="695"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141.415.917,54</w:t>
            </w:r>
          </w:p>
        </w:tc>
      </w:tr>
      <w:tr w:rsidR="00B14AD8" w:rsidRPr="00D050E9" w:rsidTr="00CE6D2D">
        <w:trPr>
          <w:trHeight w:val="20"/>
        </w:trPr>
        <w:tc>
          <w:tcPr>
            <w:tcW w:w="877" w:type="pct"/>
            <w:tcBorders>
              <w:top w:val="nil"/>
              <w:left w:val="single" w:sz="4" w:space="0" w:color="auto"/>
              <w:bottom w:val="single" w:sz="4" w:space="0" w:color="auto"/>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TRANSPORT</w:t>
            </w:r>
            <w:r w:rsidRPr="00D050E9">
              <w:rPr>
                <w:rFonts w:ascii="Calibri" w:eastAsia="Times New Roman" w:hAnsi="Calibri" w:cs="Arial"/>
                <w:b/>
                <w:bCs/>
                <w:color w:val="000000"/>
                <w:sz w:val="18"/>
                <w:szCs w:val="18"/>
                <w:lang w:eastAsia="sl-SI"/>
              </w:rPr>
              <w:br/>
              <w:t>(zračni)</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AERODROM PORTOROŽ,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605.388,00</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605.388,00</w:t>
            </w:r>
          </w:p>
        </w:tc>
      </w:tr>
      <w:tr w:rsidR="00B14AD8" w:rsidRPr="00D050E9" w:rsidTr="00CE6D2D">
        <w:trPr>
          <w:trHeight w:val="20"/>
        </w:trPr>
        <w:tc>
          <w:tcPr>
            <w:tcW w:w="877" w:type="pct"/>
            <w:tcBorders>
              <w:top w:val="nil"/>
              <w:left w:val="single" w:sz="4" w:space="0" w:color="auto"/>
              <w:bottom w:val="single" w:sz="4" w:space="0" w:color="auto"/>
              <w:right w:val="single" w:sz="4" w:space="0" w:color="auto"/>
            </w:tcBorders>
            <w:shd w:val="clear" w:color="000000" w:fill="FFFFFF"/>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PREMOGOVNIŠTVO</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RTH, Rudnik Trbovlje-Hrastnik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3.617.783,12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12.015.769,28</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15.543.237,65</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31.176.790,05</w:t>
            </w:r>
          </w:p>
        </w:tc>
      </w:tr>
      <w:tr w:rsidR="00B14AD8" w:rsidRPr="00D050E9" w:rsidTr="00CE6D2D">
        <w:trPr>
          <w:trHeight w:val="20"/>
        </w:trPr>
        <w:tc>
          <w:tcPr>
            <w:tcW w:w="877" w:type="pct"/>
            <w:vMerge w:val="restart"/>
            <w:tcBorders>
              <w:top w:val="nil"/>
              <w:left w:val="single" w:sz="4" w:space="0" w:color="auto"/>
              <w:bottom w:val="single" w:sz="4" w:space="0" w:color="000000"/>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8"/>
                <w:szCs w:val="18"/>
                <w:lang w:eastAsia="sl-SI"/>
              </w:rPr>
            </w:pPr>
            <w:r w:rsidRPr="00D050E9">
              <w:rPr>
                <w:rFonts w:ascii="Calibri" w:eastAsia="Times New Roman" w:hAnsi="Calibri" w:cs="Arial"/>
                <w:b/>
                <w:bCs/>
                <w:color w:val="000000"/>
                <w:sz w:val="18"/>
                <w:szCs w:val="18"/>
                <w:lang w:eastAsia="sl-SI"/>
              </w:rPr>
              <w:t>KMETIJSTVO</w:t>
            </w: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Zavod za gozdove Slovenije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19.005.169,12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8.373,83</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249.568,48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19.263.111,43</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KMETIJSKO GOZDARSKA ZBORNICA SLOVENIJE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11.587.063,75</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11.587.063,75</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LJUBLJANI, VETERINARSKA FAKULTETA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5.084.931,76</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5.084.931,76</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KOTO proizvodno in trgovsko podjetje, d.o.o., Ljubljana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2.128.195,47</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2.128.195,47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FUTURA DDB, oglaševalska agencija d.o.o.</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418.032,79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692.331,18</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1.110.363,97</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UNIVERZA V LJUBLJANI, BIOTEHNIŠKA FAKULTETA</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788.308,34</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788.308,34</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KMETIJSKI INŠTITUT SLOVENIJE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688.422,82</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688.422,82</w:t>
            </w:r>
          </w:p>
        </w:tc>
      </w:tr>
      <w:tr w:rsidR="00B14AD8" w:rsidRPr="00D050E9" w:rsidTr="00CE6D2D">
        <w:trPr>
          <w:trHeight w:val="20"/>
        </w:trPr>
        <w:tc>
          <w:tcPr>
            <w:tcW w:w="877"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8"/>
                <w:szCs w:val="18"/>
                <w:lang w:eastAsia="sl-SI"/>
              </w:rPr>
            </w:pPr>
          </w:p>
        </w:tc>
        <w:tc>
          <w:tcPr>
            <w:tcW w:w="1492"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GOZDARSKI INŠTITUT SLOVENIJE</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559.446,19</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4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 </w:t>
            </w:r>
          </w:p>
        </w:tc>
        <w:tc>
          <w:tcPr>
            <w:tcW w:w="695"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8"/>
                <w:szCs w:val="18"/>
                <w:lang w:eastAsia="sl-SI"/>
              </w:rPr>
            </w:pPr>
            <w:r w:rsidRPr="00D050E9">
              <w:rPr>
                <w:rFonts w:ascii="Calibri" w:eastAsia="Times New Roman" w:hAnsi="Calibri" w:cs="Arial"/>
                <w:color w:val="000000"/>
                <w:sz w:val="18"/>
                <w:szCs w:val="18"/>
                <w:lang w:eastAsia="sl-SI"/>
              </w:rPr>
              <w:t>559.446,19</w:t>
            </w:r>
          </w:p>
        </w:tc>
      </w:tr>
    </w:tbl>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jc w:val="left"/>
        <w:rPr>
          <w:rFonts w:asciiTheme="minorHAnsi" w:hAnsiTheme="minorHAnsi"/>
          <w:b/>
          <w:sz w:val="21"/>
          <w:szCs w:val="21"/>
        </w:rPr>
      </w:pPr>
      <w:r w:rsidRPr="00D050E9">
        <w:rPr>
          <w:rFonts w:asciiTheme="minorHAnsi" w:hAnsiTheme="minorHAnsi"/>
          <w:b/>
          <w:sz w:val="21"/>
          <w:szCs w:val="21"/>
        </w:rPr>
        <w:t>Tabela P8: Prejemniki pomoči, ki so v obdobju 2015–2017 prejeli več kot 500.000 EUR pomoči, po statističnih regijah</w:t>
      </w:r>
    </w:p>
    <w:tbl>
      <w:tblPr>
        <w:tblW w:w="5000" w:type="pct"/>
        <w:tblLayout w:type="fixed"/>
        <w:tblCellMar>
          <w:left w:w="70" w:type="dxa"/>
          <w:right w:w="70" w:type="dxa"/>
        </w:tblCellMar>
        <w:tblLook w:val="04A0" w:firstRow="1" w:lastRow="0" w:firstColumn="1" w:lastColumn="0" w:noHBand="0" w:noVBand="1"/>
      </w:tblPr>
      <w:tblGrid>
        <w:gridCol w:w="1511"/>
        <w:gridCol w:w="2723"/>
        <w:gridCol w:w="1292"/>
        <w:gridCol w:w="1292"/>
        <w:gridCol w:w="1294"/>
        <w:gridCol w:w="1212"/>
      </w:tblGrid>
      <w:tr w:rsidR="00B14AD8" w:rsidRPr="00D050E9" w:rsidTr="00CE6D2D">
        <w:trPr>
          <w:trHeight w:val="20"/>
          <w:tblHeader/>
        </w:trPr>
        <w:tc>
          <w:tcPr>
            <w:tcW w:w="81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B14AD8" w:rsidRPr="00D050E9" w:rsidRDefault="00B14AD8" w:rsidP="00CE6D2D">
            <w:pPr>
              <w:spacing w:after="0"/>
              <w:jc w:val="center"/>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Statistična regija</w:t>
            </w:r>
          </w:p>
        </w:tc>
        <w:tc>
          <w:tcPr>
            <w:tcW w:w="1460"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Prejemnik pomoči</w:t>
            </w:r>
          </w:p>
        </w:tc>
        <w:tc>
          <w:tcPr>
            <w:tcW w:w="693"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2015</w:t>
            </w:r>
          </w:p>
        </w:tc>
        <w:tc>
          <w:tcPr>
            <w:tcW w:w="693"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2016</w:t>
            </w:r>
          </w:p>
        </w:tc>
        <w:tc>
          <w:tcPr>
            <w:tcW w:w="694"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2017</w:t>
            </w:r>
          </w:p>
        </w:tc>
        <w:tc>
          <w:tcPr>
            <w:tcW w:w="651" w:type="pct"/>
            <w:tcBorders>
              <w:top w:val="single" w:sz="4" w:space="0" w:color="auto"/>
              <w:left w:val="nil"/>
              <w:bottom w:val="single" w:sz="4" w:space="0" w:color="auto"/>
              <w:right w:val="single" w:sz="4" w:space="0" w:color="auto"/>
            </w:tcBorders>
            <w:shd w:val="clear" w:color="000000" w:fill="B8CCE4"/>
            <w:vAlign w:val="center"/>
            <w:hideMark/>
          </w:tcPr>
          <w:p w:rsidR="00B14AD8" w:rsidRPr="00D050E9" w:rsidRDefault="00B14AD8" w:rsidP="00CE6D2D">
            <w:pPr>
              <w:spacing w:after="0"/>
              <w:jc w:val="left"/>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Skupaj</w:t>
            </w:r>
          </w:p>
          <w:p w:rsidR="00B14AD8" w:rsidRPr="00D050E9" w:rsidRDefault="00B14AD8" w:rsidP="00CE6D2D">
            <w:pPr>
              <w:spacing w:after="0"/>
              <w:jc w:val="left"/>
              <w:rPr>
                <w:rFonts w:ascii="Calibri" w:eastAsia="Times New Roman" w:hAnsi="Calibri" w:cs="Arial"/>
                <w:b/>
                <w:bCs/>
                <w:sz w:val="17"/>
                <w:szCs w:val="17"/>
                <w:lang w:eastAsia="sl-SI"/>
              </w:rPr>
            </w:pPr>
            <w:r w:rsidRPr="00D050E9">
              <w:rPr>
                <w:rFonts w:ascii="Calibri" w:eastAsia="Times New Roman" w:hAnsi="Calibri" w:cs="Arial"/>
                <w:b/>
                <w:bCs/>
                <w:sz w:val="17"/>
                <w:szCs w:val="17"/>
                <w:lang w:eastAsia="sl-SI"/>
              </w:rPr>
              <w:t>2015–2017</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auto" w:fill="auto"/>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GORENJSKA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SIJ ACRONI podjetje za proizvodnjo jekla in jeklenih izdelkov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2.014.083,82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1.986.548,86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1.940.920,19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5.941.552,87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ENOS, oskrba s toplo vodo, paro, elektriko in plinom,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2.409.378,76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1.271.290,74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1.779.002,90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5.459.672,40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SOENERGETIKA Gorenjske elektrarne, Holding Slovenske Elektrarne, Domplan in Petrol, družba za proizvodnjo elektrike in toplote,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1.758.970,01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872.884,61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1.661.196,17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4.293.050,79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GORENJSKE ELEKTRARNE, proizvodnja elektrike,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1.249.544,54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1.348.266,64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1.136.153,54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3.733.964,72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ENERGETIKA - ŽELEZARNA JESENICE, podjetje za proizvodnjo in storitve na področju energetike,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955.905,56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1.276.337,03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1.050.753,17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3.282.995,76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BPT naložbe, energetika, nepremičnine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1.067.490,27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1.163.243,78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947.114,85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3.177.848,90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SAVA MEDICAL IN STORITVE,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937.536,38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567.659,86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1.056.056,43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2.561.252,67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Ni definirano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1.038.298,89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531.514,79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756.117,13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2.325.930,81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SIJ SUZ d.o.o., Proizvodnja in storitve, IP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693.190,96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558.226,62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544.656,29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1.796.073,87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GOODYEAR DUNLOP SAVA TIRES, proizvodnja pnevmatik,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590.526,64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519.951,01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554.679,00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1.665.156,65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KNAUF INSULATION, d.o.o., industrija termičnih izolacij, Škofja Loka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1.204.179,89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153.824,95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220.107,09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1.578.111,93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LOKATEKS, podjetje za zaposlovanje invalidov, d.o.o. Škofja Loka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562.365,39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400.087,77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598.946,95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1.561.400,11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ISKRA, ENERGETIKA, STROJI IN VZDRŽEVANJE, podjetje za energetiko, izdelavo in vzdrževanje strojev, naprav in opreme d.d., Kranj</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555.630,94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295.105,21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396.621,02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1.247.357,17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RC 31, razvojni center kreativne pohištvene industrije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941.986,69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94.486,53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1.036.473,22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CSS, proizvodnja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346.412,05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315.257,97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316.386,79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978.056,81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POLYCOM predelava plastičnih mas in orodjarstvo Škofja Loka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529.794,37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110.789,02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298.864,91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939.448,30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TOPLARNA ŽELEZNIKI, proizvodnja in distribucija toplotne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286.817,57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323.294,73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268.863,47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878.975,77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PGP INDE, proizvodnja podplatov,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358.603,45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295.921,42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218.765,79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873.290,66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ITH FOTOVOLTAIKA,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241.927,91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247.712,96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258.089,29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747.730,16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RAZVOJNI CENTER JESENICE, družba za razvoj novih materialov in tehnologij,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393.916,92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259.558,75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653.475,67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NELA, razvojni center za elektroindustrijo in elektroniko,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538.714,90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538.714,90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DORON pridobivanje in prodaja energije iz obnovljivih virov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119.283,62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186.744,77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208.238,49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514.266,88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DOMEL IP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147.629,67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190.526,86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175.826,28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513.982,81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BVI proizvodnja, trgovina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177.723,89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183.333,79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149.499,74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510.557,42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DOMPLAN, družba za inženiring, nepremičnine, urbanizem in energetiko,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183.173,71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132.508,79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194.326,40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510.008,90</w:t>
            </w:r>
          </w:p>
        </w:tc>
      </w:tr>
      <w:tr w:rsidR="00B14AD8" w:rsidRPr="00D050E9" w:rsidTr="00CE6D2D">
        <w:trPr>
          <w:trHeight w:val="20"/>
        </w:trPr>
        <w:tc>
          <w:tcPr>
            <w:tcW w:w="810" w:type="pct"/>
            <w:vMerge w:val="restart"/>
            <w:tcBorders>
              <w:top w:val="nil"/>
              <w:left w:val="single" w:sz="4" w:space="0" w:color="auto"/>
              <w:bottom w:val="single" w:sz="4" w:space="0" w:color="auto"/>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GORIŠKA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SiEVA, podjetje za razvoj in trženje v avtomobilski industriji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3.483.229,35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7.444,38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772.069,42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4.262.743,15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SALONIT ANHOVO Gradbeni materiali,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1.770.375,72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1.345.293,36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525.696,08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3.641.365,16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KOLEKTOR ASCOM Pogonski sistemi in komponente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833.116,19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1.240.459,26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836.956,02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2.910.531,47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 3, ENERGETIKA, EKOLOGIJA, EKONOMIJA,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1.123.290,86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493.037,73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1.067.365,95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2.683.694,54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TOPSOL, druge inženirske dejavnosti in tehnično svetovanje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680.707,13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648.236,03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673.293,31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2.002.236,47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HIDRIA - IP, d.o.o., družba za proizvodnjo izolacijskih izdelkov, Tolmin</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642.403,76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691.420,51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605.361,61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1.939.185,88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Ni definirano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780.575,17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330.684,85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607.848,65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1.719.108,67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VIPA NALOŽBE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567.608,46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537.589,24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587.745,13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1.692.942,83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TEP-Solar solarna energija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480.419,19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560.794,92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636.978,80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1.678.192,91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ESC3 proizvodnja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544.978,69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443.736,86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631.573,75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1.620.289,30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INVALIDSKO PODJETJE POSOČJE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558.605,97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497.052,12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498.000,47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1.553.658,56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KOLEKTOR GROUP Vodenje in upravljanje družb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302.294,93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57.410,89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768.092,30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1.127.798,12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INDE, SALONIT ANHOVO Podjetje za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387.391,64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366.745,85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353.090,29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1.107.227,78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VRC, podjetje za proizvodnjo vzmeti in žičnih izdelkov,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248.376,39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224.381,72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226.085,33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698.843,44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KNEŠCA d.o.o. Proizvodnja električne energije, Kneža 78, Most na Soči</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230.264,27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278.016,58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173.622,62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681.903,47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STAR SOLAR, druga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198.734,33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232.464,61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233.853,83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665.052,77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KRAJCARCA Proizvodnja in prodaja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316.638,22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346.818,41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663.456,63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HIT hoteli, igralnice, turizem d.d. Nova Gorica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205.668,92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195.927,69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193.700,82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595.297,43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ORTAR, proizvodnja in svetovanje,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155.455,22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229.427,29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199.896,10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584.778,61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GOSTOL-GOIN podjetje za zaposlovanje in usposabljanje invalidov d.o.o. Nova Gorica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204.353,92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182.657,68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148.087,55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535.099,15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PSU Poslovne storitve, upravljanje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169.921,74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170.229,89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177.620,45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517.772,08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INTRA LIGHTING Proizvodnja svetil, inženiring in oprema objektov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177.566,52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95.886,73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230.463,26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503.916,51</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auto" w:fill="auto"/>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JUGOVZHODNA SLOVENIJA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REVOZ podjetje za proizvodnjo in komercializacijo avtomobilov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7.928.718,94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7.192.239,46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346.177,89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15.467.136,29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ESOL lesna predelava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2.516.947,36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3.038.731,74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2.844.508,93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8.400.188,03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KRKA, tovarna zdravil, d.d., Novo mesto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1.261.532,69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711.141,53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1.204.427,29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3.177.101,51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 INLES d.o.o., družba za usposabljanje invalidov</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753.497,37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724.183,58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701.551,46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2.179.232,41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RECINKO, družba za proizvodnjo, storitve in trgovino, d.o.o., Kočevje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603.545,77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585.952,22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683.033,64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1.872.531,63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smartMELAMINE, podjetje za proizvodnjo melaminskih flisov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375.000,00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1.125.000,00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1.500.000,00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ISKRA IP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371.775,89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331.786,81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533.332,21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1.236.894,91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 RIBNICA, družba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514.659,55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316.161,41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309.707,56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1.140.528,52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ŽAGA - ZORA proizvodnja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347.829,00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371.185,67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350.118,10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1.069.132,77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ELDES 1,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298.580,94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359.878,61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358.836,22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1.017.295,77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SNEŽNIK SINPO Proizvodnja, storitve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314.651,74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295.422,86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254.192,23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864.266,83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ADRIA MOBIL Proizvodnja, trgovina in storitve, d.o.o. Novo mesto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126.529,14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118.520,11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607.920,57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852.969,82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CGP-GIP, podjetje za proizvodnjo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250.772,47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277.075,40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287.452,30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815.300,17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ELDES 3,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234.433,37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282.841,59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273.661,72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790.936,68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YASKAWA Europe Robotics, razvoj in proizvodnja robotov,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697.000,00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697.000,00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ELDES 2,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205.652,97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246.640,99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240.750,35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693.044,31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TINDE, Trebanjsko invalidsko podjetje d.o.o. Trebnje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242.595,38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208.526,10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224.889,71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676.011,19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TERME KRKA, zdraviliške, turistične in gostinske storitve, d.o.o., Novo mesto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208.860,60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215.136,86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242.964,16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666.961,62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Javno podjetje Energetika Šentrupert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169.706,33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252.245,90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243.750,79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665.703,02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RIKO EKOS industrija ekoloških strojev,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18.813,94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12.398,63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633.087,44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664.300,01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URSA SLOVENIJA, proizvodnja steklene volne d.o.o., Novo mesto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222.845,35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222.770,20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115.210,48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560.826,03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MELAMIN kemična tovarna d.d. Kočevje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59.706,90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180.922,00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287.088,76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527.717,66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SONČNE REŠITVE, proizvodnja zelene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65.930,89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437.534,91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15.195,75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518.661,55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Lesna zadruga Loški Potok z.b.o., so.p.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518.209,57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518.209,57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MIRAG INVEST posredovanje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500.316,66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2.230,31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890,39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503.437,36</w:t>
            </w:r>
          </w:p>
        </w:tc>
      </w:tr>
      <w:tr w:rsidR="00B14AD8" w:rsidRPr="00D050E9" w:rsidTr="00CE6D2D">
        <w:trPr>
          <w:trHeight w:val="20"/>
        </w:trPr>
        <w:tc>
          <w:tcPr>
            <w:tcW w:w="810" w:type="pct"/>
            <w:vMerge w:val="restart"/>
            <w:tcBorders>
              <w:top w:val="nil"/>
              <w:left w:val="single" w:sz="4" w:space="0" w:color="auto"/>
              <w:bottom w:val="single" w:sz="4" w:space="0" w:color="auto"/>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KOROŠKA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PETROL ENERGETIKA proizvodnja in distribucija energetskih medijev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4.429.204,30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2.125.000,90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3.798.430,37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10.352.635,57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SIJ METAL RAVNE podjetje za proizvodnjo plemenitih jekel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1.840.509,69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1.946.784,75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1.354.921,36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5.142.215,80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TAB-IPM logistika, plastika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1.189.702,12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717.037,84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674.298,70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2.581.038,66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SIJ ZIP CENTER podjetje za proizvodnjo, storitve,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560.634,55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557.610,05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608.411,04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1.726.655,64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FRUMA trgovina, posredništvo, nepremičnine in investicije,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419.666,64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482.111,26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477.962,02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1.379.739,92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JAVNO PODJETJE KOMUNALA SLOVENJ GRADEC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284.681,56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276.694,25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548.542,91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1.109.918,72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SGP KOGRAD IGEM ZOD zaključna gradbena dela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244.935,56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370.484,09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308.081,29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923.500,94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MONTER DRAVOGRAD STORITVE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205.675,55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223.345,78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238.248,68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667.270,01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Marles PSP, proizvodnja stavbnega pohištva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276.544,08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188.793,13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196.652,37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661.989,58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EUROCITY podjetje za transport in proizvodnjo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186.147,11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203.601,10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201.176,80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590.925,01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STRUC-EKOING, podjetje za storitvene dejavnosti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180.406,92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190.071,47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187.914,44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558.392,83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GG-INPO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165.267,29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205.093,45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178.289,72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548.650,46</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auto" w:fill="auto"/>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NOTRANJSKO-</w:t>
            </w:r>
            <w:r w:rsidRPr="00D050E9">
              <w:rPr>
                <w:rFonts w:ascii="Calibri" w:eastAsia="Times New Roman" w:hAnsi="Calibri" w:cs="Arial"/>
                <w:b/>
                <w:bCs/>
                <w:color w:val="000000"/>
                <w:sz w:val="17"/>
                <w:szCs w:val="17"/>
                <w:lang w:eastAsia="sl-SI"/>
              </w:rPr>
              <w:br/>
              <w:t>KRAŠKA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INTECH-LES, razvojni center,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1.416.286,49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24.657,50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505.610,34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1.946.554,33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TCR INPRO Invalidsko, proizvodno, storitveno in trgovsko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421.305,94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439.307,62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480.812,46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1.341.426,02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LESONIT, lesno kemična industrija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70.042,23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425.789,61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404.472,43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900.304,27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IPIL, invalidsko podjetje Ilirska Bistrica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269.808,17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223.068,46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236.547,14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729.423,77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AVSEC, proizvodnja, trgovina in prevozništvo, d.o.o. Pivka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691.247,25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691.247,25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ENERGETIKA DOLENC, Podjetje za proizvodnjo energije iz obnovljivih virov,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563.571,07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563.571,07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KARSO Zaposlitveni center,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175.697,58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174.170,17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206.215,26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556.083,01</w:t>
            </w:r>
          </w:p>
        </w:tc>
      </w:tr>
      <w:tr w:rsidR="00B14AD8" w:rsidRPr="00D050E9" w:rsidTr="00CE6D2D">
        <w:trPr>
          <w:trHeight w:val="20"/>
        </w:trPr>
        <w:tc>
          <w:tcPr>
            <w:tcW w:w="810" w:type="pct"/>
            <w:vMerge w:val="restart"/>
            <w:tcBorders>
              <w:top w:val="nil"/>
              <w:left w:val="single" w:sz="4" w:space="0" w:color="auto"/>
              <w:bottom w:val="single" w:sz="4" w:space="0" w:color="auto"/>
              <w:right w:val="single" w:sz="4" w:space="0" w:color="auto"/>
            </w:tcBorders>
            <w:shd w:val="clear" w:color="auto" w:fill="auto"/>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OBALNO-</w:t>
            </w:r>
            <w:r w:rsidRPr="00D050E9">
              <w:rPr>
                <w:rFonts w:ascii="Calibri" w:eastAsia="Times New Roman" w:hAnsi="Calibri" w:cs="Arial"/>
                <w:b/>
                <w:bCs/>
                <w:color w:val="000000"/>
                <w:sz w:val="17"/>
                <w:szCs w:val="17"/>
                <w:lang w:eastAsia="sl-SI"/>
              </w:rPr>
              <w:br/>
              <w:t>KRAŠKA</w:t>
            </w:r>
          </w:p>
        </w:tc>
        <w:tc>
          <w:tcPr>
            <w:tcW w:w="1460"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CIMOS d.d. AVTOMOBILSKA INDUSTRIJA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96.966.279,03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276.520,87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394.194,73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97.636.994,63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LUKA KOPER INPO - invalidsko podjetje, d.o.o., gradbeništvo, proizvodne in druge storitve v kopenskem in vodnem prometu, invalidska dejavnost.</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1.587.162,12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1.472.991,63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1.447.524,69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4.507.678,44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ISTRABENZ PLINI, plini in plinske tehnologije,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560.021,30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493.938,91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1.061.619,55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2.115.579,76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CIMOS IP, invalidsko podjetje za storitve in proizvodnjo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223.453,20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264.400,38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452.411,89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940.265,47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ROBOTINA, Podjetje za inženiring, marketing, trgovino in proizvodnjo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182.895,33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136.572,97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309.099,89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628.568,19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AERODROM PORTOROŽ,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605.388,00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605.388,00</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auto" w:fill="auto"/>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OSREDNJE-</w:t>
            </w:r>
            <w:r w:rsidRPr="00D050E9">
              <w:rPr>
                <w:rFonts w:ascii="Calibri" w:eastAsia="Times New Roman" w:hAnsi="Calibri" w:cs="Arial"/>
                <w:b/>
                <w:bCs/>
                <w:color w:val="000000"/>
                <w:sz w:val="17"/>
                <w:szCs w:val="17"/>
                <w:lang w:eastAsia="sl-SI"/>
              </w:rPr>
              <w:br/>
              <w:t>SLOVENSKA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Slovenske železnice - Potniški promet, družba za opravljanje prevoza potnikov v notranjem in mednarodnem železniškem prometu,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52.659.004,58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43.110.532,99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45.679.605,68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141.449.143,25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JAVNO PODJETJE ENERGETIKA LJUBLJANA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12.534.462,63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12.372.155,61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10.337.243,85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35.243.862,09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Zavod za gozdove Slovenije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19.005.169,12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8.373,83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249.568,48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19.263.111,43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SŽ-ŽIP,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4.662.511,38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4.969.819,43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4.182.218,19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13.814.549,00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KMETIJSKO GOZDARSKA ZBORNICA SLOVENIJE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11.587.063,75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11.587.063,75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PETROL, Slovenska energetska družba, d.d.,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4.018.010,67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3.882.959,38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3.429.693,43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11.330.663,48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BIO-ELEKT družba za pridobivanje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1.075.502,40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4.212.271,70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3.806.742,29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9.094.516,39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SALOMON d.o.o., podjetje za zaposlovanje invalidov, proizvodnjo, posredovanje in storitve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1.352.396,05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1.155.146,93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5.744.777,64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8.252.320,62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UNIVERZA V LJUBLJANI</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2.283.354,39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2.557.585,47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2.177.255,45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7.018.195,31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HELLA SATURNUS SLOVENIJA, proizvodnja svetlobne opreme za motorna in druga vozila,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2.634.282,00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3.007.854,00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5.642.136,00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Mercator IP,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1.766.499,95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1.845.164,15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2.013.209,28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5.624.873,38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UNIVERZA V LJUBLJANI, VETERINARSKA FAKULTETA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5.084.931,76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5.084.931,76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KOLIČEVO KARTON Proizvodnja kartona,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1.411.903,29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1.882.716,43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1.718.280,48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5.012.900,20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PAPIR SERVIS d.o.o., Družba za ravnanje z odpadki - v stečaju</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2.831.451,06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1.574.622,20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181.528,16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4.587.601,42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INSTITUT JOŽEF STEFAN V angl.jeziku: Jožef Stefan Institute, Ljubljana, Slovenia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1.045.895,62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1.259.974,09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1.836.206,89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4.142.076,60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ŽELVA podjetje za usposabljanje in zaposlovanje invalidov,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1.704.069,21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1.215.458,50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868.526,70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3.788.054,41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KOTO proizvodno in trgovsko podjetje,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2.630.441,58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504.371,21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495.483,26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3.630.296,05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Lek farmacevtska družba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1.014.569,09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303.480,86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2.180.519,15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3.498.569,10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SOLVUS proizvodnja, trgovina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996.221,77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818.478,21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1.271.044,93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3.085.744,91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MAGNA STEYR, avtomobilski dobavitelj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3.000.000,00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3.000.000,00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PAPIRNICA VEVČE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854.508,44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924.391,77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804.207,38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2.583.107,59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META Ingenium, družba tveganega kapitala,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2.468.690,34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106.767,40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2.575.457,74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GEOPLIN d.o.o. Ljubljana, Družba za trgovanje z zemeljskim plinom</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561.957,03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684.506,12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862.975,24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2.109.438,39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AKTIVA TS, storitveno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611.639,94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695.171,88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720.580,88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2.027.392,70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BIROGRAFIKA BORI Invalidsko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585.347,00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662.578,66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669.420,59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1.917.346,25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AKUSTIKA GROUP, družba za gospodarsko razvojno in organizacijsko upravljanje podjetij,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568.052,02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614.511,94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661.813,42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1.844.377,38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MOST LJUBLJANA, proizvodnja in storitve, d. o. 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469.132,07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642.487,56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696.663,10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1.808.282,73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PRVI SKLAD, družba tveganega kapitala,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1.325.227,38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205.885,28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177.049,89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1.708.162,55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SET Podjetje za usposabljanje invalidov d.o.o. - v stečaju</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679.061,21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757.461,47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237.152,22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1.673.674,90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Zeleni biser, Proizvodnja električne energije iz obnovljivih virov,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509.357,10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556.148,14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580.506,77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1.646.012,01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BLAGOVNO TRGOVINSKI CENTER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493.620,03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495.179,85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534.907,96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1.523.707,84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Kemijski inštitut</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294.036,27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282.181,30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940.490,22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1.516.707,79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GORIČANE tovarna papirja Medvode,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406.459,12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574.205,59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531.966,69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1.512.631,40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INTOS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460.287,91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517.882,51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500.806,81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1.478.977,23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VERTIGO zavod za kulturne dejavnosti,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384.684,80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464.501,38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629.107,57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1.478.293,75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UNIVERZA V LJUBLJANI, BIOTEHNIŠKA FAKULTETA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788.308,34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653.432,00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1.441.740,34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HOFER trgovina na drobno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472.489,06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510.982,17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441.189,53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1.424.660,76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E2S, energetske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386.313,14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342.653,89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622.125,67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1.351.092,70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ISKRA, elektro in elektronska industrija,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329.222,53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119.452,86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900.867,60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1.349.542,99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CENTERKONTURA družba za svetovanje, socialni razvoj, usposabljanje in založništvo,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354.494,90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456.680,36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524.251,38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1.335.426,64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PERFO produkcija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485.641,34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423.480,75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425.433,79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1.334.555,88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AVANT CAR, poslovni inženiring,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494.964,35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231.017,24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602.573,26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1.328.554,85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ADRIAPLIN, Podjetje za distribucijo zemeljskega plina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510.532,18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279.540,07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528.467,75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1.318.540,00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AquafilSLO Proizvodnja poliamidnih filamentov in granulatov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152.462,42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547.967,20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593.913,56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1.294.343,18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TASOLAR, oskrba z energijo, investicije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406.384,30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425.817,52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436.952,69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1.269.154,51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ENERGEN, energetske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463.959,59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252.560,12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498.300,85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1.214.820,56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CALCIT, proizvodnja kalcitnih polnil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44.948,43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557.151,98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584.739,76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1.186.840,17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Beletrina, zavod za založniško dejavnost</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340.251,40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423.381,73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421.554,33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1.185.187,46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Zaposlitveni center Zarja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391.440,26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379.723,24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409.553,38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1.180.716,88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Slovenske železnice - Infrastruktura, družba za upravljanje in vzdrževanje železniške infrastrukture ter vodenje železniškega prometa,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450.253,68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371.734,96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354.964,84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1.176.953,48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AM kapital in posredništvo,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350.963,85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408.476,20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413.101,62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1.172.541,67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SNAGA Javno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626.113,54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350.049,64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192.864,85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1.169.028,03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STARA GARA Zavod za kulturne dejavnosti,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487.316,25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190.855,00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487.772,70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1.165.943,95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AVEK ENERGO, vzhodna energetska družba,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340.981,71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406.475,57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416.872,40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1.164.329,68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Interenergo, energetski inženiring,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350.626,94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380.411,38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433.200,59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1.164.238,91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FUTURA DDB, oglaševalska agencija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418.032,79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727.883,01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1.145.915,80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3SOLAR,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379.628,71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383.825,01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364.126,53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1.127.580,25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AKRON d.o.o., podjetje za svetovanje, marketing, inženiring, proizvodnjo, komercialno posredovanje ter promet blaga na debelo in drobno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374.140,85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342.129,63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383.348,13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1.099.618,61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DRUŠTVO SLOVENSKIH PISATELJEV</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396.327,00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458.526,80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234.040,00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1.088.893,80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OMAHEN-TRANSPORT podjetje za prevoz, trgovino in predelavo,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348.291,46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353.861,29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386.417,23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1.088.569,98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 &amp; G ENERGIJA,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354.921,94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365.656,00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359.176,83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1.079.754,77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VESOL, družba za proizvodnjo,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347.601,10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364.712,63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346.603,85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1.058.917,58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PROSOLAR, projektiranje, gradnje in proizvodnja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441.129,37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201.480,45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413.832,62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1.056.442,44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KMETIJSKI INŠTITUT SLOVENIJE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837.466,09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99.489,66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119.300,49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1.056.256,24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BIRINGSOL 1, oskrba z energijo, investicije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309.299,93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367.803,50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354.915,73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1.032.019,16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STERIS AST, storitve v zdravstvu,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988.480,00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988.480,00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DOBROVITA Družba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271.285,28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301.849,81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395.613,10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968.748,19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BJ SOLAR PVKU, inženiring, izgradnja sončnih elektraren in investicije,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333.237,53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363.956,18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270.417,79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967.611,50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STH VENTURES, družba tveganega kapitala,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874.772,50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48.598,00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37.450,92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960.821,42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METRONIK elementi in sistemi za avtomatiko, Ljubljana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287.541,25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198.509,07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471.787,72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957.838,04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UNIVERZA V LJUBLJANI, FAKULTETA ZA STROJNIŠTVO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948.970,00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948.970,00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SPAR SLOVENIJA trgovsko podjetje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196.403,19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429.627,79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311.047,06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937.078,04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ZAVOD ZA GRADBENIŠTVO SLOVENIJE firma v angleškem jeziku: SLOVENIAN NATIONAL BUILDING AND CIVIL ENGINEERING INSTITUTE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189.013,18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158.339,43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584.434,64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931.787,25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RESALTA DRUŽBA ZA UPRAVLJANJE ENERGETSKIH STORITEV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438.115,43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165.015,04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307.813,41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910.943,88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Inštitut za kovinske materiale in tehnologije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160.884,57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192.430,90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507.383,92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860.699,39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EE holding, družba za upravljanje,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305.608,82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191.600,41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351.597,33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848.806,56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Sončna elektrarna OKLJUK 2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262.601,80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272.534,46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293.970,03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829.106,29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Sončna elektrarna OKLJUK 1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259.635,27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274.550,24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293.527,64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827.713,15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BJ SOLAR, inženiring, izgradnja sončnih elektraren in investicije,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268.484,81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283.359,60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274.041,41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825.885,82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ECO SOLAR, energetske rešitve,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233.904,61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288.358,07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299.548,46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821.811,14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PLUSOL d.o.o., družba za proizvodnjo in storitve na področju obnovljivih virov energije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258.393,58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270.304,25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285.746,62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814.444,45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NACIONALNI INŠTITUT ZA BIOLOGIJO National Institute of Biology</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174.879,76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177.618,53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453.503,66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806.001,95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BELINKA PERKEMIJA kemična industrija,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341.407,11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284.020,75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177.904,28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803.332,14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Znanstvenoraziskovalni center Slovenske akademije znanosti in umetnosti</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215.050,97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269.341,71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310.559,61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794.952,29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ADRIA ENERGO, trgovanje z električno energijo,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452.838,79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204.151,46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126.249,40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783.239,65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GUSTAV FILM produkcija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309.042,00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206.625,00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258.064,21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773.731,21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ESA SOLAR 2,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235.190,32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264.151,79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268.533,51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767.875,62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NUKLEUS FILM, FILMSKA PRODUKCIJA,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204.250,00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431.659,13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131.854,00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767.763,13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SINTAL IPO Podjetje za zaposlovanje in usposabljanje invalidnih oseb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222.308,27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234.502,01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302.944,79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759.755,07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GOZDARSKI INŠTITUT SLOVENIJE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596.737,42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65.964,30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65.667,16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728.368,88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EVROKREDIT, družba za svetovanje, storitve in posredništvo,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220.052,79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249.587,86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256.950,61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726.591,26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INVEST ZORENCI, električna energija,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227.756,80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241.134,58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255.508,38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724.399,76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INVARST, storitveno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264.366,02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227.003,07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232.166,03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723.535,12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AC ENERGO trgovina in storive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215.199,30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245.340,43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255.245,98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715.785,71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Elektro Ljubljana OVE, inženiring s področja obnovljivih virov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222.663,07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222.484,63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261.096,05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706.243,75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BUTAN PLIN družba za distribucijo plina, d.d.,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269.758,59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170.202,45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245.635,56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685.596,60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SKIPPER Podjetje za usposabljanje in zaposlovanje invalidov, organizacijsko svetovanje in informacijski inženiring ...,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205.758,26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221.406,70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249.038,38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676.203,34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TEP ELEKTRARNE SB sončne elektrarne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207.399,39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230.873,27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234.176,05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672.448,71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ZAVAROVALNICA TRIGLAV,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283.758,77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168.698,13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217.355,22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669.812,12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MLADINSKA KNJIGA ZALOŽBA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209.950,51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222.500,00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227.850,00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660.300,51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UNIVERZA V LJUBLJANI, FAKULTETA ZA ELEKTROTEHNIKO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7.288,87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7.370,78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643.041,32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657.700,97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MASOL INVEST, investiranje v sončne elektrarne,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196.304,18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216.572,26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233.197,79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646.074,23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SAVSKE ELEKTRARNE LJUBLJANA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191.704,70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200.089,69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223.946,80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615.741,19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COSYLAB, laboratorij za kontrolne sisteme,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10.511,70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7.923,07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591.318,19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609.752,96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REPO podjetje za poslovne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179.121,06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205.920,45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213.643,95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598.685,46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LIVAR, Proizvodnja in obdelava ulitkov,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45.748,44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271.408,76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277.152,83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594.310,03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LITERARNO - UMETNIŠKO DRUŠTVO LITERATURA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202.852,62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157.628,65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211.360,00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571.841,27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A.A.C. PRODUCTIONS, filmska in video produkcija,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385.000,00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164.882,85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15.977,50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565.860,35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MGS ENERGO, proizvodnja in trženje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210.164,81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347.335,76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557.500,57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Zaposlitveni Center Zarja 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181.874,93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168.669,85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203.705,74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554.250,52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 Central, družba za hotelirstvo -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167.432,72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178.591,88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193.911,68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539.936,28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GRASON,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181.892,61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174.329,93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182.323,22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538.545,76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NOVA LJUBLJANSKA BANKA d.d.,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75.090,59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275.429,03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185.067,44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535.587,06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JAZON Podjetje za turizem, proizvodnjo in storitev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124.938,29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110.496,04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298.993,68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534.428,01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ALPINEON razvoj in raziskave,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247.030,90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109.199,47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167.190,80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523.421,17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CANKARJEVA ZALOŽBA - ZALOŽNIŠTVO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171.125,00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152.950,00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197.850,00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521.925,00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FOTONIS, proizvodnja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157.942,60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177.449,95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183.518,16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518.910,71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NORA PRODUCTION GROUP produkcija, komunikacijskih sredstev d.o.o, Ljubljana</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217.500,00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281.388,04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19.600,00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518.488,04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PV ZORENCI, električna energija,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155.195,89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171.310,36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184.238,40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510.744,65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ARSMEDIA intermedialni inženiring za kulturo,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121.739,00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255.194,25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133.599,80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510.533,05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AC ENERGO PIVKA,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154.269,57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173.093,34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178.402,36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505.765,27</w:t>
            </w:r>
          </w:p>
        </w:tc>
      </w:tr>
      <w:tr w:rsidR="00B14AD8" w:rsidRPr="00D050E9" w:rsidTr="00CE6D2D">
        <w:trPr>
          <w:trHeight w:val="20"/>
        </w:trPr>
        <w:tc>
          <w:tcPr>
            <w:tcW w:w="810" w:type="pct"/>
            <w:vMerge w:val="restart"/>
            <w:tcBorders>
              <w:top w:val="nil"/>
              <w:left w:val="single" w:sz="4" w:space="0" w:color="auto"/>
              <w:bottom w:val="single" w:sz="4" w:space="0" w:color="auto"/>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PODRAVSKA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TALUM Tovarna aluminija d.d. Kidričevo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4.133.150,89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10.980.299,76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9.877.194,69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24.990.645,34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MOJA ENERGIJA celovita oskrba z energijo, družba za proizvodnjo,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3.867.132,99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1.089.016,75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688.633,66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5.644.783,40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MARIBORSKA LIVARNA MARIBOR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5.100.000,00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5.100.000,00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IPPS Invalidsko Podjetje Pošte Slovenije, proizvodnja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75.360,53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1.549.622,57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2.778.592,09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4.403.575,19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IMPOL, industrija metalnih polizdelkov,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856.348,14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1.412.363,08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1.604.905,38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3.873.616,60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ENERGIJA IN OKOLJE, družba za napredne energetske in okoljske rešitve,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1.646.181,73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959.007,88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1.203.518,58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3.808.708,19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BIO PLINARNA, BRANKO ARNUŠ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1.150.562,50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1.308.170,40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1.318.959,15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3.777.692,05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iENERGIJA proizvodnja in distribucija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1.073.961,04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1.132.714,81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1.013.692,94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3.220.368,79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PP ENERGIJA,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815.763,76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1.137.093,71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1.059.650,89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3.012.508,36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POŠTA SLOVENIJE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1.854.638,77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685.412,45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430.785,95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2.970.837,17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PANONICA ENERGETIKA d.o.o., družba za energijo, posredništvo in trgovino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870.303,49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750.129,76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1.337.177,14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2.957.610,39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ENERVE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665.247,24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1.003.332,49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1.029.681,51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2.698.261,24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Paloma, higienski papirji,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804.462,57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933.753,89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900.332,52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2.638.548,98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SILKEM proizvodnja zeolitov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1.352.499,38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578.235,60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633.808,03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2.564.543,01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ZE SOLAR 1, družba za proizvodnjo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802.045,98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836.718,83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841.639,02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2.480.403,83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BIOENERGETIKA, proizvodnja, trgovina in distribucija, električne in toplotne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364.389,34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940.252,41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1.104.131,37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2.408.773,12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OVEN ELEKTRO MARIBOR, proizvodnja elektrike in obnovljivi viri energije Elektro Maribor,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766.302,92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902.730,53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636.101,40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2.305.134,85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BODOČNOST podjetje za rehabilitacijo in zaposlitev invalidov Maribor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600.464,94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827.932,42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779.551,81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2.207.949,17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AKTIVA INPOD invalidsko, proizvodno, storitveno in trgovsko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676.162,19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715.397,51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812.968,96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2.204.528,66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MEGAENERGIJA proizvodnja, storitve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1.012.925,02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351.402,66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714.573,17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2.078.900,85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PV DBL, proizvodnja el.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629.448,30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640.581,39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661.819,35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1.931.849,04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PULVEREM, posredništvo, storitve in svetovanje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1.564.780,72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272.538,98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1.837.319,70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PLINARNA MARIBOR družba za proizvodnjo, distribucijo energentov,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678.264,17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317.763,11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673.876,09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1.669.903,37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DRAVSKE ELEKTRARNE MARIBOR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467.734,55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569.475,26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597.128,56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1.634.338,37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GEA NOVA, proizvodnja električne energije, storitvene in trgovske dejavnosti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395.528,65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1.207.705,42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1.603.234,07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SOLCEL, družba za trgovino, investicije, storitve in vzdrževanje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517.426,36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301.714,34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742.850,81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1.561.991,51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PRO ČIS-TEAM podjetje za čiščenje, inženiring,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511.107,39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439.712,21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514.639,88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1.465.459,48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ZAVOD DETEL, zavod za usposabljanje in zaposlovanje težje zaposljivih invalidov</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468.596,93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464.397,64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469.857,10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1.402.851,67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SC1, proizvodnja, trgovina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254.360,25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520.007,66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612.122,03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1.386.489,94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VARGAS-AL družba za fizično-tehnično in protipožarno varovanje premoženja, trgovino in servis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453.761,22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397.186,55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514.358,54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1.365.306,31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UNIVERZA V MARIBORU</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338.095,70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434.372,13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592.474,79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1.364.942,62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GEBERIT proizvodnja, proizvodno in trgovsko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352.318,43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421.372,95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539.433,07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1.313.124,45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EKOTAL, čiščenje in urejanje okolja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396.091,78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359.438,17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404.224,91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1.159.754,86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IMPOL-MONTAL podjetje za projektiranje, izdelavo in montažo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381.572,73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394.764,49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380.289,82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1.156.627,04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ZAPOSLITVENI CENTER JADRO družba za socialne dejavnosti, proizvodnjo, trgovino, poslovne storitve in druge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336.225,59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389.269,40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421.585,92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1.147.080,91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OZARA storitveno in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364.329,07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376.456,17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399.978,28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1.140.763,52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PERUTNINA PTUJ reja perutnine, proizvodnja krmil, perutninskega mesa in izdelkov, trgovina in storitve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430.254,01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291.038,90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280.846,00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1.002.138,91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ECOM RUŠE- inženiring, proizvodnja, storitve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17.668,29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296.951,68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678.449,06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993.069,03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TOP ENERGIJA celovita oskrba z energijo, družba za proizvodnjo,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568.209,62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224.104,00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176.857,25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969.170,87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GORICA LEASING d.o.o. Nova Gorica - Skupina Nove KBM - v likvidaciji</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402.332,91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242.670,98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320.070,47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965.074,36</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UNIDEL podjetje za zaposlovanje in usposabljanje invalidnih oseb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388.158,45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240.724,86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255.515,42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884.398,73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ZAVOD KEKEC, zavod za usposabljanje in zaposlovanje invalidov in drugih težje zaposljivih oseb, Maribor</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321.697,62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299.629,45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248.097,60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869.424,67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PALOMA PIS družba za proizvodnjo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337.742,84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283.733,44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219.423,77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840.900,05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SPV ELGO ENERGIJA, podjetje za gradbeništvo in proizvodnjo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288.322,88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478.232,00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56.378,94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822.933,82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RIEDL CNC, proizvodno, storitveno in trgovsko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237.992,17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208.376,35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359.146,29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805.514,81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PROIZVODNJA ELEKTRIČNE ENERGIJE, DRAGO ŠOLAR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258.972,18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320.804,84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214.334,06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794.111,08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INTES STORITVE invalidsko podjetje za proizvodnjo,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504.625,81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176.980,41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12.662,18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694.268,40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IZDELOVANJE DROBNIH KOVINSKIH PREDMETOV TOMAŽ RIEDL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636.266,59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48.754,82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685.021,41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TALUM IZPARILNIKI, proizvodnja izparilnih plošč, lesenih in drugih izdelkov, storitve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233.424,94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208.675,77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229.779,08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671.879,79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ELEKTRO MARIBOR, podjetje za distribucijo električne energije,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313.525,90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189.722,72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163.524,39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666.773,01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SAFILO, proizvodnja očal, d.o.o. Ormož</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186.016,49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247.396,07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218.089,69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651.502,25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STARKOM, proizvodnja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98.829,10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214.403,79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325.480,38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638.713,27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MODRA ENERGIJA, obnovljivi viri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92.539,31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83.741,32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435.719,67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612.000,30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ZAVOD DETEL PTUJ, zavod za usposabljanje in zaposlovanje težje zaposljivih invalidov</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191.163,79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200.704,69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212.195,22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604.063,70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KODEL,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195.941,21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184.633,93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203.285,49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583.860,63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SPV PODGORJE,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171.753,68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197.057,00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211.123,47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579.934,15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STROJNA tovarna strojev, kmetijstvo, poslovanje z nepremičninami, najemi in svetovanje d.o.o. Maribor</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402.410,26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51.581,37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121.291,92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575.283,55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OZARA ZAPOSLITVENI CENTER, proizvodnja, trgovina, posredništvo,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166.120,05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179.389,84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208.167,33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553.677,22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UNIVERZITETNI KLINIČNI CENTER MARIBOR</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212.747,11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337.176,44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549.923,55</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SWATY-INPO družba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232.857,42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216.147,45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85.261,32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534.266,19</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AAE VE, vetrna energija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27.511,11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250.864,69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254.154,24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532.530,04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Elgo Energija, podjetje za gradbeništvo in proizvodnjo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505.779,88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14.650,59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520.430,47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Javno podjetje Energetika Maribor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125.304,05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162.633,63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226.373,90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514.311,58</w:t>
            </w:r>
          </w:p>
        </w:tc>
      </w:tr>
      <w:tr w:rsidR="00B14AD8" w:rsidRPr="00D050E9" w:rsidTr="00CE6D2D">
        <w:trPr>
          <w:trHeight w:val="20"/>
        </w:trPr>
        <w:tc>
          <w:tcPr>
            <w:tcW w:w="810" w:type="pct"/>
            <w:vMerge w:val="restart"/>
            <w:tcBorders>
              <w:top w:val="nil"/>
              <w:left w:val="single" w:sz="4" w:space="0" w:color="auto"/>
              <w:bottom w:val="single" w:sz="4" w:space="0" w:color="auto"/>
              <w:right w:val="single" w:sz="4" w:space="0" w:color="auto"/>
            </w:tcBorders>
            <w:shd w:val="clear" w:color="auto" w:fill="auto"/>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POMURSKA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PANVITA EKOTEH, proizvodnja energije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3.443.336,35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3.671.413,87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3.605.183,02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10.719.933,24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ARCONT IP, proizvodnja oken in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1.219.318,72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1.175.018,23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877.545,92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3.271.882,87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PLINPROM, proizvodnja elektrike,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1.096.564,41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1.275.075,56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801.791,27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3.173.431,24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ELEKTROMATERIAL IPO, Družba za proizvodnjo elektroinstalacijskega materiala,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462.910,99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494.167,89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565.619,52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1.522.698,40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ELRAD INTERNATIONAL razvoj in proizvodnja elektronskih naprav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79.010,18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824.469,99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195.940,36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1.099.420,53</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KOMUNALA, javno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392.222,34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190.185,26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360.242,38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942.649,98</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MOBITEX, proizvodnja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17.649,26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16.669,58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797.590,58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831.909,42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SEGRAP rudarstvo, proizvodnja in gradbeništvo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23.420,05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37.696,01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770.669,05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831.785,11</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XAL SVETILA, proizvodnja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6.398,74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9.388,06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803.487,47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819.274,27</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BIOPLIN KNAUS, proizvodnja in distribucija energije, Dejan Knaus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287.731,58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255.439,14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160.417,00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703.587,72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FINGAL, podjetje za trgovino in servis strojev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163.142,90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216.541,88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260.081,14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639.765,92</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ZAVOD DETEL MURSKA SOBOTA, zavod za usposabljanje in zaposlovanje težje zaposljivih invalidov</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182.506,59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202.110,12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231.632,03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616.248,74</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GMT podjetje za gradbeništvo, marketing in trgovino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170.249,88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181.597,95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231.032,57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582.880,40</w:t>
            </w:r>
          </w:p>
        </w:tc>
      </w:tr>
      <w:tr w:rsidR="00B14AD8" w:rsidRPr="00D050E9" w:rsidTr="00CE6D2D">
        <w:trPr>
          <w:trHeight w:val="20"/>
        </w:trPr>
        <w:tc>
          <w:tcPr>
            <w:tcW w:w="810" w:type="pct"/>
            <w:vMerge/>
            <w:tcBorders>
              <w:top w:val="nil"/>
              <w:left w:val="single" w:sz="4" w:space="0" w:color="auto"/>
              <w:bottom w:val="single" w:sz="4" w:space="0" w:color="auto"/>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BJB STROJNO KLJUČAVNIČARSTVO JANEZ BALAŽIC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305.014,35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222.238,85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1.886,06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529.139,26</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POSAVSKA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VIPAP VIDEM KRŠKO proizvodnja papirja in vlaknin d.d.</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2.282.902,91</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2.262.979,67</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1.855.356,03</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6.401.238,61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TANIN SEVNICA Kemična industrija d.d.</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856.336,51</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793.834,49</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611.665,89</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2.261.836,89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STEKLARSTVO MLAKAR, MLAKAR FRANC S.P.</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61.565,68</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845.436,41</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799.389,12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1.706.391,21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RADEČE PAPIR NOVA proizvodnja, trgovina in storitve,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621.918,11</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462.440,77</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471.968,24</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1.556.327,12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LEVAS zaposlovanje in usposabljanje invalidov Krško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505.815,37</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492.508,46</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529.477,08</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1.527.800,91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INDE invalidske delavnice Sevnica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468.754,31</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515.355,77</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432.079,25</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1.416.189,33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FITOSOL, proizvodnja električne energije,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258.902,48</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282.003,98</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824.879,81</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1.365.786,27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MUFLON, družba za usposabljanje in zaposlovanje invalidov,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190.337,40</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386.648,98</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453.271,02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1.030.257,40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ZEL-EN, razvojni center energetike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881.334,08</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53.512,00</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934.846,08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I.P.Č. čistilni in knjigovodski servis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375.012,58</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315.828,61</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153.593,75</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844.434,94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VRATA DERŽIČ, izdelovanje požarnih vrat, DERŽIČ RUDOLF S.P.</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193.888,51</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196.937,34</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207.619,72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598.445,57</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SAVINJSKA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HTZ Harmonija tehnologije in znanja, invalidsko podjetje, d.o.o. Velenje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6.730.333,77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6.695.206,07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7.065.830,77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20.491.370,61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MERKSCHA furnirnica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5.976.127,07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6.651.222,57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5.758.194,77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18.385.544,41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GORENJE I.P.C., Invalidsko podjetniški center,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4.029.562,44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4.322.982,92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4.683.277,21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13.035.822,57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UNIOR Kovaška industrija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1.233.146,79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1.821.494,82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864.726,73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3.919.368,34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GORENJE gospodinjski aparati,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2.304.434,00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253.403,52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1.053.834,23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3.611.671,75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TERMOELEKTRARNA ŠOŠTANJ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5.835,91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1.733.535,24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1.470.887,71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3.210.258,86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SICO, Podjetje za usposabljanje in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717.813,11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923.605,70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1.307.310,91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2.948.729,72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CINKARNA Metalurško-kemična industrija Celje,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863.341,32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1.058.899,08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987.105,09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2.909.345,49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TURNA proizvodnja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932.763,90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914.835,66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817.794,67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2.665.394,23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ŠTORE STEEL podjetje za proizvodnjo jekel,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834.653,84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1.030.353,47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598.635,49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2.463.642,80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POLZELA tovarna nogavic d. o. o. - v stečaju</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976.788,41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1.356.370,90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2333159,31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BIOMASA, Družba za trgovino, servis in montažo kotlov na biomaso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581.778,74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735.819,65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712.741,38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2.030.339,77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6,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598.116,57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670.081,78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695.236,18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1.963.434,53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ECOS - storitve pri varovanju okolja, d.o.o. - v stečaju</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1.591.774,92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140.601,23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96.765,29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1.829.141,44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2,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536.389,52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601.762,32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616.164,58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1.754.316,42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INO grafično podjetje za zaposlovanje invalidov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572.457,09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608.991,85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568.204,62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1.749.653,56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3,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488.522,70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544.032,77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556.106,77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1.588.662,24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STEKLARSKI HRAM trgovina, gostinstvo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552.441,35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450.646,21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436.704,65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1.439.792,21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CRI CELJE rehabilitacija, proizvodnja,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387.271,97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425.961,55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552.059,66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1.365.293,18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SPLOŠNA BOLNIŠNICA CELJE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541.034,90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276.504,59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425.646,60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1.243.186,09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BSH Hišni aparati I.D. INVALIDSKA DRUŽBA,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413.249,89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443.983,13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378.644,05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1.235.877,07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CENTER ISI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386.105,49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346.854,19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363.867,04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1.096.826,72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ŠESTSOLAR, oskrba z energijo, investicije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346.916,12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363.168,04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365.614,65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1.075.698,81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PETSOLAR, oskrba z energijo, investicije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337.772,31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356.647,18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363.611,79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1.058.031,28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IPB razvoj, proizvodnja, inženiring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346.842,90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190.790,34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463.301,40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1.000.934,64</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SONČNA ELEKTRARNA DOLAR, energetika in storitve, d.o.o. - v stečaju</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254.683,53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355.646,58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364.794,77</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975.124,88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9, proizvodnja, prodaja,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298.133,33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319.544,77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309.887,60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927.565,70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1,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283.752,22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310.567,98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313.352,99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907.673,19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ENERGOLES BOHOR, proizvodnja, trgovina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296.789,90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387.626,40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221.593,59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906.009,89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5,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296.973,75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291.994,17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309.651,36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898.619,28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KREATIV ART CRYSTAL ROGAŠKA podjetje za proizvodnjo, obrt,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299.020,32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360.604,14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237.224,02</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896.848,48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SOLPRO, investiranje in svetovanje, vzdrževanje sončnih elektrarn,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301.181,70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295.302,23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279.870,00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876.353,93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11, proizvodnja, prodaja,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279.294,72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285.434,60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308.387,71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873.117,03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8,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259.364,21</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297.371,03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300.088,43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856.823,67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12, proizvodnja, prodaja,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268.938,77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271.999,97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290.675,76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831.614,50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Razvojni center informacijsko - komunikacijskih tehnologij Savinja Žalec,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639.875,26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137.785,00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777.660,26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odelo Slovenija, podjetje za razvoj, proizvodnjo in trženje avtomobilskih delov,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6.346,00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754.240,20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760.586,20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4, proizvodnja, prodaja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245.437,43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245.231,66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251.603,30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742.272,39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EKOEN d.o.o., družba za proizvodnjo in distribucijo ekološke energije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735.746,70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735.746,70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PH SOLAR, solarna energija,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222.165,04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251.301,64</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248.264,73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721.731,41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TIM SVETLOBA invalidsko podjetje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236.131,24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241.949,25</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238.545,16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716.625,65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DEKO, druga proizvodnja električne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225.330,97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235.235,89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242.884,23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703.451,09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H - MONT, montaža, proizvodnja,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226.378,50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230.462,72</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231.451,59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688.292,81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THERMOKON družba za proizvodnjo tekstila in energije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192.561,27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248.130,97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218.938,69</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659.630,93</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GRIFFIN - razvojni center podeželja,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117.266,14</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210.872,38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320.062,73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648.201,25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EKOD, trgovina, storitve, proizvodnja,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211.064,27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213.844,86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220.935,45</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645.844,58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15, proizvodnja, prodaja,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202.360,42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211.588,43</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220.019,74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633.968,59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SONČNA ELEKTRARNA BAH, PROIZVODNJA ELEKTRIKE DRAGICA BAH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196.851,06</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211.677,21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223.162,90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631.691,17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ZAPOSLITVENI CENTER RUJ, Zavod za usposabljanje in zaposlovanje invalidov, Nazarje</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220.937,60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205.964,81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188.865,84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615.768,25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CELJSKI SEJEM družba za organiziranje in prirejanje sejmov, športnih in kulturno zabavnih prireditev d.d.</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202.677,98</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215.308,46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194.404,43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612.390,87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PIŠEK - VITLI KRPAN proizvodnja kmetijskih in gozdarskih strojev,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144.346,07</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152.940,39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292.516,33</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589.802,79</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TRGOVANJE Z ELEKTRIČNO ENERGIJO, EGRO-GROBIN IVAN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181.184,15</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190.124,06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202.094,90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573.403,11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EKO GEA TRGOVINA NA DEBELO S KEMIČNIMI PROIZVODI NEJC ĐORĐIĆ S.P.</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156.201,76</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413.738,96</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569.940,72</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GKN DRIVELINE SLOVENIJA, Proizvodnja avtomobilskih transmisij in avto delov,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560.000,00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560.000,00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REDNAK I.P., proizvodnja in trgovina,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217.479,89</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167.153,51</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154.140,60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538.774,00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ŠUMER podjetje za proizvodnjo, trgovino in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488.021,60</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50.338,40</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538.360,00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SINTAL VAZI, varovanje,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164.207,43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182.650,47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178.011,61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524.869,51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JAGROS trgovina, proizvodnja in storitve, d.o.o. Laše 1/b, Podplat</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174.752,83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170.014,77</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178.543,78</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523.311,38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BISOL PVPP 10, proizvodnja, prodaja,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165.983,22</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174.651,58</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178.593,51</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519.228,31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CEP, proizvodnja, trgovina, storitve,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123.628,13</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187.069,09</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195.123,14</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505.820,36</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NOVEM CAR INTERIOR DESIGN proizvodnja komponent za avtomobilsko in ostalo industrijo, d.o.o.</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500.000,00</w:t>
            </w:r>
          </w:p>
        </w:tc>
        <w:tc>
          <w:tcPr>
            <w:tcW w:w="694"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51" w:type="pct"/>
            <w:tcBorders>
              <w:top w:val="nil"/>
              <w:left w:val="nil"/>
              <w:bottom w:val="single" w:sz="4" w:space="0" w:color="auto"/>
              <w:right w:val="single" w:sz="4" w:space="0" w:color="auto"/>
            </w:tcBorders>
            <w:shd w:val="clear" w:color="000000" w:fill="FFFFFF"/>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500.000,00</w:t>
            </w:r>
          </w:p>
        </w:tc>
      </w:tr>
      <w:tr w:rsidR="00B14AD8" w:rsidRPr="00D050E9" w:rsidTr="00CE6D2D">
        <w:trPr>
          <w:trHeight w:val="20"/>
        </w:trPr>
        <w:tc>
          <w:tcPr>
            <w:tcW w:w="810" w:type="pct"/>
            <w:vMerge w:val="restart"/>
            <w:tcBorders>
              <w:top w:val="nil"/>
              <w:left w:val="single" w:sz="4" w:space="0" w:color="auto"/>
              <w:bottom w:val="single" w:sz="4" w:space="0" w:color="000000"/>
              <w:right w:val="single" w:sz="4" w:space="0" w:color="auto"/>
            </w:tcBorders>
            <w:shd w:val="clear" w:color="000000" w:fill="FFFFFF"/>
            <w:noWrap/>
            <w:hideMark/>
          </w:tcPr>
          <w:p w:rsidR="00B14AD8" w:rsidRPr="00D050E9" w:rsidRDefault="00B14AD8" w:rsidP="00CE6D2D">
            <w:pPr>
              <w:spacing w:after="0"/>
              <w:jc w:val="center"/>
              <w:rPr>
                <w:rFonts w:ascii="Calibri" w:eastAsia="Times New Roman" w:hAnsi="Calibri" w:cs="Arial"/>
                <w:b/>
                <w:bCs/>
                <w:color w:val="000000"/>
                <w:sz w:val="17"/>
                <w:szCs w:val="17"/>
                <w:lang w:eastAsia="sl-SI"/>
              </w:rPr>
            </w:pPr>
            <w:r w:rsidRPr="00D050E9">
              <w:rPr>
                <w:rFonts w:ascii="Calibri" w:eastAsia="Times New Roman" w:hAnsi="Calibri" w:cs="Arial"/>
                <w:b/>
                <w:bCs/>
                <w:color w:val="000000"/>
                <w:sz w:val="17"/>
                <w:szCs w:val="17"/>
                <w:lang w:eastAsia="sl-SI"/>
              </w:rPr>
              <w:t>ZASAVSKA</w:t>
            </w: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RTH, Rudnik Trbovlje-Hrastnik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3.617.783,12</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12.015.769,28</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15.543.237,65</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31.176.790,05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JAVNO PODJETJE KOMUNALA TRBOVLJE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2.188.430,67</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1.230.055,63</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1.792.520,00</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5.211.006,30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SINET podjetje za storitve in proizvodnjo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673.528,80</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1.216.806,34</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850.240,67</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2.740.575,81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ETI PROPLAST, plastika, orodja in naprave,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745.494,00</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780.743,65</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872.557,65</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2.398.795,30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STEKLARNA HRASTNIK, družba za proizvodnjo steklenih izdelkov,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865.927,10</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552.106,76</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211.426,34</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1.629.460,20</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TOVARNA KEMIČNIH IZDELKOV d.d.</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207.793,22</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525.673,80</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387.187,45</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1.120.654,47</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LITI podjetje za zaposlovanje in usposabljanje invalidov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296.499,14</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262.616,46</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284.612,61</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843.728,21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FORTUNA-PIL storitve, proizvodnja in trgovina, d.o.o., Trbovlje</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241.594,24</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247.265,65</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229.195,32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718.055,21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GLASHUTA, storitve in trgovina,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 </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216.417,76</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446.147,62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662.565,38</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EVJ ELEKTROPROM trgovina, proizvodnja, instalacije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229.970,84</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210.131,95</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204.073,62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644.176,41</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DEWESOFT d.o.o. izdelava programske opreme in proizvodnja elektronskih komponent</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37.910,03</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332.432,18</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258.639,44</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628.981,65</w:t>
            </w:r>
          </w:p>
        </w:tc>
      </w:tr>
      <w:tr w:rsidR="00B14AD8" w:rsidRPr="00D050E9" w:rsidTr="00CE6D2D">
        <w:trPr>
          <w:trHeight w:val="20"/>
        </w:trPr>
        <w:tc>
          <w:tcPr>
            <w:tcW w:w="810" w:type="pct"/>
            <w:vMerge/>
            <w:tcBorders>
              <w:top w:val="nil"/>
              <w:left w:val="single" w:sz="4" w:space="0" w:color="auto"/>
              <w:bottom w:val="single" w:sz="4" w:space="0" w:color="000000"/>
              <w:right w:val="single" w:sz="4" w:space="0" w:color="auto"/>
            </w:tcBorders>
            <w:vAlign w:val="center"/>
            <w:hideMark/>
          </w:tcPr>
          <w:p w:rsidR="00B14AD8" w:rsidRPr="00D050E9" w:rsidRDefault="00B14AD8" w:rsidP="00CE6D2D">
            <w:pPr>
              <w:spacing w:after="0"/>
              <w:jc w:val="left"/>
              <w:rPr>
                <w:rFonts w:ascii="Calibri" w:eastAsia="Times New Roman" w:hAnsi="Calibri" w:cs="Arial"/>
                <w:b/>
                <w:bCs/>
                <w:color w:val="000000"/>
                <w:sz w:val="17"/>
                <w:szCs w:val="17"/>
                <w:lang w:eastAsia="sl-SI"/>
              </w:rPr>
            </w:pPr>
          </w:p>
        </w:tc>
        <w:tc>
          <w:tcPr>
            <w:tcW w:w="1460" w:type="pct"/>
            <w:tcBorders>
              <w:top w:val="nil"/>
              <w:left w:val="nil"/>
              <w:bottom w:val="single" w:sz="4" w:space="0" w:color="auto"/>
              <w:right w:val="single" w:sz="4" w:space="0" w:color="auto"/>
            </w:tcBorders>
            <w:shd w:val="clear" w:color="000000" w:fill="FFFFFF"/>
            <w:vAlign w:val="center"/>
            <w:hideMark/>
          </w:tcPr>
          <w:p w:rsidR="00B14AD8" w:rsidRPr="00D050E9" w:rsidRDefault="00B14AD8" w:rsidP="00CE6D2D">
            <w:pPr>
              <w:spacing w:after="0"/>
              <w:jc w:val="lef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PREDILNICA LITIJA d.o.o.</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80.368,10</w:t>
            </w:r>
          </w:p>
        </w:tc>
        <w:tc>
          <w:tcPr>
            <w:tcW w:w="693"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181.718,66</w:t>
            </w:r>
          </w:p>
        </w:tc>
        <w:tc>
          <w:tcPr>
            <w:tcW w:w="694"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305.843,22</w:t>
            </w:r>
          </w:p>
        </w:tc>
        <w:tc>
          <w:tcPr>
            <w:tcW w:w="651" w:type="pct"/>
            <w:tcBorders>
              <w:top w:val="nil"/>
              <w:left w:val="nil"/>
              <w:bottom w:val="single" w:sz="4" w:space="0" w:color="auto"/>
              <w:right w:val="single" w:sz="4" w:space="0" w:color="auto"/>
            </w:tcBorders>
            <w:shd w:val="clear" w:color="000000" w:fill="FFFFFF"/>
            <w:vAlign w:val="bottom"/>
            <w:hideMark/>
          </w:tcPr>
          <w:p w:rsidR="00B14AD8" w:rsidRPr="00D050E9" w:rsidRDefault="00B14AD8" w:rsidP="00CE6D2D">
            <w:pPr>
              <w:spacing w:after="0"/>
              <w:jc w:val="right"/>
              <w:rPr>
                <w:rFonts w:ascii="Calibri" w:eastAsia="Times New Roman" w:hAnsi="Calibri" w:cs="Arial"/>
                <w:color w:val="000000"/>
                <w:sz w:val="17"/>
                <w:szCs w:val="17"/>
                <w:lang w:eastAsia="sl-SI"/>
              </w:rPr>
            </w:pPr>
            <w:r w:rsidRPr="00D050E9">
              <w:rPr>
                <w:rFonts w:ascii="Calibri" w:eastAsia="Times New Roman" w:hAnsi="Calibri" w:cs="Arial"/>
                <w:color w:val="000000"/>
                <w:sz w:val="17"/>
                <w:szCs w:val="17"/>
                <w:lang w:eastAsia="sl-SI"/>
              </w:rPr>
              <w:t>567.929,98</w:t>
            </w:r>
          </w:p>
        </w:tc>
      </w:tr>
    </w:tbl>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r w:rsidRPr="00D050E9">
        <w:rPr>
          <w:rFonts w:asciiTheme="minorHAnsi" w:hAnsiTheme="minorHAnsi"/>
        </w:rPr>
        <w:br w:type="page"/>
      </w:r>
    </w:p>
    <w:p w:rsidR="00B14AD8" w:rsidRPr="00D050E9" w:rsidRDefault="00B14AD8" w:rsidP="00B14AD8">
      <w:pPr>
        <w:spacing w:line="276" w:lineRule="auto"/>
        <w:jc w:val="left"/>
        <w:rPr>
          <w:rFonts w:asciiTheme="minorHAnsi" w:hAnsiTheme="minorHAnsi"/>
          <w:b/>
          <w:sz w:val="21"/>
          <w:szCs w:val="21"/>
        </w:rPr>
      </w:pPr>
      <w:r w:rsidRPr="00D050E9">
        <w:rPr>
          <w:rFonts w:asciiTheme="minorHAnsi" w:hAnsiTheme="minorHAnsi"/>
          <w:b/>
          <w:sz w:val="21"/>
          <w:szCs w:val="21"/>
        </w:rPr>
        <w:t>Tabela P9: Prejemniki pomoči, ki so v obdobju 2015–2017 prejeli več kot 1 mio EUR pomoči</w:t>
      </w:r>
    </w:p>
    <w:tbl>
      <w:tblPr>
        <w:tblStyle w:val="LightGrid-Accent5"/>
        <w:tblW w:w="5000" w:type="pct"/>
        <w:tblLook w:val="04A0" w:firstRow="1" w:lastRow="0" w:firstColumn="1" w:lastColumn="0" w:noHBand="0" w:noVBand="1"/>
      </w:tblPr>
      <w:tblGrid>
        <w:gridCol w:w="1027"/>
        <w:gridCol w:w="3561"/>
        <w:gridCol w:w="1194"/>
        <w:gridCol w:w="1194"/>
        <w:gridCol w:w="1195"/>
        <w:gridCol w:w="1229"/>
      </w:tblGrid>
      <w:tr w:rsidR="00B14AD8" w:rsidRPr="00D050E9" w:rsidTr="00CE6D2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color w:val="003366"/>
                <w:sz w:val="16"/>
                <w:szCs w:val="16"/>
                <w:lang w:eastAsia="sl-SI"/>
              </w:rPr>
            </w:pPr>
            <w:r w:rsidRPr="00D050E9">
              <w:rPr>
                <w:rFonts w:ascii="Calibri" w:eastAsia="Times New Roman" w:hAnsi="Calibri" w:cs="Arial"/>
                <w:color w:val="003366"/>
                <w:sz w:val="16"/>
                <w:szCs w:val="16"/>
                <w:lang w:eastAsia="sl-SI"/>
              </w:rPr>
              <w:t>Matična številka</w:t>
            </w:r>
          </w:p>
        </w:tc>
        <w:tc>
          <w:tcPr>
            <w:tcW w:w="1911" w:type="pct"/>
            <w:hideMark/>
          </w:tcPr>
          <w:p w:rsidR="00B14AD8" w:rsidRPr="00D050E9" w:rsidRDefault="00B14AD8" w:rsidP="00CE6D2D">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3366"/>
                <w:sz w:val="16"/>
                <w:szCs w:val="16"/>
                <w:lang w:eastAsia="sl-SI"/>
              </w:rPr>
            </w:pPr>
            <w:r w:rsidRPr="00D050E9">
              <w:rPr>
                <w:rFonts w:ascii="Calibri" w:eastAsia="Times New Roman" w:hAnsi="Calibri" w:cs="Arial"/>
                <w:color w:val="003366"/>
                <w:sz w:val="16"/>
                <w:szCs w:val="16"/>
                <w:lang w:eastAsia="sl-SI"/>
              </w:rPr>
              <w:t>Prejemnik pomoči</w:t>
            </w:r>
          </w:p>
        </w:tc>
        <w:tc>
          <w:tcPr>
            <w:tcW w:w="652" w:type="pct"/>
            <w:hideMark/>
          </w:tcPr>
          <w:p w:rsidR="00B14AD8" w:rsidRPr="00D050E9" w:rsidRDefault="00B14AD8" w:rsidP="00CE6D2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2015</w:t>
            </w:r>
          </w:p>
        </w:tc>
        <w:tc>
          <w:tcPr>
            <w:tcW w:w="652" w:type="pct"/>
            <w:hideMark/>
          </w:tcPr>
          <w:p w:rsidR="00B14AD8" w:rsidRPr="00D050E9" w:rsidRDefault="00B14AD8" w:rsidP="00CE6D2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2016</w:t>
            </w:r>
          </w:p>
        </w:tc>
        <w:tc>
          <w:tcPr>
            <w:tcW w:w="652" w:type="pct"/>
            <w:hideMark/>
          </w:tcPr>
          <w:p w:rsidR="00B14AD8" w:rsidRPr="00D050E9" w:rsidRDefault="00B14AD8" w:rsidP="00CE6D2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2017</w:t>
            </w:r>
          </w:p>
        </w:tc>
        <w:tc>
          <w:tcPr>
            <w:tcW w:w="652" w:type="pct"/>
            <w:hideMark/>
          </w:tcPr>
          <w:p w:rsidR="00B14AD8" w:rsidRPr="00D050E9" w:rsidRDefault="00B14AD8" w:rsidP="00CE6D2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Skupaj</w:t>
            </w:r>
            <w:r w:rsidRPr="00D050E9">
              <w:rPr>
                <w:rFonts w:ascii="Calibri" w:eastAsia="Times New Roman" w:hAnsi="Calibri" w:cs="Arial"/>
                <w:color w:val="000000"/>
                <w:sz w:val="16"/>
                <w:szCs w:val="16"/>
                <w:lang w:eastAsia="sl-SI"/>
              </w:rPr>
              <w:br/>
              <w:t>2015-2017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6017274000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Slovenske železnice - Potniški promet, družba za opravljanje prevoza potnikov v notranjem in mednarodnem železniškem prometu,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52.659.004,58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43.110.532,99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45.679.605,68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141.449.143,25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5040302000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CIMOS d.d. AVTOMOBILSKA INDUSTRIJA</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96.966.279,03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276.520,87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394.194,73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97.636.994,63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5226406000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JAVNO PODJETJE ENERGETIKA LJUBLJANA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12.534.462,63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12.372.155,61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10.337.243,85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35.243.862,09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5920850000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RTH, Rudnik Trbovlje-Hrastnik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3.617.783,12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12.015.769,28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15.543.237,65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31.176.790,05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5040868000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TALUM Tovarna aluminija d.d. Kidričevo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4.133.150,89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10.980.299,76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9.877.194,69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24.990.645,34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1470647000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HTZ Harmonija tehnologije in znanja, invalidsko podjetje, d.o.o. Velenje</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6.730.333,77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6.695.206,07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7.065.830,77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20.491.370,61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5786380000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Zavod za gozdove Slovenije</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19.005.169,12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8.373,83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249.568,48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19.263.111,43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5915511000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MERKSCHA furnirnica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5.976.127,07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6.651.222,57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5.758.194,77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18.385.544,41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5405084000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REVOZ podjetje za proizvodnjo in komercializacijo avtomobilov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7.928.718,94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7.192.239,46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346.177,89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15.467.136,29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5824290000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SŽ-ŽIP,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4.662.511,38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4.969.819,43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4.182.218,19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13.814.549,00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5498449000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GORENJE I.P.C., Invalidsko podjetniški center,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4.029.562,44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4.322.982,92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4.683.277,21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13.035.822,57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1332848000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KMETIJSKO GOZDARSKA ZBORNICA SLOVENIJE</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11.587.063,75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11.587.063,75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5025796000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PETROL, Slovenska energetska družba, d.d., Ljubljana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4.018.010,67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3.882.959,38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3.429.693,43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11.330.663,48</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1993364000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PANVITA EKOTEH, proizvodnja energije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3.443.336,35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3.671.413,87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3.605.183,02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10.719.933,24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5705754000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PETROL ENERGETIKA proizvodnja in distribucija energetskih medijev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4.429.204,30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2.125.000,90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3.798.430,37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10.352.635,57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6449433000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BIO-ELEKT družba za pridobivanje električne energije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1.075.502,40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4.212.271,70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3.806.742,29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9.094.516,39</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5904013000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ESOL lesna predelava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2.516.947,36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3.038.731,74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2.844.508,93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8.400.188,03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5542421000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SALOMON d.o.o., podjetje za zaposlovanje invalidov, proizvodnjo, posredovanje in storitve Ljubljana</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1.352.396,05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1.155.146,93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5.744.777,64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8.252.320,62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5085063000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UNIVERZA V LJUBLJANI</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2.283.354,39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2.557.585,47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2.177.255,45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7.018.195,31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5971101000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VIPAP VIDEM KRŠKO proizvodnja papirja in vlaknin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2.282.902,91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2.262.979,67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1.855.356,03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6.401.238,61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5688418000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SIJ ACRONI podjetje za proizvodnjo jekla in jeklenih izdelkov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2.014.083,82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1.986.548,86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1.940.920,19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5.941.552,87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1970321000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MOJA ENERGIJA celovita oskrba z energijo, družba za proizvodnjo, trgovino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3.867.132,99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1.089.016,75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688.633,66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5.644.783,40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5035945000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HELLA SATURNUS SLOVENIJA, proizvodnja svetlobne opreme za motorna in druga vozila,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2.634.282,00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3.007.854,00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5.642.136,00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2054485000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Mercator IP, invalidsko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1.766.499,95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1.845.164,15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2.013.209,28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5.624.873,38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5852498000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ENOS, oskrba s toplo vodo, paro, elektriko in plinom,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2.409.378,76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1.271.290,74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1.779.002,90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5.459.672,40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5015731000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JAVNO PODJETJE KOMUNALA TRBOVLJE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2.188.430,67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1.230.055,63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1.792.520,00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5.211.006,30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5686482000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SIJ METAL RAVNE podjetje za proizvodnjo plemenitih jekel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1.840.509,69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1.946.784,75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1.354.921,36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5.142.215,80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5035333000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MARIBORSKA LIVARNA MARIBOR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5.100.000,00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5.100.000,00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1627139000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UNIVERZA V LJUBLJANI, VETERINARSKA FAKULTETA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5.084.931,76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5.084.931,76</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5033691000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KOLIČEVO KARTON Proizvodnja kartona,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1.411.903,29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1.882.716,43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1.718.280,48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5.012.900,20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5226236000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PAPIR SERVIS d.o.o., Družba za ravnanje z odpadki - v stečaju</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2.831.451,06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1.574.622,20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181.528,16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4.587.601,42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5918707000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LUKA KOPER INPO - invalidsko podjetje, d.o.o., gradbeništvo, proizvodne in druge storitve v kopenskem in vodnem prometu, invalidska dejavnost.</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1.587.162,12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1.472.991,63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1.447.524,69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4.507.678,44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6830749000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IPPS Invalidsko Podjetje Pošte Slovenije, proizvodnja in storitve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75.360,53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1.549.622,57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2.778.592,09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4.403.575,19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3700054000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SOENERGETIKA Gorenjske elektrarne, Holding Slovenske Elektrarne, Domplan in Petrol, družba za proizvodnjo elektrike in toplote,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1.758.970,01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872.884,61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1.661.196,17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4.293.050,79</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3963039000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SiEVA, podjetje za razvoj in trženje v avtomobilski industriji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3.483.229,35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7.444,38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772.069,42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4.262.743,15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5051606000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INSTITUT JOŽEF STEFAN V angl.jeziku: Jožef Stefan Institute, Ljubljana, Slovenia</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1.045.895,62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1.259.974,09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1.836.206,89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4.142.076,60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5042437000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UNIOR Kovaška industrija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1.233.146,79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1.821.494,82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864.726,73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3.919.368,34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5040736000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IMPOL, industrija metalnih polizdelkov,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856.348,14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1.412.363,08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1.604.905,38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3.873.616,60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6335055000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ENERGIJA IN OKOLJE, družba za napredne energetske in okoljske rešitve,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1.646.181,73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959.007,88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1.203.518,58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3.808.708,19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5475236000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ŽELVA podjetje za usposabljanje in zaposlovanje invalidov, d.o.o. Ljubljana</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1.704.069,21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1.215.458,50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868.526,70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3.788.054,41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3615766000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BIO PLINARNA, BRANKO ARNUŠ s.p.</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1.150.562,50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1.308.170,40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1.318.959,15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3.777.692,05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1658298000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GORENJSKE ELEKTRARNE, proizvodnja elektrike,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1.249.544,54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1.348.266,64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1.136.153,54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3.733.964,72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5043816000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SALONIT ANHOVO Gradbeni materiali,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1.770.375,72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1.345.293,36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525.696,08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3.641.365,16</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5005647000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KOTO proizvodno in trgovsko podjetje, d.o.o., Ljubljana</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2.630.441,58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504.371,21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495.483,26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3.630.296,05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5163676000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GORENJE gospodinjski aparati,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2.304.434,00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253.403,52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1.053.834,23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3.611.671,75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1732811000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Lek farmacevtska družba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1.014.569,09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303.480,86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2.180.519,15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3.498.569,10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5688337000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ENERGETIKA - ŽELEZARNA JESENICE, podjetje za proizvodnjo in storitve na področju energetike,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955.905,56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1.276.337,03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1.050.753,17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3.282.995,76</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1469266000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ARCONT IP, proizvodnja oken in podjetje za usposabljanje in zaposlovanje invalidov,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1.219.318,72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1.175.018,23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877.545,92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3.271.882,87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6595219000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iENERGIJA proizvodnja in distribucija energije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1.073.961,04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1.132.714,81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1.013.692,94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3.220.368,79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5040388000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TERMOELEKTRARNA ŠOŠTANJ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5.835,91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1.733.535,24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1.470.887,71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3.210.258,86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5033268000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BPT naložbe, energetika, nepremičnine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1.067.490,27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1.163.243,78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947.114,85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3.177.848,90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5043611000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KRKA, tovarna zdravil, d.d., Novo mesto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1.261.532,69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711.141,53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1.204.427,29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3.177.101,51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6303196000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PLINPROM, proizvodnja elektrike,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1.096.564,41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1.275.075,56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801.791,27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3.173.431,24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6193633000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SOLVUS proizvodnja, trgovina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996.221,77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818.478,21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1.271.044,93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3.085.744,91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3595650000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PP ENERGIJA, proizvodnja električne energije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815.763,76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1.137.093,71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1.059.650,89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3.012.508,36</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7159641000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MAGNA STEYR, avtomobilski dobavitelj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3.000.000,00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3.000.000,00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5881447000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POŠTA SLOVENIJE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1.854.638,77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685.412,45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430.785,95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2.970.837,17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3391744000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PANONICA ENERGETIKA d.o.o., družba za energijo, posredništvo in trgovino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870.303,49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750.129,76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1.337.177,14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2.957.610,39</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5821797000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SICO, Podjetje za usposabljanje in zaposlovanje invalidov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717.813,11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923.605,70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1.307.310,91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2.948.729,72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5919835000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KOLEKTOR ASCOM Pogonski sistemi in komponente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833.116,19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1.240.459,26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836.956,02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2.910.531,47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5042801000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CINKARNA Metalurško-kemična industrija Celje,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863.341,32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1.058.899,08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987.105,09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2.909.345,49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5763169000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SINET podjetje za storitve in proizvodnjo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673.528,80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1.216.806,34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850.240,67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2.740.575,81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3626997000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ENERVE proizvodnja električne energije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665.247,24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1.003.332,49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1.029.681,51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2.698.261,24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2010593000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 3, ENERGETIKA, EKOLOGIJA, EKONOMIJA,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1.123.290,86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493.037,73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1.067.365,95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2.683.694,54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2320339000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TURNA proizvodnja in trgovina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932.763,90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914.835,66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817.794,67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2.665.394,23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5034639000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Paloma, higienski papirji,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804.462,57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933.753,89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900.332,52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2.638.548,98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5033721000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PAPIRNICA VEVČE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854.508,44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924.391,77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804.207,38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2.583.107,59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1933884000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TAB-IPM logistika, plastika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1.189.702,12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717.037,84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674.298,70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2.581.038,66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3719669000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META Ingenium, družba tveganega kapitala,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2.468.690,34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106.767,40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2.575.457,74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5584060000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SILKEM proizvodnja zeolitov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1.352.499,38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578.235,60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633.808,03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2.564.543,01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5914809000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SAVA MEDICAL IN STORITVE, podjetje za usposabljanje in zaposlovanje invalidov,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937.536,38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567.659,86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1.056.056,43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2.561.252,67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6137814000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ZE SOLAR 1, družba za proizvodnjo električne energije,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802.045,98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836.718,83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841.639,02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2.480.403,83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1197967000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ŠTORE STEEL podjetje za proizvodnjo jekel,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834.653,84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1.030.353,47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598.635,49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2.463.642,80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3863387000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BIOENERGETIKA, proizvodnja, trgovina in distribucija, električne in toplotne energije,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364.389,34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940.252,41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1.104.131,37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2.408.773,12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1195352000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ETI PROPLAST, plastika, orodja in naprave,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745.494,00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780.743,65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872.557,65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2.398.795,30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5041210000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POLZELA tovarna nogavic d. o. o. - v stečaju</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976.788,41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1.356.370,90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2.333.159,31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1708503000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OVEN ELEKTRO MARIBOR, proizvodnja elektrike in obnovljivi viri energije Elektro Maribor,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766.302,92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902.730,53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636.101,40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2.305.134,85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5033675000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TANIN SEVNICA Kemična industrija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856.336,51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793.834,49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611.665,89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2.261.836,89</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5050391000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BODOČNOST podjetje za rehabilitacijo in zaposlitev invalidov Maribor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600.464,94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827.932,42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779.551,81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2.207.949,17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5443148000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AKTIVA INPOD invalidsko, proizvodno, storitveno in trgovsko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676.162,19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715.397,51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812.968,96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2.204.528,66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1787080000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IP INLES d.o.o., družba za usposabljanje invalidov</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753.497,37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724.183,58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701.551,46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2.179.232,41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5419263000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ISTRABENZ PLINI, plini in plinske tehnologije,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560.021,30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493.938,91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1.061.619,55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2.115.579,76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5025869000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GEOPLIN d.o.o. Ljubljana, Družba za trgovanje z zemeljskim plinom</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561.957,03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684.506,12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862.975,24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2.109.438,39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3275914000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MEGAENERGIJA proizvodnja, storitve in trgovina,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1.012.925,02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351.402,66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714.573,17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2.078.900,85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1940996000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BIOMASA, Družba za trgovino, servis in montažo kotlov na biomaso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581.778,74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735.819,65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712.741,38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2.030.339,77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5794862000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AKTIVA TS, storitveno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611.639,94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695.171,88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720.580,88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2.027.392,70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3686892000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TOPSOL, druge inženirske dejavnosti in tehnično svetovanje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680.707,13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648.236,03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673.293,31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2.002.236,47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3939693000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BISOL PVPP 6, proizvodnja, prodaja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598.116,57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670.081,78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695.236,18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1.963.434,53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3950000000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INTECH-LES, razvojni center,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1.416.286,49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24.657,50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505.610,34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1.946.554,33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1814443000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HIDRIA - IP, d.o.o., družba za proizvodnjo izolacijskih izdelkov, Tolmin</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642.403,76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691.420,51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605.361,61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1.939.185,88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3637255000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PV DBL, proizvodnja el. energije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629.448,30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640.581,39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661.819,35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1.931.849,04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5183472000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BIROGRAFIKA BORI Invalidsko podjetje za usposabljanje in zaposlovanje invalidov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585.347,00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662.578,66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669.420,59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1.917.346,25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5938104000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RECINKO, družba za proizvodnjo, storitve in trgovino, d.o.o., Kočevje</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603.545,77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585.952,22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683.033,64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1.872.531,63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5580960000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AKUSTIKA GROUP, družba za gospodarsko razvojno in organizacijsko upravljanje podjetij,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568.052,02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614.511,94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661.813,42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1.844.377,38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6334938000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PULVEREM, posredništvo, storitve in svetovanje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1.564.780,72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272.538,98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1.837.319,70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1695428000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ECOS - storitve pri varovanju okolja, d.o.o. - v stečaju</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1.591.774,92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140.601,23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96.765,29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1.829.141,44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3575675000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MOST LJUBLJANA, proizvodnja in storitve, d. o. 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469.132,07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642.487,56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696.663,10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1.808.282,73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1199781000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SIJ SUZ d.o.o., Proizvodnja in storitve, IP</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693.190,96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558.226,62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544.656,29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1.796.073,87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3784037000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BISOL PVPP 2, proizvodnja, prodaja in storitve,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536.389,52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601.762,32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616.164,58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1.754.316,42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5405645000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INO grafično podjetje za zaposlovanje invalidov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572.457,09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608.991,85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568.204,62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1.749.653,56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5925142000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SIJ ZIP CENTER podjetje za proizvodnjo, storitve, usposabljanje in zaposlovanje invalidov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560.634,55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557.610,05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608.411,04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1.726.655,64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3275442000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PRVI SKLAD, družba tveganega kapitala,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1.325.227,38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205.885,28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177.049,89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1.708.162,55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5670581000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STEKLARSTVO MLAKAR, MLAKAR FRANC S.P.</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61.565,68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845.436,41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799.389,12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1.706.391,21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3582574000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VIPA NALOŽBE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567.608,46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537.589,24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587.745,13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1.692.942,83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3904172000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TEP-Solar solarna energija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480.419,19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560.794,92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636.978,80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1.678.192,91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5389275000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SET Podjetje za usposabljanje invalidov d.o.o. - v stečaju</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679.061,21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757.461,47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237.152,22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1.673.674,90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5034477000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PLINARNA MARIBOR družba za proizvodnjo, distribucijo energentov, trgovino in storitve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678.264,17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317.763,11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673.876,09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1.669.903,37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1196367000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GOODYEAR DUNLOP SAVA TIRES, proizvodnja pnevmatik,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590.526,64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519.951,01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554.679,00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1.665.156,65</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6273459000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Zeleni biser, Proizvodnja električne energije iz obnovljivih virov,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509.357,10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556.148,14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580.506,77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1.646.012,01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5044286000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DRAVSKE ELEKTRARNE MARIBOR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467.734,55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569.475,26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597.128,56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1.634.338,37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5254132000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STEKLARNA HRASTNIK, družba za proizvodnjo steklenih izdelkov,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865.927,10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552.106,76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211.426,34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1.629.460,20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6528368000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ESC3 proizvodnja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544.978,69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443.736,86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631.573,75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1.620.289,30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6928447000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GEA NOVA, proizvodnja električne energije, storitvene in trgovske dejavnosti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395.528,65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1.207.705,42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1.603.234,07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3836380000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BISOL PVPP 3, proizvodnja, prodaja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488.522,70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544.032,77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556.106,77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1.588.662,24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5591503000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KNAUF INSULATION, d.o.o., industrija termičnih izolacij, Škofja Loka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1.204.179,89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153.824,95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220.107,09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1.578.111,93</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3865738000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SOLCEL, družba za trgovino, investicije, storitve in vzdrževanje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517.426,36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301.714,34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742.850,81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1.561.991,51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5496420000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LOKATEKS, podjetje za zaposlovanje invalidov, d.o.o. Škofja Loka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562.365,39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400.087,77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598.946,95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1.561.400,11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6517897000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RADEČE PAPIR NOVA proizvodnja, trgovina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621.918,11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462.440,77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471.968,24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1.556.327,12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1451332000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INVALIDSKO PODJETJE POSOČJE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558.605,97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497.052,12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498.000,47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1.553.658,56</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5498325000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LEVAS zaposlovanje in usposabljanje invalidov Krško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505.815,37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492.508,46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529.477,08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1.527.800,91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5068681000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BLAGOVNO TRGOVINSKI CENTER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493.620,03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495.179,85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534.907,96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1.523.707,84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2040158000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ELEKTROMATERIAL IPO, Družba za proizvodnjo elektroinstalacijskega materiala, usposabljanje in zaposlovanje invalidov,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462.910,99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494.167,89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565.619,52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1.522.698,40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5051592000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Kemijski inštitut</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294.036,27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282.181,30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940.490,22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1.516.707,79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5042291000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GORIČANE tovarna papirja Medvode,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406.459,12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574.205,59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531.966,69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1.512.631,40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6864279000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smartMELAMINE, podjetje za proizvodnjo melaminskih flisov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375.000,00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1.125.000,00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1.500.000,00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2267446000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INTOS invalidsko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460.287,91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517.882,51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500.806,81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1.478.977,23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5841674000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VERTIGO zavod za kulturne dejavnosti, Ljubljana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384.684,80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464.501,38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629.107,57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1.478.293,75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1763482000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PRO ČIS-TEAM podjetje za čiščenje, inženiring,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511.107,39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439.712,21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514.639,88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1.465.459,48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1626914000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UNIVERZA V LJUBLJANI, BIOTEHNIŠKA FAKULTETA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788.308,34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653.432,00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1.441.740,34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1195557000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STEKLARSKI HRAM trgovina, gostinstvo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552.441,35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450.646,21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436.704,65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1.439.792,21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1992414000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HOFER trgovina na drobno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472.489,06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510.982,17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441.189,53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1.424.660,76</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5317843000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INDE invalidske delavnice Sevnica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468.754,31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515.355,77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432.079,25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1.416.189,33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2124912000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ZAVOD DETEL, zavod za usposabljanje in zaposlovanje težje zaposljivih invalidov</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468.596,93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464.397,64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469.857,10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1.402.851,67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6010024000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SC1, proizvodnja, trgovina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254.360,25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520.007,66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612.122,03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1.386.489,94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2254352000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FRUMA trgovina, posredništvo, nepremičnine in investicije,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419.666,64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482.111,26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477.962,02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1.379.739,92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3693163000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FITOSOL, proizvodnja električne energije,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258.902,48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282.003,98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824.879,81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1.365.786,27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5789265000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VARGAS-AL družba za fizično-tehnično in protipožarno varovanje premoženja, trgovino in servis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453.761,22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397.186,55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514.358,54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1.365.306,31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5057108000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CRI CELJE rehabilitacija, proizvodnja,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387.271,97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425.961,55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552.059,66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1.365.293,18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5089638000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UNIVERZA V MARIBORU</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338.095,70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434.372,13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592.474,79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1.364.942,62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6412955000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E2S, energetske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386.313,14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342.653,89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622.125,67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1.351.092,70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5185726000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ISKRA, elektro in elektronska industrija,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329.222,53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119.452,86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900.867,60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1.349.542,99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2271265000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TCR INPRO Invalidsko, proizvodno, storitveno in trgovsko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421.305,94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439.307,62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480.812,46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1.341.426,02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5966698000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CENTERKONTURA družba za svetovanje, socialni razvoj, usposabljanje in založništvo, d.o.o., Ljubljana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354.494,90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456.680,36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524.251,38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1.335.426,64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2042479000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PERFO produkcija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485.641,34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423.480,75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425.433,79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1.334.555,88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1816144000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AVANT CAR, poslovni inženiring,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494.964,35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231.017,24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602.573,26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1.328.554,85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5865379000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ADRIAPLIN, Podjetje za distribucijo zemeljskega plina d.o.o. Ljubljana</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510.532,18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279.540,07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528.467,75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1.318.540,00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5337151000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GEBERIT proizvodnja, proizvodno in trgovsko podjetje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352.318,43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421.372,95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539.433,07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1.313.124,45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5005485000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AquafilSLO Proizvodnja poliamidnih filamentov in granulatov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152.462,42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547.967,20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593.913,56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1.294.343,18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3541673000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TASOLAR, oskrba z energijo, investicije in storitve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406.384,30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425.817,52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436.952,69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1.269.154,51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5045070000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ISKRA, ENERGETIKA, STROJI IN VZDRŽEVANJE, podjetje za energetiko, izdelavo in vzdrževanje strojev, naprav in opreme d.d., Kranj</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555.630,94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295.105,21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396.621,02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1.247.357,17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5064716000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SPLOŠNA BOLNIŠNICA CELJE</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541.034,90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276.504,59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425.646,60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1.243.186,09</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1512030000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ISKRA IP Invalidsko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371.775,89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331.786,81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533.332,21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1.236.894,91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5467748000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BSH Hišni aparati I.D. INVALIDSKA DRUŽBA,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413.249,89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443.983,13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378.644,05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1.235.877,07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2048078000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ENERGEN, energetske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463.959,59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252.560,12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498.300,85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1.214.820,56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5033918000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CALCIT, proizvodnja kalcitnih polnil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44.948,43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557.151,98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584.739,76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1.186.840,17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1420712000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Beletrina, zavod za založniško dejavnost</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340.251,40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423.381,73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421.554,33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1.185.187,46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3587550000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Zaposlitveni center Zarja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391.440,26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379.723,24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409.553,38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1.180.716,88</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6017177000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Slovenske železnice - Infrastruktura, družba za upravljanje in vzdrževanje železniške infrastrukture ter vodenje železniškega prometa,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450.253,68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371.734,96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354.964,84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1.176.953,48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3297420000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AM kapital in posredništvo,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350.963,85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408.476,20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413.101,62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1.172.541,67</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5015545000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SNAGA Javno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626.113,54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350.049,64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192.864,85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1.169.028,03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1798766000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STARA GARA Zavod za kulturne dejavnosti, Ljubljana</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487.316,25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190.855,00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487.772,70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1.165.943,95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6613969000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AVEK ENERGO, vzhodna energetska družba,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340.981,71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406.475,57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416.872,40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1.164.329,68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2226405000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Interenergo, energetski inženiring,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350.626,94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380.411,38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433.200,59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1.164.238,91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5518679000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EKOTAL, čiščenje in urejanje okolja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396.091,78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359.438,17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404.224,91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1.159.754,86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5479355000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IMPOL-MONTAL podjetje za projektiranje, izdelavo in montažo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381.572,73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394.764,49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380.289,82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1.156.627,04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2159465000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ZAPOSLITVENI CENTER JADRO družba za socialne dejavnosti, proizvodnjo, trgovino, poslovne storitve in druge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336.225,59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389.269,40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421.585,92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1.147.080,91</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1585142000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FUTURA DDB, oglaševalska agencija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418.032,79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727.883,01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1.145.915,80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1462393000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OZARA storitveno in invalidsko podjetje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364.329,07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376.456,17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399.978,28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1.140.763,52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1253867000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IP RIBNICA, družba za usposabljanje in zaposlovanje invalidov,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514.659,55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316.161,41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309.707,56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1.140.528,52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5034558000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KOLEKTOR GROUP Vodenje in upravljanje družb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302.294,93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57.410,89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768.092,30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1.127.798,12</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3772829000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3SOLAR, proizvodnja električne energije,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379.628,71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383.825,01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364.126,53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1.127.580,25</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5043093000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TOVARNA KEMIČNIH IZDELKOV d.d.</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207.793,22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525.673,80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387.187,45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1.120.654,47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5072107000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JAVNO PODJETJE KOMUNALA SLOVENJ GRADEC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284.681,56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276.694,25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548.542,91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1.109.918,72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5284538000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INDE, SALONIT ANHOVO Podjetje za zaposlovanje invalidov,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387.391,64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366.745,85</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353.090,29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1.107.227,78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5291887000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AKRON d.o.o., podjetje za svetovanje, marketing, inženiring, proizvodnjo, komercialno posredovanje ter promet blaga na debelo in drobno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374.140,85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342.129,63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383.348,13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1.099.618,61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5926475000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ELRAD INTERNATIONAL razvoj in proizvodnja elektronskih naprav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79.010,18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824.469,99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195.940,36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1.099.420,53</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5308640000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CENTER ISI invalidsko podjetje,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386.105,49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346.854,19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363.867,04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1.096.826,72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5014786000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DRUŠTVO SLOVENSKIH PISATELJEV</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396.327,00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458.526,80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234.040,00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1.088.893,80</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5454484000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OMAHEN-TRANSPORT podjetje za prevoz, trgovino in predelavo,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348.291,46</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353.861,29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386.417,23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1.088.569,98</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3724794000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C &amp; G ENERGIJA, proizvodnja električne energije,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354.921,94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365.656,00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359.176,83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1.079.754,77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3979750000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ŠESTSOLAR, oskrba z energijo, investicije in storitve,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346.916,12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363.168,04</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365.614,65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1.075.698,81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5894913000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ŽAGA - ZORA proizvodnja in trgovina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347.829,00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371.185,67</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350.118,10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1.069.132,77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3721582000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VESOL, družba za proizvodnjo, trgovino in storitve,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347.601,10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364.712,63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346.603,85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1.058.917,58</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3883990000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PETSOLAR, oskrba z energijo, investicije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337.772,31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356.647,18</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363.611,79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1.058.031,28</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6051634000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PROSOLAR, projektiranje, gradnje in proizvodnja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441.129,37</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201.480,45</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413.832,62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1.056.442,44</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5055431000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KMETIJSKI INŠTITUT SLOVENIJE</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837.466,09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99.489,66</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119.300,49</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1.056.256,24</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3995283000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RC 31, razvojni center kreativne pohištvene industrije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941.986,69</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 </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94.486,53</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1.036.473,22</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6064256000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BIRINGSOL 1, oskrba z energijo, investicije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309.299,93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367.803,50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354.915,73</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1.032.019,16</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5921210000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MUFLON, družba za usposabljanje in zaposlovanje invalidov, d.o.o.</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190.337,40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386.648,98</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453.271,02</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1.030.257,40</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3694461000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ELDES 1, proizvodnja električne energije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298.580,94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359.878,61</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358.836,22</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1.017.295,77</w:t>
            </w:r>
          </w:p>
        </w:tc>
      </w:tr>
      <w:tr w:rsidR="00B14AD8" w:rsidRPr="00D050E9" w:rsidTr="00CE6D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5141966000</w:t>
            </w:r>
          </w:p>
        </w:tc>
        <w:tc>
          <w:tcPr>
            <w:tcW w:w="1911" w:type="pct"/>
            <w:hideMark/>
          </w:tcPr>
          <w:p w:rsidR="00B14AD8" w:rsidRPr="00D050E9" w:rsidRDefault="00B14AD8" w:rsidP="00CE6D2D">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PERUTNINA PTUJ reja perutnine, proizvodnja krmil, perutninskega mesa in izdelkov, trgovina in storitve d.d.</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430.254,01</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291.038,90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280.846,00</w:t>
            </w:r>
          </w:p>
        </w:tc>
        <w:tc>
          <w:tcPr>
            <w:tcW w:w="652" w:type="pct"/>
            <w:hideMark/>
          </w:tcPr>
          <w:p w:rsidR="00B14AD8" w:rsidRPr="00D050E9" w:rsidRDefault="00B14AD8" w:rsidP="00CE6D2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1.002.138,91</w:t>
            </w:r>
          </w:p>
        </w:tc>
      </w:tr>
      <w:tr w:rsidR="00B14AD8" w:rsidRPr="00D050E9" w:rsidTr="00CE6D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0" w:type="pct"/>
            <w:hideMark/>
          </w:tcPr>
          <w:p w:rsidR="00B14AD8" w:rsidRPr="00D050E9" w:rsidRDefault="00B14AD8" w:rsidP="00CE6D2D">
            <w:pPr>
              <w:jc w:val="left"/>
              <w:rPr>
                <w:rFonts w:ascii="Calibri" w:eastAsia="Times New Roman" w:hAnsi="Calibri" w:cs="Arial"/>
                <w:b w:val="0"/>
                <w:color w:val="000000"/>
                <w:sz w:val="16"/>
                <w:szCs w:val="16"/>
                <w:lang w:eastAsia="sl-SI"/>
              </w:rPr>
            </w:pPr>
            <w:r w:rsidRPr="00D050E9">
              <w:rPr>
                <w:rFonts w:ascii="Calibri" w:eastAsia="Times New Roman" w:hAnsi="Calibri" w:cs="Arial"/>
                <w:b w:val="0"/>
                <w:color w:val="000000"/>
                <w:sz w:val="16"/>
                <w:szCs w:val="16"/>
                <w:lang w:eastAsia="sl-SI"/>
              </w:rPr>
              <w:t>5372275000</w:t>
            </w:r>
          </w:p>
        </w:tc>
        <w:tc>
          <w:tcPr>
            <w:tcW w:w="1911" w:type="pct"/>
            <w:hideMark/>
          </w:tcPr>
          <w:p w:rsidR="00B14AD8" w:rsidRPr="00D050E9" w:rsidRDefault="00B14AD8" w:rsidP="00CE6D2D">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IPB razvoj, proizvodnja, inženiring in storitve, d.o.o.</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346.842,90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190.790,34</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463.301,40</w:t>
            </w:r>
          </w:p>
        </w:tc>
        <w:tc>
          <w:tcPr>
            <w:tcW w:w="652" w:type="pct"/>
            <w:hideMark/>
          </w:tcPr>
          <w:p w:rsidR="00B14AD8" w:rsidRPr="00D050E9" w:rsidRDefault="00B14AD8" w:rsidP="00CE6D2D">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Arial"/>
                <w:color w:val="000000"/>
                <w:sz w:val="16"/>
                <w:szCs w:val="16"/>
                <w:lang w:eastAsia="sl-SI"/>
              </w:rPr>
            </w:pPr>
            <w:r w:rsidRPr="00D050E9">
              <w:rPr>
                <w:rFonts w:ascii="Calibri" w:eastAsia="Times New Roman" w:hAnsi="Calibri" w:cs="Arial"/>
                <w:color w:val="000000"/>
                <w:sz w:val="16"/>
                <w:szCs w:val="16"/>
                <w:lang w:eastAsia="sl-SI"/>
              </w:rPr>
              <w:t>1.000.934,64</w:t>
            </w:r>
          </w:p>
        </w:tc>
      </w:tr>
    </w:tbl>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B14AD8" w:rsidRPr="00D050E9" w:rsidRDefault="00B14AD8" w:rsidP="00B14AD8">
      <w:pPr>
        <w:spacing w:line="276" w:lineRule="auto"/>
        <w:jc w:val="left"/>
        <w:rPr>
          <w:rFonts w:asciiTheme="minorHAnsi" w:hAnsiTheme="minorHAnsi"/>
        </w:rPr>
      </w:pPr>
    </w:p>
    <w:p w:rsidR="00EF0E3C" w:rsidRPr="00D050E9" w:rsidRDefault="00EF0E3C">
      <w:pPr>
        <w:spacing w:line="276" w:lineRule="auto"/>
        <w:jc w:val="left"/>
        <w:rPr>
          <w:rFonts w:asciiTheme="minorHAnsi" w:eastAsia="Times New Roman" w:hAnsiTheme="minorHAnsi" w:cs="Times New Roman"/>
          <w:b/>
          <w:color w:val="1F497D" w:themeColor="text2"/>
          <w:sz w:val="24"/>
          <w:szCs w:val="24"/>
        </w:rPr>
      </w:pPr>
      <w:r w:rsidRPr="00D050E9">
        <w:br w:type="page"/>
      </w:r>
    </w:p>
    <w:p w:rsidR="00AA7435" w:rsidRPr="00D050E9" w:rsidRDefault="00AA7435" w:rsidP="007805F3">
      <w:pPr>
        <w:pStyle w:val="Heading2"/>
      </w:pPr>
      <w:bookmarkStart w:id="204" w:name="_Toc530654584"/>
      <w:r w:rsidRPr="00D050E9">
        <w:t>PRILOGA Č: SHEME DRŽAVNIH POMOČI V OBDOBJU 2015–2017 PO PRIGLASITELJIH</w:t>
      </w:r>
      <w:bookmarkEnd w:id="204"/>
    </w:p>
    <w:p w:rsidR="003075A9" w:rsidRPr="00D050E9" w:rsidRDefault="003075A9" w:rsidP="00164483">
      <w:pPr>
        <w:spacing w:after="0" w:line="276" w:lineRule="auto"/>
        <w:rPr>
          <w:rFonts w:asciiTheme="minorHAnsi" w:hAnsiTheme="minorHAnsi"/>
          <w:color w:val="FF0000"/>
        </w:rPr>
      </w:pPr>
    </w:p>
    <w:tbl>
      <w:tblPr>
        <w:tblW w:w="5000" w:type="pct"/>
        <w:tblLayout w:type="fixed"/>
        <w:tblCellMar>
          <w:left w:w="70" w:type="dxa"/>
          <w:right w:w="70" w:type="dxa"/>
        </w:tblCellMar>
        <w:tblLook w:val="04A0" w:firstRow="1" w:lastRow="0" w:firstColumn="1" w:lastColumn="0" w:noHBand="0" w:noVBand="1"/>
      </w:tblPr>
      <w:tblGrid>
        <w:gridCol w:w="1630"/>
        <w:gridCol w:w="1311"/>
        <w:gridCol w:w="2193"/>
        <w:gridCol w:w="1070"/>
        <w:gridCol w:w="1559"/>
        <w:gridCol w:w="1561"/>
      </w:tblGrid>
      <w:tr w:rsidR="004C5AC0" w:rsidRPr="00D050E9" w:rsidTr="004C5AC0">
        <w:trPr>
          <w:trHeight w:val="20"/>
          <w:tblHeader/>
        </w:trPr>
        <w:tc>
          <w:tcPr>
            <w:tcW w:w="874" w:type="pct"/>
            <w:tcBorders>
              <w:top w:val="single" w:sz="4" w:space="0" w:color="auto"/>
              <w:left w:val="single" w:sz="4" w:space="0" w:color="auto"/>
              <w:bottom w:val="single" w:sz="4" w:space="0" w:color="auto"/>
              <w:right w:val="single" w:sz="4" w:space="0" w:color="0D0D0D"/>
            </w:tcBorders>
            <w:shd w:val="clear" w:color="000000" w:fill="95B3D7"/>
            <w:vAlign w:val="center"/>
            <w:hideMark/>
          </w:tcPr>
          <w:p w:rsidR="004C5AC0" w:rsidRPr="00D050E9" w:rsidRDefault="004C5AC0" w:rsidP="00CE6D2D">
            <w:pPr>
              <w:spacing w:after="0"/>
              <w:jc w:val="left"/>
              <w:rPr>
                <w:rFonts w:asciiTheme="minorHAnsi" w:eastAsia="Times New Roman" w:hAnsiTheme="minorHAnsi" w:cs="Arial"/>
                <w:b/>
                <w:bCs/>
                <w:sz w:val="18"/>
                <w:szCs w:val="18"/>
                <w:lang w:eastAsia="sl-SI"/>
              </w:rPr>
            </w:pPr>
            <w:r w:rsidRPr="00D050E9">
              <w:rPr>
                <w:rFonts w:asciiTheme="minorHAnsi" w:eastAsia="Times New Roman" w:hAnsiTheme="minorHAnsi" w:cs="Arial"/>
                <w:b/>
                <w:bCs/>
                <w:sz w:val="18"/>
                <w:szCs w:val="18"/>
                <w:lang w:eastAsia="sl-SI"/>
              </w:rPr>
              <w:t>Priglasitelj</w:t>
            </w:r>
          </w:p>
        </w:tc>
        <w:tc>
          <w:tcPr>
            <w:tcW w:w="703" w:type="pct"/>
            <w:tcBorders>
              <w:top w:val="single" w:sz="4" w:space="0" w:color="auto"/>
              <w:left w:val="nil"/>
              <w:bottom w:val="single" w:sz="4" w:space="0" w:color="auto"/>
              <w:right w:val="single" w:sz="4" w:space="0" w:color="0D0D0D"/>
            </w:tcBorders>
            <w:shd w:val="clear" w:color="000000" w:fill="95B3D7"/>
            <w:vAlign w:val="center"/>
            <w:hideMark/>
          </w:tcPr>
          <w:p w:rsidR="004C5AC0" w:rsidRPr="00D050E9" w:rsidRDefault="004C5AC0" w:rsidP="00CE6D2D">
            <w:pPr>
              <w:spacing w:after="0"/>
              <w:jc w:val="left"/>
              <w:rPr>
                <w:rFonts w:asciiTheme="minorHAnsi" w:eastAsia="Times New Roman" w:hAnsiTheme="minorHAnsi" w:cs="Arial"/>
                <w:b/>
                <w:bCs/>
                <w:sz w:val="18"/>
                <w:szCs w:val="18"/>
                <w:lang w:eastAsia="sl-SI"/>
              </w:rPr>
            </w:pPr>
            <w:r w:rsidRPr="00D050E9">
              <w:rPr>
                <w:rFonts w:asciiTheme="minorHAnsi" w:eastAsia="Times New Roman" w:hAnsiTheme="minorHAnsi" w:cs="Arial"/>
                <w:b/>
                <w:bCs/>
                <w:sz w:val="18"/>
                <w:szCs w:val="18"/>
                <w:lang w:eastAsia="sl-SI"/>
              </w:rPr>
              <w:t>Št. Priglasitve</w:t>
            </w:r>
          </w:p>
        </w:tc>
        <w:tc>
          <w:tcPr>
            <w:tcW w:w="1176" w:type="pct"/>
            <w:tcBorders>
              <w:top w:val="single" w:sz="4" w:space="0" w:color="auto"/>
              <w:left w:val="nil"/>
              <w:bottom w:val="single" w:sz="4" w:space="0" w:color="auto"/>
              <w:right w:val="single" w:sz="4" w:space="0" w:color="0D0D0D"/>
            </w:tcBorders>
            <w:shd w:val="clear" w:color="000000" w:fill="95B3D7"/>
            <w:vAlign w:val="center"/>
            <w:hideMark/>
          </w:tcPr>
          <w:p w:rsidR="004C5AC0" w:rsidRPr="00D050E9" w:rsidRDefault="004C5AC0" w:rsidP="00CE6D2D">
            <w:pPr>
              <w:spacing w:after="0"/>
              <w:jc w:val="left"/>
              <w:rPr>
                <w:rFonts w:asciiTheme="minorHAnsi" w:eastAsia="Times New Roman" w:hAnsiTheme="minorHAnsi" w:cs="Arial"/>
                <w:b/>
                <w:bCs/>
                <w:sz w:val="18"/>
                <w:szCs w:val="18"/>
                <w:lang w:eastAsia="sl-SI"/>
              </w:rPr>
            </w:pPr>
            <w:r w:rsidRPr="00D050E9">
              <w:rPr>
                <w:rFonts w:asciiTheme="minorHAnsi" w:eastAsia="Times New Roman" w:hAnsiTheme="minorHAnsi" w:cs="Arial"/>
                <w:b/>
                <w:bCs/>
                <w:sz w:val="18"/>
                <w:szCs w:val="18"/>
                <w:lang w:eastAsia="sl-SI"/>
              </w:rPr>
              <w:t>Naziv sheme</w:t>
            </w:r>
          </w:p>
        </w:tc>
        <w:tc>
          <w:tcPr>
            <w:tcW w:w="574" w:type="pct"/>
            <w:tcBorders>
              <w:top w:val="single" w:sz="4" w:space="0" w:color="auto"/>
              <w:left w:val="nil"/>
              <w:bottom w:val="single" w:sz="4" w:space="0" w:color="auto"/>
              <w:right w:val="single" w:sz="4" w:space="0" w:color="0D0D0D"/>
            </w:tcBorders>
            <w:shd w:val="clear" w:color="000000" w:fill="95B3D7"/>
            <w:vAlign w:val="center"/>
            <w:hideMark/>
          </w:tcPr>
          <w:p w:rsidR="004C5AC0" w:rsidRPr="00D050E9" w:rsidRDefault="004C5AC0" w:rsidP="00CE6D2D">
            <w:pPr>
              <w:spacing w:after="0"/>
              <w:jc w:val="left"/>
              <w:rPr>
                <w:rFonts w:asciiTheme="minorHAnsi" w:eastAsia="Times New Roman" w:hAnsiTheme="minorHAnsi" w:cs="Arial"/>
                <w:b/>
                <w:bCs/>
                <w:sz w:val="18"/>
                <w:szCs w:val="18"/>
                <w:lang w:eastAsia="sl-SI"/>
              </w:rPr>
            </w:pPr>
            <w:r w:rsidRPr="00D050E9">
              <w:rPr>
                <w:rFonts w:asciiTheme="minorHAnsi" w:eastAsia="Times New Roman" w:hAnsiTheme="minorHAnsi" w:cs="Arial"/>
                <w:b/>
                <w:bCs/>
                <w:sz w:val="18"/>
                <w:szCs w:val="18"/>
                <w:lang w:eastAsia="sl-SI"/>
              </w:rPr>
              <w:t>Trajanje</w:t>
            </w:r>
          </w:p>
        </w:tc>
        <w:tc>
          <w:tcPr>
            <w:tcW w:w="836" w:type="pct"/>
            <w:tcBorders>
              <w:top w:val="single" w:sz="4" w:space="0" w:color="auto"/>
              <w:left w:val="nil"/>
              <w:bottom w:val="single" w:sz="4" w:space="0" w:color="auto"/>
              <w:right w:val="single" w:sz="4" w:space="0" w:color="0D0D0D"/>
            </w:tcBorders>
            <w:shd w:val="clear" w:color="000000" w:fill="95B3D7"/>
            <w:vAlign w:val="center"/>
            <w:hideMark/>
          </w:tcPr>
          <w:p w:rsidR="004C5AC0" w:rsidRPr="00D050E9" w:rsidRDefault="004C5AC0" w:rsidP="00CE6D2D">
            <w:pPr>
              <w:spacing w:after="0"/>
              <w:jc w:val="left"/>
              <w:rPr>
                <w:rFonts w:asciiTheme="minorHAnsi" w:eastAsia="Times New Roman" w:hAnsiTheme="minorHAnsi" w:cs="Arial"/>
                <w:b/>
                <w:bCs/>
                <w:sz w:val="18"/>
                <w:szCs w:val="18"/>
                <w:lang w:eastAsia="sl-SI"/>
              </w:rPr>
            </w:pPr>
            <w:r w:rsidRPr="00D050E9">
              <w:rPr>
                <w:rFonts w:asciiTheme="minorHAnsi" w:eastAsia="Times New Roman" w:hAnsiTheme="minorHAnsi" w:cs="Arial"/>
                <w:b/>
                <w:bCs/>
                <w:sz w:val="18"/>
                <w:szCs w:val="18"/>
                <w:lang w:eastAsia="sl-SI"/>
              </w:rPr>
              <w:t>Kategorija</w:t>
            </w:r>
          </w:p>
        </w:tc>
        <w:tc>
          <w:tcPr>
            <w:tcW w:w="837" w:type="pct"/>
            <w:tcBorders>
              <w:top w:val="single" w:sz="4" w:space="0" w:color="auto"/>
              <w:left w:val="nil"/>
              <w:bottom w:val="single" w:sz="4" w:space="0" w:color="auto"/>
              <w:right w:val="single" w:sz="4" w:space="0" w:color="0D0D0D"/>
            </w:tcBorders>
            <w:shd w:val="clear" w:color="000000" w:fill="95B3D7"/>
            <w:vAlign w:val="center"/>
            <w:hideMark/>
          </w:tcPr>
          <w:p w:rsidR="004C5AC0" w:rsidRPr="00D050E9" w:rsidRDefault="004C5AC0" w:rsidP="00CE6D2D">
            <w:pPr>
              <w:spacing w:after="0"/>
              <w:jc w:val="left"/>
              <w:rPr>
                <w:rFonts w:asciiTheme="minorHAnsi" w:eastAsia="Times New Roman" w:hAnsiTheme="minorHAnsi" w:cs="Arial"/>
                <w:b/>
                <w:bCs/>
                <w:sz w:val="18"/>
                <w:szCs w:val="18"/>
                <w:lang w:eastAsia="sl-SI"/>
              </w:rPr>
            </w:pPr>
            <w:r w:rsidRPr="00D050E9">
              <w:rPr>
                <w:rFonts w:asciiTheme="minorHAnsi" w:eastAsia="Times New Roman" w:hAnsiTheme="minorHAnsi" w:cs="Arial"/>
                <w:b/>
                <w:bCs/>
                <w:sz w:val="18"/>
                <w:szCs w:val="18"/>
                <w:lang w:eastAsia="sl-SI"/>
              </w:rPr>
              <w:t>Instrument</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GOSPODARSKI RAZVOJ IN TEHNOLOGIJO</w:t>
            </w: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BE03-2399245-2015</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Program izvajanja finančnih spodbud MGRT - MSP</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Mala in srednje velika podjetja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BE03-2399245-2014</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Regionalna shema državnih pomoči MSP</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Mala in srednje velika podjetja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 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0004-2399245-2014</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Pomoč za povrnitev škode nastale zaradi žleda januarja in februarja 2014</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21.3.2017</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Naravne nesreče</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Dotacija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0001-2399245-2012</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Shema pomoči za odpravo posledic naravnih nesreč</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4.9.2018</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Naravne nesreče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0001-2399245-2016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Reševanje in prestrukturiranje gospodarskih družb in zadrug v težavah - SME</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Pomoči za reševanje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 ugodna posojila, garancije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0001-2399245-2014</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Pomoč za reševanje za družbo Polzela d.d.</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24.1.2015</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Pomoči za reševanje</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Ugodno posojilo</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0002-2399245-2014</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Program prestrukturiranja Polzela d.d.</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31.12.2017</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Prestrukturiranje</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Konverzija dolga v lastniški delež, Garancije, 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0003-2399245-2014</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Program prestrukturiranja MLM d.d.</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31.12.2017</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Prestrukturiranje</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Konverzija dolga v lastniški delež, 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BE01-2399245-2015</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Program izvajanja finančnih spodbud MGRT - RRI</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Raziskave in razvoj ter inovacije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BE01-2399245-2014</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Finančne spodbude za tuje neposredne investicije regionalna pomoč</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Regionalne pomoči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BE02-2399245-2014</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Regionalna shema državnih pomoči</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Regionalne pomoči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Davčne oprostitve, izjeme in olajšave, Dotacije, 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BE01-2399245-2018</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Spodbude za začetne investicije - regionalna pomoč</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Regionalne pomoči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BE01-2399245-2016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Dostop do finančnih sredstev za MSP</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Tvegani kapital</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Kapitalske naložbe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BE02-2399245-2015</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Program izvajanja finančnih spodbud MGRT - usposabljanje</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Usposabljanje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BE04-2399245-2014</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Povračilo prispevkov delodajalca in davčna olajšava za zaposlovanje</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Zaposlovanje</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Znižanje prispevkov za socialno varnost, Davčne oprostitve, izjeme in olajšave</w:t>
            </w:r>
          </w:p>
        </w:tc>
      </w:tr>
      <w:tr w:rsidR="004C5AC0" w:rsidRPr="00D050E9" w:rsidTr="004C5AC0">
        <w:trPr>
          <w:trHeight w:val="20"/>
        </w:trPr>
        <w:tc>
          <w:tcPr>
            <w:tcW w:w="874" w:type="pct"/>
            <w:tcBorders>
              <w:top w:val="nil"/>
              <w:left w:val="single" w:sz="4" w:space="0" w:color="auto"/>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EKO sklad, Slovenski okoljski JS</w:t>
            </w: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BE01-5854067-2015</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Nakup okolju prijaznih prevoznih sredstev</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Varstvo okolja</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tcBorders>
              <w:top w:val="nil"/>
              <w:left w:val="single" w:sz="4" w:space="0" w:color="auto"/>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JAVNA AGENCIJA ZA RAZISKOVALNO DEJAVNOST RS</w:t>
            </w: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BE01-1937286-2015</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Raziskovalni projekti temeljnega raziskovanja - skupinska</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Raziskave in razvoj ter inovacije</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tcBorders>
              <w:top w:val="nil"/>
              <w:left w:val="single" w:sz="4" w:space="0" w:color="auto"/>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JS RS ZA REGIONALNI RAZVOJ IN RAZVOJ PODEŽELJA</w:t>
            </w: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BE01-5940117-2015</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Regionalna garancijska shema sklada za območje Republike Slovenije</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Regionalne pomoči</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Garancije</w:t>
            </w:r>
          </w:p>
        </w:tc>
      </w:tr>
      <w:tr w:rsidR="004C5AC0" w:rsidRPr="00D050E9" w:rsidTr="004C5AC0">
        <w:trPr>
          <w:trHeight w:val="20"/>
        </w:trPr>
        <w:tc>
          <w:tcPr>
            <w:tcW w:w="874" w:type="pct"/>
            <w:tcBorders>
              <w:top w:val="nil"/>
              <w:left w:val="single" w:sz="4" w:space="0" w:color="auto"/>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JS RS ZA PODJETNIŠTVO</w:t>
            </w:r>
          </w:p>
        </w:tc>
        <w:tc>
          <w:tcPr>
            <w:tcW w:w="703"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BE01-5523362-2015</w:t>
            </w:r>
          </w:p>
        </w:tc>
        <w:tc>
          <w:tcPr>
            <w:tcW w:w="1176"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Semenski kapital lastniški vstop za rast inovativnih podjetij</w:t>
            </w:r>
          </w:p>
        </w:tc>
        <w:tc>
          <w:tcPr>
            <w:tcW w:w="574"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31.12.2015</w:t>
            </w:r>
          </w:p>
        </w:tc>
        <w:tc>
          <w:tcPr>
            <w:tcW w:w="836"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Mala in srednje velika podjetja</w:t>
            </w:r>
          </w:p>
        </w:tc>
        <w:tc>
          <w:tcPr>
            <w:tcW w:w="837"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Kapitalske naložbe</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DELO, DRUŽINO, SOCIALNE ZADEVE IN ENAKE MOŽNOSTI</w:t>
            </w: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BE01-5022860-2015</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Pomoč delodajalcem zaradi zaposlenih invalidov</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Zaposlovanje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Davčne oprostitve, izjeme in olajšave, Dotacije, Znižanje prispevkov za socialno varnost</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BE01-5022860-2016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Pomoči za usposabljanje</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Usposabljanje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BE01-5022860-2010</w:t>
            </w:r>
          </w:p>
        </w:tc>
        <w:tc>
          <w:tcPr>
            <w:tcW w:w="1176"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Razvojne podpore Pomurski regiji, zaposlovanje</w:t>
            </w:r>
          </w:p>
        </w:tc>
        <w:tc>
          <w:tcPr>
            <w:tcW w:w="574"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31.12.2015</w:t>
            </w:r>
          </w:p>
        </w:tc>
        <w:tc>
          <w:tcPr>
            <w:tcW w:w="836"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Zaposlovanje</w:t>
            </w:r>
          </w:p>
        </w:tc>
        <w:tc>
          <w:tcPr>
            <w:tcW w:w="837"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Davčne oprostitve, izjeme in olajšave, Znižanje prispevkov za socialno varnost</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FINANCE</w:t>
            </w: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0001-5028256-2007</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Davek na tonažo</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31.12.2018</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Transport morski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Davčne oprostitve, izjeme in olajšave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0007-5028256-2013</w:t>
            </w:r>
          </w:p>
        </w:tc>
        <w:tc>
          <w:tcPr>
            <w:tcW w:w="1176"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Program prestrukturiranja Cimos d.d.</w:t>
            </w:r>
          </w:p>
        </w:tc>
        <w:tc>
          <w:tcPr>
            <w:tcW w:w="574"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31.12.2019</w:t>
            </w:r>
          </w:p>
        </w:tc>
        <w:tc>
          <w:tcPr>
            <w:tcW w:w="836"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Prestrukturiranje</w:t>
            </w:r>
          </w:p>
        </w:tc>
        <w:tc>
          <w:tcPr>
            <w:tcW w:w="837" w:type="pct"/>
            <w:tcBorders>
              <w:top w:val="nil"/>
              <w:left w:val="nil"/>
              <w:bottom w:val="single" w:sz="4" w:space="0" w:color="auto"/>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Davčne oprostitve, izjeme in olajšave, Konverzija dolga v lastniški delež, Odpis posojila - prisilna poravnava, Posojila podjetjem v težavah, Subvencioniranje obrestne mere</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INFRASTRUKTURO</w:t>
            </w: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0001-2399270-2015</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A podpora električni energiji, proizvedeni iz obnovljivih virov energije in v soproizvodnji ter B podpora elektro-intenzivnim podjetjem v obliki znižanih prispevkov v podporno shemo za električno energijo</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31.12.2019</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Varstvo okolja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Davčne oprostitve, izjeme in olajšave, 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0001-5028388-2003</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Nadomestilo za prevoze potnikov v notranjem železniškem prometu</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Transport (kopenski)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0001-5715334-2005</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Podpora električni energiji, proizvedeni iz obnovljivih virov energije in proizvedeni v obratih za soproizvodnjo toplote in električne energije</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Varstvo okolja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0001-5715334-2010</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Pomoč za kritje izrednih stroškov RTH Rudnika Trbovlje Hrastnik d.o.o.</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31.12.2015</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Premogovništvo</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BE01-2399270-2017</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Pomoč za tekoče poslovanje letališčem državnega pomena</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Transport zračni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BE01-2399270-2016</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Spodbujanje učinkovite rabe energije, daljinskega ogrevanja in rabe obnovljivih virov energije</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Varstvo okolja</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000000" w:fill="FFFFFF"/>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IZOBRAŽEVANJE, ZNANOST IN ŠPORT</w:t>
            </w: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0001-2045419-2007</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Davčna olajšava za raziskave in razvoj</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31.12.2015</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Raziskave in razvoj ter inovacije</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Davčne oprostitve, izjeme in olajšave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BE01-2399300-2016</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Program za spodbujanje raziskav in razvoja MIZŠ na področju znanost za obdobje 2016 -2020</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Raziskave in razvoj ter inovacije</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tcBorders>
              <w:top w:val="nil"/>
              <w:left w:val="single" w:sz="4" w:space="0" w:color="auto"/>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JAVNO UPRAVO</w:t>
            </w: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BE01-2482762-2017</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Gradnja odprte širokopasovne infrastrukture naslednje generacije v Republiki Sloveniji</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Razvoj širokopasovnega omrežja</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Davčne oprostitve, izjeme in olajšave, Dotacije</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000000" w:fill="FFFFFF"/>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KULTURO</w:t>
            </w: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0001-5228000-2003</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Pospeševanje razvoja filmske dejavnosti v Sloveniji</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31.12.2015</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Kultura</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BE01-2399342-2016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Spodbujanje filmske produkcije</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Kultura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0001-5228000-2004</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Pospeševanje razvoja založniške dejavnosti v Sloveniji</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Kultura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0001-5228000-2002</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Sofinanciranje projektov iz proračunskega sklada za avdio-vizualne medije</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31.12.2016</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Avdiovizualni sektor</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BE02-2399342-2016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Sofinanciranje projektov za AV medije</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Kultura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0002-5228000-2002</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Sofinanciranje ustvarjanja programskih vsebin in razvoja tehnične infrastrukture na področju medijev</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Kultura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BE01-2399342-2017</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Spodbujanje vlaganj v AV produkcijo</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Avdiovizualni sektor</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Dotacije</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MINISTRSTVO ZA OKOLJE IN PROSTOR</w:t>
            </w:r>
          </w:p>
        </w:tc>
        <w:tc>
          <w:tcPr>
            <w:tcW w:w="703"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BE01-2399253-2013</w:t>
            </w:r>
          </w:p>
        </w:tc>
        <w:tc>
          <w:tcPr>
            <w:tcW w:w="117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Oprostitev plačila okoljske dajatve za obremenjevanje okolja z emisijo ogljikovega dioksida</w:t>
            </w:r>
          </w:p>
        </w:tc>
        <w:tc>
          <w:tcPr>
            <w:tcW w:w="574"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31.3.2015</w:t>
            </w:r>
          </w:p>
        </w:tc>
        <w:tc>
          <w:tcPr>
            <w:tcW w:w="836"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Varstvo okolja</w:t>
            </w:r>
          </w:p>
        </w:tc>
        <w:tc>
          <w:tcPr>
            <w:tcW w:w="837" w:type="pct"/>
            <w:tcBorders>
              <w:top w:val="nil"/>
              <w:left w:val="nil"/>
              <w:bottom w:val="single" w:sz="4" w:space="0" w:color="0D0D0D"/>
              <w:right w:val="single" w:sz="4" w:space="0" w:color="0D0D0D"/>
            </w:tcBorders>
            <w:shd w:val="clear" w:color="000000" w:fill="D9D9D9"/>
            <w:vAlign w:val="center"/>
            <w:hideMark/>
          </w:tcPr>
          <w:p w:rsidR="004C5AC0" w:rsidRPr="00D050E9" w:rsidRDefault="004C5AC0" w:rsidP="00CE6D2D">
            <w:pPr>
              <w:spacing w:after="0"/>
              <w:jc w:val="left"/>
              <w:rPr>
                <w:rFonts w:asciiTheme="minorHAnsi" w:eastAsia="Times New Roman" w:hAnsiTheme="minorHAnsi" w:cs="Arial"/>
                <w:color w:val="1F497D"/>
                <w:sz w:val="18"/>
                <w:szCs w:val="18"/>
                <w:lang w:eastAsia="sl-SI"/>
              </w:rPr>
            </w:pPr>
            <w:r w:rsidRPr="00D050E9">
              <w:rPr>
                <w:rFonts w:asciiTheme="minorHAnsi" w:eastAsia="Times New Roman" w:hAnsiTheme="minorHAnsi" w:cs="Arial"/>
                <w:color w:val="1F497D"/>
                <w:sz w:val="18"/>
                <w:szCs w:val="18"/>
                <w:lang w:eastAsia="sl-SI"/>
              </w:rPr>
              <w:t>Davčne oprostitve, izjeme in olajšave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BE01-2482789-2015</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Oprostitev plačila okoljske dajatve za onesnaževanje zraka z emisijo ogljikovega dioksida</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Varstvo okolja</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Davčne oprostitve, izjeme in olajšave</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SID - Slovenska izvozna in razvojna banka, d.d., Ljubljana</w:t>
            </w: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BE03-5665493-2014</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Posebni pogoji financiranja inovacijske dejavnosti MSP</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Raziskave in razvoj ter inovacije</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BE01-5665493-2013</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Posebni pogoji investicijskega financiranja malih in srednje velikih podjetij - Pomoč za MSP</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Mala in srednje velika podjetja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BE01-5665493-2014</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Posebni pogoji financiranja tehnološko-razvojnih projektov</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Regionalne pomoči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BE01-5665493-2016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Posebni pogoji financiranja naložb in kapitalskega utrjevanja MSP</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Regionalne pomoči</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Ugodna posojila</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BE02-5665493-2014</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Posebni pogoji financiranja tehnološko - razvojnih projektov, Raziskave in razvoj</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Raziskave in razvoj ter inovacije</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Ugodna posojila</w:t>
            </w:r>
          </w:p>
        </w:tc>
      </w:tr>
      <w:tr w:rsidR="004C5AC0" w:rsidRPr="00D050E9" w:rsidTr="004C5AC0">
        <w:trPr>
          <w:trHeight w:val="20"/>
        </w:trPr>
        <w:tc>
          <w:tcPr>
            <w:tcW w:w="874" w:type="pct"/>
            <w:vMerge w:val="restart"/>
            <w:tcBorders>
              <w:top w:val="nil"/>
              <w:left w:val="single" w:sz="4" w:space="0" w:color="auto"/>
              <w:bottom w:val="single" w:sz="4" w:space="0" w:color="000000"/>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r w:rsidRPr="00D050E9">
              <w:rPr>
                <w:rFonts w:asciiTheme="minorHAnsi" w:eastAsia="Times New Roman" w:hAnsiTheme="minorHAnsi" w:cs="Arial"/>
                <w:b/>
                <w:bCs/>
                <w:color w:val="0070C0"/>
                <w:sz w:val="18"/>
                <w:szCs w:val="18"/>
                <w:lang w:eastAsia="sl-SI"/>
              </w:rPr>
              <w:t>Služba Vlade RS za razvoj in evropsko kohezijsko politiko</w:t>
            </w:r>
          </w:p>
        </w:tc>
        <w:tc>
          <w:tcPr>
            <w:tcW w:w="703"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BE01-2482550-2016</w:t>
            </w:r>
          </w:p>
        </w:tc>
        <w:tc>
          <w:tcPr>
            <w:tcW w:w="117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Državna pomoč za MSP v programih ETS</w:t>
            </w:r>
          </w:p>
        </w:tc>
        <w:tc>
          <w:tcPr>
            <w:tcW w:w="574"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31.12.2020</w:t>
            </w:r>
          </w:p>
        </w:tc>
        <w:tc>
          <w:tcPr>
            <w:tcW w:w="836"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Mala in srednje velika podjetja</w:t>
            </w:r>
          </w:p>
        </w:tc>
        <w:tc>
          <w:tcPr>
            <w:tcW w:w="837" w:type="pct"/>
            <w:tcBorders>
              <w:top w:val="nil"/>
              <w:left w:val="nil"/>
              <w:bottom w:val="single" w:sz="4" w:space="0" w:color="0D0D0D"/>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sz w:val="18"/>
                <w:szCs w:val="18"/>
                <w:lang w:eastAsia="sl-SI"/>
              </w:rPr>
            </w:pPr>
            <w:r w:rsidRPr="00D050E9">
              <w:rPr>
                <w:rFonts w:asciiTheme="minorHAnsi" w:eastAsia="Times New Roman" w:hAnsiTheme="minorHAnsi" w:cs="Arial"/>
                <w:sz w:val="18"/>
                <w:szCs w:val="18"/>
                <w:lang w:eastAsia="sl-SI"/>
              </w:rPr>
              <w:t>Dotacije</w:t>
            </w:r>
          </w:p>
        </w:tc>
      </w:tr>
      <w:tr w:rsidR="004C5AC0" w:rsidRPr="00D050E9" w:rsidTr="004C5AC0">
        <w:trPr>
          <w:trHeight w:val="20"/>
        </w:trPr>
        <w:tc>
          <w:tcPr>
            <w:tcW w:w="874" w:type="pct"/>
            <w:vMerge/>
            <w:tcBorders>
              <w:top w:val="nil"/>
              <w:left w:val="single" w:sz="4" w:space="0" w:color="auto"/>
              <w:bottom w:val="single" w:sz="4" w:space="0" w:color="000000"/>
              <w:right w:val="single" w:sz="4" w:space="0" w:color="0D0D0D"/>
            </w:tcBorders>
            <w:vAlign w:val="center"/>
            <w:hideMark/>
          </w:tcPr>
          <w:p w:rsidR="004C5AC0" w:rsidRPr="00D050E9" w:rsidRDefault="004C5AC0" w:rsidP="00CE6D2D">
            <w:pPr>
              <w:spacing w:after="0"/>
              <w:jc w:val="left"/>
              <w:rPr>
                <w:rFonts w:asciiTheme="minorHAnsi" w:eastAsia="Times New Roman" w:hAnsiTheme="minorHAnsi" w:cs="Arial"/>
                <w:b/>
                <w:bCs/>
                <w:color w:val="0070C0"/>
                <w:sz w:val="18"/>
                <w:szCs w:val="18"/>
                <w:lang w:eastAsia="sl-SI"/>
              </w:rPr>
            </w:pPr>
          </w:p>
        </w:tc>
        <w:tc>
          <w:tcPr>
            <w:tcW w:w="703"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BE02-2482550-2016</w:t>
            </w:r>
          </w:p>
        </w:tc>
        <w:tc>
          <w:tcPr>
            <w:tcW w:w="117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Regionalna državna pomoč v programih ETS</w:t>
            </w:r>
          </w:p>
        </w:tc>
        <w:tc>
          <w:tcPr>
            <w:tcW w:w="574"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31.12.2020</w:t>
            </w:r>
          </w:p>
        </w:tc>
        <w:tc>
          <w:tcPr>
            <w:tcW w:w="836"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Regionalne pomoči</w:t>
            </w:r>
          </w:p>
        </w:tc>
        <w:tc>
          <w:tcPr>
            <w:tcW w:w="837" w:type="pct"/>
            <w:tcBorders>
              <w:top w:val="nil"/>
              <w:left w:val="nil"/>
              <w:bottom w:val="single" w:sz="4" w:space="0" w:color="auto"/>
              <w:right w:val="single" w:sz="4" w:space="0" w:color="0D0D0D"/>
            </w:tcBorders>
            <w:shd w:val="clear" w:color="auto" w:fill="auto"/>
            <w:vAlign w:val="center"/>
            <w:hideMark/>
          </w:tcPr>
          <w:p w:rsidR="004C5AC0" w:rsidRPr="00D050E9" w:rsidRDefault="004C5AC0" w:rsidP="00CE6D2D">
            <w:pPr>
              <w:spacing w:after="0"/>
              <w:jc w:val="left"/>
              <w:rPr>
                <w:rFonts w:asciiTheme="minorHAnsi" w:eastAsia="Times New Roman" w:hAnsiTheme="minorHAnsi" w:cs="Arial"/>
                <w:b/>
                <w:bCs/>
                <w:color w:val="7030A0"/>
                <w:sz w:val="18"/>
                <w:szCs w:val="18"/>
                <w:lang w:eastAsia="sl-SI"/>
              </w:rPr>
            </w:pPr>
            <w:r w:rsidRPr="00D050E9">
              <w:rPr>
                <w:rFonts w:asciiTheme="minorHAnsi" w:eastAsia="Times New Roman" w:hAnsiTheme="minorHAnsi" w:cs="Arial"/>
                <w:b/>
                <w:bCs/>
                <w:color w:val="7030A0"/>
                <w:sz w:val="18"/>
                <w:szCs w:val="18"/>
                <w:lang w:eastAsia="sl-SI"/>
              </w:rPr>
              <w:t>Dotacije</w:t>
            </w:r>
          </w:p>
        </w:tc>
      </w:tr>
    </w:tbl>
    <w:p w:rsidR="004C5AC0" w:rsidRPr="00D050E9" w:rsidRDefault="004C5AC0" w:rsidP="004C5AC0">
      <w:pPr>
        <w:spacing w:after="0" w:line="276" w:lineRule="auto"/>
        <w:rPr>
          <w:rFonts w:asciiTheme="minorHAnsi" w:hAnsiTheme="minorHAnsi"/>
          <w:sz w:val="20"/>
          <w:szCs w:val="20"/>
          <w:u w:val="single"/>
        </w:rPr>
      </w:pPr>
    </w:p>
    <w:p w:rsidR="004C5AC0" w:rsidRPr="00D050E9" w:rsidRDefault="004C5AC0" w:rsidP="004C5AC0">
      <w:pPr>
        <w:spacing w:after="0" w:line="276" w:lineRule="auto"/>
        <w:rPr>
          <w:rFonts w:asciiTheme="minorHAnsi" w:hAnsiTheme="minorHAnsi"/>
          <w:sz w:val="20"/>
          <w:szCs w:val="20"/>
          <w:u w:val="single"/>
        </w:rPr>
      </w:pPr>
      <w:r w:rsidRPr="00D050E9">
        <w:rPr>
          <w:rFonts w:asciiTheme="minorHAnsi" w:hAnsiTheme="minorHAnsi"/>
          <w:sz w:val="20"/>
          <w:szCs w:val="20"/>
          <w:u w:val="single"/>
        </w:rPr>
        <w:t xml:space="preserve">Legenda: </w:t>
      </w:r>
    </w:p>
    <w:p w:rsidR="004C5AC0" w:rsidRPr="00D050E9" w:rsidRDefault="004C5AC0" w:rsidP="004C5AC0">
      <w:pPr>
        <w:spacing w:after="0" w:line="276" w:lineRule="auto"/>
        <w:rPr>
          <w:rFonts w:asciiTheme="minorHAnsi" w:hAnsiTheme="minorHAnsi"/>
          <w:sz w:val="20"/>
          <w:szCs w:val="20"/>
        </w:rPr>
      </w:pPr>
      <w:r w:rsidRPr="00D050E9">
        <w:rPr>
          <w:rFonts w:asciiTheme="minorHAnsi" w:hAnsiTheme="minorHAnsi"/>
          <w:sz w:val="20"/>
          <w:szCs w:val="20"/>
        </w:rPr>
        <w:t>Tabela vsebuje seznam shem,  po katerih je bilo mogoče dodeljevati in izplačevati državno pomoči v obdobju 2015–2017</w:t>
      </w:r>
    </w:p>
    <w:p w:rsidR="004C5AC0" w:rsidRPr="00D050E9" w:rsidRDefault="004C5AC0" w:rsidP="00C93FA7">
      <w:pPr>
        <w:pStyle w:val="ListParagraph"/>
        <w:numPr>
          <w:ilvl w:val="0"/>
          <w:numId w:val="12"/>
        </w:numPr>
        <w:spacing w:after="0" w:line="276" w:lineRule="auto"/>
        <w:rPr>
          <w:rFonts w:asciiTheme="minorHAnsi" w:hAnsiTheme="minorHAnsi"/>
          <w:sz w:val="20"/>
          <w:szCs w:val="20"/>
        </w:rPr>
      </w:pPr>
      <w:r w:rsidRPr="00D050E9">
        <w:rPr>
          <w:rFonts w:asciiTheme="minorHAnsi" w:hAnsiTheme="minorHAnsi"/>
          <w:b/>
          <w:bCs/>
          <w:sz w:val="20"/>
          <w:szCs w:val="20"/>
        </w:rPr>
        <w:t xml:space="preserve">Sheme, ki so še vedno veljavne </w:t>
      </w:r>
      <w:r w:rsidRPr="00D050E9">
        <w:rPr>
          <w:rFonts w:asciiTheme="minorHAnsi" w:hAnsiTheme="minorHAnsi"/>
          <w:sz w:val="20"/>
          <w:szCs w:val="20"/>
        </w:rPr>
        <w:t>dodeljevanje in izplačevanje je možno tudi po letu 2017</w:t>
      </w:r>
    </w:p>
    <w:p w:rsidR="004C5AC0" w:rsidRPr="00D050E9" w:rsidRDefault="004C5AC0" w:rsidP="00C93FA7">
      <w:pPr>
        <w:pStyle w:val="ListParagraph"/>
        <w:numPr>
          <w:ilvl w:val="0"/>
          <w:numId w:val="12"/>
        </w:numPr>
        <w:spacing w:after="0" w:line="276" w:lineRule="auto"/>
        <w:rPr>
          <w:rFonts w:asciiTheme="minorHAnsi" w:hAnsiTheme="minorHAnsi"/>
          <w:color w:val="0070C0"/>
          <w:sz w:val="20"/>
          <w:szCs w:val="20"/>
          <w:highlight w:val="lightGray"/>
        </w:rPr>
      </w:pPr>
      <w:r w:rsidRPr="00D050E9">
        <w:rPr>
          <w:rFonts w:asciiTheme="minorHAnsi" w:hAnsiTheme="minorHAnsi"/>
          <w:b/>
          <w:bCs/>
          <w:color w:val="0070C0"/>
          <w:sz w:val="20"/>
          <w:szCs w:val="20"/>
          <w:highlight w:val="lightGray"/>
        </w:rPr>
        <w:t xml:space="preserve">Potekle sheme: </w:t>
      </w:r>
      <w:r w:rsidRPr="00D050E9">
        <w:rPr>
          <w:rFonts w:asciiTheme="minorHAnsi" w:hAnsiTheme="minorHAnsi"/>
          <w:color w:val="0070C0"/>
          <w:sz w:val="20"/>
          <w:szCs w:val="20"/>
          <w:highlight w:val="lightGray"/>
        </w:rPr>
        <w:t>Sheme pomoči, katerih veljavnost je potekla v obdobju 2015–2017</w:t>
      </w:r>
    </w:p>
    <w:p w:rsidR="004C5AC0" w:rsidRPr="00D050E9" w:rsidRDefault="004C5AC0" w:rsidP="00C93FA7">
      <w:pPr>
        <w:pStyle w:val="ListParagraph"/>
        <w:numPr>
          <w:ilvl w:val="0"/>
          <w:numId w:val="12"/>
        </w:numPr>
        <w:spacing w:after="0" w:line="276" w:lineRule="auto"/>
        <w:jc w:val="left"/>
        <w:rPr>
          <w:rFonts w:asciiTheme="minorHAnsi" w:hAnsiTheme="minorHAnsi"/>
          <w:color w:val="FF0000"/>
          <w:sz w:val="20"/>
          <w:szCs w:val="20"/>
        </w:rPr>
      </w:pPr>
      <w:r w:rsidRPr="00D050E9">
        <w:rPr>
          <w:rFonts w:asciiTheme="minorHAnsi" w:hAnsiTheme="minorHAnsi"/>
          <w:b/>
          <w:bCs/>
          <w:color w:val="7030A0"/>
          <w:sz w:val="20"/>
          <w:szCs w:val="20"/>
        </w:rPr>
        <w:t xml:space="preserve">Brez izplačil: </w:t>
      </w:r>
      <w:r w:rsidRPr="00D050E9">
        <w:rPr>
          <w:rFonts w:asciiTheme="minorHAnsi" w:hAnsiTheme="minorHAnsi"/>
          <w:color w:val="7030A0"/>
          <w:sz w:val="20"/>
          <w:szCs w:val="20"/>
        </w:rPr>
        <w:t xml:space="preserve">Sheme pomoči, ki so bile veljavne, vendar izplačil pomoči na osnovi teh shem še ni bilo. </w:t>
      </w:r>
    </w:p>
    <w:sectPr w:rsidR="004C5AC0" w:rsidRPr="00D050E9" w:rsidSect="000D63D6">
      <w:headerReference w:type="default" r:id="rId90"/>
      <w:footerReference w:type="default" r:id="rId91"/>
      <w:pgSz w:w="11906" w:h="16838"/>
      <w:pgMar w:top="1304" w:right="1361" w:bottom="1361" w:left="136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0B" w:rsidRDefault="0091350B" w:rsidP="001F7FA3">
      <w:pPr>
        <w:spacing w:after="0"/>
      </w:pPr>
      <w:r>
        <w:separator/>
      </w:r>
    </w:p>
  </w:endnote>
  <w:endnote w:type="continuationSeparator" w:id="0">
    <w:p w:rsidR="0091350B" w:rsidRDefault="0091350B" w:rsidP="001F7F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CaslonPro-Regular">
    <w:altName w:val="Arial Unicode MS"/>
    <w:panose1 w:val="00000000000000000000"/>
    <w:charset w:val="80"/>
    <w:family w:val="auto"/>
    <w:notTrueType/>
    <w:pitch w:val="default"/>
    <w:sig w:usb0="00000001" w:usb1="08070000" w:usb2="00000010" w:usb3="00000000" w:csb0="00020000" w:csb1="00000000"/>
  </w:font>
  <w:font w:name="ACaslon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00792840"/>
      <w:docPartObj>
        <w:docPartGallery w:val="Page Numbers (Bottom of Page)"/>
        <w:docPartUnique/>
      </w:docPartObj>
    </w:sdtPr>
    <w:sdtEndPr>
      <w:rPr>
        <w:rFonts w:asciiTheme="minorHAnsi" w:hAnsiTheme="minorHAnsi"/>
      </w:rPr>
    </w:sdtEndPr>
    <w:sdtContent>
      <w:p w:rsidR="00745204" w:rsidRPr="000309D7" w:rsidRDefault="00745204">
        <w:pPr>
          <w:pStyle w:val="Footer"/>
          <w:jc w:val="center"/>
          <w:rPr>
            <w:sz w:val="18"/>
          </w:rPr>
        </w:pPr>
        <w:r w:rsidRPr="000309D7">
          <w:rPr>
            <w:rFonts w:asciiTheme="minorHAnsi" w:hAnsiTheme="minorHAnsi"/>
            <w:sz w:val="18"/>
            <w:szCs w:val="20"/>
          </w:rPr>
          <w:fldChar w:fldCharType="begin"/>
        </w:r>
        <w:r w:rsidRPr="000309D7">
          <w:rPr>
            <w:rFonts w:asciiTheme="minorHAnsi" w:hAnsiTheme="minorHAnsi"/>
            <w:sz w:val="18"/>
            <w:szCs w:val="20"/>
          </w:rPr>
          <w:instrText>PAGE   \* MERGEFORMAT</w:instrText>
        </w:r>
        <w:r w:rsidRPr="000309D7">
          <w:rPr>
            <w:rFonts w:asciiTheme="minorHAnsi" w:hAnsiTheme="minorHAnsi"/>
            <w:sz w:val="18"/>
            <w:szCs w:val="20"/>
          </w:rPr>
          <w:fldChar w:fldCharType="separate"/>
        </w:r>
        <w:r w:rsidR="000846DE" w:rsidRPr="000846DE">
          <w:rPr>
            <w:noProof/>
            <w:sz w:val="18"/>
          </w:rPr>
          <w:t>3</w:t>
        </w:r>
        <w:r w:rsidRPr="000309D7">
          <w:rPr>
            <w:rFonts w:asciiTheme="minorHAnsi" w:hAnsiTheme="minorHAnsi"/>
            <w:sz w:val="18"/>
            <w:szCs w:val="20"/>
          </w:rPr>
          <w:fldChar w:fldCharType="end"/>
        </w:r>
      </w:p>
    </w:sdtContent>
  </w:sdt>
  <w:p w:rsidR="00745204" w:rsidRDefault="0074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0B" w:rsidRDefault="0091350B" w:rsidP="001F7FA3">
      <w:pPr>
        <w:spacing w:after="0"/>
      </w:pPr>
      <w:r>
        <w:separator/>
      </w:r>
    </w:p>
  </w:footnote>
  <w:footnote w:type="continuationSeparator" w:id="0">
    <w:p w:rsidR="0091350B" w:rsidRDefault="0091350B" w:rsidP="001F7FA3">
      <w:pPr>
        <w:spacing w:after="0"/>
      </w:pPr>
      <w:r>
        <w:continuationSeparator/>
      </w:r>
    </w:p>
  </w:footnote>
  <w:footnote w:id="1">
    <w:p w:rsidR="00745204" w:rsidRPr="001C3C21" w:rsidRDefault="00745204" w:rsidP="00825909">
      <w:pPr>
        <w:rPr>
          <w:sz w:val="18"/>
          <w:szCs w:val="18"/>
        </w:rPr>
      </w:pPr>
      <w:r w:rsidRPr="001C3C21">
        <w:rPr>
          <w:rStyle w:val="FootnoteReference"/>
          <w:sz w:val="18"/>
          <w:szCs w:val="18"/>
        </w:rPr>
        <w:footnoteRef/>
      </w:r>
      <w:r w:rsidRPr="001C3C21">
        <w:rPr>
          <w:sz w:val="18"/>
          <w:szCs w:val="18"/>
        </w:rPr>
        <w:t xml:space="preserve"> </w:t>
      </w:r>
      <w:r w:rsidRPr="001C3C21">
        <w:rPr>
          <w:rFonts w:cs="Arial"/>
          <w:sz w:val="18"/>
          <w:szCs w:val="18"/>
        </w:rPr>
        <w:t>V skladu s členom 107(1) Pogodbe o delovanju Evropske unije (UL C št. 202 z dne 7. 6. 2016, str. 1; v nadaljevanju: PDEU</w:t>
      </w:r>
      <w:r w:rsidRPr="001C3C21">
        <w:rPr>
          <w:color w:val="1F497D"/>
          <w:sz w:val="18"/>
          <w:szCs w:val="18"/>
        </w:rPr>
        <w:t>)</w:t>
      </w:r>
      <w:r w:rsidRPr="001C3C21">
        <w:rPr>
          <w:rFonts w:cs="Arial"/>
          <w:sz w:val="18"/>
          <w:szCs w:val="18"/>
        </w:rPr>
        <w:t xml:space="preserve"> je vsaka pomoč, ki jo dodeli država članica, ali kakršna koli vrsta pomoči iz državnih sredstev, ki izkrivlja ali bi lahko izkrivljala konkurenco z dajanjem prednosti posameznim podjetjem ali proizvodnji posameznega blaga, nezdružljiva s skupnim trgom, kolikor prizadene trgovino med državami članicami. </w:t>
      </w:r>
      <w:r w:rsidRPr="001C3C21">
        <w:rPr>
          <w:rFonts w:eastAsia="Calibri" w:cs="Arial"/>
          <w:sz w:val="18"/>
          <w:szCs w:val="18"/>
        </w:rPr>
        <w:t>Za določitev, ali predmetni ukrepi pomenijo državno pomoč v smislu 107(1) člena PDEU, morajo biti kumulativno izpolnjeni vsi naslednji pogoji: (</w:t>
      </w:r>
      <w:r w:rsidRPr="001C3C21">
        <w:rPr>
          <w:rFonts w:cs="Arial"/>
          <w:sz w:val="18"/>
          <w:szCs w:val="18"/>
        </w:rPr>
        <w:t>1) ukrep mora biti financiran iz državnih sredstev, (2) biti mora selektiven, (3) podjetju mora prinesti gospodarsko prednost, (4) vplivati mora na konkurenco in na trgovino znotraj Skupnosti.</w:t>
      </w:r>
    </w:p>
  </w:footnote>
  <w:footnote w:id="2">
    <w:p w:rsidR="00745204" w:rsidRPr="00CD1522" w:rsidRDefault="00745204" w:rsidP="00444BBF">
      <w:pPr>
        <w:pStyle w:val="FootnoteText"/>
        <w:jc w:val="both"/>
        <w:rPr>
          <w:sz w:val="18"/>
          <w:szCs w:val="18"/>
          <w:lang w:val="sl-SI"/>
        </w:rPr>
      </w:pPr>
      <w:r w:rsidRPr="00CD1522">
        <w:rPr>
          <w:rStyle w:val="FootnoteReference"/>
          <w:sz w:val="18"/>
          <w:szCs w:val="18"/>
        </w:rPr>
        <w:footnoteRef/>
      </w:r>
      <w:r w:rsidRPr="00CD1522">
        <w:rPr>
          <w:sz w:val="18"/>
          <w:szCs w:val="18"/>
        </w:rPr>
        <w:t xml:space="preserve"> Upoštevani so </w:t>
      </w:r>
      <w:r>
        <w:rPr>
          <w:sz w:val="18"/>
          <w:szCs w:val="18"/>
          <w:lang w:val="sl-SI"/>
        </w:rPr>
        <w:t xml:space="preserve">bili </w:t>
      </w:r>
      <w:r w:rsidRPr="00CD1522">
        <w:rPr>
          <w:sz w:val="18"/>
          <w:szCs w:val="18"/>
        </w:rPr>
        <w:t>podatki UMAR, Pomladanska napoved gospodarskih gibanj, 2018 (BDP in dodana vrednost)</w:t>
      </w:r>
      <w:r>
        <w:rPr>
          <w:sz w:val="18"/>
          <w:szCs w:val="18"/>
          <w:lang w:val="sl-SI"/>
        </w:rPr>
        <w:t>, podat</w:t>
      </w:r>
      <w:r w:rsidRPr="00CD1522">
        <w:rPr>
          <w:sz w:val="18"/>
          <w:szCs w:val="18"/>
          <w:lang w:val="sl-SI"/>
        </w:rPr>
        <w:t>k</w:t>
      </w:r>
      <w:r>
        <w:rPr>
          <w:sz w:val="18"/>
          <w:szCs w:val="18"/>
          <w:lang w:val="sl-SI"/>
        </w:rPr>
        <w:t>i</w:t>
      </w:r>
      <w:r w:rsidRPr="00CD1522">
        <w:rPr>
          <w:sz w:val="18"/>
          <w:szCs w:val="18"/>
          <w:lang w:val="sl-SI"/>
        </w:rPr>
        <w:t xml:space="preserve"> </w:t>
      </w:r>
      <w:r>
        <w:rPr>
          <w:sz w:val="18"/>
          <w:szCs w:val="18"/>
          <w:lang w:val="sl-SI"/>
        </w:rPr>
        <w:t xml:space="preserve">Zaključnega računa proračuna, </w:t>
      </w:r>
      <w:r w:rsidRPr="00CD1522">
        <w:rPr>
          <w:sz w:val="18"/>
          <w:szCs w:val="18"/>
          <w:lang w:val="sl-SI"/>
        </w:rPr>
        <w:t>M</w:t>
      </w:r>
      <w:r>
        <w:rPr>
          <w:sz w:val="18"/>
          <w:szCs w:val="18"/>
          <w:lang w:val="sl-SI"/>
        </w:rPr>
        <w:t xml:space="preserve">inistrstvo za finance (odhodki državnega proračuna) </w:t>
      </w:r>
      <w:r w:rsidRPr="00CD1522">
        <w:rPr>
          <w:sz w:val="18"/>
          <w:szCs w:val="18"/>
        </w:rPr>
        <w:t xml:space="preserve">ter podatki SURS (število del. aktivnega prebivalstva, število prebivalcev). </w:t>
      </w:r>
    </w:p>
  </w:footnote>
  <w:footnote w:id="3">
    <w:p w:rsidR="00745204" w:rsidRPr="00E76773" w:rsidRDefault="00745204" w:rsidP="00CE0EBF">
      <w:pPr>
        <w:rPr>
          <w:color w:val="1F497D" w:themeColor="text2"/>
          <w:sz w:val="18"/>
          <w:szCs w:val="18"/>
        </w:rPr>
      </w:pPr>
      <w:r w:rsidRPr="00A54907">
        <w:rPr>
          <w:rStyle w:val="FootnoteReference"/>
          <w:sz w:val="18"/>
          <w:szCs w:val="18"/>
        </w:rPr>
        <w:footnoteRef/>
      </w:r>
      <w:r>
        <w:rPr>
          <w:sz w:val="16"/>
          <w:szCs w:val="18"/>
        </w:rPr>
        <w:t xml:space="preserve"> </w:t>
      </w:r>
      <w:r w:rsidRPr="001F7FA3">
        <w:rPr>
          <w:rFonts w:asciiTheme="minorHAnsi" w:hAnsiTheme="minorHAnsi"/>
          <w:sz w:val="18"/>
          <w:szCs w:val="18"/>
        </w:rPr>
        <w:t>Gre za pomoči, ki so namenjene prejemnikom v točno določenem sektorju npr. transport, premogovništvo, jeklarska industrija, energetika ipd. in vključujejo tudi pomoč za reševanje in prestrukturiranje. Natančnejša opredelitev skupin in kategorij pomoči je v prilogi B – Klasifikacije</w:t>
      </w:r>
      <w:r w:rsidRPr="001F7FA3">
        <w:rPr>
          <w:rFonts w:asciiTheme="minorHAnsi" w:hAnsiTheme="minorHAnsi"/>
          <w:sz w:val="18"/>
          <w:szCs w:val="18"/>
          <w:lang w:eastAsia="x-none"/>
        </w:rPr>
        <w:t xml:space="preserve"> in metodologija ocenjevanja državnih pomoči</w:t>
      </w:r>
      <w:r>
        <w:rPr>
          <w:rFonts w:asciiTheme="minorHAnsi" w:hAnsiTheme="minorHAnsi"/>
          <w:sz w:val="18"/>
          <w:szCs w:val="18"/>
          <w:lang w:eastAsia="x-none"/>
        </w:rPr>
        <w:t xml:space="preserve">. </w:t>
      </w:r>
    </w:p>
  </w:footnote>
  <w:footnote w:id="4">
    <w:p w:rsidR="00745204" w:rsidRPr="00922DFC" w:rsidRDefault="00745204" w:rsidP="001F7FA3">
      <w:pPr>
        <w:pStyle w:val="FootnoteText"/>
        <w:jc w:val="both"/>
        <w:rPr>
          <w:lang w:val="sl-SI"/>
        </w:rPr>
      </w:pPr>
      <w:r w:rsidRPr="00B26968">
        <w:rPr>
          <w:rStyle w:val="FootnoteReference"/>
          <w:sz w:val="18"/>
          <w:szCs w:val="18"/>
        </w:rPr>
        <w:footnoteRef/>
      </w:r>
      <w:r w:rsidRPr="00B26968">
        <w:rPr>
          <w:sz w:val="18"/>
          <w:szCs w:val="18"/>
        </w:rPr>
        <w:t xml:space="preserve"> </w:t>
      </w:r>
      <w:r w:rsidRPr="00B26968">
        <w:rPr>
          <w:sz w:val="18"/>
          <w:szCs w:val="18"/>
          <w:lang w:val="sl-SI"/>
        </w:rPr>
        <w:t>Za pomoči na področju kmetijstva in ribištva veljajo p</w:t>
      </w:r>
      <w:r w:rsidRPr="00B26968">
        <w:rPr>
          <w:sz w:val="18"/>
          <w:szCs w:val="18"/>
        </w:rPr>
        <w:t>osebna pravila na ravni EU. Za razliko od ostalih državnih pomoči, ki so v pristojnosti G</w:t>
      </w:r>
      <w:r w:rsidRPr="00B26968">
        <w:rPr>
          <w:sz w:val="18"/>
          <w:szCs w:val="18"/>
          <w:lang w:val="sl-SI"/>
        </w:rPr>
        <w:t xml:space="preserve">eneralnega direktorata </w:t>
      </w:r>
      <w:r w:rsidRPr="00B26968">
        <w:rPr>
          <w:sz w:val="18"/>
          <w:szCs w:val="18"/>
        </w:rPr>
        <w:t xml:space="preserve">za konkurenco, so te pomoči v pristojnosti </w:t>
      </w:r>
      <w:r w:rsidRPr="00B26968">
        <w:rPr>
          <w:sz w:val="18"/>
          <w:szCs w:val="18"/>
          <w:lang w:val="sl-SI"/>
        </w:rPr>
        <w:t xml:space="preserve">Generalnega direktorata </w:t>
      </w:r>
      <w:r w:rsidRPr="00B26968">
        <w:rPr>
          <w:sz w:val="18"/>
          <w:szCs w:val="18"/>
        </w:rPr>
        <w:t>za kmetijstvo</w:t>
      </w:r>
      <w:r w:rsidRPr="00B26968">
        <w:rPr>
          <w:sz w:val="18"/>
          <w:szCs w:val="18"/>
          <w:lang w:val="sl-SI"/>
        </w:rPr>
        <w:t xml:space="preserve"> in razvoj podeželja ter Generalnega direktorata za pomorske zadeve in ribištvo</w:t>
      </w:r>
      <w:r w:rsidRPr="00B26968">
        <w:rPr>
          <w:sz w:val="18"/>
          <w:szCs w:val="18"/>
        </w:rPr>
        <w:t xml:space="preserve">. V Sloveniji so pomoči za kmetijstvo </w:t>
      </w:r>
      <w:r w:rsidRPr="00B26968">
        <w:rPr>
          <w:sz w:val="18"/>
          <w:szCs w:val="18"/>
          <w:lang w:val="sl-SI"/>
        </w:rPr>
        <w:t xml:space="preserve">in ribištvo </w:t>
      </w:r>
      <w:r w:rsidRPr="00B26968">
        <w:rPr>
          <w:sz w:val="18"/>
          <w:szCs w:val="18"/>
        </w:rPr>
        <w:t>v celoti v pristojnosti Ministrstva za kmetijstvo, gozdarstvo in prehrano, ki je pristojno in odgovorno za  spremljanje in poročanje ter priglasitve teh pomoči Evropski komisij</w:t>
      </w:r>
      <w:r>
        <w:rPr>
          <w:sz w:val="18"/>
          <w:szCs w:val="18"/>
          <w:lang w:val="sl-SI"/>
        </w:rPr>
        <w:t>i</w:t>
      </w:r>
      <w:r w:rsidRPr="00B26968">
        <w:rPr>
          <w:sz w:val="18"/>
          <w:szCs w:val="18"/>
        </w:rPr>
        <w:t>. Zaradi celovitosti zajema podatkov o državnih pomočeh v Sloveniji, Ministrstvo za kmetijstvo, gozdarstvo in prehrano letno posreduje podatke o izplačanih državnih pomočeh za kmetijstvo v enotno bazo podatkov o poročanih državnih pomočeh, ki jo upravlja Ministrstvo za finance. V letnem poročilu so zajeti podatki o državnih pomoč</w:t>
      </w:r>
      <w:r w:rsidRPr="00B26968">
        <w:rPr>
          <w:sz w:val="18"/>
          <w:szCs w:val="18"/>
          <w:lang w:val="sl-SI"/>
        </w:rPr>
        <w:t>eh</w:t>
      </w:r>
      <w:r w:rsidRPr="00B26968">
        <w:rPr>
          <w:sz w:val="18"/>
          <w:szCs w:val="18"/>
        </w:rPr>
        <w:t>, kot jih je posredovalo pristojno ministrstvo.</w:t>
      </w:r>
    </w:p>
  </w:footnote>
  <w:footnote w:id="5">
    <w:p w:rsidR="00745204" w:rsidRPr="003B744C" w:rsidRDefault="00745204" w:rsidP="00F0066E">
      <w:pPr>
        <w:pStyle w:val="FootnoteText"/>
        <w:jc w:val="both"/>
        <w:rPr>
          <w:sz w:val="18"/>
          <w:szCs w:val="18"/>
          <w:lang w:val="sl-SI"/>
        </w:rPr>
      </w:pPr>
      <w:r w:rsidRPr="003B744C">
        <w:rPr>
          <w:rStyle w:val="FootnoteReference"/>
          <w:sz w:val="18"/>
          <w:szCs w:val="18"/>
        </w:rPr>
        <w:footnoteRef/>
      </w:r>
      <w:r w:rsidRPr="003B744C">
        <w:rPr>
          <w:sz w:val="18"/>
          <w:szCs w:val="18"/>
        </w:rPr>
        <w:t xml:space="preserve"> </w:t>
      </w:r>
      <w:r w:rsidRPr="003B744C">
        <w:rPr>
          <w:sz w:val="18"/>
          <w:szCs w:val="18"/>
          <w:lang w:val="sl-SI"/>
        </w:rPr>
        <w:t>Obseg državne pomoči iz naslova ugodnega posojila predstavlja korist za posojilojemalca in pomeni razliko med stroški kredita z ugodnejšo obrestno mero in referenčno obrestno mero, ki jo določi Evropska komisija za potrebe izračuna elementov državne pomoč (podrobneje glej prilogo B</w:t>
      </w:r>
      <w:r w:rsidRPr="00493CA0">
        <w:rPr>
          <w:sz w:val="18"/>
          <w:szCs w:val="18"/>
          <w:lang w:val="sl-SI"/>
        </w:rPr>
        <w:t>). Bruto obseg dodeljenih ugodnih posojil, ki je prikazan v oklepaju je bistveno višji in predstavlja višino celotnega kredita, kot znaša izračunana vrednost državne pomoči v povprečju se giblje med 8-20%.-malo obrnitistavek? Za podjetja v težavah se celotna vrednost kredita šteje kot državna pomoč.</w:t>
      </w:r>
      <w:r w:rsidRPr="003B744C">
        <w:rPr>
          <w:sz w:val="18"/>
          <w:szCs w:val="18"/>
          <w:lang w:val="sl-SI"/>
        </w:rPr>
        <w:t xml:space="preserve"> </w:t>
      </w:r>
    </w:p>
  </w:footnote>
  <w:footnote w:id="6">
    <w:p w:rsidR="00745204" w:rsidRPr="003B744C" w:rsidRDefault="00745204" w:rsidP="008C750D">
      <w:pPr>
        <w:pStyle w:val="FootnoteText"/>
        <w:jc w:val="both"/>
        <w:rPr>
          <w:sz w:val="18"/>
          <w:szCs w:val="18"/>
          <w:lang w:val="sl-SI"/>
        </w:rPr>
      </w:pPr>
      <w:r w:rsidRPr="00493CA0">
        <w:rPr>
          <w:rStyle w:val="FootnoteReference"/>
          <w:sz w:val="18"/>
          <w:szCs w:val="18"/>
        </w:rPr>
        <w:footnoteRef/>
      </w:r>
      <w:r w:rsidRPr="00493CA0">
        <w:rPr>
          <w:sz w:val="18"/>
          <w:szCs w:val="18"/>
        </w:rPr>
        <w:t xml:space="preserve"> </w:t>
      </w:r>
      <w:r w:rsidRPr="00493CA0">
        <w:rPr>
          <w:sz w:val="18"/>
          <w:szCs w:val="18"/>
          <w:lang w:val="sl-SI"/>
        </w:rPr>
        <w:t>Državna pomoč iz naslova ugodnega posojila predstavlja razliko med ugodnejšo obrestno mero in referenčno obrestno mero. Bruto vrednost dodeljenih ugodnih posojil v letu 2017 je bila bistveno višja, znašala je 12,69 mio EUR, dodatno je bilo</w:t>
      </w:r>
      <w:r w:rsidRPr="003B744C">
        <w:rPr>
          <w:sz w:val="18"/>
          <w:szCs w:val="18"/>
          <w:lang w:val="sl-SI"/>
        </w:rPr>
        <w:t xml:space="preserve"> 0,05 mio EUR posojil podjetjem v težavah. V letu 2016 je bilo dodeljenih 26,61 mio EUR ugodnih posojil in 0,8 mio EUR posojil podjetjem v težavah, v letu 2015 pa 17,79 mio EUR ugodnih posojil in 7,46 mio EUR posojil podjetjem v težavah. </w:t>
      </w:r>
    </w:p>
  </w:footnote>
  <w:footnote w:id="7">
    <w:p w:rsidR="00745204" w:rsidRPr="003B744C" w:rsidRDefault="00745204" w:rsidP="00333C3B">
      <w:pPr>
        <w:pStyle w:val="FootnoteText"/>
        <w:jc w:val="both"/>
        <w:rPr>
          <w:sz w:val="18"/>
          <w:szCs w:val="18"/>
          <w:lang w:val="sl-SI"/>
        </w:rPr>
      </w:pPr>
      <w:r w:rsidRPr="003B744C">
        <w:rPr>
          <w:rStyle w:val="FootnoteReference"/>
          <w:sz w:val="18"/>
          <w:szCs w:val="18"/>
        </w:rPr>
        <w:footnoteRef/>
      </w:r>
      <w:r w:rsidRPr="003B744C">
        <w:rPr>
          <w:sz w:val="18"/>
          <w:szCs w:val="18"/>
        </w:rPr>
        <w:t xml:space="preserve"> </w:t>
      </w:r>
      <w:r w:rsidRPr="003B744C">
        <w:rPr>
          <w:sz w:val="18"/>
          <w:szCs w:val="18"/>
          <w:lang w:val="sl-SI"/>
        </w:rPr>
        <w:t>Visok delež pomoči v obliki ugodnih posojil v letu 2015 posledica večjega obsega posojil podjetjem v težavah v postopku prestrukturiranja. Državna pomoč iz naslova posojil podjetjem v težavah je v letu 2015 predstavljala 1,3 % državnih pomoči (od skupaj 1,7 % drža</w:t>
      </w:r>
      <w:r>
        <w:rPr>
          <w:sz w:val="18"/>
          <w:szCs w:val="18"/>
          <w:lang w:val="sl-SI"/>
        </w:rPr>
        <w:t>vnih pomoči iz naslova posojil)</w:t>
      </w:r>
      <w:r w:rsidRPr="003B744C">
        <w:rPr>
          <w:sz w:val="18"/>
          <w:szCs w:val="18"/>
          <w:lang w:val="sl-SI"/>
        </w:rPr>
        <w:t xml:space="preserve">, v letu 2016 pa 0,2 % državnih pomoči (od skupaj 0,9 % državnih pomoči iz naslova posojil).  </w:t>
      </w:r>
    </w:p>
  </w:footnote>
  <w:footnote w:id="8">
    <w:p w:rsidR="00745204" w:rsidRPr="0067287D" w:rsidRDefault="00745204" w:rsidP="00CD278D">
      <w:pPr>
        <w:spacing w:line="276" w:lineRule="auto"/>
        <w:rPr>
          <w:rFonts w:asciiTheme="minorHAnsi" w:hAnsiTheme="minorHAnsi"/>
          <w:sz w:val="18"/>
          <w:szCs w:val="18"/>
        </w:rPr>
      </w:pPr>
      <w:r w:rsidRPr="002873D2">
        <w:rPr>
          <w:rStyle w:val="FootnoteReference"/>
          <w:sz w:val="18"/>
          <w:szCs w:val="18"/>
        </w:rPr>
        <w:footnoteRef/>
      </w:r>
      <w:r w:rsidRPr="002873D2">
        <w:rPr>
          <w:sz w:val="18"/>
          <w:szCs w:val="18"/>
        </w:rPr>
        <w:t xml:space="preserve"> </w:t>
      </w:r>
      <w:r w:rsidRPr="002873D2">
        <w:rPr>
          <w:rFonts w:asciiTheme="minorHAnsi" w:hAnsiTheme="minorHAnsi"/>
          <w:sz w:val="18"/>
          <w:szCs w:val="18"/>
        </w:rPr>
        <w:t>Velik obseg pomoči se namreč</w:t>
      </w:r>
      <w:r>
        <w:rPr>
          <w:rFonts w:asciiTheme="minorHAnsi" w:hAnsiTheme="minorHAnsi"/>
          <w:sz w:val="18"/>
          <w:szCs w:val="18"/>
        </w:rPr>
        <w:t xml:space="preserve"> še</w:t>
      </w:r>
      <w:r w:rsidRPr="002873D2">
        <w:rPr>
          <w:rFonts w:asciiTheme="minorHAnsi" w:hAnsiTheme="minorHAnsi"/>
          <w:sz w:val="18"/>
          <w:szCs w:val="18"/>
        </w:rPr>
        <w:t xml:space="preserve"> vedno izplačuje na osnovi »starih« shem pomoči, ki so bile priglašene Komisiji pred uveljavitvijo razširjene Uredbe o splošnih skupinskih izjemah in so še vedno veljavne (podaljšane), čeprav bi se lahko izvajale tudi brez priglasitve Komisiji (npr. pomoči na področju kulture).</w:t>
      </w:r>
      <w:r w:rsidRPr="0067287D">
        <w:rPr>
          <w:rFonts w:asciiTheme="minorHAnsi" w:hAnsiTheme="minorHAnsi"/>
          <w:sz w:val="18"/>
          <w:szCs w:val="18"/>
        </w:rPr>
        <w:t xml:space="preserve"> </w:t>
      </w:r>
    </w:p>
    <w:p w:rsidR="00745204" w:rsidRDefault="00745204" w:rsidP="00CD278D">
      <w:pPr>
        <w:spacing w:line="276" w:lineRule="auto"/>
        <w:rPr>
          <w:rFonts w:asciiTheme="minorHAnsi" w:hAnsiTheme="minorHAnsi"/>
        </w:rPr>
      </w:pPr>
    </w:p>
    <w:p w:rsidR="00745204" w:rsidRPr="00CD278D" w:rsidRDefault="00745204">
      <w:pPr>
        <w:pStyle w:val="FootnoteText"/>
        <w:rPr>
          <w:lang w:val="sl-SI"/>
        </w:rPr>
      </w:pPr>
    </w:p>
  </w:footnote>
  <w:footnote w:id="9">
    <w:p w:rsidR="00745204" w:rsidRPr="0067287D" w:rsidRDefault="00745204" w:rsidP="00D046C4">
      <w:pPr>
        <w:rPr>
          <w:rFonts w:asciiTheme="minorHAnsi" w:hAnsiTheme="minorHAnsi"/>
          <w:sz w:val="18"/>
          <w:szCs w:val="18"/>
        </w:rPr>
      </w:pPr>
      <w:r w:rsidRPr="0067287D">
        <w:rPr>
          <w:rStyle w:val="FootnoteReference"/>
          <w:rFonts w:asciiTheme="minorHAnsi" w:hAnsiTheme="minorHAnsi"/>
          <w:sz w:val="18"/>
          <w:szCs w:val="18"/>
        </w:rPr>
        <w:footnoteRef/>
      </w:r>
      <w:r w:rsidRPr="0067287D">
        <w:rPr>
          <w:rFonts w:asciiTheme="minorHAnsi" w:hAnsiTheme="minorHAnsi"/>
          <w:sz w:val="18"/>
          <w:szCs w:val="18"/>
        </w:rPr>
        <w:t xml:space="preserve"> Podatki temeljijo na letnih poročilih držav članic o izplačanih državnih pomočeh, ki jih zbira in objavlja Evropska komisija, GD za konkurenco:  </w:t>
      </w:r>
      <w:hyperlink r:id="rId1" w:history="1">
        <w:r w:rsidRPr="0067287D">
          <w:rPr>
            <w:rStyle w:val="Hyperlink"/>
            <w:rFonts w:asciiTheme="minorHAnsi" w:hAnsiTheme="minorHAnsi"/>
            <w:sz w:val="18"/>
            <w:szCs w:val="18"/>
          </w:rPr>
          <w:t>http://ec.europa.eu/competition/state_aid/scoreboard/index_en.html</w:t>
        </w:r>
      </w:hyperlink>
      <w:r w:rsidRPr="0067287D">
        <w:rPr>
          <w:rFonts w:asciiTheme="minorHAnsi" w:hAnsiTheme="minorHAnsi"/>
          <w:sz w:val="18"/>
          <w:szCs w:val="18"/>
        </w:rPr>
        <w:t xml:space="preserve">. Zadnji razpoložljivi podatki so za leto 2016, v tem poglavju so zato uporabljeni podatki za obdobje 2014–2016. Podatki prikazujejo državne pomoči po državah EU </w:t>
      </w:r>
      <w:r w:rsidRPr="0067287D">
        <w:rPr>
          <w:rFonts w:asciiTheme="minorHAnsi" w:hAnsiTheme="minorHAnsi"/>
          <w:i/>
          <w:sz w:val="18"/>
          <w:szCs w:val="18"/>
        </w:rPr>
        <w:t xml:space="preserve">brez pomoči, ki so bile dodeljene železniškemu sektorju, </w:t>
      </w:r>
      <w:r w:rsidRPr="0067287D">
        <w:rPr>
          <w:rFonts w:asciiTheme="minorHAnsi" w:hAnsiTheme="minorHAnsi"/>
          <w:sz w:val="18"/>
          <w:szCs w:val="18"/>
        </w:rPr>
        <w:t xml:space="preserve">nekatere primerjave pa so bile mogoče samo za </w:t>
      </w:r>
      <w:r w:rsidRPr="0067287D">
        <w:rPr>
          <w:rFonts w:asciiTheme="minorHAnsi" w:hAnsiTheme="minorHAnsi"/>
          <w:i/>
          <w:sz w:val="18"/>
          <w:szCs w:val="18"/>
        </w:rPr>
        <w:t>nekmetijske pomoč</w:t>
      </w:r>
      <w:r>
        <w:rPr>
          <w:rFonts w:asciiTheme="minorHAnsi" w:hAnsiTheme="minorHAnsi"/>
          <w:i/>
          <w:sz w:val="18"/>
          <w:szCs w:val="18"/>
        </w:rPr>
        <w:t>i</w:t>
      </w:r>
      <w:r w:rsidRPr="0067287D">
        <w:rPr>
          <w:rFonts w:asciiTheme="minorHAnsi" w:hAnsiTheme="minorHAnsi"/>
          <w:i/>
          <w:sz w:val="18"/>
          <w:szCs w:val="18"/>
        </w:rPr>
        <w:t xml:space="preserve"> tj. </w:t>
      </w:r>
      <w:r w:rsidRPr="0067287D">
        <w:rPr>
          <w:rFonts w:asciiTheme="minorHAnsi" w:hAnsiTheme="minorHAnsi"/>
          <w:sz w:val="18"/>
          <w:szCs w:val="18"/>
        </w:rPr>
        <w:t>horizontalne in sektorske pomoči</w:t>
      </w:r>
      <w:r w:rsidRPr="0067287D">
        <w:rPr>
          <w:rFonts w:asciiTheme="minorHAnsi" w:hAnsiTheme="minorHAnsi"/>
          <w:i/>
          <w:sz w:val="18"/>
          <w:szCs w:val="18"/>
        </w:rPr>
        <w:t xml:space="preserve">, </w:t>
      </w:r>
      <w:r w:rsidRPr="0067287D">
        <w:rPr>
          <w:rFonts w:asciiTheme="minorHAnsi" w:hAnsiTheme="minorHAnsi"/>
          <w:sz w:val="18"/>
          <w:szCs w:val="18"/>
        </w:rPr>
        <w:t>ki so v pristojnosti GD za konkurenco. Pregled skupin in kategorij pomoči po metodologiji EU je v prilogi B.</w:t>
      </w:r>
    </w:p>
  </w:footnote>
  <w:footnote w:id="10">
    <w:p w:rsidR="00745204" w:rsidRPr="0067287D" w:rsidRDefault="00745204">
      <w:pPr>
        <w:pStyle w:val="FootnoteText"/>
        <w:rPr>
          <w:sz w:val="18"/>
          <w:szCs w:val="18"/>
          <w:lang w:val="sl-SI"/>
        </w:rPr>
      </w:pPr>
      <w:r w:rsidRPr="0067287D">
        <w:rPr>
          <w:rStyle w:val="FootnoteReference"/>
          <w:sz w:val="18"/>
          <w:szCs w:val="18"/>
        </w:rPr>
        <w:footnoteRef/>
      </w:r>
      <w:r w:rsidRPr="0067287D">
        <w:rPr>
          <w:sz w:val="18"/>
          <w:szCs w:val="18"/>
        </w:rPr>
        <w:t xml:space="preserve"> </w:t>
      </w:r>
      <w:r w:rsidRPr="0067287D">
        <w:rPr>
          <w:sz w:val="18"/>
          <w:szCs w:val="18"/>
          <w:lang w:val="sl-SI"/>
        </w:rPr>
        <w:t xml:space="preserve">Zadnji razpoložljivo podatek o regijskem BDP je za leto 2016. Primerjava za tri leta pa zajema obdobje 2014–2016. </w:t>
      </w:r>
    </w:p>
  </w:footnote>
  <w:footnote w:id="11">
    <w:p w:rsidR="00745204" w:rsidRPr="0067287D" w:rsidRDefault="00745204" w:rsidP="00326C51">
      <w:pPr>
        <w:pStyle w:val="FootnoteText"/>
        <w:jc w:val="both"/>
        <w:rPr>
          <w:sz w:val="18"/>
          <w:szCs w:val="18"/>
          <w:lang w:val="sl-SI"/>
        </w:rPr>
      </w:pPr>
      <w:r w:rsidRPr="0067287D">
        <w:rPr>
          <w:rStyle w:val="FootnoteReference"/>
          <w:sz w:val="18"/>
          <w:szCs w:val="18"/>
        </w:rPr>
        <w:footnoteRef/>
      </w:r>
      <w:r w:rsidRPr="0067287D">
        <w:rPr>
          <w:sz w:val="18"/>
          <w:szCs w:val="18"/>
        </w:rPr>
        <w:t xml:space="preserve"> </w:t>
      </w:r>
      <w:r w:rsidRPr="0067287D">
        <w:rPr>
          <w:sz w:val="18"/>
          <w:szCs w:val="18"/>
          <w:lang w:val="sl-SI"/>
        </w:rPr>
        <w:t xml:space="preserve">Kohezijski regiji sta bili ustanovljeni kot teritorialni členitvi na ravni na ravni NUTS-2 za potrebe določitve upravičenosti do sredstev evropske kohezijske EU. Vzhodno kohezijsko regijo sestavlja 8 statističnih regij, in sicer Pomurska, Podravska, Savinjska, Koroška, Zasavska, Posavska, Jugovzhodna Slovenija in Notranjsko-kraška regija. Zahodno kohezijsko regijo sestavljajo 4 statistične regije, in sicer: Gorenjska, Goriška, Obalno-kraška in Osrednjeslovenska regija. </w:t>
      </w:r>
    </w:p>
    <w:p w:rsidR="00745204" w:rsidRPr="00326C51" w:rsidRDefault="00745204">
      <w:pPr>
        <w:pStyle w:val="FootnoteText"/>
        <w:rPr>
          <w:lang w:val="sl-SI"/>
        </w:rPr>
      </w:pPr>
    </w:p>
  </w:footnote>
  <w:footnote w:id="12">
    <w:p w:rsidR="00745204" w:rsidRPr="006966B1" w:rsidRDefault="00745204" w:rsidP="00B27F5C">
      <w:pPr>
        <w:pStyle w:val="FootnoteText"/>
        <w:rPr>
          <w:sz w:val="18"/>
          <w:szCs w:val="18"/>
          <w:lang w:val="sl-SI"/>
        </w:rPr>
      </w:pPr>
      <w:r w:rsidRPr="006966B1">
        <w:rPr>
          <w:rStyle w:val="FootnoteReference"/>
          <w:sz w:val="18"/>
          <w:szCs w:val="18"/>
        </w:rPr>
        <w:footnoteRef/>
      </w:r>
      <w:r w:rsidRPr="006966B1">
        <w:rPr>
          <w:sz w:val="18"/>
          <w:szCs w:val="18"/>
        </w:rPr>
        <w:t xml:space="preserve"> Te pomoči so se dodeljevale tudi pred</w:t>
      </w:r>
      <w:r w:rsidRPr="006966B1">
        <w:rPr>
          <w:sz w:val="18"/>
          <w:szCs w:val="18"/>
          <w:lang w:val="sl-SI"/>
        </w:rPr>
        <w:t xml:space="preserve"> priglasitvijo sheme, </w:t>
      </w:r>
      <w:r w:rsidRPr="006966B1">
        <w:rPr>
          <w:sz w:val="18"/>
          <w:szCs w:val="18"/>
        </w:rPr>
        <w:t xml:space="preserve">vendar niso bile zajete v sistem spremljanja državnih pomoči.  </w:t>
      </w:r>
    </w:p>
  </w:footnote>
  <w:footnote w:id="13">
    <w:p w:rsidR="00745204" w:rsidRPr="0067287D" w:rsidRDefault="00745204" w:rsidP="003F3581">
      <w:pPr>
        <w:pStyle w:val="FootnoteText"/>
        <w:jc w:val="both"/>
        <w:rPr>
          <w:sz w:val="18"/>
          <w:szCs w:val="18"/>
          <w:lang w:val="sl-SI"/>
        </w:rPr>
      </w:pPr>
      <w:r w:rsidRPr="004E4300">
        <w:rPr>
          <w:rStyle w:val="FootnoteReference"/>
          <w:sz w:val="18"/>
          <w:szCs w:val="18"/>
        </w:rPr>
        <w:footnoteRef/>
      </w:r>
      <w:r w:rsidRPr="004E4300">
        <w:rPr>
          <w:sz w:val="18"/>
          <w:szCs w:val="18"/>
        </w:rPr>
        <w:t xml:space="preserve"> </w:t>
      </w:r>
      <w:r w:rsidRPr="004E4300">
        <w:rPr>
          <w:sz w:val="18"/>
          <w:szCs w:val="18"/>
          <w:lang w:val="sl-SI"/>
        </w:rPr>
        <w:t>Industrijske raziskave in eksperimentalni razvoj so namenjene pridobivanju novega znanja ter združevanju, oblikovanju in uporabi obstoječega znanstvenega, tehnološkega, poslovnega in drugega znanja in spretnosti s ciljem razvoja novih ali izboljšanih proizvodov, procesov ali storitev. Temeljne raziskave na drugi strani</w:t>
      </w:r>
      <w:r w:rsidRPr="004E4300">
        <w:rPr>
          <w:lang w:val="sl-SI"/>
        </w:rPr>
        <w:t xml:space="preserve"> </w:t>
      </w:r>
      <w:r w:rsidRPr="004E4300">
        <w:rPr>
          <w:sz w:val="18"/>
          <w:szCs w:val="18"/>
          <w:lang w:val="sl-SI"/>
        </w:rPr>
        <w:t xml:space="preserve">pomenijo pridobivanje novega bazičnega znanja o temeljnih principih in dejstvih in </w:t>
      </w:r>
      <w:r w:rsidRPr="004E4300">
        <w:rPr>
          <w:i/>
          <w:sz w:val="18"/>
          <w:szCs w:val="18"/>
          <w:lang w:val="sl-SI"/>
        </w:rPr>
        <w:t>niso</w:t>
      </w:r>
      <w:r w:rsidRPr="004E4300">
        <w:rPr>
          <w:sz w:val="18"/>
          <w:szCs w:val="18"/>
          <w:lang w:val="sl-SI"/>
        </w:rPr>
        <w:t xml:space="preserve"> neposredno usmerjene v tržno uporabo.</w:t>
      </w:r>
    </w:p>
  </w:footnote>
  <w:footnote w:id="14">
    <w:p w:rsidR="00745204" w:rsidRPr="00B509E1" w:rsidRDefault="00745204" w:rsidP="000F2F0D">
      <w:pPr>
        <w:rPr>
          <w:rFonts w:asciiTheme="minorHAnsi" w:hAnsiTheme="minorHAnsi"/>
          <w:sz w:val="18"/>
          <w:szCs w:val="18"/>
        </w:rPr>
      </w:pPr>
      <w:r w:rsidRPr="00B509E1">
        <w:rPr>
          <w:rStyle w:val="FootnoteReference"/>
          <w:rFonts w:asciiTheme="minorHAnsi" w:hAnsiTheme="minorHAnsi"/>
          <w:sz w:val="18"/>
          <w:szCs w:val="18"/>
        </w:rPr>
        <w:footnoteRef/>
      </w:r>
      <w:r w:rsidRPr="00B509E1">
        <w:rPr>
          <w:rFonts w:asciiTheme="minorHAnsi" w:hAnsiTheme="minorHAnsi"/>
          <w:sz w:val="18"/>
          <w:szCs w:val="18"/>
        </w:rPr>
        <w:t xml:space="preserve"> Regijska davčna olajšava za vlaganja v raziskave in razvoj, ki je bila uvedena leta 2007, najprej v višini 20 % zneska vlaganj v R&amp;R&amp;I, </w:t>
      </w:r>
      <w:r w:rsidRPr="00460CB6">
        <w:rPr>
          <w:rFonts w:asciiTheme="minorHAnsi" w:hAnsiTheme="minorHAnsi"/>
          <w:sz w:val="18"/>
          <w:szCs w:val="18"/>
        </w:rPr>
        <w:t>nato od leta 2010 v višini 40 % vlaganja v R&amp;R&amp;I,  leta 2012 pa je bila olajšava zvišana na celotni znesek vlaganj v raziskave in razvoj, s čimer je bila dodatna regijska davčna olajšava ukinjena, davčna olajšava za</w:t>
      </w:r>
      <w:r w:rsidRPr="00B509E1">
        <w:rPr>
          <w:rFonts w:asciiTheme="minorHAnsi" w:hAnsiTheme="minorHAnsi"/>
          <w:sz w:val="18"/>
          <w:szCs w:val="18"/>
        </w:rPr>
        <w:t xml:space="preserve"> R&amp;R&amp;I pa tako od leta 2012 </w:t>
      </w:r>
      <w:r w:rsidRPr="002873D2">
        <w:rPr>
          <w:rFonts w:asciiTheme="minorHAnsi" w:hAnsiTheme="minorHAnsi"/>
          <w:sz w:val="18"/>
          <w:szCs w:val="18"/>
        </w:rPr>
        <w:t>predstavlja splošni ukrep, ki velja za vsa podjetja in ne predstavlja državne pomoči.  Po podatkih FURS je bilo za leto 2017 obračunanih 242,3 mio EUR davčnih olajšav za vlaganja v RRI (268,6 mio EUR za leto 2016 in 271,6 mio EUR za leto 2015).</w:t>
      </w:r>
      <w:r w:rsidRPr="00B509E1">
        <w:rPr>
          <w:rFonts w:asciiTheme="minorHAnsi" w:hAnsiTheme="minorHAnsi"/>
          <w:sz w:val="18"/>
          <w:szCs w:val="18"/>
        </w:rPr>
        <w:t xml:space="preserve"> </w:t>
      </w:r>
    </w:p>
    <w:p w:rsidR="00745204" w:rsidRPr="000F2F0D" w:rsidRDefault="00745204" w:rsidP="000F2F0D">
      <w:pPr>
        <w:pStyle w:val="FootnoteText"/>
        <w:rPr>
          <w:lang w:val="sl-SI"/>
        </w:rPr>
      </w:pPr>
    </w:p>
  </w:footnote>
  <w:footnote w:id="15">
    <w:p w:rsidR="00745204" w:rsidRPr="00A8002B" w:rsidRDefault="00745204" w:rsidP="00C165B1">
      <w:pPr>
        <w:autoSpaceDE w:val="0"/>
        <w:autoSpaceDN w:val="0"/>
        <w:adjustRightInd w:val="0"/>
        <w:spacing w:after="0"/>
        <w:rPr>
          <w:rFonts w:asciiTheme="minorHAnsi" w:hAnsiTheme="minorHAnsi"/>
          <w:sz w:val="18"/>
          <w:szCs w:val="20"/>
        </w:rPr>
      </w:pPr>
      <w:r w:rsidRPr="00E70DEA">
        <w:rPr>
          <w:rStyle w:val="FootnoteReference"/>
          <w:sz w:val="18"/>
          <w:szCs w:val="18"/>
        </w:rPr>
        <w:footnoteRef/>
      </w:r>
      <w:r w:rsidRPr="00E70DEA">
        <w:rPr>
          <w:sz w:val="18"/>
          <w:szCs w:val="18"/>
        </w:rPr>
        <w:t xml:space="preserve"> </w:t>
      </w:r>
      <w:r w:rsidRPr="00A8002B">
        <w:rPr>
          <w:rFonts w:asciiTheme="minorHAnsi" w:hAnsiTheme="minorHAnsi"/>
          <w:sz w:val="18"/>
          <w:szCs w:val="20"/>
        </w:rPr>
        <w:t>Skladno s smernicami EU za državne pomoči (Ur. l. EU, št. C, 209, z dne 23. 7. 2013), ki veljajo za obdobje 2014–2020, se lahko regionalne pomoči dodeljujejo na območjih</w:t>
      </w:r>
      <w:r w:rsidRPr="00A8002B">
        <w:rPr>
          <w:rFonts w:asciiTheme="minorHAnsi" w:hAnsiTheme="minorHAnsi" w:cs="TimesNewRoman"/>
          <w:sz w:val="18"/>
          <w:szCs w:val="20"/>
          <w:lang w:eastAsia="sl-SI"/>
        </w:rPr>
        <w:t xml:space="preserve">, </w:t>
      </w:r>
      <w:r w:rsidRPr="00A8002B">
        <w:rPr>
          <w:rFonts w:asciiTheme="minorHAnsi" w:hAnsiTheme="minorHAnsi"/>
          <w:sz w:val="18"/>
          <w:szCs w:val="20"/>
        </w:rPr>
        <w:t xml:space="preserve">na katerih je BDP na prebivalca manjši od 75 % povprečja EU. Regionalne pomoči se lahko dodeljujejo na celotnem območju Republike Slovenije, vendar z različno intenzivnostjo, kakor je določeno z Uredbo o karti regionalne pomoči za obdobje 2014–2020 (Uradni list RS, št. </w:t>
      </w:r>
      <w:hyperlink r:id="rId2" w:tgtFrame="_blank" w:tooltip="Uredba o karti regionalne pomoči za obdobje 2014–2020" w:history="1">
        <w:r w:rsidRPr="00A8002B">
          <w:rPr>
            <w:rFonts w:asciiTheme="minorHAnsi" w:hAnsiTheme="minorHAnsi"/>
            <w:sz w:val="18"/>
            <w:szCs w:val="20"/>
          </w:rPr>
          <w:t>103/13</w:t>
        </w:r>
      </w:hyperlink>
      <w:r w:rsidRPr="00A8002B">
        <w:rPr>
          <w:rFonts w:asciiTheme="minorHAnsi" w:hAnsiTheme="minorHAnsi"/>
          <w:sz w:val="18"/>
          <w:szCs w:val="20"/>
        </w:rPr>
        <w:t xml:space="preserve">). Ta določa seznam upravičenih območij in Slovenijo razdeljuje v 2 regiji: </w:t>
      </w:r>
    </w:p>
    <w:p w:rsidR="00745204" w:rsidRPr="00A8002B" w:rsidRDefault="00745204" w:rsidP="00C93FA7">
      <w:pPr>
        <w:pStyle w:val="ListParagraph"/>
        <w:numPr>
          <w:ilvl w:val="0"/>
          <w:numId w:val="2"/>
        </w:numPr>
        <w:autoSpaceDE w:val="0"/>
        <w:autoSpaceDN w:val="0"/>
        <w:adjustRightInd w:val="0"/>
        <w:spacing w:after="0"/>
        <w:rPr>
          <w:rFonts w:asciiTheme="minorHAnsi" w:hAnsiTheme="minorHAnsi"/>
          <w:sz w:val="18"/>
          <w:szCs w:val="20"/>
        </w:rPr>
      </w:pPr>
      <w:r w:rsidRPr="00A8002B">
        <w:rPr>
          <w:rFonts w:asciiTheme="minorHAnsi" w:hAnsiTheme="minorHAnsi"/>
          <w:sz w:val="18"/>
          <w:szCs w:val="20"/>
        </w:rPr>
        <w:t xml:space="preserve">Vzhodna Slovenija oz. območje </w:t>
      </w:r>
      <w:r w:rsidRPr="00A8002B">
        <w:rPr>
          <w:rFonts w:asciiTheme="minorHAnsi" w:hAnsiTheme="minorHAnsi"/>
          <w:b/>
          <w:sz w:val="18"/>
          <w:szCs w:val="20"/>
        </w:rPr>
        <w:t>»a«,</w:t>
      </w:r>
      <w:r w:rsidRPr="00A8002B">
        <w:rPr>
          <w:rFonts w:asciiTheme="minorHAnsi" w:hAnsiTheme="minorHAnsi"/>
          <w:sz w:val="18"/>
          <w:szCs w:val="20"/>
        </w:rPr>
        <w:t xml:space="preserve"> kjer so gospodarske razmere izjemno neugodne v primerjavi z EU kot celoto, ki je upravičena do regionalne pomoči z najvišjo intenzivnostjo: 25 % za velika podjetja, 35 % za srednje velika podjetja in 45 % za mala podjetja. </w:t>
      </w:r>
    </w:p>
    <w:p w:rsidR="00745204" w:rsidRPr="00A8002B" w:rsidRDefault="00745204" w:rsidP="00C93FA7">
      <w:pPr>
        <w:pStyle w:val="ListParagraph"/>
        <w:numPr>
          <w:ilvl w:val="0"/>
          <w:numId w:val="2"/>
        </w:numPr>
        <w:autoSpaceDE w:val="0"/>
        <w:autoSpaceDN w:val="0"/>
        <w:adjustRightInd w:val="0"/>
        <w:spacing w:after="0"/>
        <w:rPr>
          <w:rFonts w:asciiTheme="minorHAnsi" w:hAnsiTheme="minorHAnsi"/>
          <w:sz w:val="18"/>
          <w:szCs w:val="20"/>
        </w:rPr>
      </w:pPr>
      <w:r w:rsidRPr="00A8002B">
        <w:rPr>
          <w:rFonts w:asciiTheme="minorHAnsi" w:hAnsiTheme="minorHAnsi"/>
          <w:sz w:val="18"/>
          <w:szCs w:val="20"/>
        </w:rPr>
        <w:t xml:space="preserve">Zahodna Slovenija oz območje </w:t>
      </w:r>
      <w:r w:rsidRPr="00A8002B">
        <w:rPr>
          <w:rFonts w:asciiTheme="minorHAnsi" w:hAnsiTheme="minorHAnsi"/>
          <w:b/>
          <w:sz w:val="18"/>
          <w:szCs w:val="20"/>
        </w:rPr>
        <w:t>»c«,</w:t>
      </w:r>
      <w:r w:rsidRPr="00A8002B">
        <w:rPr>
          <w:rFonts w:asciiTheme="minorHAnsi" w:hAnsiTheme="minorHAnsi"/>
          <w:sz w:val="18"/>
          <w:szCs w:val="20"/>
        </w:rPr>
        <w:t xml:space="preserve"> kjer so gospodarske razmere neugodne, vendar manj kot v območjih »a«, ki je zaradi višje razvitosti upravičena do nižjih intenzivnosti regionalnih pomoči: 15 % za velika podjetja, 25 % za srednje velika podjetja in 35 % za majhna podjetja (s 1. 1. 2018 se intenzivnost pomoči v Zahodni Sloveniji za podjetja vseh velikosti dodatno zmanjša za 5 odstotnih točk).</w:t>
      </w:r>
    </w:p>
  </w:footnote>
  <w:footnote w:id="16">
    <w:p w:rsidR="00745204" w:rsidRPr="0076235F" w:rsidRDefault="00745204" w:rsidP="00F40022">
      <w:pPr>
        <w:pStyle w:val="FootnoteText"/>
        <w:jc w:val="both"/>
        <w:rPr>
          <w:sz w:val="18"/>
          <w:szCs w:val="18"/>
          <w:lang w:val="sl-SI"/>
        </w:rPr>
      </w:pPr>
      <w:r w:rsidRPr="0076235F">
        <w:rPr>
          <w:rStyle w:val="FootnoteReference"/>
          <w:sz w:val="18"/>
          <w:szCs w:val="18"/>
        </w:rPr>
        <w:footnoteRef/>
      </w:r>
      <w:r w:rsidRPr="0076235F">
        <w:rPr>
          <w:sz w:val="18"/>
          <w:szCs w:val="18"/>
        </w:rPr>
        <w:t xml:space="preserve"> </w:t>
      </w:r>
      <w:r w:rsidRPr="0076235F">
        <w:rPr>
          <w:sz w:val="18"/>
          <w:szCs w:val="18"/>
          <w:lang w:val="sl-SI"/>
        </w:rPr>
        <w:t>V Vzhodni Sloveniji (regija »a«) so pomoči za začetne investicije mogoče za vsa podjetja, mala, srednje velika in velika podjetja, v Zahodni Sloveniji (regija »c«) pa lahko velika podjetja prejemajo pomoč le, če gre za vzpostavitev nove gospodarske</w:t>
      </w:r>
      <w:r>
        <w:rPr>
          <w:sz w:val="18"/>
          <w:szCs w:val="18"/>
          <w:lang w:val="sl-SI"/>
        </w:rPr>
        <w:t xml:space="preserve"> dejavnosti tj. dejavnost, ki je</w:t>
      </w:r>
      <w:r w:rsidRPr="0076235F">
        <w:rPr>
          <w:sz w:val="18"/>
          <w:szCs w:val="18"/>
          <w:lang w:val="sl-SI"/>
        </w:rPr>
        <w:t xml:space="preserve"> podjetje v zadevni regiji </w:t>
      </w:r>
      <w:r>
        <w:rPr>
          <w:sz w:val="18"/>
          <w:szCs w:val="18"/>
          <w:lang w:val="sl-SI"/>
        </w:rPr>
        <w:t xml:space="preserve">prej </w:t>
      </w:r>
      <w:r w:rsidRPr="0076235F">
        <w:rPr>
          <w:sz w:val="18"/>
          <w:szCs w:val="18"/>
          <w:lang w:val="sl-SI"/>
        </w:rPr>
        <w:t xml:space="preserve">ni izvajalo. </w:t>
      </w:r>
    </w:p>
    <w:p w:rsidR="00745204" w:rsidRPr="00E66C36" w:rsidRDefault="00745204" w:rsidP="00F40022">
      <w:pPr>
        <w:pStyle w:val="FootnoteText"/>
        <w:rPr>
          <w:lang w:val="sl-SI"/>
        </w:rPr>
      </w:pPr>
      <w:r>
        <w:rPr>
          <w:lang w:val="sl-SI"/>
        </w:rPr>
        <w:t xml:space="preserve"> </w:t>
      </w:r>
    </w:p>
  </w:footnote>
  <w:footnote w:id="17">
    <w:p w:rsidR="00745204" w:rsidRPr="00B509E1" w:rsidRDefault="00745204" w:rsidP="00B509E1">
      <w:pPr>
        <w:pStyle w:val="FootnoteText"/>
        <w:jc w:val="both"/>
        <w:rPr>
          <w:sz w:val="18"/>
          <w:szCs w:val="18"/>
          <w:lang w:val="sl-SI"/>
        </w:rPr>
      </w:pPr>
      <w:r w:rsidRPr="00B509E1">
        <w:rPr>
          <w:rStyle w:val="FootnoteReference"/>
          <w:sz w:val="18"/>
          <w:szCs w:val="18"/>
        </w:rPr>
        <w:footnoteRef/>
      </w:r>
      <w:r w:rsidRPr="00B509E1">
        <w:rPr>
          <w:sz w:val="18"/>
          <w:szCs w:val="18"/>
        </w:rPr>
        <w:t xml:space="preserve"> </w:t>
      </w:r>
      <w:r w:rsidRPr="00B509E1">
        <w:rPr>
          <w:sz w:val="18"/>
          <w:szCs w:val="18"/>
          <w:lang w:val="sl-SI"/>
        </w:rPr>
        <w:t>Pomoč za tvegano financiranje za MSP vključuje pomoč za financiranje tveganja, ki se izvaja preko družb tveganega kapitala oz. finančnih posrednikov in (neposredno) pomoč v obliki tveganega kapitala za novoustanovljena podjetja v obliki posojil, garancij ter nepovratnih sredstev, vključno s kapitalskimi naložbami. Po letu 2014 se pomoči za tvegano financiranje oz. tvegani kapital obravnavajo kot namen pomoči za MSP in ne več kot ločena kategorija pomoči. Tej logiki sledi tudi 19. letno poročilo o državnih pomočeh za leta 2015, 2016 in 2017.</w:t>
      </w:r>
    </w:p>
  </w:footnote>
  <w:footnote w:id="18">
    <w:p w:rsidR="00745204" w:rsidRPr="00B509E1" w:rsidRDefault="00745204" w:rsidP="00B509E1">
      <w:pPr>
        <w:pStyle w:val="FootnoteText"/>
        <w:jc w:val="both"/>
        <w:rPr>
          <w:sz w:val="18"/>
          <w:szCs w:val="18"/>
          <w:lang w:val="sl-SI"/>
        </w:rPr>
      </w:pPr>
      <w:r w:rsidRPr="00B509E1">
        <w:rPr>
          <w:rStyle w:val="FootnoteReference"/>
          <w:sz w:val="18"/>
          <w:szCs w:val="18"/>
        </w:rPr>
        <w:footnoteRef/>
      </w:r>
      <w:r w:rsidRPr="00B509E1">
        <w:rPr>
          <w:sz w:val="18"/>
          <w:szCs w:val="18"/>
        </w:rPr>
        <w:t xml:space="preserve"> </w:t>
      </w:r>
      <w:r w:rsidRPr="00B509E1">
        <w:rPr>
          <w:sz w:val="18"/>
          <w:szCs w:val="18"/>
          <w:lang w:val="sl-SI"/>
        </w:rPr>
        <w:t>V 18. poročilu o državnih pomočeh za leta 2014, 2015 in 2016, je za leto 2016 naveden podatek o izplačanih pomočeh za MSP v višini 3,72 mio EUR. Do razlike je prišlo zaradi popravkov, izvedenih v letu 2018, skladno s katerimi so pomoči, ki so bile namenjene za MSP, vendar so bile dodeljene po regionalnih shemah, sedaj (ustrezno) poročane pod kategorijo Regionalne pomoči, skupaj gre za 1,6 mio EUR.</w:t>
      </w:r>
    </w:p>
  </w:footnote>
  <w:footnote w:id="19">
    <w:p w:rsidR="00745204" w:rsidRPr="00B509E1" w:rsidRDefault="00745204" w:rsidP="00B509E1">
      <w:pPr>
        <w:spacing w:after="0"/>
        <w:rPr>
          <w:rFonts w:asciiTheme="minorHAnsi" w:hAnsiTheme="minorHAnsi"/>
          <w:sz w:val="18"/>
          <w:szCs w:val="18"/>
          <w:lang w:eastAsia="x-none"/>
        </w:rPr>
      </w:pPr>
      <w:r w:rsidRPr="00B509E1">
        <w:rPr>
          <w:rStyle w:val="FootnoteReference"/>
          <w:sz w:val="18"/>
          <w:szCs w:val="18"/>
          <w:lang w:val="x-none"/>
        </w:rPr>
        <w:footnoteRef/>
      </w:r>
      <w:r w:rsidRPr="00B509E1">
        <w:rPr>
          <w:rStyle w:val="FootnoteReference"/>
          <w:sz w:val="18"/>
          <w:szCs w:val="18"/>
          <w:lang w:val="x-none"/>
        </w:rPr>
        <w:t xml:space="preserve"> </w:t>
      </w:r>
      <w:r w:rsidRPr="00B509E1">
        <w:rPr>
          <w:rFonts w:asciiTheme="minorHAnsi" w:hAnsiTheme="minorHAnsi"/>
          <w:sz w:val="18"/>
          <w:szCs w:val="18"/>
          <w:lang w:eastAsia="x-none"/>
        </w:rPr>
        <w:t>Vključujejo tudi sredstva, ki se za svetovanje MSP namenjajo v okviru programov evropskega teritorialnega sodelovanja. Vse pomoči so bile izplačane v obliki subvencij.</w:t>
      </w:r>
    </w:p>
  </w:footnote>
  <w:footnote w:id="20">
    <w:p w:rsidR="00745204" w:rsidRPr="00B509E1" w:rsidRDefault="00745204" w:rsidP="0067287D">
      <w:pPr>
        <w:rPr>
          <w:rFonts w:asciiTheme="minorHAnsi" w:hAnsiTheme="minorHAnsi"/>
          <w:sz w:val="18"/>
          <w:szCs w:val="18"/>
        </w:rPr>
      </w:pPr>
      <w:r w:rsidRPr="00B509E1">
        <w:rPr>
          <w:rStyle w:val="FootnoteReference"/>
          <w:sz w:val="18"/>
          <w:szCs w:val="18"/>
        </w:rPr>
        <w:footnoteRef/>
      </w:r>
      <w:r w:rsidRPr="00B509E1">
        <w:rPr>
          <w:rFonts w:asciiTheme="minorHAnsi" w:hAnsiTheme="minorHAnsi"/>
          <w:sz w:val="18"/>
          <w:szCs w:val="18"/>
        </w:rPr>
        <w:t xml:space="preserve">Davek na tonažo omogoča ladijskim prevoznikom, ki sodelujejo v dejavnostih mednarodnega pomorskega prometa in upravljajo eno ali več ladij, da davek obračunajo na podlagi neto tonaže </w:t>
      </w:r>
      <w:r w:rsidRPr="00BF3ADC">
        <w:rPr>
          <w:rFonts w:asciiTheme="minorHAnsi" w:hAnsiTheme="minorHAnsi"/>
          <w:sz w:val="18"/>
          <w:szCs w:val="18"/>
        </w:rPr>
        <w:t>flote (in ne na</w:t>
      </w:r>
      <w:r w:rsidRPr="00B509E1">
        <w:rPr>
          <w:rFonts w:asciiTheme="minorHAnsi" w:hAnsiTheme="minorHAnsi"/>
          <w:sz w:val="18"/>
          <w:szCs w:val="18"/>
        </w:rPr>
        <w:t xml:space="preserve"> osnovi dejanskega dobička).  Namen pomoči je spodbuditi konkurenčnost slovenskih lastnikov ladij, ohranjati delovna mesta ter pom</w:t>
      </w:r>
      <w:r>
        <w:rPr>
          <w:rFonts w:asciiTheme="minorHAnsi" w:hAnsiTheme="minorHAnsi"/>
          <w:sz w:val="18"/>
          <w:szCs w:val="18"/>
        </w:rPr>
        <w:t>orsko strokovno znanje in izkuš</w:t>
      </w:r>
      <w:r w:rsidRPr="00B509E1">
        <w:rPr>
          <w:rFonts w:asciiTheme="minorHAnsi" w:hAnsiTheme="minorHAnsi"/>
          <w:sz w:val="18"/>
          <w:szCs w:val="18"/>
        </w:rPr>
        <w:t xml:space="preserve">nje. V celotnem obdobju trajanja ukrepa je državna pomoč znašala 23,51 mio EUR.  </w:t>
      </w:r>
    </w:p>
    <w:p w:rsidR="00745204" w:rsidRPr="00037F4E" w:rsidRDefault="00745204">
      <w:pPr>
        <w:pStyle w:val="FootnoteText"/>
        <w:rPr>
          <w:sz w:val="20"/>
          <w:lang w:val="sl-SI"/>
        </w:rPr>
      </w:pPr>
    </w:p>
  </w:footnote>
  <w:footnote w:id="21">
    <w:p w:rsidR="00745204" w:rsidRPr="00B509E1" w:rsidRDefault="00745204" w:rsidP="00B509E1">
      <w:pPr>
        <w:rPr>
          <w:rFonts w:asciiTheme="minorHAnsi" w:hAnsiTheme="minorHAnsi"/>
          <w:sz w:val="18"/>
          <w:szCs w:val="18"/>
        </w:rPr>
      </w:pPr>
      <w:r w:rsidRPr="00E116E8">
        <w:rPr>
          <w:rStyle w:val="FootnoteReference"/>
          <w:sz w:val="18"/>
          <w:szCs w:val="18"/>
        </w:rPr>
        <w:footnoteRef/>
      </w:r>
      <w:r w:rsidRPr="00E116E8">
        <w:rPr>
          <w:sz w:val="18"/>
          <w:szCs w:val="18"/>
        </w:rPr>
        <w:t xml:space="preserve"> </w:t>
      </w:r>
      <w:r w:rsidRPr="00E116E8">
        <w:rPr>
          <w:rFonts w:asciiTheme="minorHAnsi" w:hAnsiTheme="minorHAnsi"/>
          <w:sz w:val="18"/>
          <w:szCs w:val="18"/>
        </w:rPr>
        <w:t>Javna sredstva za zapiranje rudnikov so se izplačevala tudi pred letom 2001, kot nepriglašena pomoč, in sicer za zapiranje Rudnika Kanižarica, Rudnika Zagorje, Rudnika Senovo in Rudnika Žirovski vrh, Rudnika svinčeve in cinkove rude Mežica –</w:t>
      </w:r>
      <w:r w:rsidRPr="00B509E1">
        <w:rPr>
          <w:rFonts w:asciiTheme="minorHAnsi" w:hAnsiTheme="minorHAnsi"/>
          <w:sz w:val="18"/>
          <w:szCs w:val="18"/>
        </w:rPr>
        <w:t xml:space="preserve"> prejemnik pomoči ni bil rud</w:t>
      </w:r>
      <w:r>
        <w:rPr>
          <w:rFonts w:asciiTheme="minorHAnsi" w:hAnsiTheme="minorHAnsi"/>
          <w:sz w:val="18"/>
          <w:szCs w:val="18"/>
        </w:rPr>
        <w:t>nik</w:t>
      </w:r>
      <w:r w:rsidRPr="00B509E1">
        <w:rPr>
          <w:rFonts w:asciiTheme="minorHAnsi" w:hAnsiTheme="minorHAnsi"/>
          <w:sz w:val="18"/>
          <w:szCs w:val="18"/>
        </w:rPr>
        <w:t xml:space="preserve">. Po podatkih iz evidence državnih pomoči, ki pa se je v tem obdobju šele vzpostavljala in zato še ni bila popolnoma zanesljiva, je bilo rudnikom v letih 1998–2000 izplačanih nekaj več kot 43 mio EUR pomoči. </w:t>
      </w:r>
    </w:p>
    <w:p w:rsidR="00745204" w:rsidRPr="00F96760" w:rsidRDefault="00745204" w:rsidP="00E979BC">
      <w:pPr>
        <w:pStyle w:val="FootnoteText"/>
        <w:rPr>
          <w:lang w:val="sl-SI"/>
        </w:rPr>
      </w:pPr>
    </w:p>
  </w:footnote>
  <w:footnote w:id="22">
    <w:p w:rsidR="00745204" w:rsidRPr="00F85069" w:rsidRDefault="00745204" w:rsidP="00B1120D">
      <w:pPr>
        <w:rPr>
          <w:rFonts w:asciiTheme="minorHAnsi" w:hAnsiTheme="minorHAnsi"/>
          <w:sz w:val="18"/>
          <w:szCs w:val="18"/>
        </w:rPr>
      </w:pPr>
      <w:r w:rsidRPr="00F85069">
        <w:rPr>
          <w:rStyle w:val="FootnoteReference"/>
          <w:sz w:val="18"/>
          <w:szCs w:val="18"/>
        </w:rPr>
        <w:footnoteRef/>
      </w:r>
      <w:r w:rsidRPr="00F85069">
        <w:rPr>
          <w:sz w:val="18"/>
          <w:szCs w:val="18"/>
        </w:rPr>
        <w:t xml:space="preserve"> </w:t>
      </w:r>
      <w:r w:rsidRPr="00F85069">
        <w:rPr>
          <w:rFonts w:asciiTheme="minorHAnsi" w:hAnsiTheme="minorHAnsi"/>
          <w:sz w:val="18"/>
          <w:szCs w:val="18"/>
        </w:rPr>
        <w:t xml:space="preserve">Pomoči za odpravo posledic naravnih nesreč ne vključujejo pomoči za nadomestilo škode in opravo posledic naravnih nesreč v kmetijstvu, ribištvu in delu gozdarstva, ki se obravnavajo po pravilih za državne pomoči za področje kmetijstva in ribištva. Te pomoči so predstavljene v okviru poglavja 4.12 – Kmetijstvo in ribištvo. </w:t>
      </w:r>
    </w:p>
    <w:p w:rsidR="00745204" w:rsidRPr="0057114E" w:rsidRDefault="00745204" w:rsidP="00B1120D">
      <w:pPr>
        <w:rPr>
          <w:sz w:val="16"/>
          <w:szCs w:val="16"/>
        </w:rPr>
      </w:pPr>
    </w:p>
  </w:footnote>
  <w:footnote w:id="23">
    <w:p w:rsidR="00745204" w:rsidRPr="00F85069" w:rsidRDefault="00745204" w:rsidP="00AE473F">
      <w:pPr>
        <w:pStyle w:val="FootnoteText"/>
        <w:jc w:val="both"/>
        <w:rPr>
          <w:sz w:val="18"/>
          <w:szCs w:val="18"/>
          <w:lang w:val="sl-SI"/>
        </w:rPr>
      </w:pPr>
      <w:r w:rsidRPr="00F85069">
        <w:rPr>
          <w:rStyle w:val="FootnoteReference"/>
          <w:sz w:val="18"/>
          <w:szCs w:val="18"/>
        </w:rPr>
        <w:footnoteRef/>
      </w:r>
      <w:r w:rsidRPr="00F85069">
        <w:rPr>
          <w:sz w:val="18"/>
          <w:szCs w:val="18"/>
          <w:lang w:val="sl-SI"/>
        </w:rPr>
        <w:t xml:space="preserve"> Po pojasnilu Ministrstva za kmetijstvo, gozdarstvo in prehrano sheme pomoči za izvajanje javnih služb, ki so bile uvrščene na seznam obstoječih državnih pomoči v okviru pristopne pogodbe RS k EU zaradi pravne varnosti, po preteku prehodnega obdobja (31. 12. 2013), niso več na sez</w:t>
      </w:r>
      <w:r>
        <w:rPr>
          <w:sz w:val="18"/>
          <w:szCs w:val="18"/>
          <w:lang w:val="sl-SI"/>
        </w:rPr>
        <w:t>namu obstoječih državnih pomoči, zato se javni izdatki za izvajanje javnih služb od leta 2016 naprej ne obravnavajo več kot državne pomoči.</w:t>
      </w:r>
      <w:r w:rsidRPr="00F85069">
        <w:rPr>
          <w:sz w:val="18"/>
          <w:szCs w:val="18"/>
          <w:lang w:val="sl-SI"/>
        </w:rPr>
        <w:t xml:space="preserve"> </w:t>
      </w:r>
      <w:r>
        <w:rPr>
          <w:sz w:val="18"/>
          <w:szCs w:val="18"/>
          <w:lang w:val="sl-SI"/>
        </w:rPr>
        <w:t xml:space="preserve">Po podatkih </w:t>
      </w:r>
      <w:r w:rsidRPr="00F85069">
        <w:rPr>
          <w:sz w:val="18"/>
          <w:szCs w:val="18"/>
          <w:lang w:val="sl-SI"/>
        </w:rPr>
        <w:t>Ministrstva za kme</w:t>
      </w:r>
      <w:r>
        <w:rPr>
          <w:sz w:val="18"/>
          <w:szCs w:val="18"/>
          <w:lang w:val="sl-SI"/>
        </w:rPr>
        <w:t>tijstvo, gozdarstvo in prehrano</w:t>
      </w:r>
      <w:r w:rsidRPr="00F85069">
        <w:rPr>
          <w:sz w:val="18"/>
          <w:szCs w:val="18"/>
          <w:lang w:val="sl-SI"/>
        </w:rPr>
        <w:t xml:space="preserve"> je bilo za izvajanje javne službe na področju kmetijstva v letu 2015 izplačanih 44,5</w:t>
      </w:r>
      <w:r>
        <w:rPr>
          <w:sz w:val="18"/>
          <w:szCs w:val="18"/>
          <w:lang w:val="sl-SI"/>
        </w:rPr>
        <w:t>3</w:t>
      </w:r>
      <w:r w:rsidRPr="00F85069">
        <w:rPr>
          <w:sz w:val="18"/>
          <w:szCs w:val="18"/>
          <w:lang w:val="sl-SI"/>
        </w:rPr>
        <w:t xml:space="preserve"> mio EUR</w:t>
      </w:r>
      <w:r>
        <w:rPr>
          <w:sz w:val="18"/>
          <w:szCs w:val="18"/>
          <w:lang w:val="sl-SI"/>
        </w:rPr>
        <w:t xml:space="preserve">, kar pomeni, da je bilo državnih pomoči brez javnih služb v letu 2015 za 17,26 mio EUR. </w:t>
      </w:r>
      <w:r w:rsidRPr="00F85069">
        <w:rPr>
          <w:sz w:val="18"/>
          <w:szCs w:val="18"/>
          <w:lang w:val="sl-SI"/>
        </w:rPr>
        <w:t xml:space="preserve">  </w:t>
      </w:r>
    </w:p>
  </w:footnote>
  <w:footnote w:id="24">
    <w:p w:rsidR="00745204" w:rsidRPr="00F85069" w:rsidRDefault="00745204" w:rsidP="004F08F8">
      <w:pPr>
        <w:pStyle w:val="FootnoteText"/>
        <w:jc w:val="both"/>
        <w:rPr>
          <w:sz w:val="18"/>
          <w:szCs w:val="18"/>
          <w:lang w:val="sl-SI"/>
        </w:rPr>
      </w:pPr>
      <w:r w:rsidRPr="00F85069">
        <w:rPr>
          <w:rStyle w:val="FootnoteReference"/>
          <w:sz w:val="18"/>
          <w:szCs w:val="18"/>
        </w:rPr>
        <w:footnoteRef/>
      </w:r>
      <w:r w:rsidRPr="00F85069">
        <w:rPr>
          <w:sz w:val="18"/>
          <w:szCs w:val="18"/>
        </w:rPr>
        <w:t xml:space="preserve"> </w:t>
      </w:r>
      <w:r w:rsidRPr="00F85069">
        <w:rPr>
          <w:sz w:val="18"/>
          <w:szCs w:val="18"/>
          <w:lang w:val="sl-SI"/>
        </w:rPr>
        <w:t xml:space="preserve">Skladno s pravili EU na področju kmetijstva in ribištva javni izdatki za ukrepe Programa razvoja podeželja RS za obdobje 2014–2020, ki so vezani na dejavnost v okviru proizvodov iz priloge I PDEU in na ukrepe iz Operativnega programa za izvajanje Evropskega sklada za pomorstvo in ribištvo v RS za obdobja 2014–2020, ne predstavljajo državne pomoči, ki bi jo bilo potrebno priglasiti Evropski komisiji. Kot državne pomoči se obravnavajo le javni izdatki za dejavnosti, ki niso povezane s proizvodi iz omenjene priloge I, npr. predelava proizvodov iz priloge I v proizvode, ki niso našteti v prilogi I, in njihovo trženje, dejavnosti na področju gozdarstva, turizma ipd. V teh primerih se pravila o državnih pomočeh neposredno in v celoti uporabljajo. </w:t>
      </w:r>
    </w:p>
  </w:footnote>
  <w:footnote w:id="25">
    <w:p w:rsidR="00745204" w:rsidRPr="00573F22" w:rsidRDefault="00745204" w:rsidP="00573F22">
      <w:pPr>
        <w:rPr>
          <w:rFonts w:asciiTheme="minorHAnsi" w:hAnsiTheme="minorHAnsi"/>
          <w:sz w:val="18"/>
          <w:szCs w:val="18"/>
        </w:rPr>
      </w:pPr>
      <w:r w:rsidRPr="002873D2">
        <w:rPr>
          <w:rStyle w:val="FootnoteReference"/>
          <w:rFonts w:asciiTheme="minorHAnsi" w:hAnsiTheme="minorHAnsi"/>
          <w:sz w:val="18"/>
          <w:szCs w:val="18"/>
        </w:rPr>
        <w:footnoteRef/>
      </w:r>
      <w:r w:rsidRPr="002873D2">
        <w:rPr>
          <w:rFonts w:asciiTheme="minorHAnsi" w:hAnsiTheme="minorHAnsi"/>
          <w:sz w:val="18"/>
          <w:szCs w:val="18"/>
        </w:rPr>
        <w:t xml:space="preserve"> Pomoči </w:t>
      </w:r>
      <w:r w:rsidRPr="002873D2">
        <w:rPr>
          <w:rFonts w:asciiTheme="minorHAnsi" w:hAnsiTheme="minorHAnsi"/>
          <w:i/>
          <w:sz w:val="18"/>
          <w:szCs w:val="18"/>
        </w:rPr>
        <w:t>de minimis</w:t>
      </w:r>
      <w:r w:rsidRPr="002873D2">
        <w:rPr>
          <w:rFonts w:asciiTheme="minorHAnsi" w:hAnsiTheme="minorHAnsi"/>
          <w:sz w:val="18"/>
          <w:szCs w:val="18"/>
        </w:rPr>
        <w:t xml:space="preserve"> ni potrebno priglasiti Komisiji, države članice pa so dolžne voditi evidenco o dodeljenih </w:t>
      </w:r>
      <w:r w:rsidRPr="002873D2">
        <w:rPr>
          <w:rFonts w:asciiTheme="minorHAnsi" w:hAnsiTheme="minorHAnsi"/>
          <w:i/>
          <w:sz w:val="18"/>
          <w:szCs w:val="18"/>
        </w:rPr>
        <w:t>de minimis</w:t>
      </w:r>
      <w:r w:rsidRPr="002873D2">
        <w:rPr>
          <w:rFonts w:asciiTheme="minorHAnsi" w:hAnsiTheme="minorHAnsi"/>
          <w:sz w:val="18"/>
          <w:szCs w:val="18"/>
        </w:rPr>
        <w:t xml:space="preserve"> pomočeh. Skladno z Zakonom o spremljanju državnih in </w:t>
      </w:r>
      <w:r w:rsidRPr="002873D2">
        <w:rPr>
          <w:rFonts w:asciiTheme="minorHAnsi" w:hAnsiTheme="minorHAnsi"/>
          <w:i/>
          <w:sz w:val="18"/>
          <w:szCs w:val="18"/>
        </w:rPr>
        <w:t xml:space="preserve">de minimis </w:t>
      </w:r>
      <w:r w:rsidRPr="002873D2">
        <w:rPr>
          <w:rFonts w:asciiTheme="minorHAnsi" w:hAnsiTheme="minorHAnsi"/>
          <w:sz w:val="18"/>
          <w:szCs w:val="18"/>
        </w:rPr>
        <w:t xml:space="preserve">pomoči je potrebno pomoči </w:t>
      </w:r>
      <w:r w:rsidRPr="002873D2">
        <w:rPr>
          <w:rFonts w:asciiTheme="minorHAnsi" w:hAnsiTheme="minorHAnsi"/>
          <w:i/>
          <w:sz w:val="18"/>
          <w:szCs w:val="18"/>
        </w:rPr>
        <w:t xml:space="preserve">de minimis </w:t>
      </w:r>
      <w:r w:rsidRPr="002873D2">
        <w:rPr>
          <w:rFonts w:asciiTheme="minorHAnsi" w:hAnsiTheme="minorHAnsi"/>
          <w:sz w:val="18"/>
          <w:szCs w:val="18"/>
        </w:rPr>
        <w:t xml:space="preserve">priglasiti Ministrstvu za finance in v 15 dneh po dodelitvi pomoči o tem ministrstvu tudi poročati. Ministrstvo za finance vodi natančno evidenco o dodeljenih pomočeh </w:t>
      </w:r>
      <w:r w:rsidRPr="002873D2">
        <w:rPr>
          <w:rFonts w:asciiTheme="minorHAnsi" w:hAnsiTheme="minorHAnsi"/>
          <w:i/>
          <w:sz w:val="18"/>
          <w:szCs w:val="18"/>
        </w:rPr>
        <w:t xml:space="preserve">de minimis </w:t>
      </w:r>
      <w:r w:rsidRPr="002873D2">
        <w:rPr>
          <w:rFonts w:asciiTheme="minorHAnsi" w:hAnsiTheme="minorHAnsi"/>
          <w:sz w:val="18"/>
          <w:szCs w:val="18"/>
        </w:rPr>
        <w:t xml:space="preserve">od leta 2002. Slovenija je ena redkih držav EU, ki ima vzpostavljen sistem spremljanja </w:t>
      </w:r>
      <w:r w:rsidRPr="002873D2">
        <w:rPr>
          <w:rFonts w:asciiTheme="minorHAnsi" w:hAnsiTheme="minorHAnsi"/>
          <w:i/>
          <w:sz w:val="18"/>
          <w:szCs w:val="18"/>
        </w:rPr>
        <w:t xml:space="preserve">de minimis </w:t>
      </w:r>
      <w:r w:rsidRPr="002873D2">
        <w:rPr>
          <w:rFonts w:asciiTheme="minorHAnsi" w:hAnsiTheme="minorHAnsi"/>
          <w:sz w:val="18"/>
          <w:szCs w:val="18"/>
        </w:rPr>
        <w:t>pomoči tudi na lokalni ravni.</w:t>
      </w:r>
      <w:r w:rsidRPr="00573F22">
        <w:rPr>
          <w:rFonts w:asciiTheme="minorHAnsi" w:hAnsiTheme="minorHAnsi"/>
          <w:sz w:val="18"/>
          <w:szCs w:val="18"/>
        </w:rPr>
        <w:t xml:space="preserve"> </w:t>
      </w:r>
    </w:p>
    <w:p w:rsidR="00745204" w:rsidRPr="006D6DE2" w:rsidRDefault="00745204" w:rsidP="0053350A">
      <w:pPr>
        <w:pStyle w:val="FootnoteText"/>
        <w:rPr>
          <w:lang w:val="sl-SI"/>
        </w:rPr>
      </w:pPr>
    </w:p>
  </w:footnote>
  <w:footnote w:id="26">
    <w:p w:rsidR="00745204" w:rsidRPr="00337939" w:rsidRDefault="00745204" w:rsidP="004C734C">
      <w:pPr>
        <w:pStyle w:val="FootnoteText"/>
        <w:jc w:val="both"/>
        <w:rPr>
          <w:lang w:val="sl-SI"/>
        </w:rPr>
      </w:pPr>
      <w:r>
        <w:rPr>
          <w:rStyle w:val="FootnoteReference"/>
        </w:rPr>
        <w:footnoteRef/>
      </w:r>
      <w:r>
        <w:t xml:space="preserve"> </w:t>
      </w:r>
      <w:r w:rsidRPr="005B49DD">
        <w:rPr>
          <w:sz w:val="18"/>
          <w:szCs w:val="18"/>
          <w:lang w:val="sl-SI"/>
        </w:rPr>
        <w:t>Pregled ne vsebuje podatka o veljavnih shemah državnih pomoči Ministrstva za kmetijstvo, gozdarstvo in prehrano.</w:t>
      </w:r>
      <w:r>
        <w:rPr>
          <w:sz w:val="18"/>
          <w:szCs w:val="18"/>
          <w:lang w:val="sl-SI"/>
        </w:rPr>
        <w:t xml:space="preserve"> Seznam vseh shem pomoči v </w:t>
      </w:r>
      <w:r w:rsidRPr="00C0798C">
        <w:rPr>
          <w:sz w:val="18"/>
          <w:szCs w:val="18"/>
          <w:lang w:val="sl-SI"/>
        </w:rPr>
        <w:t>obdobju 2015–2017 je v Prilogi Č.</w:t>
      </w:r>
    </w:p>
  </w:footnote>
  <w:footnote w:id="27">
    <w:p w:rsidR="00745204" w:rsidRPr="007B3DC7" w:rsidRDefault="00745204" w:rsidP="007B3DC7">
      <w:pPr>
        <w:pStyle w:val="FootnoteText"/>
        <w:jc w:val="both"/>
        <w:rPr>
          <w:color w:val="FF0000"/>
          <w:sz w:val="18"/>
          <w:szCs w:val="18"/>
          <w:lang w:val="sl-SI"/>
        </w:rPr>
      </w:pPr>
      <w:r w:rsidRPr="007F61FE">
        <w:rPr>
          <w:rStyle w:val="FootnoteReference"/>
          <w:sz w:val="18"/>
          <w:szCs w:val="18"/>
        </w:rPr>
        <w:footnoteRef/>
      </w:r>
      <w:r w:rsidRPr="007F61FE">
        <w:rPr>
          <w:sz w:val="18"/>
          <w:szCs w:val="18"/>
        </w:rPr>
        <w:t xml:space="preserve"> </w:t>
      </w:r>
      <w:r w:rsidRPr="007F61FE">
        <w:rPr>
          <w:sz w:val="18"/>
          <w:szCs w:val="18"/>
          <w:lang w:val="sl-SI"/>
        </w:rPr>
        <w:t>Pri razvrščanju podjetij po velikosti so bili upoštevani podatki o velikosti podjetja v AJPES bazi, ki pri razvrščanju upošteva število zaposlenih, čiste prihodke od prodaje in vrednost aktive. Enote, za katere se velikost po Ajpes ne izračunava (predvsem zavodi, holdingi, društva, s.p.) so bile razvrščena v ustrezno kategorijo velikosti upoštevajoč število zaposlenih.</w:t>
      </w:r>
      <w:r w:rsidRPr="007B3DC7">
        <w:rPr>
          <w:sz w:val="18"/>
          <w:szCs w:val="18"/>
          <w:lang w:val="sl-SI"/>
        </w:rPr>
        <w:t xml:space="preserve"> </w:t>
      </w:r>
    </w:p>
  </w:footnote>
  <w:footnote w:id="28">
    <w:p w:rsidR="00745204" w:rsidRPr="007F61FE" w:rsidRDefault="00745204" w:rsidP="001E01AD">
      <w:pPr>
        <w:spacing w:after="0"/>
        <w:rPr>
          <w:rFonts w:asciiTheme="minorHAnsi" w:hAnsiTheme="minorHAnsi"/>
          <w:sz w:val="18"/>
          <w:szCs w:val="18"/>
        </w:rPr>
      </w:pPr>
      <w:r w:rsidRPr="007F61FE">
        <w:rPr>
          <w:rStyle w:val="FootnoteReference"/>
          <w:sz w:val="18"/>
          <w:szCs w:val="18"/>
        </w:rPr>
        <w:footnoteRef/>
      </w:r>
      <w:r w:rsidRPr="007F61FE">
        <w:rPr>
          <w:sz w:val="18"/>
          <w:szCs w:val="18"/>
        </w:rPr>
        <w:t xml:space="preserve"> </w:t>
      </w:r>
      <w:r w:rsidRPr="007F61FE">
        <w:rPr>
          <w:rFonts w:asciiTheme="minorHAnsi" w:hAnsiTheme="minorHAnsi"/>
          <w:sz w:val="18"/>
          <w:szCs w:val="18"/>
        </w:rPr>
        <w:t xml:space="preserve">Podatek prikazuje izplačila državnih pomoči podjetjem, ki so bili </w:t>
      </w:r>
      <w:r w:rsidRPr="007F61FE">
        <w:rPr>
          <w:rFonts w:asciiTheme="minorHAnsi" w:hAnsiTheme="minorHAnsi"/>
          <w:i/>
          <w:sz w:val="18"/>
          <w:szCs w:val="18"/>
        </w:rPr>
        <w:t>na dan izpisa</w:t>
      </w:r>
      <w:r w:rsidRPr="007F61FE">
        <w:rPr>
          <w:rFonts w:asciiTheme="minorHAnsi" w:hAnsiTheme="minorHAnsi"/>
          <w:sz w:val="18"/>
          <w:szCs w:val="18"/>
        </w:rPr>
        <w:t xml:space="preserve"> iz Ajpes baze, 14.9.2018 v stečaju in so prejemala pomoč v letih 2015–2017. V skladu s pravili državnih pomoč</w:t>
      </w:r>
      <w:r>
        <w:rPr>
          <w:rFonts w:asciiTheme="minorHAnsi" w:hAnsiTheme="minorHAnsi"/>
          <w:sz w:val="18"/>
          <w:szCs w:val="18"/>
        </w:rPr>
        <w:t>i se pomoč lahko dodeli podjetju</w:t>
      </w:r>
      <w:r w:rsidRPr="007F61FE">
        <w:rPr>
          <w:rFonts w:asciiTheme="minorHAnsi" w:hAnsiTheme="minorHAnsi"/>
          <w:sz w:val="18"/>
          <w:szCs w:val="18"/>
        </w:rPr>
        <w:t xml:space="preserve">, ki </w:t>
      </w:r>
      <w:r w:rsidRPr="007F61FE">
        <w:rPr>
          <w:rFonts w:asciiTheme="minorHAnsi" w:hAnsiTheme="minorHAnsi"/>
          <w:i/>
          <w:sz w:val="18"/>
          <w:szCs w:val="18"/>
        </w:rPr>
        <w:t xml:space="preserve">na dan odobritve </w:t>
      </w:r>
      <w:r>
        <w:rPr>
          <w:rFonts w:asciiTheme="minorHAnsi" w:hAnsiTheme="minorHAnsi"/>
          <w:sz w:val="18"/>
          <w:szCs w:val="18"/>
        </w:rPr>
        <w:t>pomoči</w:t>
      </w:r>
      <w:r w:rsidRPr="007F61FE">
        <w:rPr>
          <w:rFonts w:asciiTheme="minorHAnsi" w:hAnsiTheme="minorHAnsi"/>
          <w:sz w:val="18"/>
          <w:szCs w:val="18"/>
        </w:rPr>
        <w:t xml:space="preserve"> ni podjetje v težavah. Izjema so pomoči za reševanje in prestrukturiranje. Skladno s pravili državnih pomoči se pomoč torej ne sme dodeliti podjetju v težavah, ko pa je pomoč enkrat dodeljena, dajalcu pomoči ni več potrebno preverjati statusa podjetja (kar pomeni, da se pomoč lahko izplačuje tudi podjetju, ki je v stečaju oz. gre v stečaj kmalu po tem ko je še dobivalo pomoč).</w:t>
      </w:r>
    </w:p>
    <w:p w:rsidR="00745204" w:rsidRPr="001E01AD" w:rsidRDefault="00745204">
      <w:pPr>
        <w:pStyle w:val="FootnoteText"/>
        <w:rPr>
          <w:sz w:val="18"/>
          <w:szCs w:val="18"/>
          <w:lang w:val="sl-SI"/>
        </w:rPr>
      </w:pPr>
    </w:p>
  </w:footnote>
  <w:footnote w:id="29">
    <w:p w:rsidR="00745204" w:rsidRPr="00313D61" w:rsidRDefault="00745204" w:rsidP="00313D61">
      <w:pPr>
        <w:pStyle w:val="FootnoteText"/>
        <w:jc w:val="both"/>
        <w:rPr>
          <w:lang w:val="sl-SI"/>
        </w:rPr>
      </w:pPr>
      <w:r>
        <w:rPr>
          <w:rStyle w:val="FootnoteReference"/>
        </w:rPr>
        <w:footnoteRef/>
      </w:r>
      <w:r w:rsidR="00064C07">
        <w:rPr>
          <w:sz w:val="18"/>
          <w:szCs w:val="18"/>
        </w:rPr>
        <w:t>Aplikativni projekt</w:t>
      </w:r>
      <w:r w:rsidRPr="00313D61">
        <w:rPr>
          <w:sz w:val="18"/>
          <w:szCs w:val="18"/>
        </w:rPr>
        <w:t xml:space="preserve"> je izvirno raziskovanje, ki se izvaja za pridobivanje novega znanja, usmerja pa se predvsem k praktičnemu cilju ali namenu. Aplikativni projekt ni industrijska raziskava oziroma projekt s področja eksperimentalnega razvoja</w:t>
      </w:r>
      <w:r w:rsidR="00064C07">
        <w:rPr>
          <w:sz w:val="18"/>
          <w:szCs w:val="18"/>
          <w:lang w:val="sl-SI"/>
        </w:rPr>
        <w:t xml:space="preserve"> </w:t>
      </w:r>
      <w:r>
        <w:t>.</w:t>
      </w:r>
    </w:p>
  </w:footnote>
  <w:footnote w:id="30">
    <w:p w:rsidR="00745204" w:rsidRPr="007F61FE" w:rsidRDefault="00745204" w:rsidP="007F61FE">
      <w:pPr>
        <w:pStyle w:val="FootnoteText"/>
        <w:jc w:val="both"/>
        <w:rPr>
          <w:sz w:val="18"/>
        </w:rPr>
      </w:pPr>
      <w:r w:rsidRPr="007F61FE">
        <w:rPr>
          <w:rStyle w:val="FootnoteReference"/>
          <w:sz w:val="18"/>
        </w:rPr>
        <w:footnoteRef/>
      </w:r>
      <w:r w:rsidRPr="007F61FE">
        <w:rPr>
          <w:sz w:val="18"/>
        </w:rPr>
        <w:t xml:space="preserve"> </w:t>
      </w:r>
      <w:r w:rsidRPr="007F61FE">
        <w:rPr>
          <w:rFonts w:cs="Arial"/>
          <w:sz w:val="18"/>
        </w:rPr>
        <w:t>UL L št. 193 z dne 1. 7. 2014, str. 1, zadnjič spremenjena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w:t>
      </w:r>
    </w:p>
  </w:footnote>
  <w:footnote w:id="31">
    <w:p w:rsidR="00745204" w:rsidRPr="007F61FE" w:rsidRDefault="00745204" w:rsidP="007F61FE">
      <w:pPr>
        <w:pStyle w:val="FootnoteText"/>
        <w:jc w:val="both"/>
        <w:rPr>
          <w:rFonts w:cs="Arial"/>
          <w:sz w:val="18"/>
        </w:rPr>
      </w:pPr>
      <w:r w:rsidRPr="007F61FE">
        <w:rPr>
          <w:rStyle w:val="FootnoteReference"/>
          <w:sz w:val="18"/>
        </w:rPr>
        <w:footnoteRef/>
      </w:r>
      <w:r w:rsidRPr="007F61FE">
        <w:rPr>
          <w:sz w:val="18"/>
        </w:rPr>
        <w:t xml:space="preserve"> </w:t>
      </w:r>
      <w:r w:rsidRPr="007F61FE">
        <w:rPr>
          <w:rFonts w:cs="Arial"/>
          <w:sz w:val="18"/>
        </w:rPr>
        <w:t>UL C št. 204 z dne 1. 7. 2014, str. 1, zadnjič spremenjene z Obvestilom Komisije o spremembi Smernic Evropske unije o državni pomoči v kmetijskem in gozdarskem sektorju ter na podeželju za obdobje od 2014 do 2020 (UL C št. 139 z dne 20. 4. 2018, str. 3).</w:t>
      </w:r>
    </w:p>
  </w:footnote>
  <w:footnote w:id="32">
    <w:p w:rsidR="00745204" w:rsidRPr="007F61FE" w:rsidRDefault="00745204" w:rsidP="007F61FE">
      <w:pPr>
        <w:pStyle w:val="FootnoteText"/>
        <w:jc w:val="both"/>
        <w:rPr>
          <w:sz w:val="18"/>
        </w:rPr>
      </w:pPr>
      <w:r w:rsidRPr="007F61FE">
        <w:rPr>
          <w:rStyle w:val="FootnoteReference"/>
          <w:sz w:val="18"/>
        </w:rPr>
        <w:footnoteRef/>
      </w:r>
      <w:r w:rsidRPr="007F61FE">
        <w:rPr>
          <w:sz w:val="18"/>
        </w:rPr>
        <w:t xml:space="preserve"> </w:t>
      </w:r>
      <w:r w:rsidRPr="007F61FE">
        <w:rPr>
          <w:rFonts w:cs="Arial"/>
          <w:sz w:val="18"/>
          <w:szCs w:val="22"/>
        </w:rPr>
        <w:t>UL L št. 352 z dne 24. 12. 2013, str. 9.</w:t>
      </w:r>
    </w:p>
  </w:footnote>
  <w:footnote w:id="33">
    <w:p w:rsidR="00745204" w:rsidRDefault="00745204" w:rsidP="007F61FE">
      <w:pPr>
        <w:pStyle w:val="FootnoteText"/>
        <w:jc w:val="both"/>
      </w:pPr>
      <w:r w:rsidRPr="007F61FE">
        <w:rPr>
          <w:rStyle w:val="FootnoteReference"/>
          <w:sz w:val="18"/>
        </w:rPr>
        <w:footnoteRef/>
      </w:r>
      <w:r w:rsidRPr="007F61FE">
        <w:rPr>
          <w:sz w:val="18"/>
        </w:rPr>
        <w:t xml:space="preserve"> </w:t>
      </w:r>
      <w:r w:rsidRPr="007F61FE">
        <w:rPr>
          <w:rFonts w:cs="Arial"/>
          <w:sz w:val="18"/>
          <w:szCs w:val="22"/>
        </w:rPr>
        <w:t>UL L št. 190 z dne 28. 6. 2014, str. 45.</w:t>
      </w:r>
    </w:p>
  </w:footnote>
  <w:footnote w:id="34">
    <w:p w:rsidR="00745204" w:rsidRPr="000309D7" w:rsidRDefault="00745204" w:rsidP="00A20CB5">
      <w:pPr>
        <w:pStyle w:val="FootnoteText"/>
        <w:rPr>
          <w:color w:val="0000FF"/>
          <w:sz w:val="18"/>
          <w:szCs w:val="18"/>
          <w:u w:val="single"/>
          <w:lang w:val="sl-SI"/>
        </w:rPr>
      </w:pPr>
      <w:r w:rsidRPr="000309D7">
        <w:rPr>
          <w:rStyle w:val="FootnoteReference"/>
          <w:sz w:val="18"/>
          <w:szCs w:val="18"/>
        </w:rPr>
        <w:footnoteRef/>
      </w:r>
      <w:r w:rsidRPr="000309D7">
        <w:rPr>
          <w:sz w:val="18"/>
          <w:szCs w:val="18"/>
        </w:rPr>
        <w:t xml:space="preserve"> Vsa pravila</w:t>
      </w:r>
      <w:r w:rsidRPr="000309D7">
        <w:rPr>
          <w:sz w:val="18"/>
          <w:szCs w:val="18"/>
          <w:lang w:val="sl-SI"/>
        </w:rPr>
        <w:t xml:space="preserve"> EU</w:t>
      </w:r>
      <w:r w:rsidRPr="000309D7">
        <w:rPr>
          <w:sz w:val="18"/>
          <w:szCs w:val="18"/>
        </w:rPr>
        <w:t xml:space="preserve"> o državnih pomočeh so </w:t>
      </w:r>
      <w:r w:rsidRPr="000309D7">
        <w:rPr>
          <w:sz w:val="18"/>
          <w:szCs w:val="18"/>
          <w:lang w:val="sl-SI"/>
        </w:rPr>
        <w:t xml:space="preserve">dostopna </w:t>
      </w:r>
      <w:r w:rsidRPr="000309D7">
        <w:rPr>
          <w:sz w:val="18"/>
          <w:szCs w:val="18"/>
        </w:rPr>
        <w:t>na spletni strani</w:t>
      </w:r>
      <w:r w:rsidRPr="000309D7">
        <w:rPr>
          <w:sz w:val="18"/>
          <w:szCs w:val="18"/>
          <w:lang w:val="sl-SI"/>
        </w:rPr>
        <w:t xml:space="preserve"> Evropske komisije</w:t>
      </w:r>
      <w:r w:rsidRPr="000309D7">
        <w:rPr>
          <w:sz w:val="18"/>
          <w:szCs w:val="18"/>
        </w:rPr>
        <w:t xml:space="preserve">: </w:t>
      </w:r>
      <w:hyperlink r:id="rId3" w:history="1">
        <w:r w:rsidRPr="000309D7">
          <w:rPr>
            <w:rStyle w:val="Hyperlink"/>
            <w:sz w:val="18"/>
            <w:szCs w:val="18"/>
          </w:rPr>
          <w:t>http://ec.europa.eu/competition/state_aid/legislation/legislation.html</w:t>
        </w:r>
      </w:hyperlink>
      <w:r w:rsidRPr="000309D7">
        <w:rPr>
          <w:rStyle w:val="Hyperlink"/>
          <w:sz w:val="18"/>
          <w:szCs w:val="18"/>
          <w:lang w:val="sl-SI"/>
        </w:rPr>
        <w:t xml:space="preserve">. </w:t>
      </w:r>
    </w:p>
  </w:footnote>
  <w:footnote w:id="35">
    <w:p w:rsidR="00745204" w:rsidRPr="000309D7" w:rsidRDefault="00745204" w:rsidP="00A20CB5">
      <w:pPr>
        <w:pStyle w:val="FootnoteText"/>
        <w:rPr>
          <w:sz w:val="18"/>
          <w:szCs w:val="18"/>
          <w:lang w:val="sl-SI"/>
        </w:rPr>
      </w:pPr>
      <w:r w:rsidRPr="000309D7">
        <w:rPr>
          <w:rStyle w:val="FootnoteReference"/>
          <w:sz w:val="18"/>
          <w:szCs w:val="18"/>
        </w:rPr>
        <w:footnoteRef/>
      </w:r>
      <w:r w:rsidRPr="000309D7">
        <w:rPr>
          <w:sz w:val="18"/>
          <w:szCs w:val="18"/>
        </w:rPr>
        <w:t xml:space="preserve"> </w:t>
      </w:r>
      <w:r w:rsidRPr="000309D7">
        <w:rPr>
          <w:sz w:val="18"/>
          <w:szCs w:val="18"/>
          <w:lang w:val="sl-SI"/>
        </w:rPr>
        <w:t xml:space="preserve">Predpisi s področja državnih pomoči so objavljena na spletni strani Ministrstva za finance: </w:t>
      </w:r>
      <w:hyperlink r:id="rId4" w:history="1">
        <w:r w:rsidRPr="000309D7">
          <w:rPr>
            <w:rStyle w:val="Hyperlink"/>
            <w:sz w:val="18"/>
            <w:szCs w:val="18"/>
          </w:rPr>
          <w:t>http://www.mf.gov.si/si/delovna_podrocja/drzavne_pomoci/predpisi_in_pravila_ki_veljajo_na_podrocju_drzavnih_pomoci/</w:t>
        </w:r>
      </w:hyperlink>
    </w:p>
    <w:p w:rsidR="00745204" w:rsidRPr="00E921F2" w:rsidRDefault="00745204" w:rsidP="00A20CB5">
      <w:pPr>
        <w:pStyle w:val="FootnoteText"/>
        <w:rPr>
          <w:lang w:val="sl-SI"/>
        </w:rPr>
      </w:pPr>
    </w:p>
  </w:footnote>
  <w:footnote w:id="36">
    <w:p w:rsidR="00745204" w:rsidRPr="00AA4165" w:rsidRDefault="00745204" w:rsidP="00A20CB5">
      <w:pPr>
        <w:rPr>
          <w:rFonts w:asciiTheme="minorHAnsi" w:hAnsiTheme="minorHAnsi"/>
          <w:sz w:val="18"/>
          <w:szCs w:val="18"/>
        </w:rPr>
      </w:pPr>
      <w:r w:rsidRPr="00AA4165">
        <w:rPr>
          <w:rStyle w:val="FootnoteReference"/>
          <w:rFonts w:asciiTheme="minorHAnsi" w:hAnsiTheme="minorHAnsi"/>
          <w:sz w:val="18"/>
          <w:szCs w:val="18"/>
        </w:rPr>
        <w:footnoteRef/>
      </w:r>
      <w:r w:rsidRPr="00AA4165">
        <w:rPr>
          <w:rFonts w:asciiTheme="minorHAnsi" w:hAnsiTheme="minorHAnsi"/>
          <w:sz w:val="18"/>
          <w:szCs w:val="18"/>
        </w:rPr>
        <w:t xml:space="preserve"> </w:t>
      </w:r>
      <w:hyperlink r:id="rId5" w:history="1">
        <w:r w:rsidRPr="00AA4165">
          <w:rPr>
            <w:rStyle w:val="Hyperlink"/>
            <w:rFonts w:asciiTheme="minorHAnsi" w:hAnsiTheme="minorHAnsi"/>
            <w:sz w:val="18"/>
            <w:szCs w:val="18"/>
          </w:rPr>
          <w:t>http://ec.europa.eu/competition/state_aid/scoreboard/index_en.html</w:t>
        </w:r>
      </w:hyperlink>
    </w:p>
    <w:p w:rsidR="00745204" w:rsidRPr="00FC046D" w:rsidRDefault="00745204" w:rsidP="00A20CB5">
      <w:pPr>
        <w:rPr>
          <w:color w:val="1F497D" w:themeColor="text2"/>
          <w:sz w:val="18"/>
          <w:szCs w:val="18"/>
        </w:rPr>
      </w:pPr>
    </w:p>
  </w:footnote>
  <w:footnote w:id="37">
    <w:p w:rsidR="00745204" w:rsidRPr="00426D14" w:rsidRDefault="00745204" w:rsidP="00EF0E3C">
      <w:pPr>
        <w:ind w:left="180"/>
        <w:rPr>
          <w:color w:val="1F497D" w:themeColor="text2"/>
          <w:sz w:val="16"/>
          <w:szCs w:val="16"/>
        </w:rPr>
      </w:pPr>
      <w:r w:rsidRPr="008C72A7">
        <w:rPr>
          <w:rStyle w:val="FootnoteReference"/>
        </w:rPr>
        <w:t>[1]</w:t>
      </w:r>
      <w:r w:rsidRPr="008C72A7">
        <w:t xml:space="preserve"> </w:t>
      </w:r>
      <w:r w:rsidRPr="008C72A7">
        <w:rPr>
          <w:sz w:val="16"/>
          <w:szCs w:val="16"/>
        </w:rPr>
        <w:t>Pri teh pomočeh je v primeru (če se ne razpolaga z ustreznimi podatki) element pomoči možno oceniti v vrednosti 20% od bruto zneska opravljene operacije.</w:t>
      </w:r>
    </w:p>
  </w:footnote>
  <w:footnote w:id="38">
    <w:p w:rsidR="00745204" w:rsidRPr="00154B7B" w:rsidRDefault="00745204" w:rsidP="00EF0E3C">
      <w:pPr>
        <w:pStyle w:val="EndnoteText"/>
        <w:rPr>
          <w:rFonts w:asciiTheme="minorHAnsi" w:hAnsiTheme="minorHAnsi"/>
          <w:color w:val="auto"/>
          <w:lang w:val="sl-SI"/>
        </w:rPr>
      </w:pPr>
      <w:r w:rsidRPr="00426D14">
        <w:rPr>
          <w:rStyle w:val="FootnoteReference"/>
          <w:rFonts w:asciiTheme="minorHAnsi" w:eastAsiaTheme="majorEastAsia" w:hAnsiTheme="minorHAnsi"/>
          <w:color w:val="1F497D" w:themeColor="text2"/>
          <w:lang w:val="sl-SI"/>
        </w:rPr>
        <w:t>[2]</w:t>
      </w:r>
      <w:r w:rsidRPr="00426D14">
        <w:rPr>
          <w:rFonts w:asciiTheme="minorHAnsi" w:hAnsiTheme="minorHAnsi"/>
          <w:color w:val="1F497D" w:themeColor="text2"/>
          <w:lang w:val="sl-SI"/>
        </w:rPr>
        <w:t xml:space="preserve">  </w:t>
      </w:r>
      <w:r w:rsidRPr="00154B7B">
        <w:rPr>
          <w:rFonts w:asciiTheme="minorHAnsi" w:hAnsiTheme="minorHAnsi"/>
          <w:color w:val="auto"/>
          <w:lang w:val="sl-SI"/>
        </w:rPr>
        <w:t xml:space="preserve">Referenčno obrestno mero predpiše in objavi Evropska komisija. Podatki o aktualni referenčni obresti meri so objavljeni tudi na spletni strani Ministrstva za finance: </w:t>
      </w:r>
      <w:hyperlink r:id="rId6" w:history="1">
        <w:r w:rsidRPr="00154B7B">
          <w:rPr>
            <w:rStyle w:val="Hyperlink"/>
            <w:rFonts w:asciiTheme="minorHAnsi" w:eastAsiaTheme="majorEastAsia" w:hAnsiTheme="minorHAnsi"/>
            <w:color w:val="auto"/>
            <w:lang w:val="sl-SI"/>
          </w:rPr>
          <w:t>http://www.mf.gov.si/si/delovna_podrocja/drzavne_pomoci/referencne_obrestne_mere/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04" w:rsidRDefault="00745204" w:rsidP="007B20F3">
    <w:pPr>
      <w:pStyle w:val="Header"/>
      <w:ind w:firstLine="708"/>
    </w:pPr>
  </w:p>
  <w:p w:rsidR="00745204" w:rsidRDefault="00745204" w:rsidP="00AF1E0A">
    <w:pPr>
      <w:pStyle w:val="Header"/>
      <w:tabs>
        <w:tab w:val="clear" w:pos="4536"/>
        <w:tab w:val="clear" w:pos="9072"/>
        <w:tab w:val="left" w:pos="2460"/>
      </w:tabs>
    </w:pPr>
    <w:r>
      <w:tab/>
    </w:r>
  </w:p>
  <w:p w:rsidR="00745204" w:rsidRDefault="00745204" w:rsidP="0014793B">
    <w:pPr>
      <w:pStyle w:val="Header"/>
      <w:tabs>
        <w:tab w:val="clear" w:pos="4536"/>
        <w:tab w:val="clear" w:pos="9072"/>
        <w:tab w:val="left" w:pos="1776"/>
        <w:tab w:val="left" w:pos="2460"/>
      </w:tabs>
    </w:pPr>
    <w:r>
      <w:tab/>
    </w:r>
    <w:r>
      <w:tab/>
    </w:r>
  </w:p>
  <w:p w:rsidR="00745204" w:rsidRDefault="00745204" w:rsidP="00DE7268">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35"/>
    <w:multiLevelType w:val="hybridMultilevel"/>
    <w:tmpl w:val="75EAF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474219"/>
    <w:multiLevelType w:val="hybridMultilevel"/>
    <w:tmpl w:val="E05475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F206B72"/>
    <w:multiLevelType w:val="hybridMultilevel"/>
    <w:tmpl w:val="663EB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633AAA"/>
    <w:multiLevelType w:val="hybridMultilevel"/>
    <w:tmpl w:val="755A8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0F2BF8"/>
    <w:multiLevelType w:val="multilevel"/>
    <w:tmpl w:val="0E649338"/>
    <w:lvl w:ilvl="0">
      <w:start w:val="1"/>
      <w:numFmt w:val="decimal"/>
      <w:lvlText w:val="%1."/>
      <w:lvlJc w:val="left"/>
      <w:pPr>
        <w:ind w:left="1068" w:hanging="360"/>
      </w:pPr>
      <w:rPr>
        <w:rFonts w:hint="default"/>
      </w:rPr>
    </w:lvl>
    <w:lvl w:ilvl="1">
      <w:start w:val="1"/>
      <w:numFmt w:val="decimal"/>
      <w:isLgl/>
      <w:lvlText w:val="%1.%2"/>
      <w:lvlJc w:val="left"/>
      <w:pPr>
        <w:ind w:left="1416" w:hanging="360"/>
      </w:pPr>
      <w:rPr>
        <w:rFonts w:hint="default"/>
      </w:rPr>
    </w:lvl>
    <w:lvl w:ilvl="2">
      <w:start w:val="1"/>
      <w:numFmt w:val="bullet"/>
      <w:lvlText w:val="o"/>
      <w:lvlJc w:val="left"/>
      <w:pPr>
        <w:ind w:left="2124" w:hanging="720"/>
      </w:pPr>
      <w:rPr>
        <w:rFonts w:ascii="Courier New" w:hAnsi="Courier New" w:cs="Courier New"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528" w:hanging="1080"/>
      </w:pPr>
      <w:rPr>
        <w:rFonts w:hint="default"/>
      </w:rPr>
    </w:lvl>
    <w:lvl w:ilvl="6">
      <w:start w:val="1"/>
      <w:numFmt w:val="decimal"/>
      <w:isLgl/>
      <w:lvlText w:val="%1.%2.%3.%4.%5.%6.%7"/>
      <w:lvlJc w:val="left"/>
      <w:pPr>
        <w:ind w:left="3876" w:hanging="1080"/>
      </w:pPr>
      <w:rPr>
        <w:rFonts w:hint="default"/>
      </w:rPr>
    </w:lvl>
    <w:lvl w:ilvl="7">
      <w:start w:val="1"/>
      <w:numFmt w:val="decimal"/>
      <w:isLgl/>
      <w:lvlText w:val="%1.%2.%3.%4.%5.%6.%7.%8"/>
      <w:lvlJc w:val="left"/>
      <w:pPr>
        <w:ind w:left="4584" w:hanging="1440"/>
      </w:pPr>
      <w:rPr>
        <w:rFonts w:hint="default"/>
      </w:rPr>
    </w:lvl>
    <w:lvl w:ilvl="8">
      <w:start w:val="1"/>
      <w:numFmt w:val="decimal"/>
      <w:isLgl/>
      <w:lvlText w:val="%1.%2.%3.%4.%5.%6.%7.%8.%9"/>
      <w:lvlJc w:val="left"/>
      <w:pPr>
        <w:ind w:left="4932" w:hanging="1440"/>
      </w:pPr>
      <w:rPr>
        <w:rFonts w:hint="default"/>
      </w:rPr>
    </w:lvl>
  </w:abstractNum>
  <w:abstractNum w:abstractNumId="5">
    <w:nsid w:val="176C3699"/>
    <w:multiLevelType w:val="hybridMultilevel"/>
    <w:tmpl w:val="B094D1DE"/>
    <w:lvl w:ilvl="0" w:tplc="6608DF54">
      <w:start w:val="1"/>
      <w:numFmt w:val="bullet"/>
      <w:lvlText w:val="–"/>
      <w:lvlJc w:val="left"/>
      <w:pPr>
        <w:ind w:left="720" w:hanging="360"/>
      </w:pPr>
      <w:rPr>
        <w:rFonts w:ascii="Courier New" w:hAnsi="Courier New"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2D7023"/>
    <w:multiLevelType w:val="hybridMultilevel"/>
    <w:tmpl w:val="B97E8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E32C8F"/>
    <w:multiLevelType w:val="hybridMultilevel"/>
    <w:tmpl w:val="D7FA5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D53BDE"/>
    <w:multiLevelType w:val="hybridMultilevel"/>
    <w:tmpl w:val="DE6EAFEA"/>
    <w:lvl w:ilvl="0" w:tplc="53A410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A075BA"/>
    <w:multiLevelType w:val="hybridMultilevel"/>
    <w:tmpl w:val="6D7C9C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7B58A0"/>
    <w:multiLevelType w:val="hybridMultilevel"/>
    <w:tmpl w:val="5626761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nsid w:val="21131621"/>
    <w:multiLevelType w:val="hybridMultilevel"/>
    <w:tmpl w:val="318AF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2E85799"/>
    <w:multiLevelType w:val="hybridMultilevel"/>
    <w:tmpl w:val="931E9096"/>
    <w:lvl w:ilvl="0" w:tplc="53A41022">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8481ACA"/>
    <w:multiLevelType w:val="hybridMultilevel"/>
    <w:tmpl w:val="368051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C9925C1"/>
    <w:multiLevelType w:val="hybridMultilevel"/>
    <w:tmpl w:val="18643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AE73F8"/>
    <w:multiLevelType w:val="hybridMultilevel"/>
    <w:tmpl w:val="60842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FC13ACE"/>
    <w:multiLevelType w:val="hybridMultilevel"/>
    <w:tmpl w:val="45B23036"/>
    <w:lvl w:ilvl="0" w:tplc="106C6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1F58C5"/>
    <w:multiLevelType w:val="hybridMultilevel"/>
    <w:tmpl w:val="415CF20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11E14E6"/>
    <w:multiLevelType w:val="multilevel"/>
    <w:tmpl w:val="BCA0EC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27F62E5"/>
    <w:multiLevelType w:val="hybridMultilevel"/>
    <w:tmpl w:val="6DD84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3B84821"/>
    <w:multiLevelType w:val="hybridMultilevel"/>
    <w:tmpl w:val="978EC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48353FC"/>
    <w:multiLevelType w:val="hybridMultilevel"/>
    <w:tmpl w:val="778A4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55D5F97"/>
    <w:multiLevelType w:val="hybridMultilevel"/>
    <w:tmpl w:val="D6AE7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EC002A7"/>
    <w:multiLevelType w:val="hybridMultilevel"/>
    <w:tmpl w:val="E9C24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04601F0"/>
    <w:multiLevelType w:val="hybridMultilevel"/>
    <w:tmpl w:val="142078F2"/>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48B5C72"/>
    <w:multiLevelType w:val="hybridMultilevel"/>
    <w:tmpl w:val="2780E1B4"/>
    <w:lvl w:ilvl="0" w:tplc="7730FE96">
      <w:numFmt w:val="bullet"/>
      <w:lvlText w:val="-"/>
      <w:lvlJc w:val="left"/>
      <w:pPr>
        <w:ind w:left="360" w:hanging="360"/>
      </w:pPr>
      <w:rPr>
        <w:rFonts w:ascii="ArialMT" w:eastAsiaTheme="minorHAnsi" w:hAnsi="ArialMT" w:cs="ArialM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68C1E5D"/>
    <w:multiLevelType w:val="hybridMultilevel"/>
    <w:tmpl w:val="1DB8876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7">
    <w:nsid w:val="4D090783"/>
    <w:multiLevelType w:val="hybridMultilevel"/>
    <w:tmpl w:val="CAE2B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0550E99"/>
    <w:multiLevelType w:val="hybridMultilevel"/>
    <w:tmpl w:val="8244DEC8"/>
    <w:lvl w:ilvl="0" w:tplc="F960878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D75005"/>
    <w:multiLevelType w:val="hybridMultilevel"/>
    <w:tmpl w:val="0F021D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2A4772"/>
    <w:multiLevelType w:val="hybridMultilevel"/>
    <w:tmpl w:val="73FAAC4C"/>
    <w:lvl w:ilvl="0" w:tplc="04240001">
      <w:start w:val="1"/>
      <w:numFmt w:val="bullet"/>
      <w:lvlText w:val=""/>
      <w:lvlJc w:val="left"/>
      <w:pPr>
        <w:ind w:left="720" w:hanging="360"/>
      </w:pPr>
      <w:rPr>
        <w:rFonts w:ascii="Symbol" w:hAnsi="Symbol" w:hint="default"/>
      </w:rPr>
    </w:lvl>
    <w:lvl w:ilvl="1" w:tplc="4224CF64">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38B28C3"/>
    <w:multiLevelType w:val="hybridMultilevel"/>
    <w:tmpl w:val="D06EC55E"/>
    <w:lvl w:ilvl="0" w:tplc="53A4102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DF6DE1"/>
    <w:multiLevelType w:val="hybridMultilevel"/>
    <w:tmpl w:val="4BDA7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0BF1CF2"/>
    <w:multiLevelType w:val="hybridMultilevel"/>
    <w:tmpl w:val="5EF45462"/>
    <w:lvl w:ilvl="0" w:tplc="6608DF54">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12741A6"/>
    <w:multiLevelType w:val="multilevel"/>
    <w:tmpl w:val="24A4EF54"/>
    <w:lvl w:ilvl="0">
      <w:start w:val="1"/>
      <w:numFmt w:val="decimal"/>
      <w:lvlText w:val="%1."/>
      <w:lvlJc w:val="left"/>
      <w:pPr>
        <w:ind w:left="360" w:hanging="360"/>
      </w:pPr>
    </w:lvl>
    <w:lvl w:ilvl="1">
      <w:start w:val="4"/>
      <w:numFmt w:val="decimal"/>
      <w:isLgl/>
      <w:lvlText w:val="%1.%2"/>
      <w:lvlJc w:val="left"/>
      <w:pPr>
        <w:ind w:left="612" w:hanging="61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57845B8"/>
    <w:multiLevelType w:val="hybridMultilevel"/>
    <w:tmpl w:val="B4967F4C"/>
    <w:lvl w:ilvl="0" w:tplc="106C6FC2">
      <w:start w:val="1"/>
      <w:numFmt w:val="bullet"/>
      <w:lvlText w:val=""/>
      <w:lvlJc w:val="left"/>
      <w:pPr>
        <w:ind w:left="360" w:hanging="360"/>
      </w:pPr>
      <w:rPr>
        <w:rFonts w:ascii="Symbol" w:hAnsi="Symbol" w:hint="default"/>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7E551EA"/>
    <w:multiLevelType w:val="multilevel"/>
    <w:tmpl w:val="78A27526"/>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D550147"/>
    <w:multiLevelType w:val="hybridMultilevel"/>
    <w:tmpl w:val="1D128B16"/>
    <w:lvl w:ilvl="0" w:tplc="04240001">
      <w:start w:val="1"/>
      <w:numFmt w:val="bullet"/>
      <w:lvlText w:val=""/>
      <w:lvlJc w:val="left"/>
      <w:pPr>
        <w:ind w:left="1152" w:hanging="360"/>
      </w:pPr>
      <w:rPr>
        <w:rFonts w:ascii="Symbol" w:hAnsi="Symbo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38">
    <w:nsid w:val="7F843FF0"/>
    <w:multiLevelType w:val="hybridMultilevel"/>
    <w:tmpl w:val="30C2F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8"/>
  </w:num>
  <w:num w:numId="4">
    <w:abstractNumId w:val="31"/>
  </w:num>
  <w:num w:numId="5">
    <w:abstractNumId w:val="18"/>
  </w:num>
  <w:num w:numId="6">
    <w:abstractNumId w:val="38"/>
  </w:num>
  <w:num w:numId="7">
    <w:abstractNumId w:val="21"/>
  </w:num>
  <w:num w:numId="8">
    <w:abstractNumId w:val="19"/>
  </w:num>
  <w:num w:numId="9">
    <w:abstractNumId w:val="14"/>
  </w:num>
  <w:num w:numId="10">
    <w:abstractNumId w:val="32"/>
  </w:num>
  <w:num w:numId="11">
    <w:abstractNumId w:val="7"/>
  </w:num>
  <w:num w:numId="12">
    <w:abstractNumId w:val="27"/>
  </w:num>
  <w:num w:numId="13">
    <w:abstractNumId w:val="28"/>
  </w:num>
  <w:num w:numId="14">
    <w:abstractNumId w:val="6"/>
  </w:num>
  <w:num w:numId="15">
    <w:abstractNumId w:val="12"/>
  </w:num>
  <w:num w:numId="16">
    <w:abstractNumId w:val="34"/>
  </w:num>
  <w:num w:numId="17">
    <w:abstractNumId w:val="36"/>
  </w:num>
  <w:num w:numId="18">
    <w:abstractNumId w:val="2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4"/>
  </w:num>
  <w:num w:numId="23">
    <w:abstractNumId w:val="0"/>
  </w:num>
  <w:num w:numId="24">
    <w:abstractNumId w:val="3"/>
  </w:num>
  <w:num w:numId="25">
    <w:abstractNumId w:val="15"/>
  </w:num>
  <w:num w:numId="26">
    <w:abstractNumId w:val="17"/>
  </w:num>
  <w:num w:numId="27">
    <w:abstractNumId w:val="2"/>
  </w:num>
  <w:num w:numId="28">
    <w:abstractNumId w:val="9"/>
  </w:num>
  <w:num w:numId="29">
    <w:abstractNumId w:val="13"/>
  </w:num>
  <w:num w:numId="30">
    <w:abstractNumId w:val="23"/>
  </w:num>
  <w:num w:numId="31">
    <w:abstractNumId w:val="10"/>
  </w:num>
  <w:num w:numId="32">
    <w:abstractNumId w:val="26"/>
  </w:num>
  <w:num w:numId="33">
    <w:abstractNumId w:val="25"/>
  </w:num>
  <w:num w:numId="34">
    <w:abstractNumId w:val="37"/>
  </w:num>
  <w:num w:numId="35">
    <w:abstractNumId w:val="35"/>
  </w:num>
  <w:num w:numId="36">
    <w:abstractNumId w:val="16"/>
  </w:num>
  <w:num w:numId="37">
    <w:abstractNumId w:val="5"/>
  </w:num>
  <w:num w:numId="38">
    <w:abstractNumId w:val="33"/>
  </w:num>
  <w:num w:numId="39">
    <w:abstractNumId w:val="24"/>
  </w:num>
  <w:num w:numId="40">
    <w:abstractNumId w:val="20"/>
  </w:num>
  <w:num w:numId="4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3B"/>
    <w:rsid w:val="00001705"/>
    <w:rsid w:val="00003371"/>
    <w:rsid w:val="00004F32"/>
    <w:rsid w:val="00005B3C"/>
    <w:rsid w:val="0000627D"/>
    <w:rsid w:val="00006BCD"/>
    <w:rsid w:val="00010B65"/>
    <w:rsid w:val="00011DF6"/>
    <w:rsid w:val="00013805"/>
    <w:rsid w:val="00014DE6"/>
    <w:rsid w:val="000166D0"/>
    <w:rsid w:val="000170E9"/>
    <w:rsid w:val="0001758D"/>
    <w:rsid w:val="0002140A"/>
    <w:rsid w:val="0002217A"/>
    <w:rsid w:val="00022890"/>
    <w:rsid w:val="00024383"/>
    <w:rsid w:val="00024A69"/>
    <w:rsid w:val="00025486"/>
    <w:rsid w:val="000277E4"/>
    <w:rsid w:val="00027D69"/>
    <w:rsid w:val="000309D7"/>
    <w:rsid w:val="00030C34"/>
    <w:rsid w:val="00031CFA"/>
    <w:rsid w:val="00033715"/>
    <w:rsid w:val="00033C83"/>
    <w:rsid w:val="00037F4E"/>
    <w:rsid w:val="00041589"/>
    <w:rsid w:val="000429AD"/>
    <w:rsid w:val="00042FD5"/>
    <w:rsid w:val="000432B9"/>
    <w:rsid w:val="0004419A"/>
    <w:rsid w:val="00044714"/>
    <w:rsid w:val="0004474E"/>
    <w:rsid w:val="00044EF2"/>
    <w:rsid w:val="00045031"/>
    <w:rsid w:val="00045CAE"/>
    <w:rsid w:val="000473E5"/>
    <w:rsid w:val="00047492"/>
    <w:rsid w:val="00047D00"/>
    <w:rsid w:val="00047D24"/>
    <w:rsid w:val="0005102F"/>
    <w:rsid w:val="00053810"/>
    <w:rsid w:val="000549B5"/>
    <w:rsid w:val="00055767"/>
    <w:rsid w:val="00057360"/>
    <w:rsid w:val="00057B3E"/>
    <w:rsid w:val="000601C1"/>
    <w:rsid w:val="00061506"/>
    <w:rsid w:val="00062B84"/>
    <w:rsid w:val="000630CD"/>
    <w:rsid w:val="000636F6"/>
    <w:rsid w:val="00064A8B"/>
    <w:rsid w:val="00064BDB"/>
    <w:rsid w:val="00064C07"/>
    <w:rsid w:val="000660B2"/>
    <w:rsid w:val="000661C5"/>
    <w:rsid w:val="00067852"/>
    <w:rsid w:val="00067E3D"/>
    <w:rsid w:val="00070474"/>
    <w:rsid w:val="00070A29"/>
    <w:rsid w:val="00070BE2"/>
    <w:rsid w:val="00072024"/>
    <w:rsid w:val="00074A12"/>
    <w:rsid w:val="00074F0B"/>
    <w:rsid w:val="0007779E"/>
    <w:rsid w:val="00083DFA"/>
    <w:rsid w:val="000846DE"/>
    <w:rsid w:val="000859F6"/>
    <w:rsid w:val="00086679"/>
    <w:rsid w:val="000871EA"/>
    <w:rsid w:val="0009069F"/>
    <w:rsid w:val="00093717"/>
    <w:rsid w:val="0009438D"/>
    <w:rsid w:val="00094784"/>
    <w:rsid w:val="00094965"/>
    <w:rsid w:val="00094B65"/>
    <w:rsid w:val="00094CB3"/>
    <w:rsid w:val="000950E4"/>
    <w:rsid w:val="000957F4"/>
    <w:rsid w:val="0009732A"/>
    <w:rsid w:val="000A410C"/>
    <w:rsid w:val="000A47F4"/>
    <w:rsid w:val="000A51CA"/>
    <w:rsid w:val="000A5E7C"/>
    <w:rsid w:val="000A6C12"/>
    <w:rsid w:val="000B0041"/>
    <w:rsid w:val="000B027C"/>
    <w:rsid w:val="000B0B79"/>
    <w:rsid w:val="000B0D12"/>
    <w:rsid w:val="000B2899"/>
    <w:rsid w:val="000B4A65"/>
    <w:rsid w:val="000B72BF"/>
    <w:rsid w:val="000C006E"/>
    <w:rsid w:val="000C0B88"/>
    <w:rsid w:val="000C1D9D"/>
    <w:rsid w:val="000C3C11"/>
    <w:rsid w:val="000C41C2"/>
    <w:rsid w:val="000C6115"/>
    <w:rsid w:val="000C617F"/>
    <w:rsid w:val="000C621D"/>
    <w:rsid w:val="000C67D3"/>
    <w:rsid w:val="000C68A8"/>
    <w:rsid w:val="000D129A"/>
    <w:rsid w:val="000D3AB1"/>
    <w:rsid w:val="000D3F37"/>
    <w:rsid w:val="000D531D"/>
    <w:rsid w:val="000D62BB"/>
    <w:rsid w:val="000D63D6"/>
    <w:rsid w:val="000D6745"/>
    <w:rsid w:val="000E1B19"/>
    <w:rsid w:val="000E2824"/>
    <w:rsid w:val="000E57C5"/>
    <w:rsid w:val="000E57FE"/>
    <w:rsid w:val="000E5AA2"/>
    <w:rsid w:val="000E662C"/>
    <w:rsid w:val="000F29CD"/>
    <w:rsid w:val="000F2A3E"/>
    <w:rsid w:val="000F2F0D"/>
    <w:rsid w:val="000F3B8C"/>
    <w:rsid w:val="000F4E57"/>
    <w:rsid w:val="000F5DF8"/>
    <w:rsid w:val="00100A48"/>
    <w:rsid w:val="00103170"/>
    <w:rsid w:val="001052D4"/>
    <w:rsid w:val="001057E9"/>
    <w:rsid w:val="0010785F"/>
    <w:rsid w:val="00110A18"/>
    <w:rsid w:val="00112A6A"/>
    <w:rsid w:val="0011301C"/>
    <w:rsid w:val="001132F2"/>
    <w:rsid w:val="00114489"/>
    <w:rsid w:val="001145F2"/>
    <w:rsid w:val="00116789"/>
    <w:rsid w:val="00116C5E"/>
    <w:rsid w:val="00117717"/>
    <w:rsid w:val="0012174C"/>
    <w:rsid w:val="0012233F"/>
    <w:rsid w:val="00123FAC"/>
    <w:rsid w:val="00124F1C"/>
    <w:rsid w:val="00127485"/>
    <w:rsid w:val="00127E55"/>
    <w:rsid w:val="001317C5"/>
    <w:rsid w:val="00131BA4"/>
    <w:rsid w:val="001342CA"/>
    <w:rsid w:val="0013518B"/>
    <w:rsid w:val="00135B14"/>
    <w:rsid w:val="00137470"/>
    <w:rsid w:val="00137FDE"/>
    <w:rsid w:val="00140F4C"/>
    <w:rsid w:val="001417F9"/>
    <w:rsid w:val="00143C9E"/>
    <w:rsid w:val="001449C6"/>
    <w:rsid w:val="001450A0"/>
    <w:rsid w:val="0014793B"/>
    <w:rsid w:val="00147FE7"/>
    <w:rsid w:val="001502CA"/>
    <w:rsid w:val="00151052"/>
    <w:rsid w:val="001514E7"/>
    <w:rsid w:val="0015424F"/>
    <w:rsid w:val="001542A1"/>
    <w:rsid w:val="00154A78"/>
    <w:rsid w:val="00156B89"/>
    <w:rsid w:val="00156F3A"/>
    <w:rsid w:val="0016310B"/>
    <w:rsid w:val="00164048"/>
    <w:rsid w:val="00164483"/>
    <w:rsid w:val="00166A1C"/>
    <w:rsid w:val="001675DB"/>
    <w:rsid w:val="0016770A"/>
    <w:rsid w:val="001729EB"/>
    <w:rsid w:val="001738D5"/>
    <w:rsid w:val="001743AB"/>
    <w:rsid w:val="00176A84"/>
    <w:rsid w:val="001864EB"/>
    <w:rsid w:val="00186F79"/>
    <w:rsid w:val="00191728"/>
    <w:rsid w:val="00191F44"/>
    <w:rsid w:val="00194081"/>
    <w:rsid w:val="00194404"/>
    <w:rsid w:val="00194D94"/>
    <w:rsid w:val="001960D2"/>
    <w:rsid w:val="001A12D6"/>
    <w:rsid w:val="001A1366"/>
    <w:rsid w:val="001A26E7"/>
    <w:rsid w:val="001A290B"/>
    <w:rsid w:val="001A36B9"/>
    <w:rsid w:val="001A39B9"/>
    <w:rsid w:val="001A3DB8"/>
    <w:rsid w:val="001A6C14"/>
    <w:rsid w:val="001B0D9A"/>
    <w:rsid w:val="001B204B"/>
    <w:rsid w:val="001B2602"/>
    <w:rsid w:val="001B326C"/>
    <w:rsid w:val="001B5F79"/>
    <w:rsid w:val="001B7D94"/>
    <w:rsid w:val="001B7E3A"/>
    <w:rsid w:val="001C11AA"/>
    <w:rsid w:val="001C3C21"/>
    <w:rsid w:val="001C4F20"/>
    <w:rsid w:val="001C599A"/>
    <w:rsid w:val="001C7ACE"/>
    <w:rsid w:val="001D0BF2"/>
    <w:rsid w:val="001D15B1"/>
    <w:rsid w:val="001D399B"/>
    <w:rsid w:val="001D40C1"/>
    <w:rsid w:val="001D4337"/>
    <w:rsid w:val="001D4A6A"/>
    <w:rsid w:val="001D5421"/>
    <w:rsid w:val="001D71A5"/>
    <w:rsid w:val="001E01AD"/>
    <w:rsid w:val="001E0C68"/>
    <w:rsid w:val="001E0EC3"/>
    <w:rsid w:val="001E1209"/>
    <w:rsid w:val="001E1212"/>
    <w:rsid w:val="001E154B"/>
    <w:rsid w:val="001E2D91"/>
    <w:rsid w:val="001E3122"/>
    <w:rsid w:val="001E371A"/>
    <w:rsid w:val="001E4FA8"/>
    <w:rsid w:val="001E5D81"/>
    <w:rsid w:val="001E6BBD"/>
    <w:rsid w:val="001E7564"/>
    <w:rsid w:val="001F015D"/>
    <w:rsid w:val="001F1E89"/>
    <w:rsid w:val="001F2E50"/>
    <w:rsid w:val="001F4018"/>
    <w:rsid w:val="001F7FA3"/>
    <w:rsid w:val="002004AF"/>
    <w:rsid w:val="002015E8"/>
    <w:rsid w:val="00202AD8"/>
    <w:rsid w:val="00203765"/>
    <w:rsid w:val="002072EF"/>
    <w:rsid w:val="00207F34"/>
    <w:rsid w:val="00210804"/>
    <w:rsid w:val="0021085C"/>
    <w:rsid w:val="00210DC2"/>
    <w:rsid w:val="00211211"/>
    <w:rsid w:val="0021147D"/>
    <w:rsid w:val="002121D3"/>
    <w:rsid w:val="0021232A"/>
    <w:rsid w:val="00214122"/>
    <w:rsid w:val="00216C64"/>
    <w:rsid w:val="002175AE"/>
    <w:rsid w:val="00220A72"/>
    <w:rsid w:val="00220F10"/>
    <w:rsid w:val="00225F79"/>
    <w:rsid w:val="0022721D"/>
    <w:rsid w:val="00227669"/>
    <w:rsid w:val="00227B53"/>
    <w:rsid w:val="00234229"/>
    <w:rsid w:val="002343AB"/>
    <w:rsid w:val="002346FD"/>
    <w:rsid w:val="002350CE"/>
    <w:rsid w:val="002360E8"/>
    <w:rsid w:val="0023730A"/>
    <w:rsid w:val="002402E8"/>
    <w:rsid w:val="00242005"/>
    <w:rsid w:val="0024310E"/>
    <w:rsid w:val="002442EE"/>
    <w:rsid w:val="0024675C"/>
    <w:rsid w:val="00247526"/>
    <w:rsid w:val="00250594"/>
    <w:rsid w:val="002521EF"/>
    <w:rsid w:val="00252FC3"/>
    <w:rsid w:val="002538E7"/>
    <w:rsid w:val="002541A2"/>
    <w:rsid w:val="00254FD9"/>
    <w:rsid w:val="0025530F"/>
    <w:rsid w:val="00255361"/>
    <w:rsid w:val="00255B42"/>
    <w:rsid w:val="002565AB"/>
    <w:rsid w:val="00257CEB"/>
    <w:rsid w:val="00260838"/>
    <w:rsid w:val="00263580"/>
    <w:rsid w:val="002641FE"/>
    <w:rsid w:val="00265F75"/>
    <w:rsid w:val="002700D8"/>
    <w:rsid w:val="0027012C"/>
    <w:rsid w:val="0027061B"/>
    <w:rsid w:val="00270EE3"/>
    <w:rsid w:val="00272384"/>
    <w:rsid w:val="002728B1"/>
    <w:rsid w:val="00273FB1"/>
    <w:rsid w:val="00274387"/>
    <w:rsid w:val="00275A84"/>
    <w:rsid w:val="002779B5"/>
    <w:rsid w:val="0028225B"/>
    <w:rsid w:val="00286107"/>
    <w:rsid w:val="002873D2"/>
    <w:rsid w:val="00287564"/>
    <w:rsid w:val="002906F5"/>
    <w:rsid w:val="00292207"/>
    <w:rsid w:val="00292C38"/>
    <w:rsid w:val="002955C9"/>
    <w:rsid w:val="00295BCC"/>
    <w:rsid w:val="00296051"/>
    <w:rsid w:val="00296876"/>
    <w:rsid w:val="002A0F4D"/>
    <w:rsid w:val="002A239D"/>
    <w:rsid w:val="002A42C0"/>
    <w:rsid w:val="002A5930"/>
    <w:rsid w:val="002A626C"/>
    <w:rsid w:val="002A6939"/>
    <w:rsid w:val="002A735C"/>
    <w:rsid w:val="002B4D1C"/>
    <w:rsid w:val="002C0A2C"/>
    <w:rsid w:val="002C1C1C"/>
    <w:rsid w:val="002C2D09"/>
    <w:rsid w:val="002C2DCC"/>
    <w:rsid w:val="002C4157"/>
    <w:rsid w:val="002C4F81"/>
    <w:rsid w:val="002C738B"/>
    <w:rsid w:val="002D0896"/>
    <w:rsid w:val="002D1D05"/>
    <w:rsid w:val="002D2427"/>
    <w:rsid w:val="002D25FC"/>
    <w:rsid w:val="002D2894"/>
    <w:rsid w:val="002D49CB"/>
    <w:rsid w:val="002D624E"/>
    <w:rsid w:val="002E0A1E"/>
    <w:rsid w:val="002E0A53"/>
    <w:rsid w:val="002E32EF"/>
    <w:rsid w:val="002E3784"/>
    <w:rsid w:val="002E3AB0"/>
    <w:rsid w:val="002E493A"/>
    <w:rsid w:val="002E7259"/>
    <w:rsid w:val="002F01A2"/>
    <w:rsid w:val="002F0470"/>
    <w:rsid w:val="002F0E17"/>
    <w:rsid w:val="002F1927"/>
    <w:rsid w:val="002F279C"/>
    <w:rsid w:val="002F514F"/>
    <w:rsid w:val="002F54A6"/>
    <w:rsid w:val="002F5A56"/>
    <w:rsid w:val="002F5B73"/>
    <w:rsid w:val="002F606A"/>
    <w:rsid w:val="002F60D7"/>
    <w:rsid w:val="002F6A41"/>
    <w:rsid w:val="002F73B1"/>
    <w:rsid w:val="00300995"/>
    <w:rsid w:val="00301C0E"/>
    <w:rsid w:val="00304367"/>
    <w:rsid w:val="00305B02"/>
    <w:rsid w:val="00305E44"/>
    <w:rsid w:val="00306613"/>
    <w:rsid w:val="00306F3A"/>
    <w:rsid w:val="003075A9"/>
    <w:rsid w:val="00307CDA"/>
    <w:rsid w:val="00307FFE"/>
    <w:rsid w:val="0031078A"/>
    <w:rsid w:val="00313328"/>
    <w:rsid w:val="0031334A"/>
    <w:rsid w:val="00313D61"/>
    <w:rsid w:val="00313E21"/>
    <w:rsid w:val="0031454D"/>
    <w:rsid w:val="00315225"/>
    <w:rsid w:val="00315327"/>
    <w:rsid w:val="00315E28"/>
    <w:rsid w:val="003176BF"/>
    <w:rsid w:val="00320A24"/>
    <w:rsid w:val="00320FBF"/>
    <w:rsid w:val="0032318D"/>
    <w:rsid w:val="003237DB"/>
    <w:rsid w:val="00325924"/>
    <w:rsid w:val="003264B7"/>
    <w:rsid w:val="003268AE"/>
    <w:rsid w:val="00326A03"/>
    <w:rsid w:val="00326C51"/>
    <w:rsid w:val="00327F50"/>
    <w:rsid w:val="0033103A"/>
    <w:rsid w:val="00332065"/>
    <w:rsid w:val="00332859"/>
    <w:rsid w:val="00333C3B"/>
    <w:rsid w:val="003348C8"/>
    <w:rsid w:val="00337E4D"/>
    <w:rsid w:val="00342B4E"/>
    <w:rsid w:val="00342E40"/>
    <w:rsid w:val="00343952"/>
    <w:rsid w:val="0034523E"/>
    <w:rsid w:val="00346F19"/>
    <w:rsid w:val="00347827"/>
    <w:rsid w:val="0034783E"/>
    <w:rsid w:val="003527A9"/>
    <w:rsid w:val="00354BB8"/>
    <w:rsid w:val="00354EA7"/>
    <w:rsid w:val="00356740"/>
    <w:rsid w:val="0035753E"/>
    <w:rsid w:val="00360D08"/>
    <w:rsid w:val="003621DE"/>
    <w:rsid w:val="00362BD9"/>
    <w:rsid w:val="0036470E"/>
    <w:rsid w:val="00365206"/>
    <w:rsid w:val="003661B4"/>
    <w:rsid w:val="0036625D"/>
    <w:rsid w:val="00366888"/>
    <w:rsid w:val="00367154"/>
    <w:rsid w:val="00371907"/>
    <w:rsid w:val="00371D9D"/>
    <w:rsid w:val="00374079"/>
    <w:rsid w:val="00375A8A"/>
    <w:rsid w:val="00380A8E"/>
    <w:rsid w:val="00380F54"/>
    <w:rsid w:val="003818DC"/>
    <w:rsid w:val="00381E21"/>
    <w:rsid w:val="00382AF7"/>
    <w:rsid w:val="00384AE1"/>
    <w:rsid w:val="0038530A"/>
    <w:rsid w:val="00387347"/>
    <w:rsid w:val="003907A9"/>
    <w:rsid w:val="003911B5"/>
    <w:rsid w:val="00394AA3"/>
    <w:rsid w:val="00394F74"/>
    <w:rsid w:val="003A27A5"/>
    <w:rsid w:val="003A3F11"/>
    <w:rsid w:val="003A5126"/>
    <w:rsid w:val="003A5CB5"/>
    <w:rsid w:val="003A5FE0"/>
    <w:rsid w:val="003A6D39"/>
    <w:rsid w:val="003A6EB2"/>
    <w:rsid w:val="003A72D8"/>
    <w:rsid w:val="003A73C8"/>
    <w:rsid w:val="003A7583"/>
    <w:rsid w:val="003A76F4"/>
    <w:rsid w:val="003B0049"/>
    <w:rsid w:val="003B1373"/>
    <w:rsid w:val="003B1593"/>
    <w:rsid w:val="003B2AE6"/>
    <w:rsid w:val="003B5F61"/>
    <w:rsid w:val="003B744C"/>
    <w:rsid w:val="003C2AAD"/>
    <w:rsid w:val="003C304A"/>
    <w:rsid w:val="003C797C"/>
    <w:rsid w:val="003D0285"/>
    <w:rsid w:val="003D23E5"/>
    <w:rsid w:val="003D32F9"/>
    <w:rsid w:val="003D3EB9"/>
    <w:rsid w:val="003D4830"/>
    <w:rsid w:val="003D6AB2"/>
    <w:rsid w:val="003D6B44"/>
    <w:rsid w:val="003E0B22"/>
    <w:rsid w:val="003E4E4B"/>
    <w:rsid w:val="003E528C"/>
    <w:rsid w:val="003E5698"/>
    <w:rsid w:val="003E614F"/>
    <w:rsid w:val="003E74FA"/>
    <w:rsid w:val="003E7FB6"/>
    <w:rsid w:val="003F06B7"/>
    <w:rsid w:val="003F2F56"/>
    <w:rsid w:val="003F3581"/>
    <w:rsid w:val="003F35D3"/>
    <w:rsid w:val="003F4956"/>
    <w:rsid w:val="003F5116"/>
    <w:rsid w:val="003F6F01"/>
    <w:rsid w:val="003F779D"/>
    <w:rsid w:val="00400AE5"/>
    <w:rsid w:val="00401229"/>
    <w:rsid w:val="0040137E"/>
    <w:rsid w:val="00404F48"/>
    <w:rsid w:val="00410537"/>
    <w:rsid w:val="004120A0"/>
    <w:rsid w:val="004131E0"/>
    <w:rsid w:val="00413ABC"/>
    <w:rsid w:val="00416A08"/>
    <w:rsid w:val="0042008F"/>
    <w:rsid w:val="00421CEF"/>
    <w:rsid w:val="00423C95"/>
    <w:rsid w:val="00424319"/>
    <w:rsid w:val="00426ECB"/>
    <w:rsid w:val="00427E44"/>
    <w:rsid w:val="00430D6B"/>
    <w:rsid w:val="004346E1"/>
    <w:rsid w:val="00435414"/>
    <w:rsid w:val="00436868"/>
    <w:rsid w:val="00437D9D"/>
    <w:rsid w:val="00440EB4"/>
    <w:rsid w:val="00441595"/>
    <w:rsid w:val="00441B4F"/>
    <w:rsid w:val="00441D87"/>
    <w:rsid w:val="00442697"/>
    <w:rsid w:val="004434A0"/>
    <w:rsid w:val="00443B2B"/>
    <w:rsid w:val="00444BBF"/>
    <w:rsid w:val="00444D39"/>
    <w:rsid w:val="004458AE"/>
    <w:rsid w:val="00445C11"/>
    <w:rsid w:val="004507BE"/>
    <w:rsid w:val="00451817"/>
    <w:rsid w:val="00451C4A"/>
    <w:rsid w:val="00452816"/>
    <w:rsid w:val="00452A75"/>
    <w:rsid w:val="00460CB6"/>
    <w:rsid w:val="00460F1F"/>
    <w:rsid w:val="00461094"/>
    <w:rsid w:val="00461C5E"/>
    <w:rsid w:val="00461DF7"/>
    <w:rsid w:val="00471C3B"/>
    <w:rsid w:val="0047208B"/>
    <w:rsid w:val="0047209F"/>
    <w:rsid w:val="00473A09"/>
    <w:rsid w:val="0047416A"/>
    <w:rsid w:val="00475610"/>
    <w:rsid w:val="004767CF"/>
    <w:rsid w:val="00476E15"/>
    <w:rsid w:val="0047796D"/>
    <w:rsid w:val="00480C20"/>
    <w:rsid w:val="00480EA2"/>
    <w:rsid w:val="00481FDE"/>
    <w:rsid w:val="00485F01"/>
    <w:rsid w:val="00486C9E"/>
    <w:rsid w:val="00486CBF"/>
    <w:rsid w:val="00490808"/>
    <w:rsid w:val="004911E6"/>
    <w:rsid w:val="00491E79"/>
    <w:rsid w:val="00492B28"/>
    <w:rsid w:val="004932F1"/>
    <w:rsid w:val="00493CA0"/>
    <w:rsid w:val="004A0463"/>
    <w:rsid w:val="004A0558"/>
    <w:rsid w:val="004A38C7"/>
    <w:rsid w:val="004A4FE8"/>
    <w:rsid w:val="004A7AB3"/>
    <w:rsid w:val="004B086B"/>
    <w:rsid w:val="004B2F15"/>
    <w:rsid w:val="004B3118"/>
    <w:rsid w:val="004B3DE2"/>
    <w:rsid w:val="004B4E03"/>
    <w:rsid w:val="004B4FA0"/>
    <w:rsid w:val="004B6D90"/>
    <w:rsid w:val="004B7019"/>
    <w:rsid w:val="004C2C5D"/>
    <w:rsid w:val="004C2D16"/>
    <w:rsid w:val="004C3576"/>
    <w:rsid w:val="004C4848"/>
    <w:rsid w:val="004C5A47"/>
    <w:rsid w:val="004C5AC0"/>
    <w:rsid w:val="004C7326"/>
    <w:rsid w:val="004C734C"/>
    <w:rsid w:val="004C745D"/>
    <w:rsid w:val="004C7AC2"/>
    <w:rsid w:val="004C7FE6"/>
    <w:rsid w:val="004D4924"/>
    <w:rsid w:val="004D698F"/>
    <w:rsid w:val="004D7D9F"/>
    <w:rsid w:val="004E19A9"/>
    <w:rsid w:val="004E3BCF"/>
    <w:rsid w:val="004E3D8D"/>
    <w:rsid w:val="004E3E61"/>
    <w:rsid w:val="004E3E96"/>
    <w:rsid w:val="004E4026"/>
    <w:rsid w:val="004E4027"/>
    <w:rsid w:val="004E4300"/>
    <w:rsid w:val="004F08F8"/>
    <w:rsid w:val="004F09AE"/>
    <w:rsid w:val="004F0C49"/>
    <w:rsid w:val="004F0F47"/>
    <w:rsid w:val="004F0FF5"/>
    <w:rsid w:val="004F3344"/>
    <w:rsid w:val="004F3F8A"/>
    <w:rsid w:val="004F4C0C"/>
    <w:rsid w:val="004F5F8E"/>
    <w:rsid w:val="004F7892"/>
    <w:rsid w:val="00501464"/>
    <w:rsid w:val="00501AB4"/>
    <w:rsid w:val="00501D13"/>
    <w:rsid w:val="00502589"/>
    <w:rsid w:val="005027B7"/>
    <w:rsid w:val="005034B0"/>
    <w:rsid w:val="00503A1D"/>
    <w:rsid w:val="00506DD3"/>
    <w:rsid w:val="00514170"/>
    <w:rsid w:val="0051535F"/>
    <w:rsid w:val="00516A4A"/>
    <w:rsid w:val="00521148"/>
    <w:rsid w:val="00521C4B"/>
    <w:rsid w:val="005220E1"/>
    <w:rsid w:val="00522333"/>
    <w:rsid w:val="0052290A"/>
    <w:rsid w:val="00525C8D"/>
    <w:rsid w:val="00527C19"/>
    <w:rsid w:val="00532816"/>
    <w:rsid w:val="0053350A"/>
    <w:rsid w:val="005340CD"/>
    <w:rsid w:val="00534602"/>
    <w:rsid w:val="005349EB"/>
    <w:rsid w:val="00534F90"/>
    <w:rsid w:val="00535341"/>
    <w:rsid w:val="00536284"/>
    <w:rsid w:val="005365CC"/>
    <w:rsid w:val="00540A18"/>
    <w:rsid w:val="0054155E"/>
    <w:rsid w:val="00542A31"/>
    <w:rsid w:val="005440AF"/>
    <w:rsid w:val="005460F0"/>
    <w:rsid w:val="005464FB"/>
    <w:rsid w:val="00547EB6"/>
    <w:rsid w:val="00554377"/>
    <w:rsid w:val="005557CE"/>
    <w:rsid w:val="0055661E"/>
    <w:rsid w:val="0055709A"/>
    <w:rsid w:val="005613E8"/>
    <w:rsid w:val="00561739"/>
    <w:rsid w:val="00561FD4"/>
    <w:rsid w:val="00562B1A"/>
    <w:rsid w:val="00565FD9"/>
    <w:rsid w:val="0056700D"/>
    <w:rsid w:val="00571DB5"/>
    <w:rsid w:val="005721CA"/>
    <w:rsid w:val="00573798"/>
    <w:rsid w:val="00573F22"/>
    <w:rsid w:val="00574884"/>
    <w:rsid w:val="00575B7F"/>
    <w:rsid w:val="005762AF"/>
    <w:rsid w:val="00576FC3"/>
    <w:rsid w:val="00580605"/>
    <w:rsid w:val="00581B6A"/>
    <w:rsid w:val="00581F94"/>
    <w:rsid w:val="00582121"/>
    <w:rsid w:val="005821CC"/>
    <w:rsid w:val="005827D7"/>
    <w:rsid w:val="00584BFC"/>
    <w:rsid w:val="005863C1"/>
    <w:rsid w:val="00587EE6"/>
    <w:rsid w:val="00591198"/>
    <w:rsid w:val="00591E12"/>
    <w:rsid w:val="00592D22"/>
    <w:rsid w:val="005934CC"/>
    <w:rsid w:val="005934E9"/>
    <w:rsid w:val="00593573"/>
    <w:rsid w:val="0059418E"/>
    <w:rsid w:val="00596003"/>
    <w:rsid w:val="005975DC"/>
    <w:rsid w:val="005A0751"/>
    <w:rsid w:val="005A0DDF"/>
    <w:rsid w:val="005A1703"/>
    <w:rsid w:val="005A2605"/>
    <w:rsid w:val="005A4C58"/>
    <w:rsid w:val="005A5088"/>
    <w:rsid w:val="005A5370"/>
    <w:rsid w:val="005A5EFA"/>
    <w:rsid w:val="005A7CBB"/>
    <w:rsid w:val="005B10C0"/>
    <w:rsid w:val="005B21C6"/>
    <w:rsid w:val="005B2541"/>
    <w:rsid w:val="005B7CBC"/>
    <w:rsid w:val="005C05E8"/>
    <w:rsid w:val="005C581F"/>
    <w:rsid w:val="005C772F"/>
    <w:rsid w:val="005D01B6"/>
    <w:rsid w:val="005D120A"/>
    <w:rsid w:val="005D17C8"/>
    <w:rsid w:val="005D3EB2"/>
    <w:rsid w:val="005D7433"/>
    <w:rsid w:val="005D7ED9"/>
    <w:rsid w:val="005E0EDA"/>
    <w:rsid w:val="005E3161"/>
    <w:rsid w:val="005E3598"/>
    <w:rsid w:val="005E4D96"/>
    <w:rsid w:val="005E77E1"/>
    <w:rsid w:val="005F0463"/>
    <w:rsid w:val="005F1C33"/>
    <w:rsid w:val="005F27BF"/>
    <w:rsid w:val="005F383F"/>
    <w:rsid w:val="005F4407"/>
    <w:rsid w:val="005F4635"/>
    <w:rsid w:val="005F58DD"/>
    <w:rsid w:val="005F6C8A"/>
    <w:rsid w:val="006012DF"/>
    <w:rsid w:val="0060162A"/>
    <w:rsid w:val="006020FE"/>
    <w:rsid w:val="006025CD"/>
    <w:rsid w:val="006041D4"/>
    <w:rsid w:val="00610FCC"/>
    <w:rsid w:val="00610FE7"/>
    <w:rsid w:val="006115BE"/>
    <w:rsid w:val="0061284E"/>
    <w:rsid w:val="0061356A"/>
    <w:rsid w:val="0061503D"/>
    <w:rsid w:val="006153E4"/>
    <w:rsid w:val="00615D12"/>
    <w:rsid w:val="00617494"/>
    <w:rsid w:val="00620BAB"/>
    <w:rsid w:val="00622BEF"/>
    <w:rsid w:val="0062424E"/>
    <w:rsid w:val="006253BF"/>
    <w:rsid w:val="00626BA6"/>
    <w:rsid w:val="0063180D"/>
    <w:rsid w:val="006321EC"/>
    <w:rsid w:val="0063247E"/>
    <w:rsid w:val="00633079"/>
    <w:rsid w:val="00633221"/>
    <w:rsid w:val="006368BC"/>
    <w:rsid w:val="00637050"/>
    <w:rsid w:val="006377AC"/>
    <w:rsid w:val="0064025B"/>
    <w:rsid w:val="00641524"/>
    <w:rsid w:val="00643C7C"/>
    <w:rsid w:val="006458C9"/>
    <w:rsid w:val="00647A0C"/>
    <w:rsid w:val="0065008B"/>
    <w:rsid w:val="006527C5"/>
    <w:rsid w:val="00652A2C"/>
    <w:rsid w:val="00652F0D"/>
    <w:rsid w:val="00654F1C"/>
    <w:rsid w:val="00656BBC"/>
    <w:rsid w:val="00660984"/>
    <w:rsid w:val="00661927"/>
    <w:rsid w:val="00661982"/>
    <w:rsid w:val="0066236B"/>
    <w:rsid w:val="006629DF"/>
    <w:rsid w:val="006665DD"/>
    <w:rsid w:val="00666AD8"/>
    <w:rsid w:val="00667088"/>
    <w:rsid w:val="00667202"/>
    <w:rsid w:val="00670BFE"/>
    <w:rsid w:val="00670C77"/>
    <w:rsid w:val="006723B9"/>
    <w:rsid w:val="0067287D"/>
    <w:rsid w:val="00677F03"/>
    <w:rsid w:val="00677F54"/>
    <w:rsid w:val="00680209"/>
    <w:rsid w:val="00680EC4"/>
    <w:rsid w:val="006821FB"/>
    <w:rsid w:val="006824A5"/>
    <w:rsid w:val="00682EA1"/>
    <w:rsid w:val="00684035"/>
    <w:rsid w:val="00684A74"/>
    <w:rsid w:val="0068513A"/>
    <w:rsid w:val="006860F4"/>
    <w:rsid w:val="006924E5"/>
    <w:rsid w:val="006931CA"/>
    <w:rsid w:val="006935F8"/>
    <w:rsid w:val="00694ED9"/>
    <w:rsid w:val="00695248"/>
    <w:rsid w:val="00695313"/>
    <w:rsid w:val="00695505"/>
    <w:rsid w:val="00695713"/>
    <w:rsid w:val="00695F0B"/>
    <w:rsid w:val="006966B1"/>
    <w:rsid w:val="006969E7"/>
    <w:rsid w:val="00696DCB"/>
    <w:rsid w:val="006A1DC8"/>
    <w:rsid w:val="006A250B"/>
    <w:rsid w:val="006A3167"/>
    <w:rsid w:val="006A6DB7"/>
    <w:rsid w:val="006A7E65"/>
    <w:rsid w:val="006B1F17"/>
    <w:rsid w:val="006B1F48"/>
    <w:rsid w:val="006B3FFE"/>
    <w:rsid w:val="006B6AE7"/>
    <w:rsid w:val="006C45D6"/>
    <w:rsid w:val="006C5763"/>
    <w:rsid w:val="006C57E5"/>
    <w:rsid w:val="006C6278"/>
    <w:rsid w:val="006D0C97"/>
    <w:rsid w:val="006D1151"/>
    <w:rsid w:val="006D1EFC"/>
    <w:rsid w:val="006D4180"/>
    <w:rsid w:val="006D6DE2"/>
    <w:rsid w:val="006D7255"/>
    <w:rsid w:val="006E0B73"/>
    <w:rsid w:val="006E1571"/>
    <w:rsid w:val="006E1C4F"/>
    <w:rsid w:val="006E1CD1"/>
    <w:rsid w:val="006E43D9"/>
    <w:rsid w:val="006E58B5"/>
    <w:rsid w:val="006E6C79"/>
    <w:rsid w:val="006F198C"/>
    <w:rsid w:val="006F1DAF"/>
    <w:rsid w:val="006F49F3"/>
    <w:rsid w:val="006F505D"/>
    <w:rsid w:val="006F6964"/>
    <w:rsid w:val="006F7269"/>
    <w:rsid w:val="006F7A57"/>
    <w:rsid w:val="0070242D"/>
    <w:rsid w:val="007031EF"/>
    <w:rsid w:val="00703D4D"/>
    <w:rsid w:val="00704A1C"/>
    <w:rsid w:val="00705E2C"/>
    <w:rsid w:val="00706338"/>
    <w:rsid w:val="00707516"/>
    <w:rsid w:val="00712281"/>
    <w:rsid w:val="007123A3"/>
    <w:rsid w:val="0071407C"/>
    <w:rsid w:val="00714B00"/>
    <w:rsid w:val="00715660"/>
    <w:rsid w:val="00717751"/>
    <w:rsid w:val="007212BC"/>
    <w:rsid w:val="007228D8"/>
    <w:rsid w:val="00722A4D"/>
    <w:rsid w:val="00723ABB"/>
    <w:rsid w:val="00724107"/>
    <w:rsid w:val="00724761"/>
    <w:rsid w:val="00724F5A"/>
    <w:rsid w:val="0072538B"/>
    <w:rsid w:val="007303F3"/>
    <w:rsid w:val="0073073C"/>
    <w:rsid w:val="00730F63"/>
    <w:rsid w:val="00731E45"/>
    <w:rsid w:val="00733A0A"/>
    <w:rsid w:val="00733F28"/>
    <w:rsid w:val="00735D56"/>
    <w:rsid w:val="00736A63"/>
    <w:rsid w:val="00737816"/>
    <w:rsid w:val="00740B9B"/>
    <w:rsid w:val="0074415F"/>
    <w:rsid w:val="00745204"/>
    <w:rsid w:val="007459F4"/>
    <w:rsid w:val="007504D5"/>
    <w:rsid w:val="007516EB"/>
    <w:rsid w:val="00752003"/>
    <w:rsid w:val="00756103"/>
    <w:rsid w:val="0076235F"/>
    <w:rsid w:val="00763439"/>
    <w:rsid w:val="007639D7"/>
    <w:rsid w:val="00764308"/>
    <w:rsid w:val="00764D4D"/>
    <w:rsid w:val="00766F55"/>
    <w:rsid w:val="00767149"/>
    <w:rsid w:val="00772731"/>
    <w:rsid w:val="00772C08"/>
    <w:rsid w:val="00774EF0"/>
    <w:rsid w:val="00777647"/>
    <w:rsid w:val="00780151"/>
    <w:rsid w:val="007805F3"/>
    <w:rsid w:val="00780C97"/>
    <w:rsid w:val="00784740"/>
    <w:rsid w:val="00784F1D"/>
    <w:rsid w:val="007879D2"/>
    <w:rsid w:val="00790349"/>
    <w:rsid w:val="00790392"/>
    <w:rsid w:val="00790B07"/>
    <w:rsid w:val="0079144D"/>
    <w:rsid w:val="0079148D"/>
    <w:rsid w:val="0079214D"/>
    <w:rsid w:val="007929C4"/>
    <w:rsid w:val="00792C8B"/>
    <w:rsid w:val="007954AD"/>
    <w:rsid w:val="0079563B"/>
    <w:rsid w:val="00797E8F"/>
    <w:rsid w:val="007A11AF"/>
    <w:rsid w:val="007A18C2"/>
    <w:rsid w:val="007A20B4"/>
    <w:rsid w:val="007A2190"/>
    <w:rsid w:val="007A267B"/>
    <w:rsid w:val="007A296D"/>
    <w:rsid w:val="007A3208"/>
    <w:rsid w:val="007A4374"/>
    <w:rsid w:val="007A51C3"/>
    <w:rsid w:val="007A5DA8"/>
    <w:rsid w:val="007A60FB"/>
    <w:rsid w:val="007A7433"/>
    <w:rsid w:val="007B20F3"/>
    <w:rsid w:val="007B2100"/>
    <w:rsid w:val="007B2E67"/>
    <w:rsid w:val="007B3DC7"/>
    <w:rsid w:val="007B3F2D"/>
    <w:rsid w:val="007B434C"/>
    <w:rsid w:val="007B5356"/>
    <w:rsid w:val="007B5E09"/>
    <w:rsid w:val="007B6AC0"/>
    <w:rsid w:val="007B7299"/>
    <w:rsid w:val="007B72FE"/>
    <w:rsid w:val="007C1A35"/>
    <w:rsid w:val="007C21D6"/>
    <w:rsid w:val="007C4146"/>
    <w:rsid w:val="007C4A6B"/>
    <w:rsid w:val="007C5EB0"/>
    <w:rsid w:val="007D1BC9"/>
    <w:rsid w:val="007D4027"/>
    <w:rsid w:val="007D71EA"/>
    <w:rsid w:val="007D7797"/>
    <w:rsid w:val="007D7B3D"/>
    <w:rsid w:val="007E04E6"/>
    <w:rsid w:val="007E0C92"/>
    <w:rsid w:val="007E1BEA"/>
    <w:rsid w:val="007E24BA"/>
    <w:rsid w:val="007E3F8D"/>
    <w:rsid w:val="007E4347"/>
    <w:rsid w:val="007E4A87"/>
    <w:rsid w:val="007E50C3"/>
    <w:rsid w:val="007E63B6"/>
    <w:rsid w:val="007E6FA8"/>
    <w:rsid w:val="007E70C8"/>
    <w:rsid w:val="007E75BF"/>
    <w:rsid w:val="007F0D69"/>
    <w:rsid w:val="007F1280"/>
    <w:rsid w:val="007F1967"/>
    <w:rsid w:val="007F4205"/>
    <w:rsid w:val="007F54E7"/>
    <w:rsid w:val="007F5AA0"/>
    <w:rsid w:val="007F61FE"/>
    <w:rsid w:val="00801EFF"/>
    <w:rsid w:val="0080222D"/>
    <w:rsid w:val="00802825"/>
    <w:rsid w:val="0080346E"/>
    <w:rsid w:val="0080498E"/>
    <w:rsid w:val="0080586E"/>
    <w:rsid w:val="008075FA"/>
    <w:rsid w:val="0081061C"/>
    <w:rsid w:val="00811095"/>
    <w:rsid w:val="00812C09"/>
    <w:rsid w:val="00813905"/>
    <w:rsid w:val="00813F1A"/>
    <w:rsid w:val="008145EE"/>
    <w:rsid w:val="00814680"/>
    <w:rsid w:val="00814B14"/>
    <w:rsid w:val="00816282"/>
    <w:rsid w:val="00816625"/>
    <w:rsid w:val="00817F8E"/>
    <w:rsid w:val="0082080F"/>
    <w:rsid w:val="008224D0"/>
    <w:rsid w:val="00822A0C"/>
    <w:rsid w:val="00822CFB"/>
    <w:rsid w:val="00822D53"/>
    <w:rsid w:val="00823770"/>
    <w:rsid w:val="00824296"/>
    <w:rsid w:val="00824BD5"/>
    <w:rsid w:val="00824CDD"/>
    <w:rsid w:val="00825909"/>
    <w:rsid w:val="00827DA6"/>
    <w:rsid w:val="00830C42"/>
    <w:rsid w:val="00830F69"/>
    <w:rsid w:val="0083215A"/>
    <w:rsid w:val="0083282A"/>
    <w:rsid w:val="008344A8"/>
    <w:rsid w:val="00834E44"/>
    <w:rsid w:val="0083512F"/>
    <w:rsid w:val="008379D4"/>
    <w:rsid w:val="0084002E"/>
    <w:rsid w:val="00840307"/>
    <w:rsid w:val="00840785"/>
    <w:rsid w:val="00844530"/>
    <w:rsid w:val="00844F39"/>
    <w:rsid w:val="00845AB7"/>
    <w:rsid w:val="00845D66"/>
    <w:rsid w:val="008462CF"/>
    <w:rsid w:val="00846984"/>
    <w:rsid w:val="00846E1B"/>
    <w:rsid w:val="00850A65"/>
    <w:rsid w:val="0085331A"/>
    <w:rsid w:val="00853DB9"/>
    <w:rsid w:val="00854056"/>
    <w:rsid w:val="008544D3"/>
    <w:rsid w:val="00855AF7"/>
    <w:rsid w:val="00855B2F"/>
    <w:rsid w:val="00857412"/>
    <w:rsid w:val="008578D2"/>
    <w:rsid w:val="00860563"/>
    <w:rsid w:val="00861A26"/>
    <w:rsid w:val="008628AA"/>
    <w:rsid w:val="00865BC0"/>
    <w:rsid w:val="008717D2"/>
    <w:rsid w:val="0087353B"/>
    <w:rsid w:val="00873563"/>
    <w:rsid w:val="00874F88"/>
    <w:rsid w:val="008760D1"/>
    <w:rsid w:val="00877BAC"/>
    <w:rsid w:val="00880727"/>
    <w:rsid w:val="008810E4"/>
    <w:rsid w:val="00883B22"/>
    <w:rsid w:val="00883C62"/>
    <w:rsid w:val="00886597"/>
    <w:rsid w:val="0088669A"/>
    <w:rsid w:val="00886962"/>
    <w:rsid w:val="00887A68"/>
    <w:rsid w:val="0089183A"/>
    <w:rsid w:val="00891BDF"/>
    <w:rsid w:val="008942EB"/>
    <w:rsid w:val="008956AA"/>
    <w:rsid w:val="00896CC2"/>
    <w:rsid w:val="00896D5A"/>
    <w:rsid w:val="00897D37"/>
    <w:rsid w:val="008A002C"/>
    <w:rsid w:val="008A02ED"/>
    <w:rsid w:val="008A0AF9"/>
    <w:rsid w:val="008A1887"/>
    <w:rsid w:val="008A1F5D"/>
    <w:rsid w:val="008A21E4"/>
    <w:rsid w:val="008A44FA"/>
    <w:rsid w:val="008A45CF"/>
    <w:rsid w:val="008A6461"/>
    <w:rsid w:val="008A77B6"/>
    <w:rsid w:val="008B0812"/>
    <w:rsid w:val="008B0DEC"/>
    <w:rsid w:val="008B1EBE"/>
    <w:rsid w:val="008B2A6D"/>
    <w:rsid w:val="008B3498"/>
    <w:rsid w:val="008B35CB"/>
    <w:rsid w:val="008B4AA4"/>
    <w:rsid w:val="008B5310"/>
    <w:rsid w:val="008B56F8"/>
    <w:rsid w:val="008B5D04"/>
    <w:rsid w:val="008B6BD7"/>
    <w:rsid w:val="008B7FFE"/>
    <w:rsid w:val="008C12AA"/>
    <w:rsid w:val="008C343A"/>
    <w:rsid w:val="008C3739"/>
    <w:rsid w:val="008C422D"/>
    <w:rsid w:val="008C45F7"/>
    <w:rsid w:val="008C4C61"/>
    <w:rsid w:val="008C750D"/>
    <w:rsid w:val="008D0EBC"/>
    <w:rsid w:val="008D111D"/>
    <w:rsid w:val="008D3575"/>
    <w:rsid w:val="008D37CD"/>
    <w:rsid w:val="008D464F"/>
    <w:rsid w:val="008D6EB0"/>
    <w:rsid w:val="008D799E"/>
    <w:rsid w:val="008E156D"/>
    <w:rsid w:val="008E1DEA"/>
    <w:rsid w:val="008E1F2E"/>
    <w:rsid w:val="008E2C78"/>
    <w:rsid w:val="008E2F96"/>
    <w:rsid w:val="008E4EB5"/>
    <w:rsid w:val="008E5341"/>
    <w:rsid w:val="008E5B3F"/>
    <w:rsid w:val="008E66FA"/>
    <w:rsid w:val="008F216A"/>
    <w:rsid w:val="008F29ED"/>
    <w:rsid w:val="008F3A9C"/>
    <w:rsid w:val="008F5EEA"/>
    <w:rsid w:val="008F64FE"/>
    <w:rsid w:val="0090128F"/>
    <w:rsid w:val="0090181A"/>
    <w:rsid w:val="00902F3E"/>
    <w:rsid w:val="00903007"/>
    <w:rsid w:val="00903389"/>
    <w:rsid w:val="009039A3"/>
    <w:rsid w:val="00903EEB"/>
    <w:rsid w:val="00904669"/>
    <w:rsid w:val="009056AC"/>
    <w:rsid w:val="00906DD7"/>
    <w:rsid w:val="00910111"/>
    <w:rsid w:val="0091021D"/>
    <w:rsid w:val="00910ED5"/>
    <w:rsid w:val="00911578"/>
    <w:rsid w:val="00911E41"/>
    <w:rsid w:val="0091350B"/>
    <w:rsid w:val="00913CEE"/>
    <w:rsid w:val="00914865"/>
    <w:rsid w:val="009149A7"/>
    <w:rsid w:val="00915088"/>
    <w:rsid w:val="00915935"/>
    <w:rsid w:val="0091701F"/>
    <w:rsid w:val="00921089"/>
    <w:rsid w:val="009246FE"/>
    <w:rsid w:val="00924F77"/>
    <w:rsid w:val="0093093C"/>
    <w:rsid w:val="0093246F"/>
    <w:rsid w:val="00935BF4"/>
    <w:rsid w:val="00935F5D"/>
    <w:rsid w:val="0093733E"/>
    <w:rsid w:val="0094000C"/>
    <w:rsid w:val="00940247"/>
    <w:rsid w:val="00943BA8"/>
    <w:rsid w:val="00944E17"/>
    <w:rsid w:val="009456DB"/>
    <w:rsid w:val="00947006"/>
    <w:rsid w:val="00950900"/>
    <w:rsid w:val="00951BB8"/>
    <w:rsid w:val="00952DE8"/>
    <w:rsid w:val="00955357"/>
    <w:rsid w:val="009557D2"/>
    <w:rsid w:val="0095668E"/>
    <w:rsid w:val="00956C0F"/>
    <w:rsid w:val="00956D2C"/>
    <w:rsid w:val="00960280"/>
    <w:rsid w:val="00961098"/>
    <w:rsid w:val="0096197E"/>
    <w:rsid w:val="00962426"/>
    <w:rsid w:val="00962871"/>
    <w:rsid w:val="00962944"/>
    <w:rsid w:val="00962AA3"/>
    <w:rsid w:val="00963B3E"/>
    <w:rsid w:val="009661E9"/>
    <w:rsid w:val="00966F0A"/>
    <w:rsid w:val="00970253"/>
    <w:rsid w:val="009702A5"/>
    <w:rsid w:val="00971A18"/>
    <w:rsid w:val="00971C14"/>
    <w:rsid w:val="00973110"/>
    <w:rsid w:val="00973E7B"/>
    <w:rsid w:val="0097498D"/>
    <w:rsid w:val="00975CF8"/>
    <w:rsid w:val="00977475"/>
    <w:rsid w:val="00977C20"/>
    <w:rsid w:val="009827D5"/>
    <w:rsid w:val="0098340B"/>
    <w:rsid w:val="0098390D"/>
    <w:rsid w:val="009849B9"/>
    <w:rsid w:val="00984E11"/>
    <w:rsid w:val="00985A22"/>
    <w:rsid w:val="00985F56"/>
    <w:rsid w:val="00987CAA"/>
    <w:rsid w:val="00987F19"/>
    <w:rsid w:val="00990D41"/>
    <w:rsid w:val="00991B12"/>
    <w:rsid w:val="00992263"/>
    <w:rsid w:val="009929E3"/>
    <w:rsid w:val="009938EB"/>
    <w:rsid w:val="00993978"/>
    <w:rsid w:val="0099417A"/>
    <w:rsid w:val="009945AC"/>
    <w:rsid w:val="00994D22"/>
    <w:rsid w:val="009964FA"/>
    <w:rsid w:val="00997D64"/>
    <w:rsid w:val="009A1955"/>
    <w:rsid w:val="009A5B8A"/>
    <w:rsid w:val="009A6CAF"/>
    <w:rsid w:val="009B046C"/>
    <w:rsid w:val="009B0FAC"/>
    <w:rsid w:val="009B201D"/>
    <w:rsid w:val="009B2ED8"/>
    <w:rsid w:val="009B301A"/>
    <w:rsid w:val="009B30E1"/>
    <w:rsid w:val="009B3F63"/>
    <w:rsid w:val="009B4063"/>
    <w:rsid w:val="009B4AC5"/>
    <w:rsid w:val="009B59C9"/>
    <w:rsid w:val="009B5C3E"/>
    <w:rsid w:val="009B79B1"/>
    <w:rsid w:val="009B7EA0"/>
    <w:rsid w:val="009C0537"/>
    <w:rsid w:val="009C0867"/>
    <w:rsid w:val="009C1C49"/>
    <w:rsid w:val="009C2A09"/>
    <w:rsid w:val="009C6F87"/>
    <w:rsid w:val="009C75B9"/>
    <w:rsid w:val="009D0071"/>
    <w:rsid w:val="009D01A7"/>
    <w:rsid w:val="009D3539"/>
    <w:rsid w:val="009D4409"/>
    <w:rsid w:val="009D52C8"/>
    <w:rsid w:val="009D5C74"/>
    <w:rsid w:val="009D6D2B"/>
    <w:rsid w:val="009E0E31"/>
    <w:rsid w:val="009E101A"/>
    <w:rsid w:val="009E11CA"/>
    <w:rsid w:val="009E164C"/>
    <w:rsid w:val="009E2080"/>
    <w:rsid w:val="009E4829"/>
    <w:rsid w:val="009F4214"/>
    <w:rsid w:val="009F453B"/>
    <w:rsid w:val="009F4ADF"/>
    <w:rsid w:val="009F5449"/>
    <w:rsid w:val="009F57BA"/>
    <w:rsid w:val="009F64AC"/>
    <w:rsid w:val="009F6E61"/>
    <w:rsid w:val="009F7DDC"/>
    <w:rsid w:val="00A00371"/>
    <w:rsid w:val="00A056B3"/>
    <w:rsid w:val="00A05EA1"/>
    <w:rsid w:val="00A05F9F"/>
    <w:rsid w:val="00A065EF"/>
    <w:rsid w:val="00A079B3"/>
    <w:rsid w:val="00A13289"/>
    <w:rsid w:val="00A136EE"/>
    <w:rsid w:val="00A14420"/>
    <w:rsid w:val="00A16183"/>
    <w:rsid w:val="00A16689"/>
    <w:rsid w:val="00A16FF3"/>
    <w:rsid w:val="00A17341"/>
    <w:rsid w:val="00A20CB5"/>
    <w:rsid w:val="00A2219D"/>
    <w:rsid w:val="00A24F11"/>
    <w:rsid w:val="00A260DA"/>
    <w:rsid w:val="00A2681F"/>
    <w:rsid w:val="00A26AE7"/>
    <w:rsid w:val="00A27E9A"/>
    <w:rsid w:val="00A30ECA"/>
    <w:rsid w:val="00A312E4"/>
    <w:rsid w:val="00A31C65"/>
    <w:rsid w:val="00A31C84"/>
    <w:rsid w:val="00A32647"/>
    <w:rsid w:val="00A35271"/>
    <w:rsid w:val="00A35294"/>
    <w:rsid w:val="00A35D6D"/>
    <w:rsid w:val="00A36518"/>
    <w:rsid w:val="00A37362"/>
    <w:rsid w:val="00A37411"/>
    <w:rsid w:val="00A41858"/>
    <w:rsid w:val="00A418E1"/>
    <w:rsid w:val="00A425DC"/>
    <w:rsid w:val="00A50F89"/>
    <w:rsid w:val="00A51721"/>
    <w:rsid w:val="00A53A1A"/>
    <w:rsid w:val="00A55413"/>
    <w:rsid w:val="00A55B3F"/>
    <w:rsid w:val="00A563DA"/>
    <w:rsid w:val="00A56826"/>
    <w:rsid w:val="00A57F37"/>
    <w:rsid w:val="00A61809"/>
    <w:rsid w:val="00A6356C"/>
    <w:rsid w:val="00A64077"/>
    <w:rsid w:val="00A67842"/>
    <w:rsid w:val="00A700A6"/>
    <w:rsid w:val="00A703CF"/>
    <w:rsid w:val="00A720EA"/>
    <w:rsid w:val="00A7227E"/>
    <w:rsid w:val="00A72729"/>
    <w:rsid w:val="00A7378F"/>
    <w:rsid w:val="00A770E3"/>
    <w:rsid w:val="00A8002B"/>
    <w:rsid w:val="00A80E53"/>
    <w:rsid w:val="00A8177A"/>
    <w:rsid w:val="00A8205C"/>
    <w:rsid w:val="00A82107"/>
    <w:rsid w:val="00A82A08"/>
    <w:rsid w:val="00A82B99"/>
    <w:rsid w:val="00A86A73"/>
    <w:rsid w:val="00A871D7"/>
    <w:rsid w:val="00A871DB"/>
    <w:rsid w:val="00A9185E"/>
    <w:rsid w:val="00A91F32"/>
    <w:rsid w:val="00A921DB"/>
    <w:rsid w:val="00A95B3E"/>
    <w:rsid w:val="00A95E71"/>
    <w:rsid w:val="00A96748"/>
    <w:rsid w:val="00A96EE4"/>
    <w:rsid w:val="00A971D3"/>
    <w:rsid w:val="00AA02EE"/>
    <w:rsid w:val="00AA26CD"/>
    <w:rsid w:val="00AA3406"/>
    <w:rsid w:val="00AA3838"/>
    <w:rsid w:val="00AA3CCB"/>
    <w:rsid w:val="00AA4165"/>
    <w:rsid w:val="00AA66DA"/>
    <w:rsid w:val="00AA73F7"/>
    <w:rsid w:val="00AA7435"/>
    <w:rsid w:val="00AA74E6"/>
    <w:rsid w:val="00AA7977"/>
    <w:rsid w:val="00AB1807"/>
    <w:rsid w:val="00AB1F8F"/>
    <w:rsid w:val="00AB33BA"/>
    <w:rsid w:val="00AB364F"/>
    <w:rsid w:val="00AB3DA2"/>
    <w:rsid w:val="00AB4EAE"/>
    <w:rsid w:val="00AB70A9"/>
    <w:rsid w:val="00AB7F3B"/>
    <w:rsid w:val="00AC2405"/>
    <w:rsid w:val="00AC2FA3"/>
    <w:rsid w:val="00AC3FDD"/>
    <w:rsid w:val="00AC4E91"/>
    <w:rsid w:val="00AC4FEC"/>
    <w:rsid w:val="00AC5574"/>
    <w:rsid w:val="00AC7059"/>
    <w:rsid w:val="00AD01D5"/>
    <w:rsid w:val="00AD2908"/>
    <w:rsid w:val="00AD304F"/>
    <w:rsid w:val="00AD30E1"/>
    <w:rsid w:val="00AD3282"/>
    <w:rsid w:val="00AD3381"/>
    <w:rsid w:val="00AD5349"/>
    <w:rsid w:val="00AD710C"/>
    <w:rsid w:val="00AD7CAB"/>
    <w:rsid w:val="00AD7DF3"/>
    <w:rsid w:val="00AE0F15"/>
    <w:rsid w:val="00AE1392"/>
    <w:rsid w:val="00AE2102"/>
    <w:rsid w:val="00AE3E5F"/>
    <w:rsid w:val="00AE41E2"/>
    <w:rsid w:val="00AE473F"/>
    <w:rsid w:val="00AE57AF"/>
    <w:rsid w:val="00AE71C8"/>
    <w:rsid w:val="00AF1866"/>
    <w:rsid w:val="00AF1E0A"/>
    <w:rsid w:val="00AF2BF4"/>
    <w:rsid w:val="00AF3A3F"/>
    <w:rsid w:val="00AF46E2"/>
    <w:rsid w:val="00AF497C"/>
    <w:rsid w:val="00AF4D7F"/>
    <w:rsid w:val="00AF69B4"/>
    <w:rsid w:val="00AF6F08"/>
    <w:rsid w:val="00B005B0"/>
    <w:rsid w:val="00B01DB2"/>
    <w:rsid w:val="00B02144"/>
    <w:rsid w:val="00B04AB1"/>
    <w:rsid w:val="00B06341"/>
    <w:rsid w:val="00B1120D"/>
    <w:rsid w:val="00B11EDB"/>
    <w:rsid w:val="00B120E2"/>
    <w:rsid w:val="00B14AD8"/>
    <w:rsid w:val="00B17CDF"/>
    <w:rsid w:val="00B23C93"/>
    <w:rsid w:val="00B24A60"/>
    <w:rsid w:val="00B2627E"/>
    <w:rsid w:val="00B26968"/>
    <w:rsid w:val="00B27F5C"/>
    <w:rsid w:val="00B32099"/>
    <w:rsid w:val="00B33B4A"/>
    <w:rsid w:val="00B33DA1"/>
    <w:rsid w:val="00B34371"/>
    <w:rsid w:val="00B34BC6"/>
    <w:rsid w:val="00B36A88"/>
    <w:rsid w:val="00B402B3"/>
    <w:rsid w:val="00B4077A"/>
    <w:rsid w:val="00B420FB"/>
    <w:rsid w:val="00B421B9"/>
    <w:rsid w:val="00B42601"/>
    <w:rsid w:val="00B428EE"/>
    <w:rsid w:val="00B43ADE"/>
    <w:rsid w:val="00B4414C"/>
    <w:rsid w:val="00B4446A"/>
    <w:rsid w:val="00B45CE1"/>
    <w:rsid w:val="00B4613F"/>
    <w:rsid w:val="00B4624D"/>
    <w:rsid w:val="00B4641B"/>
    <w:rsid w:val="00B46832"/>
    <w:rsid w:val="00B46AAD"/>
    <w:rsid w:val="00B509E1"/>
    <w:rsid w:val="00B517D6"/>
    <w:rsid w:val="00B51D71"/>
    <w:rsid w:val="00B529BF"/>
    <w:rsid w:val="00B534CA"/>
    <w:rsid w:val="00B5360B"/>
    <w:rsid w:val="00B53943"/>
    <w:rsid w:val="00B53F4E"/>
    <w:rsid w:val="00B54B96"/>
    <w:rsid w:val="00B615A3"/>
    <w:rsid w:val="00B62E2E"/>
    <w:rsid w:val="00B672A4"/>
    <w:rsid w:val="00B700FF"/>
    <w:rsid w:val="00B70DCC"/>
    <w:rsid w:val="00B716CC"/>
    <w:rsid w:val="00B71F50"/>
    <w:rsid w:val="00B72A0A"/>
    <w:rsid w:val="00B7316C"/>
    <w:rsid w:val="00B75570"/>
    <w:rsid w:val="00B756BF"/>
    <w:rsid w:val="00B77D65"/>
    <w:rsid w:val="00B77F04"/>
    <w:rsid w:val="00B80057"/>
    <w:rsid w:val="00B80B3A"/>
    <w:rsid w:val="00B81449"/>
    <w:rsid w:val="00B82183"/>
    <w:rsid w:val="00B845CD"/>
    <w:rsid w:val="00B8498F"/>
    <w:rsid w:val="00B85250"/>
    <w:rsid w:val="00B875B7"/>
    <w:rsid w:val="00B9052B"/>
    <w:rsid w:val="00B91306"/>
    <w:rsid w:val="00B9182A"/>
    <w:rsid w:val="00B91FDD"/>
    <w:rsid w:val="00B92200"/>
    <w:rsid w:val="00B94E98"/>
    <w:rsid w:val="00B9532A"/>
    <w:rsid w:val="00B95ADD"/>
    <w:rsid w:val="00B9631D"/>
    <w:rsid w:val="00B9635E"/>
    <w:rsid w:val="00B977F3"/>
    <w:rsid w:val="00B9795D"/>
    <w:rsid w:val="00BA0AF2"/>
    <w:rsid w:val="00BA1238"/>
    <w:rsid w:val="00BA1D9A"/>
    <w:rsid w:val="00BA28D5"/>
    <w:rsid w:val="00BA50BC"/>
    <w:rsid w:val="00BA5736"/>
    <w:rsid w:val="00BA5F29"/>
    <w:rsid w:val="00BA6360"/>
    <w:rsid w:val="00BA6440"/>
    <w:rsid w:val="00BA7452"/>
    <w:rsid w:val="00BB1D16"/>
    <w:rsid w:val="00BB3165"/>
    <w:rsid w:val="00BB50B8"/>
    <w:rsid w:val="00BB5565"/>
    <w:rsid w:val="00BB6335"/>
    <w:rsid w:val="00BB656B"/>
    <w:rsid w:val="00BB6828"/>
    <w:rsid w:val="00BB6C8A"/>
    <w:rsid w:val="00BC045F"/>
    <w:rsid w:val="00BC14E3"/>
    <w:rsid w:val="00BC1F64"/>
    <w:rsid w:val="00BC2B84"/>
    <w:rsid w:val="00BC4284"/>
    <w:rsid w:val="00BC5BC3"/>
    <w:rsid w:val="00BC5F7E"/>
    <w:rsid w:val="00BC7B11"/>
    <w:rsid w:val="00BD1CD7"/>
    <w:rsid w:val="00BD4232"/>
    <w:rsid w:val="00BD5466"/>
    <w:rsid w:val="00BD5A52"/>
    <w:rsid w:val="00BD67ED"/>
    <w:rsid w:val="00BD6C77"/>
    <w:rsid w:val="00BD7B8F"/>
    <w:rsid w:val="00BE127E"/>
    <w:rsid w:val="00BE5DCD"/>
    <w:rsid w:val="00BE6D1E"/>
    <w:rsid w:val="00BF3ADC"/>
    <w:rsid w:val="00BF4317"/>
    <w:rsid w:val="00BF438C"/>
    <w:rsid w:val="00BF52F0"/>
    <w:rsid w:val="00BF5714"/>
    <w:rsid w:val="00BF5FC5"/>
    <w:rsid w:val="00BF75B8"/>
    <w:rsid w:val="00C00442"/>
    <w:rsid w:val="00C02F45"/>
    <w:rsid w:val="00C05626"/>
    <w:rsid w:val="00C0798C"/>
    <w:rsid w:val="00C079AA"/>
    <w:rsid w:val="00C07AE4"/>
    <w:rsid w:val="00C1113A"/>
    <w:rsid w:val="00C1161E"/>
    <w:rsid w:val="00C11FAE"/>
    <w:rsid w:val="00C14706"/>
    <w:rsid w:val="00C15B09"/>
    <w:rsid w:val="00C161AE"/>
    <w:rsid w:val="00C165B1"/>
    <w:rsid w:val="00C23BBC"/>
    <w:rsid w:val="00C243DA"/>
    <w:rsid w:val="00C24E43"/>
    <w:rsid w:val="00C300CF"/>
    <w:rsid w:val="00C302A0"/>
    <w:rsid w:val="00C30746"/>
    <w:rsid w:val="00C3218F"/>
    <w:rsid w:val="00C339CF"/>
    <w:rsid w:val="00C33C89"/>
    <w:rsid w:val="00C34CC7"/>
    <w:rsid w:val="00C35DC1"/>
    <w:rsid w:val="00C369EE"/>
    <w:rsid w:val="00C3750B"/>
    <w:rsid w:val="00C4088D"/>
    <w:rsid w:val="00C4165F"/>
    <w:rsid w:val="00C433C4"/>
    <w:rsid w:val="00C50AB4"/>
    <w:rsid w:val="00C51439"/>
    <w:rsid w:val="00C540E9"/>
    <w:rsid w:val="00C60472"/>
    <w:rsid w:val="00C6145F"/>
    <w:rsid w:val="00C63105"/>
    <w:rsid w:val="00C648A9"/>
    <w:rsid w:val="00C6607C"/>
    <w:rsid w:val="00C665A1"/>
    <w:rsid w:val="00C70C91"/>
    <w:rsid w:val="00C729B3"/>
    <w:rsid w:val="00C7398B"/>
    <w:rsid w:val="00C73DFC"/>
    <w:rsid w:val="00C744BC"/>
    <w:rsid w:val="00C74B91"/>
    <w:rsid w:val="00C75589"/>
    <w:rsid w:val="00C80913"/>
    <w:rsid w:val="00C80AAC"/>
    <w:rsid w:val="00C81D9F"/>
    <w:rsid w:val="00C83086"/>
    <w:rsid w:val="00C85348"/>
    <w:rsid w:val="00C86A0A"/>
    <w:rsid w:val="00C91D17"/>
    <w:rsid w:val="00C92F01"/>
    <w:rsid w:val="00C93FA7"/>
    <w:rsid w:val="00C95952"/>
    <w:rsid w:val="00CA041A"/>
    <w:rsid w:val="00CA1014"/>
    <w:rsid w:val="00CA1CCE"/>
    <w:rsid w:val="00CA2B4B"/>
    <w:rsid w:val="00CA2B98"/>
    <w:rsid w:val="00CA6AD5"/>
    <w:rsid w:val="00CA7119"/>
    <w:rsid w:val="00CA729F"/>
    <w:rsid w:val="00CB0B11"/>
    <w:rsid w:val="00CB10B6"/>
    <w:rsid w:val="00CB119A"/>
    <w:rsid w:val="00CB410F"/>
    <w:rsid w:val="00CB58A4"/>
    <w:rsid w:val="00CB662B"/>
    <w:rsid w:val="00CB6C73"/>
    <w:rsid w:val="00CB6D70"/>
    <w:rsid w:val="00CB7B29"/>
    <w:rsid w:val="00CB7EA6"/>
    <w:rsid w:val="00CC02FA"/>
    <w:rsid w:val="00CC2F87"/>
    <w:rsid w:val="00CC3604"/>
    <w:rsid w:val="00CC4DFF"/>
    <w:rsid w:val="00CC65D1"/>
    <w:rsid w:val="00CD1522"/>
    <w:rsid w:val="00CD278D"/>
    <w:rsid w:val="00CD3312"/>
    <w:rsid w:val="00CD4F69"/>
    <w:rsid w:val="00CD74F3"/>
    <w:rsid w:val="00CE0EBF"/>
    <w:rsid w:val="00CE2332"/>
    <w:rsid w:val="00CE2C69"/>
    <w:rsid w:val="00CE4B5C"/>
    <w:rsid w:val="00CE6C5E"/>
    <w:rsid w:val="00CE6D2D"/>
    <w:rsid w:val="00CE7FC8"/>
    <w:rsid w:val="00CF1AEB"/>
    <w:rsid w:val="00CF35A2"/>
    <w:rsid w:val="00CF5F55"/>
    <w:rsid w:val="00CF74D1"/>
    <w:rsid w:val="00D0092E"/>
    <w:rsid w:val="00D00ACD"/>
    <w:rsid w:val="00D0236D"/>
    <w:rsid w:val="00D043E2"/>
    <w:rsid w:val="00D046C4"/>
    <w:rsid w:val="00D04737"/>
    <w:rsid w:val="00D050E9"/>
    <w:rsid w:val="00D0609B"/>
    <w:rsid w:val="00D11114"/>
    <w:rsid w:val="00D119CC"/>
    <w:rsid w:val="00D11D17"/>
    <w:rsid w:val="00D11EFF"/>
    <w:rsid w:val="00D1223F"/>
    <w:rsid w:val="00D14296"/>
    <w:rsid w:val="00D1443E"/>
    <w:rsid w:val="00D14838"/>
    <w:rsid w:val="00D150CC"/>
    <w:rsid w:val="00D1669F"/>
    <w:rsid w:val="00D17086"/>
    <w:rsid w:val="00D175FD"/>
    <w:rsid w:val="00D206A4"/>
    <w:rsid w:val="00D20705"/>
    <w:rsid w:val="00D20CAE"/>
    <w:rsid w:val="00D21C2C"/>
    <w:rsid w:val="00D223C7"/>
    <w:rsid w:val="00D235E1"/>
    <w:rsid w:val="00D23C97"/>
    <w:rsid w:val="00D24C46"/>
    <w:rsid w:val="00D27C1E"/>
    <w:rsid w:val="00D27DA1"/>
    <w:rsid w:val="00D3113D"/>
    <w:rsid w:val="00D31703"/>
    <w:rsid w:val="00D34270"/>
    <w:rsid w:val="00D342C7"/>
    <w:rsid w:val="00D343C1"/>
    <w:rsid w:val="00D348D4"/>
    <w:rsid w:val="00D354EF"/>
    <w:rsid w:val="00D35985"/>
    <w:rsid w:val="00D35A88"/>
    <w:rsid w:val="00D400FF"/>
    <w:rsid w:val="00D404D8"/>
    <w:rsid w:val="00D42AE5"/>
    <w:rsid w:val="00D42B78"/>
    <w:rsid w:val="00D436AD"/>
    <w:rsid w:val="00D44218"/>
    <w:rsid w:val="00D44760"/>
    <w:rsid w:val="00D449C5"/>
    <w:rsid w:val="00D44FD5"/>
    <w:rsid w:val="00D45D29"/>
    <w:rsid w:val="00D462B0"/>
    <w:rsid w:val="00D46539"/>
    <w:rsid w:val="00D470EB"/>
    <w:rsid w:val="00D4740D"/>
    <w:rsid w:val="00D5216D"/>
    <w:rsid w:val="00D5288E"/>
    <w:rsid w:val="00D5419B"/>
    <w:rsid w:val="00D5439A"/>
    <w:rsid w:val="00D552DC"/>
    <w:rsid w:val="00D56371"/>
    <w:rsid w:val="00D57D59"/>
    <w:rsid w:val="00D609AF"/>
    <w:rsid w:val="00D62E86"/>
    <w:rsid w:val="00D65B82"/>
    <w:rsid w:val="00D661C0"/>
    <w:rsid w:val="00D666CF"/>
    <w:rsid w:val="00D67248"/>
    <w:rsid w:val="00D678FF"/>
    <w:rsid w:val="00D67978"/>
    <w:rsid w:val="00D700AD"/>
    <w:rsid w:val="00D7049C"/>
    <w:rsid w:val="00D70A87"/>
    <w:rsid w:val="00D72605"/>
    <w:rsid w:val="00D73686"/>
    <w:rsid w:val="00D73968"/>
    <w:rsid w:val="00D769F9"/>
    <w:rsid w:val="00D82F9B"/>
    <w:rsid w:val="00D84617"/>
    <w:rsid w:val="00D85960"/>
    <w:rsid w:val="00D8627C"/>
    <w:rsid w:val="00D87986"/>
    <w:rsid w:val="00D90E91"/>
    <w:rsid w:val="00D93E3B"/>
    <w:rsid w:val="00D943BF"/>
    <w:rsid w:val="00D97752"/>
    <w:rsid w:val="00DA02E1"/>
    <w:rsid w:val="00DA0C2A"/>
    <w:rsid w:val="00DA2841"/>
    <w:rsid w:val="00DA2920"/>
    <w:rsid w:val="00DA2DB9"/>
    <w:rsid w:val="00DA3E1F"/>
    <w:rsid w:val="00DA5A36"/>
    <w:rsid w:val="00DA6739"/>
    <w:rsid w:val="00DA6E3E"/>
    <w:rsid w:val="00DB159D"/>
    <w:rsid w:val="00DB2759"/>
    <w:rsid w:val="00DB2807"/>
    <w:rsid w:val="00DB2BDD"/>
    <w:rsid w:val="00DB2C7F"/>
    <w:rsid w:val="00DB2C91"/>
    <w:rsid w:val="00DB38E8"/>
    <w:rsid w:val="00DB3C7C"/>
    <w:rsid w:val="00DB516A"/>
    <w:rsid w:val="00DC0657"/>
    <w:rsid w:val="00DC0D89"/>
    <w:rsid w:val="00DC114E"/>
    <w:rsid w:val="00DC2E53"/>
    <w:rsid w:val="00DC325D"/>
    <w:rsid w:val="00DC4615"/>
    <w:rsid w:val="00DC63AA"/>
    <w:rsid w:val="00DC7B34"/>
    <w:rsid w:val="00DD10D1"/>
    <w:rsid w:val="00DD1AB1"/>
    <w:rsid w:val="00DD1C13"/>
    <w:rsid w:val="00DD1E16"/>
    <w:rsid w:val="00DD388A"/>
    <w:rsid w:val="00DD3A90"/>
    <w:rsid w:val="00DD3E27"/>
    <w:rsid w:val="00DD4A64"/>
    <w:rsid w:val="00DD5C3E"/>
    <w:rsid w:val="00DD6E46"/>
    <w:rsid w:val="00DE167A"/>
    <w:rsid w:val="00DE48AD"/>
    <w:rsid w:val="00DE4F12"/>
    <w:rsid w:val="00DE64D4"/>
    <w:rsid w:val="00DE7268"/>
    <w:rsid w:val="00DE7747"/>
    <w:rsid w:val="00DE7929"/>
    <w:rsid w:val="00DF0656"/>
    <w:rsid w:val="00DF1FE0"/>
    <w:rsid w:val="00DF2A5C"/>
    <w:rsid w:val="00DF6EEA"/>
    <w:rsid w:val="00E00766"/>
    <w:rsid w:val="00E00F99"/>
    <w:rsid w:val="00E016C7"/>
    <w:rsid w:val="00E01CF8"/>
    <w:rsid w:val="00E02E8B"/>
    <w:rsid w:val="00E06BA0"/>
    <w:rsid w:val="00E06E7E"/>
    <w:rsid w:val="00E06FAE"/>
    <w:rsid w:val="00E112AC"/>
    <w:rsid w:val="00E116E8"/>
    <w:rsid w:val="00E11D95"/>
    <w:rsid w:val="00E11E5E"/>
    <w:rsid w:val="00E125E3"/>
    <w:rsid w:val="00E14DA9"/>
    <w:rsid w:val="00E1733C"/>
    <w:rsid w:val="00E217D7"/>
    <w:rsid w:val="00E248D4"/>
    <w:rsid w:val="00E250F3"/>
    <w:rsid w:val="00E25844"/>
    <w:rsid w:val="00E25DBE"/>
    <w:rsid w:val="00E27ABF"/>
    <w:rsid w:val="00E32362"/>
    <w:rsid w:val="00E32D9F"/>
    <w:rsid w:val="00E3504B"/>
    <w:rsid w:val="00E4206F"/>
    <w:rsid w:val="00E435D0"/>
    <w:rsid w:val="00E44328"/>
    <w:rsid w:val="00E45428"/>
    <w:rsid w:val="00E46C48"/>
    <w:rsid w:val="00E54270"/>
    <w:rsid w:val="00E54424"/>
    <w:rsid w:val="00E548B6"/>
    <w:rsid w:val="00E56E77"/>
    <w:rsid w:val="00E5708A"/>
    <w:rsid w:val="00E5734A"/>
    <w:rsid w:val="00E57C60"/>
    <w:rsid w:val="00E601FF"/>
    <w:rsid w:val="00E6026D"/>
    <w:rsid w:val="00E6037E"/>
    <w:rsid w:val="00E60CDE"/>
    <w:rsid w:val="00E62B1A"/>
    <w:rsid w:val="00E6322F"/>
    <w:rsid w:val="00E663C3"/>
    <w:rsid w:val="00E66C36"/>
    <w:rsid w:val="00E66DC4"/>
    <w:rsid w:val="00E672C3"/>
    <w:rsid w:val="00E678E0"/>
    <w:rsid w:val="00E67C55"/>
    <w:rsid w:val="00E706AE"/>
    <w:rsid w:val="00E72379"/>
    <w:rsid w:val="00E72388"/>
    <w:rsid w:val="00E74328"/>
    <w:rsid w:val="00E7620A"/>
    <w:rsid w:val="00E763D7"/>
    <w:rsid w:val="00E7787E"/>
    <w:rsid w:val="00E80734"/>
    <w:rsid w:val="00E813DA"/>
    <w:rsid w:val="00E82501"/>
    <w:rsid w:val="00E82A71"/>
    <w:rsid w:val="00E8542C"/>
    <w:rsid w:val="00E8731A"/>
    <w:rsid w:val="00E87C65"/>
    <w:rsid w:val="00E91284"/>
    <w:rsid w:val="00E9401A"/>
    <w:rsid w:val="00E979BC"/>
    <w:rsid w:val="00EA1A67"/>
    <w:rsid w:val="00EA2A80"/>
    <w:rsid w:val="00EA4631"/>
    <w:rsid w:val="00EA495A"/>
    <w:rsid w:val="00EA5D19"/>
    <w:rsid w:val="00EB184C"/>
    <w:rsid w:val="00EB3D80"/>
    <w:rsid w:val="00EB4BE1"/>
    <w:rsid w:val="00EB5110"/>
    <w:rsid w:val="00EB52D0"/>
    <w:rsid w:val="00EB6B3E"/>
    <w:rsid w:val="00EC68C4"/>
    <w:rsid w:val="00EC6C8E"/>
    <w:rsid w:val="00EC796E"/>
    <w:rsid w:val="00ED031C"/>
    <w:rsid w:val="00ED15C1"/>
    <w:rsid w:val="00ED1E49"/>
    <w:rsid w:val="00ED23C8"/>
    <w:rsid w:val="00ED28CC"/>
    <w:rsid w:val="00ED2967"/>
    <w:rsid w:val="00ED2D7A"/>
    <w:rsid w:val="00ED3A95"/>
    <w:rsid w:val="00ED63A3"/>
    <w:rsid w:val="00ED7529"/>
    <w:rsid w:val="00EE0003"/>
    <w:rsid w:val="00EE1350"/>
    <w:rsid w:val="00EE15D3"/>
    <w:rsid w:val="00EE315B"/>
    <w:rsid w:val="00EE47B0"/>
    <w:rsid w:val="00EE57AD"/>
    <w:rsid w:val="00EE6135"/>
    <w:rsid w:val="00EE6338"/>
    <w:rsid w:val="00EF0E3C"/>
    <w:rsid w:val="00EF1DEC"/>
    <w:rsid w:val="00EF5CBA"/>
    <w:rsid w:val="00F001BF"/>
    <w:rsid w:val="00F0066E"/>
    <w:rsid w:val="00F018AA"/>
    <w:rsid w:val="00F03778"/>
    <w:rsid w:val="00F05931"/>
    <w:rsid w:val="00F067C2"/>
    <w:rsid w:val="00F06DD5"/>
    <w:rsid w:val="00F06E90"/>
    <w:rsid w:val="00F072F6"/>
    <w:rsid w:val="00F079B8"/>
    <w:rsid w:val="00F07D85"/>
    <w:rsid w:val="00F11EB2"/>
    <w:rsid w:val="00F12919"/>
    <w:rsid w:val="00F13F11"/>
    <w:rsid w:val="00F141C1"/>
    <w:rsid w:val="00F1507A"/>
    <w:rsid w:val="00F169C5"/>
    <w:rsid w:val="00F16BF1"/>
    <w:rsid w:val="00F204E8"/>
    <w:rsid w:val="00F20507"/>
    <w:rsid w:val="00F21BFA"/>
    <w:rsid w:val="00F21DB1"/>
    <w:rsid w:val="00F22217"/>
    <w:rsid w:val="00F225FE"/>
    <w:rsid w:val="00F22615"/>
    <w:rsid w:val="00F23C09"/>
    <w:rsid w:val="00F23EFC"/>
    <w:rsid w:val="00F24E0A"/>
    <w:rsid w:val="00F274EB"/>
    <w:rsid w:val="00F27BCE"/>
    <w:rsid w:val="00F34136"/>
    <w:rsid w:val="00F342A2"/>
    <w:rsid w:val="00F349F6"/>
    <w:rsid w:val="00F35BBE"/>
    <w:rsid w:val="00F40022"/>
    <w:rsid w:val="00F411F9"/>
    <w:rsid w:val="00F41C24"/>
    <w:rsid w:val="00F421F4"/>
    <w:rsid w:val="00F42567"/>
    <w:rsid w:val="00F42D8E"/>
    <w:rsid w:val="00F43969"/>
    <w:rsid w:val="00F44683"/>
    <w:rsid w:val="00F459D9"/>
    <w:rsid w:val="00F47118"/>
    <w:rsid w:val="00F474CF"/>
    <w:rsid w:val="00F50AE8"/>
    <w:rsid w:val="00F51B6C"/>
    <w:rsid w:val="00F53129"/>
    <w:rsid w:val="00F53993"/>
    <w:rsid w:val="00F53BD7"/>
    <w:rsid w:val="00F60BBF"/>
    <w:rsid w:val="00F60C92"/>
    <w:rsid w:val="00F62368"/>
    <w:rsid w:val="00F62D21"/>
    <w:rsid w:val="00F635EE"/>
    <w:rsid w:val="00F65C78"/>
    <w:rsid w:val="00F67BFE"/>
    <w:rsid w:val="00F749D7"/>
    <w:rsid w:val="00F77C69"/>
    <w:rsid w:val="00F815FA"/>
    <w:rsid w:val="00F81E5B"/>
    <w:rsid w:val="00F829C2"/>
    <w:rsid w:val="00F84434"/>
    <w:rsid w:val="00F84499"/>
    <w:rsid w:val="00F85069"/>
    <w:rsid w:val="00F867A6"/>
    <w:rsid w:val="00F87C51"/>
    <w:rsid w:val="00F902C8"/>
    <w:rsid w:val="00F91DDF"/>
    <w:rsid w:val="00F93360"/>
    <w:rsid w:val="00F95147"/>
    <w:rsid w:val="00F95773"/>
    <w:rsid w:val="00F961B9"/>
    <w:rsid w:val="00F96672"/>
    <w:rsid w:val="00F96760"/>
    <w:rsid w:val="00F96DC5"/>
    <w:rsid w:val="00F970C5"/>
    <w:rsid w:val="00F970D8"/>
    <w:rsid w:val="00FA1A30"/>
    <w:rsid w:val="00FA1D02"/>
    <w:rsid w:val="00FA291B"/>
    <w:rsid w:val="00FA3100"/>
    <w:rsid w:val="00FA3C1E"/>
    <w:rsid w:val="00FA6B4D"/>
    <w:rsid w:val="00FB0572"/>
    <w:rsid w:val="00FB114F"/>
    <w:rsid w:val="00FB26A0"/>
    <w:rsid w:val="00FB4149"/>
    <w:rsid w:val="00FB5B79"/>
    <w:rsid w:val="00FB5C2C"/>
    <w:rsid w:val="00FB5D83"/>
    <w:rsid w:val="00FC0227"/>
    <w:rsid w:val="00FC04F3"/>
    <w:rsid w:val="00FC32D8"/>
    <w:rsid w:val="00FC3645"/>
    <w:rsid w:val="00FC4CB8"/>
    <w:rsid w:val="00FC6691"/>
    <w:rsid w:val="00FC780B"/>
    <w:rsid w:val="00FD0DCA"/>
    <w:rsid w:val="00FD1463"/>
    <w:rsid w:val="00FD286F"/>
    <w:rsid w:val="00FD4A7D"/>
    <w:rsid w:val="00FD502D"/>
    <w:rsid w:val="00FD5816"/>
    <w:rsid w:val="00FD707A"/>
    <w:rsid w:val="00FE2B45"/>
    <w:rsid w:val="00FE385C"/>
    <w:rsid w:val="00FE39BD"/>
    <w:rsid w:val="00FE3CBD"/>
    <w:rsid w:val="00FE69C1"/>
    <w:rsid w:val="00FE7EF8"/>
    <w:rsid w:val="00FF1748"/>
    <w:rsid w:val="00FF19FF"/>
    <w:rsid w:val="00FF39D8"/>
    <w:rsid w:val="00FF4AE3"/>
    <w:rsid w:val="00FF6829"/>
    <w:rsid w:val="00FF7F3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2C"/>
    <w:pPr>
      <w:spacing w:line="240" w:lineRule="auto"/>
      <w:jc w:val="both"/>
    </w:pPr>
    <w:rPr>
      <w:rFonts w:ascii="Arial" w:hAnsi="Arial"/>
    </w:rPr>
  </w:style>
  <w:style w:type="paragraph" w:styleId="Heading1">
    <w:name w:val="heading 1"/>
    <w:basedOn w:val="Normal"/>
    <w:next w:val="Normal"/>
    <w:link w:val="Heading1Char"/>
    <w:uiPriority w:val="9"/>
    <w:qFormat/>
    <w:rsid w:val="00924F77"/>
    <w:pPr>
      <w:keepNext/>
      <w:keepLines/>
      <w:spacing w:before="360" w:after="0"/>
      <w:jc w:val="left"/>
      <w:outlineLvl w:val="0"/>
    </w:pPr>
    <w:rPr>
      <w:rFonts w:asciiTheme="minorHAnsi" w:eastAsiaTheme="majorEastAsia" w:hAnsiTheme="minorHAnsi" w:cstheme="majorBidi"/>
      <w:b/>
      <w:bCs/>
      <w:color w:val="1F497D" w:themeColor="text2"/>
      <w:spacing w:val="20"/>
      <w:sz w:val="24"/>
      <w:szCs w:val="28"/>
    </w:rPr>
  </w:style>
  <w:style w:type="paragraph" w:styleId="Heading2">
    <w:name w:val="heading 2"/>
    <w:basedOn w:val="Normal"/>
    <w:next w:val="Normal"/>
    <w:link w:val="Heading2Char"/>
    <w:uiPriority w:val="9"/>
    <w:unhideWhenUsed/>
    <w:qFormat/>
    <w:rsid w:val="00E72379"/>
    <w:pPr>
      <w:keepNext/>
      <w:keepLines/>
      <w:spacing w:after="0" w:line="360" w:lineRule="auto"/>
      <w:ind w:left="576" w:hanging="576"/>
      <w:jc w:val="left"/>
      <w:outlineLvl w:val="1"/>
    </w:pPr>
    <w:rPr>
      <w:rFonts w:asciiTheme="minorHAnsi" w:eastAsiaTheme="majorEastAsia" w:hAnsiTheme="minorHAnsi"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9182A"/>
    <w:pPr>
      <w:keepNext/>
      <w:keepLines/>
      <w:spacing w:after="0"/>
      <w:jc w:val="left"/>
      <w:outlineLvl w:val="2"/>
    </w:pPr>
    <w:rPr>
      <w:rFonts w:asciiTheme="minorHAnsi" w:eastAsiaTheme="majorEastAsia" w:hAnsiTheme="minorHAnsi" w:cstheme="majorBidi"/>
      <w:b/>
      <w:bCs/>
      <w:color w:val="1F497D" w:themeColor="text2"/>
      <w:spacing w:val="14"/>
      <w:sz w:val="23"/>
    </w:rPr>
  </w:style>
  <w:style w:type="paragraph" w:styleId="Heading4">
    <w:name w:val="heading 4"/>
    <w:basedOn w:val="Normal"/>
    <w:next w:val="Normal"/>
    <w:link w:val="Heading4Char"/>
    <w:uiPriority w:val="9"/>
    <w:unhideWhenUsed/>
    <w:qFormat/>
    <w:rsid w:val="009938EB"/>
    <w:pPr>
      <w:keepNext/>
      <w:keepLines/>
      <w:spacing w:before="240" w:after="0"/>
      <w:ind w:left="862" w:hanging="862"/>
      <w:jc w:val="left"/>
      <w:outlineLvl w:val="3"/>
    </w:pPr>
    <w:rPr>
      <w:rFonts w:asciiTheme="minorHAnsi" w:eastAsiaTheme="majorEastAsia" w:hAnsiTheme="minorHAnsi" w:cstheme="majorBidi"/>
      <w:b/>
      <w:bCs/>
      <w:iCs/>
      <w:color w:val="1F497D" w:themeColor="text2"/>
      <w:sz w:val="23"/>
      <w:szCs w:val="24"/>
    </w:rPr>
  </w:style>
  <w:style w:type="paragraph" w:styleId="Heading5">
    <w:name w:val="heading 5"/>
    <w:basedOn w:val="Normal"/>
    <w:next w:val="Normal"/>
    <w:link w:val="Heading5Char"/>
    <w:uiPriority w:val="9"/>
    <w:unhideWhenUsed/>
    <w:qFormat/>
    <w:rsid w:val="007C5EB0"/>
    <w:pPr>
      <w:keepNext/>
      <w:keepLines/>
      <w:spacing w:before="200" w:after="0"/>
      <w:ind w:left="1008" w:hanging="1008"/>
      <w:jc w:val="left"/>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7C5EB0"/>
    <w:pPr>
      <w:keepNext/>
      <w:keepLines/>
      <w:spacing w:before="200" w:after="0"/>
      <w:ind w:left="1152" w:hanging="1152"/>
      <w:jc w:val="left"/>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unhideWhenUsed/>
    <w:qFormat/>
    <w:rsid w:val="007C5EB0"/>
    <w:pPr>
      <w:keepNext/>
      <w:keepLines/>
      <w:spacing w:before="200" w:after="0"/>
      <w:ind w:left="1296" w:hanging="1296"/>
      <w:jc w:val="left"/>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7C5EB0"/>
    <w:pPr>
      <w:keepNext/>
      <w:keepLines/>
      <w:spacing w:before="200" w:after="0"/>
      <w:ind w:left="1440" w:hanging="1440"/>
      <w:jc w:val="left"/>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7C5EB0"/>
    <w:pPr>
      <w:keepNext/>
      <w:keepLines/>
      <w:spacing w:before="200" w:after="0"/>
      <w:ind w:left="1584" w:hanging="1584"/>
      <w:jc w:val="left"/>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59"/>
    <w:rPr>
      <w:rFonts w:ascii="Tahoma" w:hAnsi="Tahoma" w:cs="Tahoma"/>
      <w:sz w:val="16"/>
      <w:szCs w:val="16"/>
    </w:rPr>
  </w:style>
  <w:style w:type="paragraph" w:styleId="ListParagraph">
    <w:name w:val="List Paragraph"/>
    <w:aliases w:val="numbered list"/>
    <w:basedOn w:val="Normal"/>
    <w:link w:val="ListParagraphChar"/>
    <w:uiPriority w:val="34"/>
    <w:qFormat/>
    <w:rsid w:val="00AF2BF4"/>
    <w:pPr>
      <w:ind w:left="720"/>
      <w:contextualSpacing/>
    </w:pPr>
  </w:style>
  <w:style w:type="table" w:styleId="MediumShading1-Accent5">
    <w:name w:val="Medium Shading 1 Accent 5"/>
    <w:basedOn w:val="TableNormal"/>
    <w:uiPriority w:val="63"/>
    <w:rsid w:val="002E32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2E32E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2E32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7B7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7D71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D71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D71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5">
    <w:name w:val="Light Grid Accent 5"/>
    <w:basedOn w:val="TableNormal"/>
    <w:uiPriority w:val="62"/>
    <w:rsid w:val="007D71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5">
    <w:name w:val="Medium Grid 1 Accent 5"/>
    <w:basedOn w:val="TableNormal"/>
    <w:uiPriority w:val="67"/>
    <w:rsid w:val="007D71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7D71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09371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09371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3">
    <w:name w:val="Colorful Grid Accent 3"/>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5">
    <w:name w:val="Light List Accent 5"/>
    <w:basedOn w:val="TableNormal"/>
    <w:uiPriority w:val="61"/>
    <w:rsid w:val="000C0B8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semiHidden/>
    <w:unhideWhenUsed/>
    <w:rsid w:val="001C7ACE"/>
    <w:pPr>
      <w:spacing w:before="100" w:beforeAutospacing="1" w:after="100" w:afterAutospacing="1"/>
      <w:jc w:val="left"/>
    </w:pPr>
    <w:rPr>
      <w:rFonts w:ascii="Times New Roman" w:eastAsia="Times New Roman" w:hAnsi="Times New Roman" w:cs="Times New Roman"/>
      <w:sz w:val="24"/>
      <w:szCs w:val="24"/>
      <w:lang w:eastAsia="sl-SI"/>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
    <w:basedOn w:val="Normal"/>
    <w:link w:val="FootnoteTextChar"/>
    <w:uiPriority w:val="99"/>
    <w:qFormat/>
    <w:rsid w:val="001F7FA3"/>
    <w:pPr>
      <w:spacing w:after="0"/>
      <w:jc w:val="left"/>
    </w:pPr>
    <w:rPr>
      <w:rFonts w:asciiTheme="minorHAnsi" w:hAnsiTheme="minorHAnsi"/>
      <w:sz w:val="21"/>
      <w:szCs w:val="20"/>
      <w:lang w:val="x-none" w:eastAsia="x-none"/>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1F7FA3"/>
    <w:rPr>
      <w:sz w:val="21"/>
      <w:szCs w:val="20"/>
      <w:lang w:val="x-none" w:eastAsia="x-none"/>
    </w:rPr>
  </w:style>
  <w:style w:type="character" w:styleId="FootnoteReference">
    <w:name w:val="footnote reference"/>
    <w:aliases w:val="Footnote Reference - Carlos,Footnote symbol,Footnote,Fussnota,16 Point,Superscript 6 Point,Footnote Reference Number,Footnote Reference_LVL6,Footnote Reference_LVL61,Footnote Reference_LVL62,Footnote call,BVI fnr,SUPERS,note TESI"/>
    <w:uiPriority w:val="99"/>
    <w:qFormat/>
    <w:rsid w:val="001F7FA3"/>
    <w:rPr>
      <w:vertAlign w:val="superscript"/>
    </w:rPr>
  </w:style>
  <w:style w:type="paragraph" w:customStyle="1" w:styleId="Odstavek">
    <w:name w:val="Odstavek"/>
    <w:basedOn w:val="Normal"/>
    <w:link w:val="OdstavekZnak"/>
    <w:qFormat/>
    <w:rsid w:val="001F7FA3"/>
    <w:pPr>
      <w:overflowPunct w:val="0"/>
      <w:autoSpaceDE w:val="0"/>
      <w:autoSpaceDN w:val="0"/>
      <w:adjustRightInd w:val="0"/>
      <w:spacing w:before="240" w:after="0"/>
      <w:ind w:firstLine="1021"/>
      <w:textAlignment w:val="baseline"/>
    </w:pPr>
    <w:rPr>
      <w:rFonts w:eastAsia="Times New Roman" w:cs="Times New Roman"/>
    </w:rPr>
  </w:style>
  <w:style w:type="character" w:customStyle="1" w:styleId="OdstavekZnak">
    <w:name w:val="Odstavek Znak"/>
    <w:link w:val="Odstavek"/>
    <w:rsid w:val="001F7FA3"/>
    <w:rPr>
      <w:rFonts w:ascii="Arial" w:eastAsia="Times New Roman" w:hAnsi="Arial" w:cs="Times New Roman"/>
    </w:rPr>
  </w:style>
  <w:style w:type="paragraph" w:styleId="Header">
    <w:name w:val="header"/>
    <w:aliases w:val="header1,Header Char Char,Header Char1 Char Char,Header Char Char Char Char,Header Char1 Char Char Char Char,Header Char Char Char Char Char Char,Header Char1 Char Char Char Char Char Char,Header Char2 Char Char Char Char Char,Header Char1"/>
    <w:basedOn w:val="Normal"/>
    <w:link w:val="HeaderChar"/>
    <w:unhideWhenUsed/>
    <w:rsid w:val="00706338"/>
    <w:pPr>
      <w:tabs>
        <w:tab w:val="center" w:pos="4536"/>
        <w:tab w:val="right" w:pos="9072"/>
      </w:tabs>
      <w:spacing w:after="0"/>
    </w:pPr>
  </w:style>
  <w:style w:type="character" w:customStyle="1" w:styleId="HeaderChar">
    <w:name w:val="Header Char"/>
    <w:aliases w:val="header1 Char,Header Char Char Char,Header Char1 Char Char Char,Header Char Char Char Char Char,Header Char1 Char Char Char Char Char,Header Char Char Char Char Char Char Char,Header Char1 Char Char Char Char Char Char Char,Header Char1 Char"/>
    <w:basedOn w:val="DefaultParagraphFont"/>
    <w:link w:val="Header"/>
    <w:rsid w:val="00706338"/>
    <w:rPr>
      <w:rFonts w:ascii="Arial" w:hAnsi="Arial"/>
    </w:rPr>
  </w:style>
  <w:style w:type="paragraph" w:styleId="Footer">
    <w:name w:val="footer"/>
    <w:basedOn w:val="Normal"/>
    <w:link w:val="FooterChar"/>
    <w:uiPriority w:val="99"/>
    <w:unhideWhenUsed/>
    <w:rsid w:val="00706338"/>
    <w:pPr>
      <w:tabs>
        <w:tab w:val="center" w:pos="4536"/>
        <w:tab w:val="right" w:pos="9072"/>
      </w:tabs>
      <w:spacing w:after="0"/>
    </w:pPr>
  </w:style>
  <w:style w:type="character" w:customStyle="1" w:styleId="FooterChar">
    <w:name w:val="Footer Char"/>
    <w:basedOn w:val="DefaultParagraphFont"/>
    <w:link w:val="Footer"/>
    <w:uiPriority w:val="99"/>
    <w:rsid w:val="00706338"/>
    <w:rPr>
      <w:rFonts w:ascii="Arial" w:hAnsi="Arial"/>
    </w:rPr>
  </w:style>
  <w:style w:type="paragraph" w:styleId="Caption">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ormal"/>
    <w:next w:val="Normal"/>
    <w:uiPriority w:val="35"/>
    <w:unhideWhenUsed/>
    <w:qFormat/>
    <w:rsid w:val="009F57BA"/>
    <w:pPr>
      <w:spacing w:after="0"/>
      <w:jc w:val="left"/>
    </w:pPr>
    <w:rPr>
      <w:rFonts w:asciiTheme="minorHAnsi" w:eastAsiaTheme="minorEastAsia" w:hAnsiTheme="minorHAnsi"/>
      <w:bCs/>
      <w:smallCaps/>
      <w:color w:val="1F497D" w:themeColor="text2"/>
      <w:spacing w:val="6"/>
      <w:szCs w:val="18"/>
      <w:lang w:bidi="hi-IN"/>
    </w:rPr>
  </w:style>
  <w:style w:type="table" w:styleId="MediumGrid2-Accent4">
    <w:name w:val="Medium Grid 2 Accent 4"/>
    <w:basedOn w:val="TableNormal"/>
    <w:uiPriority w:val="68"/>
    <w:rsid w:val="009F5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ListParagraphChar">
    <w:name w:val="List Paragraph Char"/>
    <w:aliases w:val="numbered list Char"/>
    <w:link w:val="ListParagraph"/>
    <w:uiPriority w:val="34"/>
    <w:locked/>
    <w:rsid w:val="00704A1C"/>
    <w:rPr>
      <w:rFonts w:ascii="Arial" w:hAnsi="Arial"/>
    </w:rPr>
  </w:style>
  <w:style w:type="character" w:styleId="Hyperlink">
    <w:name w:val="Hyperlink"/>
    <w:basedOn w:val="DefaultParagraphFont"/>
    <w:uiPriority w:val="99"/>
    <w:unhideWhenUsed/>
    <w:rsid w:val="00E7620A"/>
    <w:rPr>
      <w:color w:val="0000FF" w:themeColor="hyperlink"/>
      <w:u w:val="single"/>
    </w:rPr>
  </w:style>
  <w:style w:type="character" w:styleId="CommentReference">
    <w:name w:val="annotation reference"/>
    <w:basedOn w:val="DefaultParagraphFont"/>
    <w:uiPriority w:val="99"/>
    <w:semiHidden/>
    <w:unhideWhenUsed/>
    <w:rsid w:val="00AB7F3B"/>
    <w:rPr>
      <w:sz w:val="16"/>
      <w:szCs w:val="16"/>
    </w:rPr>
  </w:style>
  <w:style w:type="paragraph" w:styleId="CommentText">
    <w:name w:val="annotation text"/>
    <w:basedOn w:val="Normal"/>
    <w:link w:val="CommentTextChar"/>
    <w:uiPriority w:val="99"/>
    <w:semiHidden/>
    <w:unhideWhenUsed/>
    <w:rsid w:val="00AB7F3B"/>
    <w:rPr>
      <w:sz w:val="20"/>
      <w:szCs w:val="20"/>
    </w:rPr>
  </w:style>
  <w:style w:type="character" w:customStyle="1" w:styleId="CommentTextChar">
    <w:name w:val="Comment Text Char"/>
    <w:basedOn w:val="DefaultParagraphFont"/>
    <w:link w:val="CommentText"/>
    <w:uiPriority w:val="99"/>
    <w:semiHidden/>
    <w:rsid w:val="00AB7F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7F3B"/>
    <w:rPr>
      <w:b/>
      <w:bCs/>
    </w:rPr>
  </w:style>
  <w:style w:type="character" w:customStyle="1" w:styleId="CommentSubjectChar">
    <w:name w:val="Comment Subject Char"/>
    <w:basedOn w:val="CommentTextChar"/>
    <w:link w:val="CommentSubject"/>
    <w:uiPriority w:val="99"/>
    <w:semiHidden/>
    <w:rsid w:val="00AB7F3B"/>
    <w:rPr>
      <w:rFonts w:ascii="Arial" w:hAnsi="Arial"/>
      <w:b/>
      <w:bCs/>
      <w:sz w:val="20"/>
      <w:szCs w:val="20"/>
    </w:rPr>
  </w:style>
  <w:style w:type="table" w:styleId="LightShading-Accent3">
    <w:name w:val="Light Shading Accent 3"/>
    <w:basedOn w:val="TableNormal"/>
    <w:uiPriority w:val="60"/>
    <w:rsid w:val="003F77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F349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F60B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924F77"/>
    <w:rPr>
      <w:rFonts w:eastAsiaTheme="majorEastAsia" w:cstheme="majorBidi"/>
      <w:b/>
      <w:bCs/>
      <w:color w:val="1F497D" w:themeColor="text2"/>
      <w:spacing w:val="20"/>
      <w:sz w:val="24"/>
      <w:szCs w:val="28"/>
    </w:rPr>
  </w:style>
  <w:style w:type="table" w:styleId="MediumShading1-Accent6">
    <w:name w:val="Medium Shading 1 Accent 6"/>
    <w:basedOn w:val="TableNormal"/>
    <w:uiPriority w:val="63"/>
    <w:rsid w:val="00B112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E72379"/>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B9182A"/>
    <w:rPr>
      <w:rFonts w:eastAsiaTheme="majorEastAsia" w:cstheme="majorBidi"/>
      <w:b/>
      <w:bCs/>
      <w:color w:val="1F497D" w:themeColor="text2"/>
      <w:spacing w:val="14"/>
      <w:sz w:val="23"/>
    </w:rPr>
  </w:style>
  <w:style w:type="character" w:customStyle="1" w:styleId="Heading4Char">
    <w:name w:val="Heading 4 Char"/>
    <w:basedOn w:val="DefaultParagraphFont"/>
    <w:link w:val="Heading4"/>
    <w:uiPriority w:val="9"/>
    <w:rsid w:val="009938EB"/>
    <w:rPr>
      <w:rFonts w:eastAsiaTheme="majorEastAsia" w:cstheme="majorBidi"/>
      <w:b/>
      <w:bCs/>
      <w:iCs/>
      <w:color w:val="1F497D" w:themeColor="text2"/>
      <w:sz w:val="23"/>
      <w:szCs w:val="24"/>
    </w:rPr>
  </w:style>
  <w:style w:type="character" w:customStyle="1" w:styleId="Heading5Char">
    <w:name w:val="Heading 5 Char"/>
    <w:basedOn w:val="DefaultParagraphFont"/>
    <w:link w:val="Heading5"/>
    <w:uiPriority w:val="9"/>
    <w:rsid w:val="007C5EB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7C5EB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rsid w:val="007C5EB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7C5EB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7C5EB0"/>
    <w:rPr>
      <w:rFonts w:asciiTheme="majorHAnsi" w:eastAsiaTheme="majorEastAsia" w:hAnsiTheme="majorHAnsi" w:cstheme="majorBidi"/>
      <w:i/>
      <w:iCs/>
      <w:color w:val="000000"/>
      <w:sz w:val="20"/>
      <w:szCs w:val="20"/>
    </w:rPr>
  </w:style>
  <w:style w:type="paragraph" w:customStyle="1" w:styleId="Naslov1">
    <w:name w:val="Naslov 1"/>
    <w:basedOn w:val="Normal"/>
    <w:qFormat/>
    <w:rsid w:val="00825909"/>
    <w:pPr>
      <w:tabs>
        <w:tab w:val="left" w:pos="284"/>
      </w:tabs>
      <w:autoSpaceDE w:val="0"/>
      <w:autoSpaceDN w:val="0"/>
      <w:adjustRightInd w:val="0"/>
      <w:spacing w:after="0" w:line="260" w:lineRule="atLeast"/>
      <w:ind w:left="360" w:hanging="360"/>
      <w:jc w:val="left"/>
    </w:pPr>
    <w:rPr>
      <w:rFonts w:asciiTheme="minorHAnsi" w:eastAsia="Times New Roman" w:hAnsiTheme="minorHAnsi" w:cs="Times New Roman"/>
      <w:b/>
      <w:color w:val="1F497D" w:themeColor="text2"/>
      <w:sz w:val="24"/>
      <w:szCs w:val="24"/>
    </w:rPr>
  </w:style>
  <w:style w:type="paragraph" w:styleId="TOCHeading">
    <w:name w:val="TOC Heading"/>
    <w:basedOn w:val="Heading1"/>
    <w:next w:val="Normal"/>
    <w:uiPriority w:val="39"/>
    <w:unhideWhenUsed/>
    <w:qFormat/>
    <w:rsid w:val="005A5088"/>
    <w:pPr>
      <w:spacing w:line="276" w:lineRule="auto"/>
      <w:outlineLvl w:val="9"/>
    </w:pPr>
    <w:rPr>
      <w:lang w:val="en-US" w:eastAsia="ja-JP"/>
    </w:rPr>
  </w:style>
  <w:style w:type="paragraph" w:styleId="TOC3">
    <w:name w:val="toc 3"/>
    <w:basedOn w:val="Normal"/>
    <w:next w:val="Normal"/>
    <w:autoRedefine/>
    <w:uiPriority w:val="39"/>
    <w:unhideWhenUsed/>
    <w:qFormat/>
    <w:rsid w:val="00AC2FA3"/>
    <w:pPr>
      <w:tabs>
        <w:tab w:val="right" w:leader="dot" w:pos="9174"/>
      </w:tabs>
      <w:spacing w:after="100"/>
      <w:ind w:left="440"/>
      <w:jc w:val="center"/>
    </w:pPr>
  </w:style>
  <w:style w:type="paragraph" w:styleId="EndnoteText">
    <w:name w:val="endnote text"/>
    <w:basedOn w:val="Normal"/>
    <w:link w:val="EndnoteTextChar"/>
    <w:uiPriority w:val="99"/>
    <w:semiHidden/>
    <w:rsid w:val="00EF0E3C"/>
    <w:pPr>
      <w:spacing w:after="0"/>
      <w:ind w:left="180"/>
      <w:jc w:val="left"/>
    </w:pPr>
    <w:rPr>
      <w:rFonts w:ascii="MS Sans Serif" w:eastAsia="Times New Roman" w:hAnsi="MS Sans Serif" w:cs="MS Sans Serif"/>
      <w:color w:val="000000"/>
      <w:sz w:val="18"/>
      <w:szCs w:val="18"/>
      <w:lang w:val="en-US"/>
    </w:rPr>
  </w:style>
  <w:style w:type="character" w:customStyle="1" w:styleId="EndnoteTextChar">
    <w:name w:val="Endnote Text Char"/>
    <w:basedOn w:val="DefaultParagraphFont"/>
    <w:link w:val="EndnoteText"/>
    <w:uiPriority w:val="99"/>
    <w:semiHidden/>
    <w:rsid w:val="00EF0E3C"/>
    <w:rPr>
      <w:rFonts w:ascii="MS Sans Serif" w:eastAsia="Times New Roman" w:hAnsi="MS Sans Serif" w:cs="MS Sans Serif"/>
      <w:color w:val="000000"/>
      <w:sz w:val="18"/>
      <w:szCs w:val="18"/>
      <w:lang w:val="en-US"/>
    </w:rPr>
  </w:style>
  <w:style w:type="character" w:styleId="FollowedHyperlink">
    <w:name w:val="FollowedHyperlink"/>
    <w:basedOn w:val="DefaultParagraphFont"/>
    <w:uiPriority w:val="99"/>
    <w:semiHidden/>
    <w:unhideWhenUsed/>
    <w:rsid w:val="00B14AD8"/>
    <w:rPr>
      <w:color w:val="800080"/>
      <w:u w:val="single"/>
    </w:rPr>
  </w:style>
  <w:style w:type="paragraph" w:customStyle="1" w:styleId="xl65">
    <w:name w:val="xl65"/>
    <w:basedOn w:val="Normal"/>
    <w:rsid w:val="00B14AD8"/>
    <w:pPr>
      <w:spacing w:before="100" w:beforeAutospacing="1" w:after="100" w:afterAutospacing="1"/>
      <w:jc w:val="left"/>
    </w:pPr>
    <w:rPr>
      <w:rFonts w:ascii="Calibri" w:eastAsia="Times New Roman" w:hAnsi="Calibri" w:cs="Times New Roman"/>
      <w:sz w:val="18"/>
      <w:szCs w:val="18"/>
      <w:lang w:eastAsia="sl-SI"/>
    </w:rPr>
  </w:style>
  <w:style w:type="paragraph" w:customStyle="1" w:styleId="xl66">
    <w:name w:val="xl66"/>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 w:val="18"/>
      <w:szCs w:val="18"/>
      <w:lang w:eastAsia="sl-SI"/>
    </w:rPr>
  </w:style>
  <w:style w:type="paragraph" w:customStyle="1" w:styleId="xl67">
    <w:name w:val="xl67"/>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s="Times New Roman"/>
      <w:sz w:val="18"/>
      <w:szCs w:val="18"/>
      <w:lang w:eastAsia="sl-SI"/>
    </w:rPr>
  </w:style>
  <w:style w:type="paragraph" w:customStyle="1" w:styleId="xl68">
    <w:name w:val="xl68"/>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s="Times New Roman"/>
      <w:sz w:val="18"/>
      <w:szCs w:val="18"/>
      <w:lang w:eastAsia="sl-SI"/>
    </w:rPr>
  </w:style>
  <w:style w:type="paragraph" w:customStyle="1" w:styleId="xl69">
    <w:name w:val="xl69"/>
    <w:basedOn w:val="Normal"/>
    <w:rsid w:val="00B14AD8"/>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right"/>
    </w:pPr>
    <w:rPr>
      <w:rFonts w:ascii="Calibri" w:eastAsia="Times New Roman" w:hAnsi="Calibri" w:cs="Times New Roman"/>
      <w:b/>
      <w:bCs/>
      <w:color w:val="FFFFFF"/>
      <w:sz w:val="18"/>
      <w:szCs w:val="18"/>
      <w:lang w:eastAsia="sl-SI"/>
    </w:rPr>
  </w:style>
  <w:style w:type="paragraph" w:customStyle="1" w:styleId="xl70">
    <w:name w:val="xl70"/>
    <w:basedOn w:val="Normal"/>
    <w:rsid w:val="00B14AD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71">
    <w:name w:val="xl71"/>
    <w:basedOn w:val="Normal"/>
    <w:rsid w:val="00B14AD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pPr>
    <w:rPr>
      <w:rFonts w:ascii="Calibri" w:eastAsia="Times New Roman" w:hAnsi="Calibri" w:cs="Times New Roman"/>
      <w:b/>
      <w:bCs/>
      <w:sz w:val="18"/>
      <w:szCs w:val="18"/>
      <w:lang w:eastAsia="sl-SI"/>
    </w:rPr>
  </w:style>
  <w:style w:type="paragraph" w:customStyle="1" w:styleId="xl72">
    <w:name w:val="xl72"/>
    <w:basedOn w:val="Normal"/>
    <w:rsid w:val="00B14AD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pPr>
    <w:rPr>
      <w:rFonts w:ascii="Calibri" w:eastAsia="Times New Roman" w:hAnsi="Calibri" w:cs="Times New Roman"/>
      <w:sz w:val="18"/>
      <w:szCs w:val="18"/>
      <w:lang w:eastAsia="sl-SI"/>
    </w:rPr>
  </w:style>
  <w:style w:type="paragraph" w:customStyle="1" w:styleId="xl73">
    <w:name w:val="xl73"/>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b/>
      <w:bCs/>
      <w:sz w:val="18"/>
      <w:szCs w:val="18"/>
      <w:lang w:eastAsia="sl-SI"/>
    </w:rPr>
  </w:style>
  <w:style w:type="paragraph" w:customStyle="1" w:styleId="xl74">
    <w:name w:val="xl74"/>
    <w:basedOn w:val="Normal"/>
    <w:rsid w:val="00B14A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75">
    <w:name w:val="xl75"/>
    <w:basedOn w:val="Normal"/>
    <w:rsid w:val="00B14A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imes New Roman" w:hAnsi="Calibri" w:cs="Times New Roman"/>
      <w:b/>
      <w:bCs/>
      <w:sz w:val="18"/>
      <w:szCs w:val="18"/>
      <w:lang w:eastAsia="sl-SI"/>
    </w:rPr>
  </w:style>
  <w:style w:type="paragraph" w:customStyle="1" w:styleId="xl76">
    <w:name w:val="xl76"/>
    <w:basedOn w:val="Normal"/>
    <w:rsid w:val="00B14AD8"/>
    <w:pPr>
      <w:pBdr>
        <w:top w:val="single" w:sz="4" w:space="0" w:color="auto"/>
        <w:left w:val="single" w:sz="4" w:space="0" w:color="auto"/>
        <w:bottom w:val="single" w:sz="4" w:space="0" w:color="auto"/>
      </w:pBdr>
      <w:shd w:val="clear" w:color="000000" w:fill="002060"/>
      <w:spacing w:before="100" w:beforeAutospacing="1" w:after="100" w:afterAutospacing="1"/>
      <w:jc w:val="left"/>
    </w:pPr>
    <w:rPr>
      <w:rFonts w:ascii="Calibri" w:eastAsia="Times New Roman" w:hAnsi="Calibri" w:cs="Times New Roman"/>
      <w:b/>
      <w:bCs/>
      <w:color w:val="FFFFFF"/>
      <w:sz w:val="18"/>
      <w:szCs w:val="18"/>
      <w:lang w:eastAsia="sl-SI"/>
    </w:rPr>
  </w:style>
  <w:style w:type="paragraph" w:customStyle="1" w:styleId="xl77">
    <w:name w:val="xl77"/>
    <w:basedOn w:val="Normal"/>
    <w:rsid w:val="00B14AD8"/>
    <w:pPr>
      <w:pBdr>
        <w:top w:val="single" w:sz="4" w:space="0" w:color="auto"/>
        <w:bottom w:val="single" w:sz="4" w:space="0" w:color="auto"/>
        <w:right w:val="single" w:sz="4" w:space="0" w:color="auto"/>
      </w:pBdr>
      <w:shd w:val="clear" w:color="000000" w:fill="002060"/>
      <w:spacing w:before="100" w:beforeAutospacing="1" w:after="100" w:afterAutospacing="1"/>
      <w:jc w:val="left"/>
    </w:pPr>
    <w:rPr>
      <w:rFonts w:ascii="Calibri" w:eastAsia="Times New Roman" w:hAnsi="Calibri" w:cs="Times New Roman"/>
      <w:b/>
      <w:bCs/>
      <w:color w:val="FFFFFF"/>
      <w:sz w:val="18"/>
      <w:szCs w:val="18"/>
      <w:lang w:eastAsia="sl-SI"/>
    </w:rPr>
  </w:style>
  <w:style w:type="paragraph" w:customStyle="1" w:styleId="xl78">
    <w:name w:val="xl78"/>
    <w:basedOn w:val="Normal"/>
    <w:rsid w:val="00B14AD8"/>
    <w:pPr>
      <w:pBdr>
        <w:top w:val="single" w:sz="4" w:space="0" w:color="auto"/>
        <w:left w:val="single" w:sz="4" w:space="0" w:color="auto"/>
        <w:bottom w:val="single" w:sz="4" w:space="0" w:color="auto"/>
      </w:pBdr>
      <w:shd w:val="clear" w:color="000000" w:fill="C4BD97"/>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79">
    <w:name w:val="xl79"/>
    <w:basedOn w:val="Normal"/>
    <w:rsid w:val="00B14AD8"/>
    <w:pPr>
      <w:pBdr>
        <w:top w:val="single" w:sz="4" w:space="0" w:color="auto"/>
        <w:bottom w:val="single" w:sz="4" w:space="0" w:color="auto"/>
        <w:right w:val="single" w:sz="4" w:space="0" w:color="auto"/>
      </w:pBdr>
      <w:shd w:val="clear" w:color="000000" w:fill="C4BD97"/>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80">
    <w:name w:val="xl80"/>
    <w:basedOn w:val="Normal"/>
    <w:rsid w:val="00B14AD8"/>
    <w:pPr>
      <w:pBdr>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 w:val="18"/>
      <w:szCs w:val="18"/>
      <w:lang w:eastAsia="sl-SI"/>
    </w:rPr>
  </w:style>
  <w:style w:type="paragraph" w:customStyle="1" w:styleId="xl81">
    <w:name w:val="xl81"/>
    <w:basedOn w:val="Normal"/>
    <w:rsid w:val="00B14AD8"/>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 w:val="18"/>
      <w:szCs w:val="18"/>
      <w:lang w:eastAsia="sl-SI"/>
    </w:rPr>
  </w:style>
  <w:style w:type="paragraph" w:customStyle="1" w:styleId="xl82">
    <w:name w:val="xl82"/>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eastAsia="Times New Roman" w:hAnsi="Calibri" w:cs="Times New Roman"/>
      <w:color w:val="000000"/>
      <w:sz w:val="18"/>
      <w:szCs w:val="18"/>
      <w:lang w:eastAsia="sl-SI"/>
    </w:rPr>
  </w:style>
  <w:style w:type="paragraph" w:customStyle="1" w:styleId="xl83">
    <w:name w:val="xl83"/>
    <w:basedOn w:val="Normal"/>
    <w:rsid w:val="00B1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4">
    <w:name w:val="xl84"/>
    <w:basedOn w:val="Normal"/>
    <w:rsid w:val="00B14AD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5">
    <w:name w:val="xl85"/>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sz w:val="18"/>
      <w:szCs w:val="18"/>
      <w:lang w:eastAsia="sl-SI"/>
    </w:rPr>
  </w:style>
  <w:style w:type="paragraph" w:customStyle="1" w:styleId="xl86">
    <w:name w:val="xl86"/>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7">
    <w:name w:val="xl87"/>
    <w:basedOn w:val="Normal"/>
    <w:rsid w:val="00B14AD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8">
    <w:name w:val="xl88"/>
    <w:basedOn w:val="Normal"/>
    <w:rsid w:val="00B14AD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9">
    <w:name w:val="xl89"/>
    <w:basedOn w:val="Normal"/>
    <w:rsid w:val="00B14AD8"/>
    <w:pPr>
      <w:pBdr>
        <w:left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90">
    <w:name w:val="xl90"/>
    <w:basedOn w:val="Normal"/>
    <w:rsid w:val="00B14AD8"/>
    <w:pPr>
      <w:pBdr>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91">
    <w:name w:val="xl91"/>
    <w:basedOn w:val="Normal"/>
    <w:rsid w:val="00B14AD8"/>
    <w:pPr>
      <w:pBdr>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styleId="TOC2">
    <w:name w:val="toc 2"/>
    <w:basedOn w:val="Normal"/>
    <w:next w:val="Normal"/>
    <w:autoRedefine/>
    <w:uiPriority w:val="39"/>
    <w:unhideWhenUsed/>
    <w:qFormat/>
    <w:rsid w:val="00AA4165"/>
    <w:pPr>
      <w:spacing w:after="100" w:line="276" w:lineRule="auto"/>
      <w:ind w:left="220"/>
      <w:jc w:val="left"/>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962426"/>
    <w:pPr>
      <w:tabs>
        <w:tab w:val="left" w:pos="440"/>
        <w:tab w:val="right" w:leader="dot" w:pos="9174"/>
      </w:tabs>
      <w:spacing w:after="100" w:line="276" w:lineRule="auto"/>
      <w:jc w:val="left"/>
    </w:pPr>
    <w:rPr>
      <w:rFonts w:asciiTheme="minorHAnsi" w:eastAsiaTheme="minorEastAsia" w:hAnsiTheme="minorHAnsi"/>
      <w:b/>
      <w:noProof/>
      <w:lang w:val="en-US" w:eastAsia="ja-JP"/>
    </w:rPr>
  </w:style>
  <w:style w:type="paragraph" w:customStyle="1" w:styleId="Heading3USPENOST">
    <w:name w:val="Heading 3_USPEŠNOST"/>
    <w:basedOn w:val="Heading3"/>
    <w:link w:val="Heading3USPENOSTChar"/>
    <w:qFormat/>
    <w:rsid w:val="009938EB"/>
  </w:style>
  <w:style w:type="paragraph" w:customStyle="1" w:styleId="Default">
    <w:name w:val="Default"/>
    <w:rsid w:val="00865BC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USPENOSTChar">
    <w:name w:val="Heading 3_USPEŠNOST Char"/>
    <w:basedOn w:val="Heading3Char"/>
    <w:link w:val="Heading3USPENOST"/>
    <w:rsid w:val="009938EB"/>
    <w:rPr>
      <w:rFonts w:eastAsiaTheme="majorEastAsia" w:cstheme="majorBidi"/>
      <w:b/>
      <w:bCs/>
      <w:color w:val="1F497D" w:themeColor="text2"/>
      <w:spacing w:val="14"/>
      <w:sz w:val="23"/>
    </w:rPr>
  </w:style>
  <w:style w:type="table" w:styleId="MediumGrid2-Accent1">
    <w:name w:val="Medium Grid 2 Accent 1"/>
    <w:basedOn w:val="TableNormal"/>
    <w:uiPriority w:val="68"/>
    <w:rsid w:val="00A720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22"/>
    <w:qFormat/>
    <w:rsid w:val="00A720EA"/>
    <w:rPr>
      <w:b w:val="0"/>
      <w:bCs/>
      <w:i/>
      <w:color w:val="1F497D" w:themeColor="text2"/>
    </w:rPr>
  </w:style>
  <w:style w:type="paragraph" w:customStyle="1" w:styleId="podpisi">
    <w:name w:val="podpisi"/>
    <w:basedOn w:val="Normal"/>
    <w:qFormat/>
    <w:rsid w:val="00A720EA"/>
    <w:pPr>
      <w:tabs>
        <w:tab w:val="left" w:pos="3402"/>
      </w:tabs>
      <w:spacing w:after="0" w:line="260" w:lineRule="atLeast"/>
      <w:jc w:val="left"/>
    </w:pPr>
    <w:rPr>
      <w:rFonts w:eastAsia="Times New Roman" w:cs="Times New Roman"/>
      <w:sz w:val="20"/>
      <w:szCs w:val="24"/>
      <w:lang w:val="it-IT"/>
    </w:rPr>
  </w:style>
  <w:style w:type="paragraph" w:customStyle="1" w:styleId="BodyText22">
    <w:name w:val="Body Text 22"/>
    <w:basedOn w:val="Normal"/>
    <w:rsid w:val="00A720EA"/>
    <w:pPr>
      <w:overflowPunct w:val="0"/>
      <w:autoSpaceDE w:val="0"/>
      <w:autoSpaceDN w:val="0"/>
      <w:adjustRightInd w:val="0"/>
      <w:spacing w:after="0"/>
      <w:ind w:left="360"/>
      <w:textAlignment w:val="baseline"/>
    </w:pPr>
    <w:rPr>
      <w:rFonts w:ascii="Times New Roman" w:eastAsia="Times New Roman" w:hAnsi="Times New Roman" w:cs="Times New Roman"/>
      <w:sz w:val="24"/>
      <w:szCs w:val="20"/>
      <w:lang w:eastAsia="sl-SI"/>
    </w:rPr>
  </w:style>
  <w:style w:type="paragraph" w:styleId="NoSpacing">
    <w:name w:val="No Spacing"/>
    <w:aliases w:val="Tabele NPK"/>
    <w:link w:val="NoSpacingChar"/>
    <w:uiPriority w:val="1"/>
    <w:qFormat/>
    <w:rsid w:val="00A720EA"/>
    <w:pPr>
      <w:spacing w:after="0" w:line="240" w:lineRule="auto"/>
    </w:pPr>
  </w:style>
  <w:style w:type="character" w:customStyle="1" w:styleId="NoSpacingChar">
    <w:name w:val="No Spacing Char"/>
    <w:aliases w:val="Tabele NPK Char"/>
    <w:basedOn w:val="DefaultParagraphFont"/>
    <w:link w:val="NoSpacing"/>
    <w:uiPriority w:val="1"/>
    <w:rsid w:val="00A720EA"/>
  </w:style>
  <w:style w:type="character" w:customStyle="1" w:styleId="BodytextBold">
    <w:name w:val="Body text + Bold"/>
    <w:aliases w:val="Not Italic"/>
    <w:rsid w:val="00A720EA"/>
    <w:rPr>
      <w:rFonts w:ascii="Times New Roman" w:hAnsi="Times New Roman" w:cs="Times New Roman"/>
      <w:b/>
      <w:bCs/>
      <w:i/>
      <w:iCs/>
      <w:spacing w:val="0"/>
      <w:sz w:val="23"/>
      <w:szCs w:val="23"/>
    </w:rPr>
  </w:style>
  <w:style w:type="paragraph" w:styleId="BodyText">
    <w:name w:val="Body Text"/>
    <w:basedOn w:val="Normal"/>
    <w:link w:val="BodyTextChar"/>
    <w:rsid w:val="00A720EA"/>
    <w:pPr>
      <w:spacing w:after="120"/>
    </w:pPr>
    <w:rPr>
      <w:rFonts w:eastAsia="Times New Roman" w:cs="Times New Roman"/>
      <w:szCs w:val="24"/>
    </w:rPr>
  </w:style>
  <w:style w:type="character" w:customStyle="1" w:styleId="BodyTextChar">
    <w:name w:val="Body Text Char"/>
    <w:basedOn w:val="DefaultParagraphFont"/>
    <w:link w:val="BodyText"/>
    <w:rsid w:val="00A720EA"/>
    <w:rPr>
      <w:rFonts w:ascii="Arial" w:eastAsia="Times New Roman" w:hAnsi="Arial" w:cs="Times New Roman"/>
      <w:szCs w:val="24"/>
    </w:rPr>
  </w:style>
  <w:style w:type="paragraph" w:customStyle="1" w:styleId="BodyText2ZnakZnak">
    <w:name w:val="Body Text 2 Znak Znak"/>
    <w:basedOn w:val="Normal"/>
    <w:link w:val="BodyText2ZnakZnakZnak"/>
    <w:autoRedefine/>
    <w:rsid w:val="00A720EA"/>
    <w:pPr>
      <w:widowControl w:val="0"/>
      <w:spacing w:before="40" w:after="0"/>
      <w:jc w:val="left"/>
    </w:pPr>
    <w:rPr>
      <w:rFonts w:eastAsia="Arial Unicode MS" w:cs="Arial"/>
      <w:b/>
      <w:bCs/>
      <w:color w:val="000000"/>
      <w:sz w:val="14"/>
      <w:szCs w:val="14"/>
    </w:rPr>
  </w:style>
  <w:style w:type="character" w:customStyle="1" w:styleId="BodyText2ZnakZnakZnak">
    <w:name w:val="Body Text 2 Znak Znak Znak"/>
    <w:link w:val="BodyText2ZnakZnak"/>
    <w:rsid w:val="00A720EA"/>
    <w:rPr>
      <w:rFonts w:ascii="Arial" w:eastAsia="Arial Unicode MS" w:hAnsi="Arial" w:cs="Arial"/>
      <w:b/>
      <w:bCs/>
      <w:color w:val="000000"/>
      <w:sz w:val="14"/>
      <w:szCs w:val="14"/>
    </w:rPr>
  </w:style>
  <w:style w:type="paragraph" w:styleId="TableofFigures">
    <w:name w:val="table of figures"/>
    <w:basedOn w:val="Normal"/>
    <w:next w:val="Normal"/>
    <w:uiPriority w:val="99"/>
    <w:unhideWhenUsed/>
    <w:rsid w:val="00626BA6"/>
    <w:pPr>
      <w:spacing w:after="0"/>
    </w:pPr>
  </w:style>
  <w:style w:type="paragraph" w:styleId="PlainText">
    <w:name w:val="Plain Text"/>
    <w:basedOn w:val="Normal"/>
    <w:link w:val="PlainTextChar"/>
    <w:uiPriority w:val="99"/>
    <w:semiHidden/>
    <w:unhideWhenUsed/>
    <w:rsid w:val="004B086B"/>
    <w:pPr>
      <w:spacing w:after="0"/>
      <w:jc w:val="left"/>
    </w:pPr>
    <w:rPr>
      <w:rFonts w:ascii="Calibri" w:hAnsi="Calibri"/>
      <w:szCs w:val="21"/>
    </w:rPr>
  </w:style>
  <w:style w:type="character" w:customStyle="1" w:styleId="PlainTextChar">
    <w:name w:val="Plain Text Char"/>
    <w:basedOn w:val="DefaultParagraphFont"/>
    <w:link w:val="PlainText"/>
    <w:uiPriority w:val="99"/>
    <w:semiHidden/>
    <w:rsid w:val="004B086B"/>
    <w:rPr>
      <w:rFonts w:ascii="Calibri" w:hAnsi="Calibri"/>
      <w:szCs w:val="21"/>
    </w:rPr>
  </w:style>
  <w:style w:type="table" w:styleId="TableGrid">
    <w:name w:val="Table Grid"/>
    <w:basedOn w:val="TableNormal"/>
    <w:uiPriority w:val="1"/>
    <w:rsid w:val="00D150CC"/>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356A"/>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sl-SI"/>
    </w:rPr>
  </w:style>
  <w:style w:type="character" w:customStyle="1" w:styleId="TitleChar">
    <w:name w:val="Title Char"/>
    <w:basedOn w:val="DefaultParagraphFont"/>
    <w:link w:val="Title"/>
    <w:uiPriority w:val="10"/>
    <w:rsid w:val="0061356A"/>
    <w:rPr>
      <w:rFonts w:asciiTheme="majorHAnsi" w:eastAsiaTheme="majorEastAsia" w:hAnsiTheme="majorHAnsi" w:cstheme="majorBidi"/>
      <w:color w:val="17365D" w:themeColor="text2" w:themeShade="BF"/>
      <w:spacing w:val="5"/>
      <w:kern w:val="28"/>
      <w:sz w:val="52"/>
      <w:szCs w:val="52"/>
      <w:lang w:eastAsia="sl-SI"/>
    </w:rPr>
  </w:style>
  <w:style w:type="paragraph" w:styleId="Subtitle">
    <w:name w:val="Subtitle"/>
    <w:basedOn w:val="Normal"/>
    <w:next w:val="Normal"/>
    <w:link w:val="SubtitleChar"/>
    <w:uiPriority w:val="11"/>
    <w:qFormat/>
    <w:rsid w:val="0061356A"/>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sl-SI"/>
    </w:rPr>
  </w:style>
  <w:style w:type="character" w:customStyle="1" w:styleId="SubtitleChar">
    <w:name w:val="Subtitle Char"/>
    <w:basedOn w:val="DefaultParagraphFont"/>
    <w:link w:val="Subtitle"/>
    <w:uiPriority w:val="11"/>
    <w:rsid w:val="0061356A"/>
    <w:rPr>
      <w:rFonts w:asciiTheme="majorHAnsi" w:eastAsiaTheme="majorEastAsia" w:hAnsiTheme="majorHAnsi" w:cstheme="majorBidi"/>
      <w:i/>
      <w:iCs/>
      <w:color w:val="4F81BD" w:themeColor="accent1"/>
      <w:spacing w:val="15"/>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2C"/>
    <w:pPr>
      <w:spacing w:line="240" w:lineRule="auto"/>
      <w:jc w:val="both"/>
    </w:pPr>
    <w:rPr>
      <w:rFonts w:ascii="Arial" w:hAnsi="Arial"/>
    </w:rPr>
  </w:style>
  <w:style w:type="paragraph" w:styleId="Heading1">
    <w:name w:val="heading 1"/>
    <w:basedOn w:val="Normal"/>
    <w:next w:val="Normal"/>
    <w:link w:val="Heading1Char"/>
    <w:uiPriority w:val="9"/>
    <w:qFormat/>
    <w:rsid w:val="00924F77"/>
    <w:pPr>
      <w:keepNext/>
      <w:keepLines/>
      <w:spacing w:before="360" w:after="0"/>
      <w:jc w:val="left"/>
      <w:outlineLvl w:val="0"/>
    </w:pPr>
    <w:rPr>
      <w:rFonts w:asciiTheme="minorHAnsi" w:eastAsiaTheme="majorEastAsia" w:hAnsiTheme="minorHAnsi" w:cstheme="majorBidi"/>
      <w:b/>
      <w:bCs/>
      <w:color w:val="1F497D" w:themeColor="text2"/>
      <w:spacing w:val="20"/>
      <w:sz w:val="24"/>
      <w:szCs w:val="28"/>
    </w:rPr>
  </w:style>
  <w:style w:type="paragraph" w:styleId="Heading2">
    <w:name w:val="heading 2"/>
    <w:basedOn w:val="Normal"/>
    <w:next w:val="Normal"/>
    <w:link w:val="Heading2Char"/>
    <w:uiPriority w:val="9"/>
    <w:unhideWhenUsed/>
    <w:qFormat/>
    <w:rsid w:val="00E72379"/>
    <w:pPr>
      <w:keepNext/>
      <w:keepLines/>
      <w:spacing w:after="0" w:line="360" w:lineRule="auto"/>
      <w:ind w:left="576" w:hanging="576"/>
      <w:jc w:val="left"/>
      <w:outlineLvl w:val="1"/>
    </w:pPr>
    <w:rPr>
      <w:rFonts w:asciiTheme="minorHAnsi" w:eastAsiaTheme="majorEastAsia" w:hAnsiTheme="minorHAnsi"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9182A"/>
    <w:pPr>
      <w:keepNext/>
      <w:keepLines/>
      <w:spacing w:after="0"/>
      <w:jc w:val="left"/>
      <w:outlineLvl w:val="2"/>
    </w:pPr>
    <w:rPr>
      <w:rFonts w:asciiTheme="minorHAnsi" w:eastAsiaTheme="majorEastAsia" w:hAnsiTheme="minorHAnsi" w:cstheme="majorBidi"/>
      <w:b/>
      <w:bCs/>
      <w:color w:val="1F497D" w:themeColor="text2"/>
      <w:spacing w:val="14"/>
      <w:sz w:val="23"/>
    </w:rPr>
  </w:style>
  <w:style w:type="paragraph" w:styleId="Heading4">
    <w:name w:val="heading 4"/>
    <w:basedOn w:val="Normal"/>
    <w:next w:val="Normal"/>
    <w:link w:val="Heading4Char"/>
    <w:uiPriority w:val="9"/>
    <w:unhideWhenUsed/>
    <w:qFormat/>
    <w:rsid w:val="009938EB"/>
    <w:pPr>
      <w:keepNext/>
      <w:keepLines/>
      <w:spacing w:before="240" w:after="0"/>
      <w:ind w:left="862" w:hanging="862"/>
      <w:jc w:val="left"/>
      <w:outlineLvl w:val="3"/>
    </w:pPr>
    <w:rPr>
      <w:rFonts w:asciiTheme="minorHAnsi" w:eastAsiaTheme="majorEastAsia" w:hAnsiTheme="minorHAnsi" w:cstheme="majorBidi"/>
      <w:b/>
      <w:bCs/>
      <w:iCs/>
      <w:color w:val="1F497D" w:themeColor="text2"/>
      <w:sz w:val="23"/>
      <w:szCs w:val="24"/>
    </w:rPr>
  </w:style>
  <w:style w:type="paragraph" w:styleId="Heading5">
    <w:name w:val="heading 5"/>
    <w:basedOn w:val="Normal"/>
    <w:next w:val="Normal"/>
    <w:link w:val="Heading5Char"/>
    <w:uiPriority w:val="9"/>
    <w:unhideWhenUsed/>
    <w:qFormat/>
    <w:rsid w:val="007C5EB0"/>
    <w:pPr>
      <w:keepNext/>
      <w:keepLines/>
      <w:spacing w:before="200" w:after="0"/>
      <w:ind w:left="1008" w:hanging="1008"/>
      <w:jc w:val="left"/>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7C5EB0"/>
    <w:pPr>
      <w:keepNext/>
      <w:keepLines/>
      <w:spacing w:before="200" w:after="0"/>
      <w:ind w:left="1152" w:hanging="1152"/>
      <w:jc w:val="left"/>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unhideWhenUsed/>
    <w:qFormat/>
    <w:rsid w:val="007C5EB0"/>
    <w:pPr>
      <w:keepNext/>
      <w:keepLines/>
      <w:spacing w:before="200" w:after="0"/>
      <w:ind w:left="1296" w:hanging="1296"/>
      <w:jc w:val="left"/>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7C5EB0"/>
    <w:pPr>
      <w:keepNext/>
      <w:keepLines/>
      <w:spacing w:before="200" w:after="0"/>
      <w:ind w:left="1440" w:hanging="1440"/>
      <w:jc w:val="left"/>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7C5EB0"/>
    <w:pPr>
      <w:keepNext/>
      <w:keepLines/>
      <w:spacing w:before="200" w:after="0"/>
      <w:ind w:left="1584" w:hanging="1584"/>
      <w:jc w:val="left"/>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59"/>
    <w:rPr>
      <w:rFonts w:ascii="Tahoma" w:hAnsi="Tahoma" w:cs="Tahoma"/>
      <w:sz w:val="16"/>
      <w:szCs w:val="16"/>
    </w:rPr>
  </w:style>
  <w:style w:type="paragraph" w:styleId="ListParagraph">
    <w:name w:val="List Paragraph"/>
    <w:aliases w:val="numbered list"/>
    <w:basedOn w:val="Normal"/>
    <w:link w:val="ListParagraphChar"/>
    <w:uiPriority w:val="34"/>
    <w:qFormat/>
    <w:rsid w:val="00AF2BF4"/>
    <w:pPr>
      <w:ind w:left="720"/>
      <w:contextualSpacing/>
    </w:pPr>
  </w:style>
  <w:style w:type="table" w:styleId="MediumShading1-Accent5">
    <w:name w:val="Medium Shading 1 Accent 5"/>
    <w:basedOn w:val="TableNormal"/>
    <w:uiPriority w:val="63"/>
    <w:rsid w:val="002E32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2E32E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2E32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7B7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5">
    <w:name w:val="Light Shading Accent 5"/>
    <w:basedOn w:val="TableNormal"/>
    <w:uiPriority w:val="60"/>
    <w:rsid w:val="007D71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D71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D71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5">
    <w:name w:val="Light Grid Accent 5"/>
    <w:basedOn w:val="TableNormal"/>
    <w:uiPriority w:val="62"/>
    <w:rsid w:val="007D71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5">
    <w:name w:val="Medium Grid 1 Accent 5"/>
    <w:basedOn w:val="TableNormal"/>
    <w:uiPriority w:val="67"/>
    <w:rsid w:val="007D71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7D71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09371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09371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3">
    <w:name w:val="Colorful Grid Accent 3"/>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937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5">
    <w:name w:val="Light List Accent 5"/>
    <w:basedOn w:val="TableNormal"/>
    <w:uiPriority w:val="61"/>
    <w:rsid w:val="000C0B8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semiHidden/>
    <w:unhideWhenUsed/>
    <w:rsid w:val="001C7ACE"/>
    <w:pPr>
      <w:spacing w:before="100" w:beforeAutospacing="1" w:after="100" w:afterAutospacing="1"/>
      <w:jc w:val="left"/>
    </w:pPr>
    <w:rPr>
      <w:rFonts w:ascii="Times New Roman" w:eastAsia="Times New Roman" w:hAnsi="Times New Roman" w:cs="Times New Roman"/>
      <w:sz w:val="24"/>
      <w:szCs w:val="24"/>
      <w:lang w:eastAsia="sl-SI"/>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
    <w:basedOn w:val="Normal"/>
    <w:link w:val="FootnoteTextChar"/>
    <w:uiPriority w:val="99"/>
    <w:qFormat/>
    <w:rsid w:val="001F7FA3"/>
    <w:pPr>
      <w:spacing w:after="0"/>
      <w:jc w:val="left"/>
    </w:pPr>
    <w:rPr>
      <w:rFonts w:asciiTheme="minorHAnsi" w:hAnsiTheme="minorHAnsi"/>
      <w:sz w:val="21"/>
      <w:szCs w:val="20"/>
      <w:lang w:val="x-none" w:eastAsia="x-none"/>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1F7FA3"/>
    <w:rPr>
      <w:sz w:val="21"/>
      <w:szCs w:val="20"/>
      <w:lang w:val="x-none" w:eastAsia="x-none"/>
    </w:rPr>
  </w:style>
  <w:style w:type="character" w:styleId="FootnoteReference">
    <w:name w:val="footnote reference"/>
    <w:aliases w:val="Footnote Reference - Carlos,Footnote symbol,Footnote,Fussnota,16 Point,Superscript 6 Point,Footnote Reference Number,Footnote Reference_LVL6,Footnote Reference_LVL61,Footnote Reference_LVL62,Footnote call,BVI fnr,SUPERS,note TESI"/>
    <w:uiPriority w:val="99"/>
    <w:qFormat/>
    <w:rsid w:val="001F7FA3"/>
    <w:rPr>
      <w:vertAlign w:val="superscript"/>
    </w:rPr>
  </w:style>
  <w:style w:type="paragraph" w:customStyle="1" w:styleId="Odstavek">
    <w:name w:val="Odstavek"/>
    <w:basedOn w:val="Normal"/>
    <w:link w:val="OdstavekZnak"/>
    <w:qFormat/>
    <w:rsid w:val="001F7FA3"/>
    <w:pPr>
      <w:overflowPunct w:val="0"/>
      <w:autoSpaceDE w:val="0"/>
      <w:autoSpaceDN w:val="0"/>
      <w:adjustRightInd w:val="0"/>
      <w:spacing w:before="240" w:after="0"/>
      <w:ind w:firstLine="1021"/>
      <w:textAlignment w:val="baseline"/>
    </w:pPr>
    <w:rPr>
      <w:rFonts w:eastAsia="Times New Roman" w:cs="Times New Roman"/>
    </w:rPr>
  </w:style>
  <w:style w:type="character" w:customStyle="1" w:styleId="OdstavekZnak">
    <w:name w:val="Odstavek Znak"/>
    <w:link w:val="Odstavek"/>
    <w:rsid w:val="001F7FA3"/>
    <w:rPr>
      <w:rFonts w:ascii="Arial" w:eastAsia="Times New Roman" w:hAnsi="Arial" w:cs="Times New Roman"/>
    </w:rPr>
  </w:style>
  <w:style w:type="paragraph" w:styleId="Header">
    <w:name w:val="header"/>
    <w:aliases w:val="header1,Header Char Char,Header Char1 Char Char,Header Char Char Char Char,Header Char1 Char Char Char Char,Header Char Char Char Char Char Char,Header Char1 Char Char Char Char Char Char,Header Char2 Char Char Char Char Char,Header Char1"/>
    <w:basedOn w:val="Normal"/>
    <w:link w:val="HeaderChar"/>
    <w:unhideWhenUsed/>
    <w:rsid w:val="00706338"/>
    <w:pPr>
      <w:tabs>
        <w:tab w:val="center" w:pos="4536"/>
        <w:tab w:val="right" w:pos="9072"/>
      </w:tabs>
      <w:spacing w:after="0"/>
    </w:pPr>
  </w:style>
  <w:style w:type="character" w:customStyle="1" w:styleId="HeaderChar">
    <w:name w:val="Header Char"/>
    <w:aliases w:val="header1 Char,Header Char Char Char,Header Char1 Char Char Char,Header Char Char Char Char Char,Header Char1 Char Char Char Char Char,Header Char Char Char Char Char Char Char,Header Char1 Char Char Char Char Char Char Char,Header Char1 Char"/>
    <w:basedOn w:val="DefaultParagraphFont"/>
    <w:link w:val="Header"/>
    <w:rsid w:val="00706338"/>
    <w:rPr>
      <w:rFonts w:ascii="Arial" w:hAnsi="Arial"/>
    </w:rPr>
  </w:style>
  <w:style w:type="paragraph" w:styleId="Footer">
    <w:name w:val="footer"/>
    <w:basedOn w:val="Normal"/>
    <w:link w:val="FooterChar"/>
    <w:uiPriority w:val="99"/>
    <w:unhideWhenUsed/>
    <w:rsid w:val="00706338"/>
    <w:pPr>
      <w:tabs>
        <w:tab w:val="center" w:pos="4536"/>
        <w:tab w:val="right" w:pos="9072"/>
      </w:tabs>
      <w:spacing w:after="0"/>
    </w:pPr>
  </w:style>
  <w:style w:type="character" w:customStyle="1" w:styleId="FooterChar">
    <w:name w:val="Footer Char"/>
    <w:basedOn w:val="DefaultParagraphFont"/>
    <w:link w:val="Footer"/>
    <w:uiPriority w:val="99"/>
    <w:rsid w:val="00706338"/>
    <w:rPr>
      <w:rFonts w:ascii="Arial" w:hAnsi="Arial"/>
    </w:rPr>
  </w:style>
  <w:style w:type="paragraph" w:styleId="Caption">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ormal"/>
    <w:next w:val="Normal"/>
    <w:uiPriority w:val="35"/>
    <w:unhideWhenUsed/>
    <w:qFormat/>
    <w:rsid w:val="009F57BA"/>
    <w:pPr>
      <w:spacing w:after="0"/>
      <w:jc w:val="left"/>
    </w:pPr>
    <w:rPr>
      <w:rFonts w:asciiTheme="minorHAnsi" w:eastAsiaTheme="minorEastAsia" w:hAnsiTheme="minorHAnsi"/>
      <w:bCs/>
      <w:smallCaps/>
      <w:color w:val="1F497D" w:themeColor="text2"/>
      <w:spacing w:val="6"/>
      <w:szCs w:val="18"/>
      <w:lang w:bidi="hi-IN"/>
    </w:rPr>
  </w:style>
  <w:style w:type="table" w:styleId="MediumGrid2-Accent4">
    <w:name w:val="Medium Grid 2 Accent 4"/>
    <w:basedOn w:val="TableNormal"/>
    <w:uiPriority w:val="68"/>
    <w:rsid w:val="009F5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ListParagraphChar">
    <w:name w:val="List Paragraph Char"/>
    <w:aliases w:val="numbered list Char"/>
    <w:link w:val="ListParagraph"/>
    <w:uiPriority w:val="34"/>
    <w:locked/>
    <w:rsid w:val="00704A1C"/>
    <w:rPr>
      <w:rFonts w:ascii="Arial" w:hAnsi="Arial"/>
    </w:rPr>
  </w:style>
  <w:style w:type="character" w:styleId="Hyperlink">
    <w:name w:val="Hyperlink"/>
    <w:basedOn w:val="DefaultParagraphFont"/>
    <w:uiPriority w:val="99"/>
    <w:unhideWhenUsed/>
    <w:rsid w:val="00E7620A"/>
    <w:rPr>
      <w:color w:val="0000FF" w:themeColor="hyperlink"/>
      <w:u w:val="single"/>
    </w:rPr>
  </w:style>
  <w:style w:type="character" w:styleId="CommentReference">
    <w:name w:val="annotation reference"/>
    <w:basedOn w:val="DefaultParagraphFont"/>
    <w:uiPriority w:val="99"/>
    <w:semiHidden/>
    <w:unhideWhenUsed/>
    <w:rsid w:val="00AB7F3B"/>
    <w:rPr>
      <w:sz w:val="16"/>
      <w:szCs w:val="16"/>
    </w:rPr>
  </w:style>
  <w:style w:type="paragraph" w:styleId="CommentText">
    <w:name w:val="annotation text"/>
    <w:basedOn w:val="Normal"/>
    <w:link w:val="CommentTextChar"/>
    <w:uiPriority w:val="99"/>
    <w:semiHidden/>
    <w:unhideWhenUsed/>
    <w:rsid w:val="00AB7F3B"/>
    <w:rPr>
      <w:sz w:val="20"/>
      <w:szCs w:val="20"/>
    </w:rPr>
  </w:style>
  <w:style w:type="character" w:customStyle="1" w:styleId="CommentTextChar">
    <w:name w:val="Comment Text Char"/>
    <w:basedOn w:val="DefaultParagraphFont"/>
    <w:link w:val="CommentText"/>
    <w:uiPriority w:val="99"/>
    <w:semiHidden/>
    <w:rsid w:val="00AB7F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7F3B"/>
    <w:rPr>
      <w:b/>
      <w:bCs/>
    </w:rPr>
  </w:style>
  <w:style w:type="character" w:customStyle="1" w:styleId="CommentSubjectChar">
    <w:name w:val="Comment Subject Char"/>
    <w:basedOn w:val="CommentTextChar"/>
    <w:link w:val="CommentSubject"/>
    <w:uiPriority w:val="99"/>
    <w:semiHidden/>
    <w:rsid w:val="00AB7F3B"/>
    <w:rPr>
      <w:rFonts w:ascii="Arial" w:hAnsi="Arial"/>
      <w:b/>
      <w:bCs/>
      <w:sz w:val="20"/>
      <w:szCs w:val="20"/>
    </w:rPr>
  </w:style>
  <w:style w:type="table" w:styleId="LightShading-Accent3">
    <w:name w:val="Light Shading Accent 3"/>
    <w:basedOn w:val="TableNormal"/>
    <w:uiPriority w:val="60"/>
    <w:rsid w:val="003F77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F349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F60B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924F77"/>
    <w:rPr>
      <w:rFonts w:eastAsiaTheme="majorEastAsia" w:cstheme="majorBidi"/>
      <w:b/>
      <w:bCs/>
      <w:color w:val="1F497D" w:themeColor="text2"/>
      <w:spacing w:val="20"/>
      <w:sz w:val="24"/>
      <w:szCs w:val="28"/>
    </w:rPr>
  </w:style>
  <w:style w:type="table" w:styleId="MediumShading1-Accent6">
    <w:name w:val="Medium Shading 1 Accent 6"/>
    <w:basedOn w:val="TableNormal"/>
    <w:uiPriority w:val="63"/>
    <w:rsid w:val="00B1120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E72379"/>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B9182A"/>
    <w:rPr>
      <w:rFonts w:eastAsiaTheme="majorEastAsia" w:cstheme="majorBidi"/>
      <w:b/>
      <w:bCs/>
      <w:color w:val="1F497D" w:themeColor="text2"/>
      <w:spacing w:val="14"/>
      <w:sz w:val="23"/>
    </w:rPr>
  </w:style>
  <w:style w:type="character" w:customStyle="1" w:styleId="Heading4Char">
    <w:name w:val="Heading 4 Char"/>
    <w:basedOn w:val="DefaultParagraphFont"/>
    <w:link w:val="Heading4"/>
    <w:uiPriority w:val="9"/>
    <w:rsid w:val="009938EB"/>
    <w:rPr>
      <w:rFonts w:eastAsiaTheme="majorEastAsia" w:cstheme="majorBidi"/>
      <w:b/>
      <w:bCs/>
      <w:iCs/>
      <w:color w:val="1F497D" w:themeColor="text2"/>
      <w:sz w:val="23"/>
      <w:szCs w:val="24"/>
    </w:rPr>
  </w:style>
  <w:style w:type="character" w:customStyle="1" w:styleId="Heading5Char">
    <w:name w:val="Heading 5 Char"/>
    <w:basedOn w:val="DefaultParagraphFont"/>
    <w:link w:val="Heading5"/>
    <w:uiPriority w:val="9"/>
    <w:rsid w:val="007C5EB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7C5EB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rsid w:val="007C5EB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7C5EB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7C5EB0"/>
    <w:rPr>
      <w:rFonts w:asciiTheme="majorHAnsi" w:eastAsiaTheme="majorEastAsia" w:hAnsiTheme="majorHAnsi" w:cstheme="majorBidi"/>
      <w:i/>
      <w:iCs/>
      <w:color w:val="000000"/>
      <w:sz w:val="20"/>
      <w:szCs w:val="20"/>
    </w:rPr>
  </w:style>
  <w:style w:type="paragraph" w:customStyle="1" w:styleId="Naslov1">
    <w:name w:val="Naslov 1"/>
    <w:basedOn w:val="Normal"/>
    <w:qFormat/>
    <w:rsid w:val="00825909"/>
    <w:pPr>
      <w:tabs>
        <w:tab w:val="left" w:pos="284"/>
      </w:tabs>
      <w:autoSpaceDE w:val="0"/>
      <w:autoSpaceDN w:val="0"/>
      <w:adjustRightInd w:val="0"/>
      <w:spacing w:after="0" w:line="260" w:lineRule="atLeast"/>
      <w:ind w:left="360" w:hanging="360"/>
      <w:jc w:val="left"/>
    </w:pPr>
    <w:rPr>
      <w:rFonts w:asciiTheme="minorHAnsi" w:eastAsia="Times New Roman" w:hAnsiTheme="minorHAnsi" w:cs="Times New Roman"/>
      <w:b/>
      <w:color w:val="1F497D" w:themeColor="text2"/>
      <w:sz w:val="24"/>
      <w:szCs w:val="24"/>
    </w:rPr>
  </w:style>
  <w:style w:type="paragraph" w:styleId="TOCHeading">
    <w:name w:val="TOC Heading"/>
    <w:basedOn w:val="Heading1"/>
    <w:next w:val="Normal"/>
    <w:uiPriority w:val="39"/>
    <w:unhideWhenUsed/>
    <w:qFormat/>
    <w:rsid w:val="005A5088"/>
    <w:pPr>
      <w:spacing w:line="276" w:lineRule="auto"/>
      <w:outlineLvl w:val="9"/>
    </w:pPr>
    <w:rPr>
      <w:lang w:val="en-US" w:eastAsia="ja-JP"/>
    </w:rPr>
  </w:style>
  <w:style w:type="paragraph" w:styleId="TOC3">
    <w:name w:val="toc 3"/>
    <w:basedOn w:val="Normal"/>
    <w:next w:val="Normal"/>
    <w:autoRedefine/>
    <w:uiPriority w:val="39"/>
    <w:unhideWhenUsed/>
    <w:qFormat/>
    <w:rsid w:val="00AC2FA3"/>
    <w:pPr>
      <w:tabs>
        <w:tab w:val="right" w:leader="dot" w:pos="9174"/>
      </w:tabs>
      <w:spacing w:after="100"/>
      <w:ind w:left="440"/>
      <w:jc w:val="center"/>
    </w:pPr>
  </w:style>
  <w:style w:type="paragraph" w:styleId="EndnoteText">
    <w:name w:val="endnote text"/>
    <w:basedOn w:val="Normal"/>
    <w:link w:val="EndnoteTextChar"/>
    <w:uiPriority w:val="99"/>
    <w:semiHidden/>
    <w:rsid w:val="00EF0E3C"/>
    <w:pPr>
      <w:spacing w:after="0"/>
      <w:ind w:left="180"/>
      <w:jc w:val="left"/>
    </w:pPr>
    <w:rPr>
      <w:rFonts w:ascii="MS Sans Serif" w:eastAsia="Times New Roman" w:hAnsi="MS Sans Serif" w:cs="MS Sans Serif"/>
      <w:color w:val="000000"/>
      <w:sz w:val="18"/>
      <w:szCs w:val="18"/>
      <w:lang w:val="en-US"/>
    </w:rPr>
  </w:style>
  <w:style w:type="character" w:customStyle="1" w:styleId="EndnoteTextChar">
    <w:name w:val="Endnote Text Char"/>
    <w:basedOn w:val="DefaultParagraphFont"/>
    <w:link w:val="EndnoteText"/>
    <w:uiPriority w:val="99"/>
    <w:semiHidden/>
    <w:rsid w:val="00EF0E3C"/>
    <w:rPr>
      <w:rFonts w:ascii="MS Sans Serif" w:eastAsia="Times New Roman" w:hAnsi="MS Sans Serif" w:cs="MS Sans Serif"/>
      <w:color w:val="000000"/>
      <w:sz w:val="18"/>
      <w:szCs w:val="18"/>
      <w:lang w:val="en-US"/>
    </w:rPr>
  </w:style>
  <w:style w:type="character" w:styleId="FollowedHyperlink">
    <w:name w:val="FollowedHyperlink"/>
    <w:basedOn w:val="DefaultParagraphFont"/>
    <w:uiPriority w:val="99"/>
    <w:semiHidden/>
    <w:unhideWhenUsed/>
    <w:rsid w:val="00B14AD8"/>
    <w:rPr>
      <w:color w:val="800080"/>
      <w:u w:val="single"/>
    </w:rPr>
  </w:style>
  <w:style w:type="paragraph" w:customStyle="1" w:styleId="xl65">
    <w:name w:val="xl65"/>
    <w:basedOn w:val="Normal"/>
    <w:rsid w:val="00B14AD8"/>
    <w:pPr>
      <w:spacing w:before="100" w:beforeAutospacing="1" w:after="100" w:afterAutospacing="1"/>
      <w:jc w:val="left"/>
    </w:pPr>
    <w:rPr>
      <w:rFonts w:ascii="Calibri" w:eastAsia="Times New Roman" w:hAnsi="Calibri" w:cs="Times New Roman"/>
      <w:sz w:val="18"/>
      <w:szCs w:val="18"/>
      <w:lang w:eastAsia="sl-SI"/>
    </w:rPr>
  </w:style>
  <w:style w:type="paragraph" w:customStyle="1" w:styleId="xl66">
    <w:name w:val="xl66"/>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 w:val="18"/>
      <w:szCs w:val="18"/>
      <w:lang w:eastAsia="sl-SI"/>
    </w:rPr>
  </w:style>
  <w:style w:type="paragraph" w:customStyle="1" w:styleId="xl67">
    <w:name w:val="xl67"/>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s="Times New Roman"/>
      <w:sz w:val="18"/>
      <w:szCs w:val="18"/>
      <w:lang w:eastAsia="sl-SI"/>
    </w:rPr>
  </w:style>
  <w:style w:type="paragraph" w:customStyle="1" w:styleId="xl68">
    <w:name w:val="xl68"/>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s="Times New Roman"/>
      <w:sz w:val="18"/>
      <w:szCs w:val="18"/>
      <w:lang w:eastAsia="sl-SI"/>
    </w:rPr>
  </w:style>
  <w:style w:type="paragraph" w:customStyle="1" w:styleId="xl69">
    <w:name w:val="xl69"/>
    <w:basedOn w:val="Normal"/>
    <w:rsid w:val="00B14AD8"/>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right"/>
    </w:pPr>
    <w:rPr>
      <w:rFonts w:ascii="Calibri" w:eastAsia="Times New Roman" w:hAnsi="Calibri" w:cs="Times New Roman"/>
      <w:b/>
      <w:bCs/>
      <w:color w:val="FFFFFF"/>
      <w:sz w:val="18"/>
      <w:szCs w:val="18"/>
      <w:lang w:eastAsia="sl-SI"/>
    </w:rPr>
  </w:style>
  <w:style w:type="paragraph" w:customStyle="1" w:styleId="xl70">
    <w:name w:val="xl70"/>
    <w:basedOn w:val="Normal"/>
    <w:rsid w:val="00B14AD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71">
    <w:name w:val="xl71"/>
    <w:basedOn w:val="Normal"/>
    <w:rsid w:val="00B14AD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pPr>
    <w:rPr>
      <w:rFonts w:ascii="Calibri" w:eastAsia="Times New Roman" w:hAnsi="Calibri" w:cs="Times New Roman"/>
      <w:b/>
      <w:bCs/>
      <w:sz w:val="18"/>
      <w:szCs w:val="18"/>
      <w:lang w:eastAsia="sl-SI"/>
    </w:rPr>
  </w:style>
  <w:style w:type="paragraph" w:customStyle="1" w:styleId="xl72">
    <w:name w:val="xl72"/>
    <w:basedOn w:val="Normal"/>
    <w:rsid w:val="00B14AD8"/>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pPr>
    <w:rPr>
      <w:rFonts w:ascii="Calibri" w:eastAsia="Times New Roman" w:hAnsi="Calibri" w:cs="Times New Roman"/>
      <w:sz w:val="18"/>
      <w:szCs w:val="18"/>
      <w:lang w:eastAsia="sl-SI"/>
    </w:rPr>
  </w:style>
  <w:style w:type="paragraph" w:customStyle="1" w:styleId="xl73">
    <w:name w:val="xl73"/>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b/>
      <w:bCs/>
      <w:sz w:val="18"/>
      <w:szCs w:val="18"/>
      <w:lang w:eastAsia="sl-SI"/>
    </w:rPr>
  </w:style>
  <w:style w:type="paragraph" w:customStyle="1" w:styleId="xl74">
    <w:name w:val="xl74"/>
    <w:basedOn w:val="Normal"/>
    <w:rsid w:val="00B14A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75">
    <w:name w:val="xl75"/>
    <w:basedOn w:val="Normal"/>
    <w:rsid w:val="00B14A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center"/>
    </w:pPr>
    <w:rPr>
      <w:rFonts w:ascii="Calibri" w:eastAsia="Times New Roman" w:hAnsi="Calibri" w:cs="Times New Roman"/>
      <w:b/>
      <w:bCs/>
      <w:sz w:val="18"/>
      <w:szCs w:val="18"/>
      <w:lang w:eastAsia="sl-SI"/>
    </w:rPr>
  </w:style>
  <w:style w:type="paragraph" w:customStyle="1" w:styleId="xl76">
    <w:name w:val="xl76"/>
    <w:basedOn w:val="Normal"/>
    <w:rsid w:val="00B14AD8"/>
    <w:pPr>
      <w:pBdr>
        <w:top w:val="single" w:sz="4" w:space="0" w:color="auto"/>
        <w:left w:val="single" w:sz="4" w:space="0" w:color="auto"/>
        <w:bottom w:val="single" w:sz="4" w:space="0" w:color="auto"/>
      </w:pBdr>
      <w:shd w:val="clear" w:color="000000" w:fill="002060"/>
      <w:spacing w:before="100" w:beforeAutospacing="1" w:after="100" w:afterAutospacing="1"/>
      <w:jc w:val="left"/>
    </w:pPr>
    <w:rPr>
      <w:rFonts w:ascii="Calibri" w:eastAsia="Times New Roman" w:hAnsi="Calibri" w:cs="Times New Roman"/>
      <w:b/>
      <w:bCs/>
      <w:color w:val="FFFFFF"/>
      <w:sz w:val="18"/>
      <w:szCs w:val="18"/>
      <w:lang w:eastAsia="sl-SI"/>
    </w:rPr>
  </w:style>
  <w:style w:type="paragraph" w:customStyle="1" w:styleId="xl77">
    <w:name w:val="xl77"/>
    <w:basedOn w:val="Normal"/>
    <w:rsid w:val="00B14AD8"/>
    <w:pPr>
      <w:pBdr>
        <w:top w:val="single" w:sz="4" w:space="0" w:color="auto"/>
        <w:bottom w:val="single" w:sz="4" w:space="0" w:color="auto"/>
        <w:right w:val="single" w:sz="4" w:space="0" w:color="auto"/>
      </w:pBdr>
      <w:shd w:val="clear" w:color="000000" w:fill="002060"/>
      <w:spacing w:before="100" w:beforeAutospacing="1" w:after="100" w:afterAutospacing="1"/>
      <w:jc w:val="left"/>
    </w:pPr>
    <w:rPr>
      <w:rFonts w:ascii="Calibri" w:eastAsia="Times New Roman" w:hAnsi="Calibri" w:cs="Times New Roman"/>
      <w:b/>
      <w:bCs/>
      <w:color w:val="FFFFFF"/>
      <w:sz w:val="18"/>
      <w:szCs w:val="18"/>
      <w:lang w:eastAsia="sl-SI"/>
    </w:rPr>
  </w:style>
  <w:style w:type="paragraph" w:customStyle="1" w:styleId="xl78">
    <w:name w:val="xl78"/>
    <w:basedOn w:val="Normal"/>
    <w:rsid w:val="00B14AD8"/>
    <w:pPr>
      <w:pBdr>
        <w:top w:val="single" w:sz="4" w:space="0" w:color="auto"/>
        <w:left w:val="single" w:sz="4" w:space="0" w:color="auto"/>
        <w:bottom w:val="single" w:sz="4" w:space="0" w:color="auto"/>
      </w:pBdr>
      <w:shd w:val="clear" w:color="000000" w:fill="C4BD97"/>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79">
    <w:name w:val="xl79"/>
    <w:basedOn w:val="Normal"/>
    <w:rsid w:val="00B14AD8"/>
    <w:pPr>
      <w:pBdr>
        <w:top w:val="single" w:sz="4" w:space="0" w:color="auto"/>
        <w:bottom w:val="single" w:sz="4" w:space="0" w:color="auto"/>
        <w:right w:val="single" w:sz="4" w:space="0" w:color="auto"/>
      </w:pBdr>
      <w:shd w:val="clear" w:color="000000" w:fill="C4BD97"/>
      <w:spacing w:before="100" w:beforeAutospacing="1" w:after="100" w:afterAutospacing="1"/>
      <w:jc w:val="left"/>
    </w:pPr>
    <w:rPr>
      <w:rFonts w:ascii="Calibri" w:eastAsia="Times New Roman" w:hAnsi="Calibri" w:cs="Times New Roman"/>
      <w:b/>
      <w:bCs/>
      <w:sz w:val="18"/>
      <w:szCs w:val="18"/>
      <w:lang w:eastAsia="sl-SI"/>
    </w:rPr>
  </w:style>
  <w:style w:type="paragraph" w:customStyle="1" w:styleId="xl80">
    <w:name w:val="xl80"/>
    <w:basedOn w:val="Normal"/>
    <w:rsid w:val="00B14AD8"/>
    <w:pPr>
      <w:pBdr>
        <w:left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 w:val="18"/>
      <w:szCs w:val="18"/>
      <w:lang w:eastAsia="sl-SI"/>
    </w:rPr>
  </w:style>
  <w:style w:type="paragraph" w:customStyle="1" w:styleId="xl81">
    <w:name w:val="xl81"/>
    <w:basedOn w:val="Normal"/>
    <w:rsid w:val="00B14AD8"/>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eastAsia="Times New Roman" w:hAnsi="Calibri" w:cs="Times New Roman"/>
      <w:sz w:val="18"/>
      <w:szCs w:val="18"/>
      <w:lang w:eastAsia="sl-SI"/>
    </w:rPr>
  </w:style>
  <w:style w:type="paragraph" w:customStyle="1" w:styleId="xl82">
    <w:name w:val="xl82"/>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eastAsia="Times New Roman" w:hAnsi="Calibri" w:cs="Times New Roman"/>
      <w:color w:val="000000"/>
      <w:sz w:val="18"/>
      <w:szCs w:val="18"/>
      <w:lang w:eastAsia="sl-SI"/>
    </w:rPr>
  </w:style>
  <w:style w:type="paragraph" w:customStyle="1" w:styleId="xl83">
    <w:name w:val="xl83"/>
    <w:basedOn w:val="Normal"/>
    <w:rsid w:val="00B14A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4">
    <w:name w:val="xl84"/>
    <w:basedOn w:val="Normal"/>
    <w:rsid w:val="00B14AD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5">
    <w:name w:val="xl85"/>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sz w:val="18"/>
      <w:szCs w:val="18"/>
      <w:lang w:eastAsia="sl-SI"/>
    </w:rPr>
  </w:style>
  <w:style w:type="paragraph" w:customStyle="1" w:styleId="xl86">
    <w:name w:val="xl86"/>
    <w:basedOn w:val="Normal"/>
    <w:rsid w:val="00B1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7">
    <w:name w:val="xl87"/>
    <w:basedOn w:val="Normal"/>
    <w:rsid w:val="00B14AD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8">
    <w:name w:val="xl88"/>
    <w:basedOn w:val="Normal"/>
    <w:rsid w:val="00B14AD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89">
    <w:name w:val="xl89"/>
    <w:basedOn w:val="Normal"/>
    <w:rsid w:val="00B14AD8"/>
    <w:pPr>
      <w:pBdr>
        <w:left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90">
    <w:name w:val="xl90"/>
    <w:basedOn w:val="Normal"/>
    <w:rsid w:val="00B14AD8"/>
    <w:pPr>
      <w:pBdr>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customStyle="1" w:styleId="xl91">
    <w:name w:val="xl91"/>
    <w:basedOn w:val="Normal"/>
    <w:rsid w:val="00B14AD8"/>
    <w:pPr>
      <w:pBdr>
        <w:left w:val="single" w:sz="4" w:space="0" w:color="auto"/>
        <w:right w:val="single" w:sz="4" w:space="0" w:color="auto"/>
      </w:pBdr>
      <w:spacing w:before="100" w:beforeAutospacing="1" w:after="100" w:afterAutospacing="1"/>
      <w:jc w:val="center"/>
      <w:textAlignment w:val="top"/>
    </w:pPr>
    <w:rPr>
      <w:rFonts w:ascii="Calibri" w:eastAsia="Times New Roman" w:hAnsi="Calibri" w:cs="Times New Roman"/>
      <w:b/>
      <w:bCs/>
      <w:sz w:val="18"/>
      <w:szCs w:val="18"/>
      <w:lang w:eastAsia="sl-SI"/>
    </w:rPr>
  </w:style>
  <w:style w:type="paragraph" w:styleId="TOC2">
    <w:name w:val="toc 2"/>
    <w:basedOn w:val="Normal"/>
    <w:next w:val="Normal"/>
    <w:autoRedefine/>
    <w:uiPriority w:val="39"/>
    <w:unhideWhenUsed/>
    <w:qFormat/>
    <w:rsid w:val="00AA4165"/>
    <w:pPr>
      <w:spacing w:after="100" w:line="276" w:lineRule="auto"/>
      <w:ind w:left="220"/>
      <w:jc w:val="left"/>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962426"/>
    <w:pPr>
      <w:tabs>
        <w:tab w:val="left" w:pos="440"/>
        <w:tab w:val="right" w:leader="dot" w:pos="9174"/>
      </w:tabs>
      <w:spacing w:after="100" w:line="276" w:lineRule="auto"/>
      <w:jc w:val="left"/>
    </w:pPr>
    <w:rPr>
      <w:rFonts w:asciiTheme="minorHAnsi" w:eastAsiaTheme="minorEastAsia" w:hAnsiTheme="minorHAnsi"/>
      <w:b/>
      <w:noProof/>
      <w:lang w:val="en-US" w:eastAsia="ja-JP"/>
    </w:rPr>
  </w:style>
  <w:style w:type="paragraph" w:customStyle="1" w:styleId="Heading3USPENOST">
    <w:name w:val="Heading 3_USPEŠNOST"/>
    <w:basedOn w:val="Heading3"/>
    <w:link w:val="Heading3USPENOSTChar"/>
    <w:qFormat/>
    <w:rsid w:val="009938EB"/>
  </w:style>
  <w:style w:type="paragraph" w:customStyle="1" w:styleId="Default">
    <w:name w:val="Default"/>
    <w:rsid w:val="00865BC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3USPENOSTChar">
    <w:name w:val="Heading 3_USPEŠNOST Char"/>
    <w:basedOn w:val="Heading3Char"/>
    <w:link w:val="Heading3USPENOST"/>
    <w:rsid w:val="009938EB"/>
    <w:rPr>
      <w:rFonts w:eastAsiaTheme="majorEastAsia" w:cstheme="majorBidi"/>
      <w:b/>
      <w:bCs/>
      <w:color w:val="1F497D" w:themeColor="text2"/>
      <w:spacing w:val="14"/>
      <w:sz w:val="23"/>
    </w:rPr>
  </w:style>
  <w:style w:type="table" w:styleId="MediumGrid2-Accent1">
    <w:name w:val="Medium Grid 2 Accent 1"/>
    <w:basedOn w:val="TableNormal"/>
    <w:uiPriority w:val="68"/>
    <w:rsid w:val="00A720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22"/>
    <w:qFormat/>
    <w:rsid w:val="00A720EA"/>
    <w:rPr>
      <w:b w:val="0"/>
      <w:bCs/>
      <w:i/>
      <w:color w:val="1F497D" w:themeColor="text2"/>
    </w:rPr>
  </w:style>
  <w:style w:type="paragraph" w:customStyle="1" w:styleId="podpisi">
    <w:name w:val="podpisi"/>
    <w:basedOn w:val="Normal"/>
    <w:qFormat/>
    <w:rsid w:val="00A720EA"/>
    <w:pPr>
      <w:tabs>
        <w:tab w:val="left" w:pos="3402"/>
      </w:tabs>
      <w:spacing w:after="0" w:line="260" w:lineRule="atLeast"/>
      <w:jc w:val="left"/>
    </w:pPr>
    <w:rPr>
      <w:rFonts w:eastAsia="Times New Roman" w:cs="Times New Roman"/>
      <w:sz w:val="20"/>
      <w:szCs w:val="24"/>
      <w:lang w:val="it-IT"/>
    </w:rPr>
  </w:style>
  <w:style w:type="paragraph" w:customStyle="1" w:styleId="BodyText22">
    <w:name w:val="Body Text 22"/>
    <w:basedOn w:val="Normal"/>
    <w:rsid w:val="00A720EA"/>
    <w:pPr>
      <w:overflowPunct w:val="0"/>
      <w:autoSpaceDE w:val="0"/>
      <w:autoSpaceDN w:val="0"/>
      <w:adjustRightInd w:val="0"/>
      <w:spacing w:after="0"/>
      <w:ind w:left="360"/>
      <w:textAlignment w:val="baseline"/>
    </w:pPr>
    <w:rPr>
      <w:rFonts w:ascii="Times New Roman" w:eastAsia="Times New Roman" w:hAnsi="Times New Roman" w:cs="Times New Roman"/>
      <w:sz w:val="24"/>
      <w:szCs w:val="20"/>
      <w:lang w:eastAsia="sl-SI"/>
    </w:rPr>
  </w:style>
  <w:style w:type="paragraph" w:styleId="NoSpacing">
    <w:name w:val="No Spacing"/>
    <w:aliases w:val="Tabele NPK"/>
    <w:link w:val="NoSpacingChar"/>
    <w:uiPriority w:val="1"/>
    <w:qFormat/>
    <w:rsid w:val="00A720EA"/>
    <w:pPr>
      <w:spacing w:after="0" w:line="240" w:lineRule="auto"/>
    </w:pPr>
  </w:style>
  <w:style w:type="character" w:customStyle="1" w:styleId="NoSpacingChar">
    <w:name w:val="No Spacing Char"/>
    <w:aliases w:val="Tabele NPK Char"/>
    <w:basedOn w:val="DefaultParagraphFont"/>
    <w:link w:val="NoSpacing"/>
    <w:uiPriority w:val="1"/>
    <w:rsid w:val="00A720EA"/>
  </w:style>
  <w:style w:type="character" w:customStyle="1" w:styleId="BodytextBold">
    <w:name w:val="Body text + Bold"/>
    <w:aliases w:val="Not Italic"/>
    <w:rsid w:val="00A720EA"/>
    <w:rPr>
      <w:rFonts w:ascii="Times New Roman" w:hAnsi="Times New Roman" w:cs="Times New Roman"/>
      <w:b/>
      <w:bCs/>
      <w:i/>
      <w:iCs/>
      <w:spacing w:val="0"/>
      <w:sz w:val="23"/>
      <w:szCs w:val="23"/>
    </w:rPr>
  </w:style>
  <w:style w:type="paragraph" w:styleId="BodyText">
    <w:name w:val="Body Text"/>
    <w:basedOn w:val="Normal"/>
    <w:link w:val="BodyTextChar"/>
    <w:rsid w:val="00A720EA"/>
    <w:pPr>
      <w:spacing w:after="120"/>
    </w:pPr>
    <w:rPr>
      <w:rFonts w:eastAsia="Times New Roman" w:cs="Times New Roman"/>
      <w:szCs w:val="24"/>
    </w:rPr>
  </w:style>
  <w:style w:type="character" w:customStyle="1" w:styleId="BodyTextChar">
    <w:name w:val="Body Text Char"/>
    <w:basedOn w:val="DefaultParagraphFont"/>
    <w:link w:val="BodyText"/>
    <w:rsid w:val="00A720EA"/>
    <w:rPr>
      <w:rFonts w:ascii="Arial" w:eastAsia="Times New Roman" w:hAnsi="Arial" w:cs="Times New Roman"/>
      <w:szCs w:val="24"/>
    </w:rPr>
  </w:style>
  <w:style w:type="paragraph" w:customStyle="1" w:styleId="BodyText2ZnakZnak">
    <w:name w:val="Body Text 2 Znak Znak"/>
    <w:basedOn w:val="Normal"/>
    <w:link w:val="BodyText2ZnakZnakZnak"/>
    <w:autoRedefine/>
    <w:rsid w:val="00A720EA"/>
    <w:pPr>
      <w:widowControl w:val="0"/>
      <w:spacing w:before="40" w:after="0"/>
      <w:jc w:val="left"/>
    </w:pPr>
    <w:rPr>
      <w:rFonts w:eastAsia="Arial Unicode MS" w:cs="Arial"/>
      <w:b/>
      <w:bCs/>
      <w:color w:val="000000"/>
      <w:sz w:val="14"/>
      <w:szCs w:val="14"/>
    </w:rPr>
  </w:style>
  <w:style w:type="character" w:customStyle="1" w:styleId="BodyText2ZnakZnakZnak">
    <w:name w:val="Body Text 2 Znak Znak Znak"/>
    <w:link w:val="BodyText2ZnakZnak"/>
    <w:rsid w:val="00A720EA"/>
    <w:rPr>
      <w:rFonts w:ascii="Arial" w:eastAsia="Arial Unicode MS" w:hAnsi="Arial" w:cs="Arial"/>
      <w:b/>
      <w:bCs/>
      <w:color w:val="000000"/>
      <w:sz w:val="14"/>
      <w:szCs w:val="14"/>
    </w:rPr>
  </w:style>
  <w:style w:type="paragraph" w:styleId="TableofFigures">
    <w:name w:val="table of figures"/>
    <w:basedOn w:val="Normal"/>
    <w:next w:val="Normal"/>
    <w:uiPriority w:val="99"/>
    <w:unhideWhenUsed/>
    <w:rsid w:val="00626BA6"/>
    <w:pPr>
      <w:spacing w:after="0"/>
    </w:pPr>
  </w:style>
  <w:style w:type="paragraph" w:styleId="PlainText">
    <w:name w:val="Plain Text"/>
    <w:basedOn w:val="Normal"/>
    <w:link w:val="PlainTextChar"/>
    <w:uiPriority w:val="99"/>
    <w:semiHidden/>
    <w:unhideWhenUsed/>
    <w:rsid w:val="004B086B"/>
    <w:pPr>
      <w:spacing w:after="0"/>
      <w:jc w:val="left"/>
    </w:pPr>
    <w:rPr>
      <w:rFonts w:ascii="Calibri" w:hAnsi="Calibri"/>
      <w:szCs w:val="21"/>
    </w:rPr>
  </w:style>
  <w:style w:type="character" w:customStyle="1" w:styleId="PlainTextChar">
    <w:name w:val="Plain Text Char"/>
    <w:basedOn w:val="DefaultParagraphFont"/>
    <w:link w:val="PlainText"/>
    <w:uiPriority w:val="99"/>
    <w:semiHidden/>
    <w:rsid w:val="004B086B"/>
    <w:rPr>
      <w:rFonts w:ascii="Calibri" w:hAnsi="Calibri"/>
      <w:szCs w:val="21"/>
    </w:rPr>
  </w:style>
  <w:style w:type="table" w:styleId="TableGrid">
    <w:name w:val="Table Grid"/>
    <w:basedOn w:val="TableNormal"/>
    <w:uiPriority w:val="1"/>
    <w:rsid w:val="00D150CC"/>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356A"/>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sl-SI"/>
    </w:rPr>
  </w:style>
  <w:style w:type="character" w:customStyle="1" w:styleId="TitleChar">
    <w:name w:val="Title Char"/>
    <w:basedOn w:val="DefaultParagraphFont"/>
    <w:link w:val="Title"/>
    <w:uiPriority w:val="10"/>
    <w:rsid w:val="0061356A"/>
    <w:rPr>
      <w:rFonts w:asciiTheme="majorHAnsi" w:eastAsiaTheme="majorEastAsia" w:hAnsiTheme="majorHAnsi" w:cstheme="majorBidi"/>
      <w:color w:val="17365D" w:themeColor="text2" w:themeShade="BF"/>
      <w:spacing w:val="5"/>
      <w:kern w:val="28"/>
      <w:sz w:val="52"/>
      <w:szCs w:val="52"/>
      <w:lang w:eastAsia="sl-SI"/>
    </w:rPr>
  </w:style>
  <w:style w:type="paragraph" w:styleId="Subtitle">
    <w:name w:val="Subtitle"/>
    <w:basedOn w:val="Normal"/>
    <w:next w:val="Normal"/>
    <w:link w:val="SubtitleChar"/>
    <w:uiPriority w:val="11"/>
    <w:qFormat/>
    <w:rsid w:val="0061356A"/>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sl-SI"/>
    </w:rPr>
  </w:style>
  <w:style w:type="character" w:customStyle="1" w:styleId="SubtitleChar">
    <w:name w:val="Subtitle Char"/>
    <w:basedOn w:val="DefaultParagraphFont"/>
    <w:link w:val="Subtitle"/>
    <w:uiPriority w:val="11"/>
    <w:rsid w:val="0061356A"/>
    <w:rPr>
      <w:rFonts w:asciiTheme="majorHAnsi" w:eastAsiaTheme="majorEastAsia" w:hAnsiTheme="majorHAnsi" w:cstheme="majorBidi"/>
      <w:i/>
      <w:iCs/>
      <w:color w:val="4F81BD" w:themeColor="accent1"/>
      <w:spacing w:val="15"/>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925">
      <w:bodyDiv w:val="1"/>
      <w:marLeft w:val="0"/>
      <w:marRight w:val="0"/>
      <w:marTop w:val="0"/>
      <w:marBottom w:val="0"/>
      <w:divBdr>
        <w:top w:val="none" w:sz="0" w:space="0" w:color="auto"/>
        <w:left w:val="none" w:sz="0" w:space="0" w:color="auto"/>
        <w:bottom w:val="none" w:sz="0" w:space="0" w:color="auto"/>
        <w:right w:val="none" w:sz="0" w:space="0" w:color="auto"/>
      </w:divBdr>
    </w:div>
    <w:div w:id="11343241">
      <w:bodyDiv w:val="1"/>
      <w:marLeft w:val="0"/>
      <w:marRight w:val="0"/>
      <w:marTop w:val="0"/>
      <w:marBottom w:val="0"/>
      <w:divBdr>
        <w:top w:val="none" w:sz="0" w:space="0" w:color="auto"/>
        <w:left w:val="none" w:sz="0" w:space="0" w:color="auto"/>
        <w:bottom w:val="none" w:sz="0" w:space="0" w:color="auto"/>
        <w:right w:val="none" w:sz="0" w:space="0" w:color="auto"/>
      </w:divBdr>
    </w:div>
    <w:div w:id="68769593">
      <w:bodyDiv w:val="1"/>
      <w:marLeft w:val="0"/>
      <w:marRight w:val="0"/>
      <w:marTop w:val="0"/>
      <w:marBottom w:val="0"/>
      <w:divBdr>
        <w:top w:val="none" w:sz="0" w:space="0" w:color="auto"/>
        <w:left w:val="none" w:sz="0" w:space="0" w:color="auto"/>
        <w:bottom w:val="none" w:sz="0" w:space="0" w:color="auto"/>
        <w:right w:val="none" w:sz="0" w:space="0" w:color="auto"/>
      </w:divBdr>
    </w:div>
    <w:div w:id="113836112">
      <w:bodyDiv w:val="1"/>
      <w:marLeft w:val="0"/>
      <w:marRight w:val="0"/>
      <w:marTop w:val="0"/>
      <w:marBottom w:val="0"/>
      <w:divBdr>
        <w:top w:val="none" w:sz="0" w:space="0" w:color="auto"/>
        <w:left w:val="none" w:sz="0" w:space="0" w:color="auto"/>
        <w:bottom w:val="none" w:sz="0" w:space="0" w:color="auto"/>
        <w:right w:val="none" w:sz="0" w:space="0" w:color="auto"/>
      </w:divBdr>
    </w:div>
    <w:div w:id="129053252">
      <w:bodyDiv w:val="1"/>
      <w:marLeft w:val="0"/>
      <w:marRight w:val="0"/>
      <w:marTop w:val="0"/>
      <w:marBottom w:val="0"/>
      <w:divBdr>
        <w:top w:val="none" w:sz="0" w:space="0" w:color="auto"/>
        <w:left w:val="none" w:sz="0" w:space="0" w:color="auto"/>
        <w:bottom w:val="none" w:sz="0" w:space="0" w:color="auto"/>
        <w:right w:val="none" w:sz="0" w:space="0" w:color="auto"/>
      </w:divBdr>
    </w:div>
    <w:div w:id="151140838">
      <w:marLeft w:val="0"/>
      <w:marRight w:val="0"/>
      <w:marTop w:val="0"/>
      <w:marBottom w:val="0"/>
      <w:divBdr>
        <w:top w:val="none" w:sz="0" w:space="0" w:color="auto"/>
        <w:left w:val="none" w:sz="0" w:space="0" w:color="auto"/>
        <w:bottom w:val="none" w:sz="0" w:space="0" w:color="auto"/>
        <w:right w:val="none" w:sz="0" w:space="0" w:color="auto"/>
      </w:divBdr>
    </w:div>
    <w:div w:id="161048346">
      <w:bodyDiv w:val="1"/>
      <w:marLeft w:val="0"/>
      <w:marRight w:val="0"/>
      <w:marTop w:val="0"/>
      <w:marBottom w:val="0"/>
      <w:divBdr>
        <w:top w:val="none" w:sz="0" w:space="0" w:color="auto"/>
        <w:left w:val="none" w:sz="0" w:space="0" w:color="auto"/>
        <w:bottom w:val="none" w:sz="0" w:space="0" w:color="auto"/>
        <w:right w:val="none" w:sz="0" w:space="0" w:color="auto"/>
      </w:divBdr>
    </w:div>
    <w:div w:id="165902912">
      <w:bodyDiv w:val="1"/>
      <w:marLeft w:val="0"/>
      <w:marRight w:val="0"/>
      <w:marTop w:val="0"/>
      <w:marBottom w:val="0"/>
      <w:divBdr>
        <w:top w:val="none" w:sz="0" w:space="0" w:color="auto"/>
        <w:left w:val="none" w:sz="0" w:space="0" w:color="auto"/>
        <w:bottom w:val="none" w:sz="0" w:space="0" w:color="auto"/>
        <w:right w:val="none" w:sz="0" w:space="0" w:color="auto"/>
      </w:divBdr>
    </w:div>
    <w:div w:id="166019192">
      <w:bodyDiv w:val="1"/>
      <w:marLeft w:val="0"/>
      <w:marRight w:val="0"/>
      <w:marTop w:val="0"/>
      <w:marBottom w:val="0"/>
      <w:divBdr>
        <w:top w:val="none" w:sz="0" w:space="0" w:color="auto"/>
        <w:left w:val="none" w:sz="0" w:space="0" w:color="auto"/>
        <w:bottom w:val="none" w:sz="0" w:space="0" w:color="auto"/>
        <w:right w:val="none" w:sz="0" w:space="0" w:color="auto"/>
      </w:divBdr>
      <w:divsChild>
        <w:div w:id="57678263">
          <w:marLeft w:val="0"/>
          <w:marRight w:val="0"/>
          <w:marTop w:val="0"/>
          <w:marBottom w:val="0"/>
          <w:divBdr>
            <w:top w:val="none" w:sz="0" w:space="0" w:color="auto"/>
            <w:left w:val="none" w:sz="0" w:space="0" w:color="auto"/>
            <w:bottom w:val="none" w:sz="0" w:space="0" w:color="auto"/>
            <w:right w:val="none" w:sz="0" w:space="0" w:color="auto"/>
          </w:divBdr>
        </w:div>
      </w:divsChild>
    </w:div>
    <w:div w:id="206840902">
      <w:bodyDiv w:val="1"/>
      <w:marLeft w:val="0"/>
      <w:marRight w:val="0"/>
      <w:marTop w:val="0"/>
      <w:marBottom w:val="0"/>
      <w:divBdr>
        <w:top w:val="none" w:sz="0" w:space="0" w:color="auto"/>
        <w:left w:val="none" w:sz="0" w:space="0" w:color="auto"/>
        <w:bottom w:val="none" w:sz="0" w:space="0" w:color="auto"/>
        <w:right w:val="none" w:sz="0" w:space="0" w:color="auto"/>
      </w:divBdr>
    </w:div>
    <w:div w:id="209612238">
      <w:bodyDiv w:val="1"/>
      <w:marLeft w:val="0"/>
      <w:marRight w:val="0"/>
      <w:marTop w:val="0"/>
      <w:marBottom w:val="0"/>
      <w:divBdr>
        <w:top w:val="none" w:sz="0" w:space="0" w:color="auto"/>
        <w:left w:val="none" w:sz="0" w:space="0" w:color="auto"/>
        <w:bottom w:val="none" w:sz="0" w:space="0" w:color="auto"/>
        <w:right w:val="none" w:sz="0" w:space="0" w:color="auto"/>
      </w:divBdr>
    </w:div>
    <w:div w:id="220795671">
      <w:bodyDiv w:val="1"/>
      <w:marLeft w:val="0"/>
      <w:marRight w:val="0"/>
      <w:marTop w:val="0"/>
      <w:marBottom w:val="0"/>
      <w:divBdr>
        <w:top w:val="none" w:sz="0" w:space="0" w:color="auto"/>
        <w:left w:val="none" w:sz="0" w:space="0" w:color="auto"/>
        <w:bottom w:val="none" w:sz="0" w:space="0" w:color="auto"/>
        <w:right w:val="none" w:sz="0" w:space="0" w:color="auto"/>
      </w:divBdr>
    </w:div>
    <w:div w:id="238171519">
      <w:bodyDiv w:val="1"/>
      <w:marLeft w:val="0"/>
      <w:marRight w:val="0"/>
      <w:marTop w:val="0"/>
      <w:marBottom w:val="0"/>
      <w:divBdr>
        <w:top w:val="none" w:sz="0" w:space="0" w:color="auto"/>
        <w:left w:val="none" w:sz="0" w:space="0" w:color="auto"/>
        <w:bottom w:val="none" w:sz="0" w:space="0" w:color="auto"/>
        <w:right w:val="none" w:sz="0" w:space="0" w:color="auto"/>
      </w:divBdr>
    </w:div>
    <w:div w:id="250745112">
      <w:bodyDiv w:val="1"/>
      <w:marLeft w:val="0"/>
      <w:marRight w:val="0"/>
      <w:marTop w:val="0"/>
      <w:marBottom w:val="0"/>
      <w:divBdr>
        <w:top w:val="none" w:sz="0" w:space="0" w:color="auto"/>
        <w:left w:val="none" w:sz="0" w:space="0" w:color="auto"/>
        <w:bottom w:val="none" w:sz="0" w:space="0" w:color="auto"/>
        <w:right w:val="none" w:sz="0" w:space="0" w:color="auto"/>
      </w:divBdr>
    </w:div>
    <w:div w:id="270405320">
      <w:bodyDiv w:val="1"/>
      <w:marLeft w:val="0"/>
      <w:marRight w:val="0"/>
      <w:marTop w:val="0"/>
      <w:marBottom w:val="0"/>
      <w:divBdr>
        <w:top w:val="none" w:sz="0" w:space="0" w:color="auto"/>
        <w:left w:val="none" w:sz="0" w:space="0" w:color="auto"/>
        <w:bottom w:val="none" w:sz="0" w:space="0" w:color="auto"/>
        <w:right w:val="none" w:sz="0" w:space="0" w:color="auto"/>
      </w:divBdr>
    </w:div>
    <w:div w:id="297224323">
      <w:bodyDiv w:val="1"/>
      <w:marLeft w:val="0"/>
      <w:marRight w:val="0"/>
      <w:marTop w:val="0"/>
      <w:marBottom w:val="0"/>
      <w:divBdr>
        <w:top w:val="none" w:sz="0" w:space="0" w:color="auto"/>
        <w:left w:val="none" w:sz="0" w:space="0" w:color="auto"/>
        <w:bottom w:val="none" w:sz="0" w:space="0" w:color="auto"/>
        <w:right w:val="none" w:sz="0" w:space="0" w:color="auto"/>
      </w:divBdr>
    </w:div>
    <w:div w:id="299261913">
      <w:bodyDiv w:val="1"/>
      <w:marLeft w:val="0"/>
      <w:marRight w:val="0"/>
      <w:marTop w:val="0"/>
      <w:marBottom w:val="0"/>
      <w:divBdr>
        <w:top w:val="none" w:sz="0" w:space="0" w:color="auto"/>
        <w:left w:val="none" w:sz="0" w:space="0" w:color="auto"/>
        <w:bottom w:val="none" w:sz="0" w:space="0" w:color="auto"/>
        <w:right w:val="none" w:sz="0" w:space="0" w:color="auto"/>
      </w:divBdr>
    </w:div>
    <w:div w:id="303509954">
      <w:bodyDiv w:val="1"/>
      <w:marLeft w:val="0"/>
      <w:marRight w:val="0"/>
      <w:marTop w:val="0"/>
      <w:marBottom w:val="0"/>
      <w:divBdr>
        <w:top w:val="none" w:sz="0" w:space="0" w:color="auto"/>
        <w:left w:val="none" w:sz="0" w:space="0" w:color="auto"/>
        <w:bottom w:val="none" w:sz="0" w:space="0" w:color="auto"/>
        <w:right w:val="none" w:sz="0" w:space="0" w:color="auto"/>
      </w:divBdr>
    </w:div>
    <w:div w:id="318467417">
      <w:marLeft w:val="0"/>
      <w:marRight w:val="0"/>
      <w:marTop w:val="0"/>
      <w:marBottom w:val="0"/>
      <w:divBdr>
        <w:top w:val="none" w:sz="0" w:space="0" w:color="auto"/>
        <w:left w:val="none" w:sz="0" w:space="0" w:color="auto"/>
        <w:bottom w:val="none" w:sz="0" w:space="0" w:color="auto"/>
        <w:right w:val="none" w:sz="0" w:space="0" w:color="auto"/>
      </w:divBdr>
    </w:div>
    <w:div w:id="339819700">
      <w:bodyDiv w:val="1"/>
      <w:marLeft w:val="0"/>
      <w:marRight w:val="0"/>
      <w:marTop w:val="0"/>
      <w:marBottom w:val="0"/>
      <w:divBdr>
        <w:top w:val="none" w:sz="0" w:space="0" w:color="auto"/>
        <w:left w:val="none" w:sz="0" w:space="0" w:color="auto"/>
        <w:bottom w:val="none" w:sz="0" w:space="0" w:color="auto"/>
        <w:right w:val="none" w:sz="0" w:space="0" w:color="auto"/>
      </w:divBdr>
    </w:div>
    <w:div w:id="359430293">
      <w:bodyDiv w:val="1"/>
      <w:marLeft w:val="0"/>
      <w:marRight w:val="0"/>
      <w:marTop w:val="0"/>
      <w:marBottom w:val="0"/>
      <w:divBdr>
        <w:top w:val="none" w:sz="0" w:space="0" w:color="auto"/>
        <w:left w:val="none" w:sz="0" w:space="0" w:color="auto"/>
        <w:bottom w:val="none" w:sz="0" w:space="0" w:color="auto"/>
        <w:right w:val="none" w:sz="0" w:space="0" w:color="auto"/>
      </w:divBdr>
    </w:div>
    <w:div w:id="368070743">
      <w:bodyDiv w:val="1"/>
      <w:marLeft w:val="0"/>
      <w:marRight w:val="0"/>
      <w:marTop w:val="0"/>
      <w:marBottom w:val="0"/>
      <w:divBdr>
        <w:top w:val="none" w:sz="0" w:space="0" w:color="auto"/>
        <w:left w:val="none" w:sz="0" w:space="0" w:color="auto"/>
        <w:bottom w:val="none" w:sz="0" w:space="0" w:color="auto"/>
        <w:right w:val="none" w:sz="0" w:space="0" w:color="auto"/>
      </w:divBdr>
    </w:div>
    <w:div w:id="376783914">
      <w:bodyDiv w:val="1"/>
      <w:marLeft w:val="0"/>
      <w:marRight w:val="0"/>
      <w:marTop w:val="0"/>
      <w:marBottom w:val="0"/>
      <w:divBdr>
        <w:top w:val="none" w:sz="0" w:space="0" w:color="auto"/>
        <w:left w:val="none" w:sz="0" w:space="0" w:color="auto"/>
        <w:bottom w:val="none" w:sz="0" w:space="0" w:color="auto"/>
        <w:right w:val="none" w:sz="0" w:space="0" w:color="auto"/>
      </w:divBdr>
    </w:div>
    <w:div w:id="386994374">
      <w:bodyDiv w:val="1"/>
      <w:marLeft w:val="0"/>
      <w:marRight w:val="0"/>
      <w:marTop w:val="0"/>
      <w:marBottom w:val="0"/>
      <w:divBdr>
        <w:top w:val="none" w:sz="0" w:space="0" w:color="auto"/>
        <w:left w:val="none" w:sz="0" w:space="0" w:color="auto"/>
        <w:bottom w:val="none" w:sz="0" w:space="0" w:color="auto"/>
        <w:right w:val="none" w:sz="0" w:space="0" w:color="auto"/>
      </w:divBdr>
    </w:div>
    <w:div w:id="418212990">
      <w:bodyDiv w:val="1"/>
      <w:marLeft w:val="0"/>
      <w:marRight w:val="0"/>
      <w:marTop w:val="0"/>
      <w:marBottom w:val="0"/>
      <w:divBdr>
        <w:top w:val="none" w:sz="0" w:space="0" w:color="auto"/>
        <w:left w:val="none" w:sz="0" w:space="0" w:color="auto"/>
        <w:bottom w:val="none" w:sz="0" w:space="0" w:color="auto"/>
        <w:right w:val="none" w:sz="0" w:space="0" w:color="auto"/>
      </w:divBdr>
    </w:div>
    <w:div w:id="420879833">
      <w:marLeft w:val="0"/>
      <w:marRight w:val="0"/>
      <w:marTop w:val="0"/>
      <w:marBottom w:val="0"/>
      <w:divBdr>
        <w:top w:val="none" w:sz="0" w:space="0" w:color="auto"/>
        <w:left w:val="none" w:sz="0" w:space="0" w:color="auto"/>
        <w:bottom w:val="none" w:sz="0" w:space="0" w:color="auto"/>
        <w:right w:val="none" w:sz="0" w:space="0" w:color="auto"/>
      </w:divBdr>
    </w:div>
    <w:div w:id="424495919">
      <w:marLeft w:val="0"/>
      <w:marRight w:val="0"/>
      <w:marTop w:val="0"/>
      <w:marBottom w:val="0"/>
      <w:divBdr>
        <w:top w:val="none" w:sz="0" w:space="0" w:color="auto"/>
        <w:left w:val="none" w:sz="0" w:space="0" w:color="auto"/>
        <w:bottom w:val="none" w:sz="0" w:space="0" w:color="auto"/>
        <w:right w:val="none" w:sz="0" w:space="0" w:color="auto"/>
      </w:divBdr>
    </w:div>
    <w:div w:id="429785983">
      <w:bodyDiv w:val="1"/>
      <w:marLeft w:val="0"/>
      <w:marRight w:val="0"/>
      <w:marTop w:val="0"/>
      <w:marBottom w:val="0"/>
      <w:divBdr>
        <w:top w:val="none" w:sz="0" w:space="0" w:color="auto"/>
        <w:left w:val="none" w:sz="0" w:space="0" w:color="auto"/>
        <w:bottom w:val="none" w:sz="0" w:space="0" w:color="auto"/>
        <w:right w:val="none" w:sz="0" w:space="0" w:color="auto"/>
      </w:divBdr>
    </w:div>
    <w:div w:id="503279386">
      <w:bodyDiv w:val="1"/>
      <w:marLeft w:val="0"/>
      <w:marRight w:val="0"/>
      <w:marTop w:val="0"/>
      <w:marBottom w:val="0"/>
      <w:divBdr>
        <w:top w:val="none" w:sz="0" w:space="0" w:color="auto"/>
        <w:left w:val="none" w:sz="0" w:space="0" w:color="auto"/>
        <w:bottom w:val="none" w:sz="0" w:space="0" w:color="auto"/>
        <w:right w:val="none" w:sz="0" w:space="0" w:color="auto"/>
      </w:divBdr>
    </w:div>
    <w:div w:id="532040685">
      <w:bodyDiv w:val="1"/>
      <w:marLeft w:val="0"/>
      <w:marRight w:val="0"/>
      <w:marTop w:val="0"/>
      <w:marBottom w:val="0"/>
      <w:divBdr>
        <w:top w:val="none" w:sz="0" w:space="0" w:color="auto"/>
        <w:left w:val="none" w:sz="0" w:space="0" w:color="auto"/>
        <w:bottom w:val="none" w:sz="0" w:space="0" w:color="auto"/>
        <w:right w:val="none" w:sz="0" w:space="0" w:color="auto"/>
      </w:divBdr>
    </w:div>
    <w:div w:id="539630979">
      <w:bodyDiv w:val="1"/>
      <w:marLeft w:val="0"/>
      <w:marRight w:val="0"/>
      <w:marTop w:val="0"/>
      <w:marBottom w:val="0"/>
      <w:divBdr>
        <w:top w:val="none" w:sz="0" w:space="0" w:color="auto"/>
        <w:left w:val="none" w:sz="0" w:space="0" w:color="auto"/>
        <w:bottom w:val="none" w:sz="0" w:space="0" w:color="auto"/>
        <w:right w:val="none" w:sz="0" w:space="0" w:color="auto"/>
      </w:divBdr>
    </w:div>
    <w:div w:id="552471534">
      <w:bodyDiv w:val="1"/>
      <w:marLeft w:val="0"/>
      <w:marRight w:val="0"/>
      <w:marTop w:val="0"/>
      <w:marBottom w:val="0"/>
      <w:divBdr>
        <w:top w:val="none" w:sz="0" w:space="0" w:color="auto"/>
        <w:left w:val="none" w:sz="0" w:space="0" w:color="auto"/>
        <w:bottom w:val="none" w:sz="0" w:space="0" w:color="auto"/>
        <w:right w:val="none" w:sz="0" w:space="0" w:color="auto"/>
      </w:divBdr>
    </w:div>
    <w:div w:id="565993319">
      <w:bodyDiv w:val="1"/>
      <w:marLeft w:val="0"/>
      <w:marRight w:val="0"/>
      <w:marTop w:val="0"/>
      <w:marBottom w:val="0"/>
      <w:divBdr>
        <w:top w:val="none" w:sz="0" w:space="0" w:color="auto"/>
        <w:left w:val="none" w:sz="0" w:space="0" w:color="auto"/>
        <w:bottom w:val="none" w:sz="0" w:space="0" w:color="auto"/>
        <w:right w:val="none" w:sz="0" w:space="0" w:color="auto"/>
      </w:divBdr>
    </w:div>
    <w:div w:id="568732162">
      <w:marLeft w:val="0"/>
      <w:marRight w:val="0"/>
      <w:marTop w:val="0"/>
      <w:marBottom w:val="0"/>
      <w:divBdr>
        <w:top w:val="none" w:sz="0" w:space="0" w:color="auto"/>
        <w:left w:val="none" w:sz="0" w:space="0" w:color="auto"/>
        <w:bottom w:val="none" w:sz="0" w:space="0" w:color="auto"/>
        <w:right w:val="none" w:sz="0" w:space="0" w:color="auto"/>
      </w:divBdr>
    </w:div>
    <w:div w:id="586773394">
      <w:bodyDiv w:val="1"/>
      <w:marLeft w:val="0"/>
      <w:marRight w:val="0"/>
      <w:marTop w:val="0"/>
      <w:marBottom w:val="0"/>
      <w:divBdr>
        <w:top w:val="none" w:sz="0" w:space="0" w:color="auto"/>
        <w:left w:val="none" w:sz="0" w:space="0" w:color="auto"/>
        <w:bottom w:val="none" w:sz="0" w:space="0" w:color="auto"/>
        <w:right w:val="none" w:sz="0" w:space="0" w:color="auto"/>
      </w:divBdr>
    </w:div>
    <w:div w:id="598296923">
      <w:marLeft w:val="0"/>
      <w:marRight w:val="0"/>
      <w:marTop w:val="0"/>
      <w:marBottom w:val="0"/>
      <w:divBdr>
        <w:top w:val="none" w:sz="0" w:space="0" w:color="auto"/>
        <w:left w:val="none" w:sz="0" w:space="0" w:color="auto"/>
        <w:bottom w:val="none" w:sz="0" w:space="0" w:color="auto"/>
        <w:right w:val="none" w:sz="0" w:space="0" w:color="auto"/>
      </w:divBdr>
    </w:div>
    <w:div w:id="613251977">
      <w:bodyDiv w:val="1"/>
      <w:marLeft w:val="0"/>
      <w:marRight w:val="0"/>
      <w:marTop w:val="0"/>
      <w:marBottom w:val="0"/>
      <w:divBdr>
        <w:top w:val="none" w:sz="0" w:space="0" w:color="auto"/>
        <w:left w:val="none" w:sz="0" w:space="0" w:color="auto"/>
        <w:bottom w:val="none" w:sz="0" w:space="0" w:color="auto"/>
        <w:right w:val="none" w:sz="0" w:space="0" w:color="auto"/>
      </w:divBdr>
    </w:div>
    <w:div w:id="632515381">
      <w:bodyDiv w:val="1"/>
      <w:marLeft w:val="0"/>
      <w:marRight w:val="0"/>
      <w:marTop w:val="0"/>
      <w:marBottom w:val="0"/>
      <w:divBdr>
        <w:top w:val="none" w:sz="0" w:space="0" w:color="auto"/>
        <w:left w:val="none" w:sz="0" w:space="0" w:color="auto"/>
        <w:bottom w:val="none" w:sz="0" w:space="0" w:color="auto"/>
        <w:right w:val="none" w:sz="0" w:space="0" w:color="auto"/>
      </w:divBdr>
    </w:div>
    <w:div w:id="634722576">
      <w:marLeft w:val="0"/>
      <w:marRight w:val="0"/>
      <w:marTop w:val="0"/>
      <w:marBottom w:val="0"/>
      <w:divBdr>
        <w:top w:val="none" w:sz="0" w:space="0" w:color="auto"/>
        <w:left w:val="none" w:sz="0" w:space="0" w:color="auto"/>
        <w:bottom w:val="none" w:sz="0" w:space="0" w:color="auto"/>
        <w:right w:val="none" w:sz="0" w:space="0" w:color="auto"/>
      </w:divBdr>
    </w:div>
    <w:div w:id="657685786">
      <w:marLeft w:val="0"/>
      <w:marRight w:val="0"/>
      <w:marTop w:val="0"/>
      <w:marBottom w:val="0"/>
      <w:divBdr>
        <w:top w:val="none" w:sz="0" w:space="0" w:color="auto"/>
        <w:left w:val="none" w:sz="0" w:space="0" w:color="auto"/>
        <w:bottom w:val="none" w:sz="0" w:space="0" w:color="auto"/>
        <w:right w:val="none" w:sz="0" w:space="0" w:color="auto"/>
      </w:divBdr>
    </w:div>
    <w:div w:id="678778166">
      <w:bodyDiv w:val="1"/>
      <w:marLeft w:val="0"/>
      <w:marRight w:val="0"/>
      <w:marTop w:val="0"/>
      <w:marBottom w:val="0"/>
      <w:divBdr>
        <w:top w:val="none" w:sz="0" w:space="0" w:color="auto"/>
        <w:left w:val="none" w:sz="0" w:space="0" w:color="auto"/>
        <w:bottom w:val="none" w:sz="0" w:space="0" w:color="auto"/>
        <w:right w:val="none" w:sz="0" w:space="0" w:color="auto"/>
      </w:divBdr>
    </w:div>
    <w:div w:id="683939607">
      <w:bodyDiv w:val="1"/>
      <w:marLeft w:val="0"/>
      <w:marRight w:val="0"/>
      <w:marTop w:val="0"/>
      <w:marBottom w:val="0"/>
      <w:divBdr>
        <w:top w:val="none" w:sz="0" w:space="0" w:color="auto"/>
        <w:left w:val="none" w:sz="0" w:space="0" w:color="auto"/>
        <w:bottom w:val="none" w:sz="0" w:space="0" w:color="auto"/>
        <w:right w:val="none" w:sz="0" w:space="0" w:color="auto"/>
      </w:divBdr>
      <w:divsChild>
        <w:div w:id="606930638">
          <w:marLeft w:val="0"/>
          <w:marRight w:val="0"/>
          <w:marTop w:val="0"/>
          <w:marBottom w:val="0"/>
          <w:divBdr>
            <w:top w:val="none" w:sz="0" w:space="0" w:color="auto"/>
            <w:left w:val="none" w:sz="0" w:space="0" w:color="auto"/>
            <w:bottom w:val="none" w:sz="0" w:space="0" w:color="auto"/>
            <w:right w:val="none" w:sz="0" w:space="0" w:color="auto"/>
          </w:divBdr>
        </w:div>
      </w:divsChild>
    </w:div>
    <w:div w:id="706566919">
      <w:bodyDiv w:val="1"/>
      <w:marLeft w:val="0"/>
      <w:marRight w:val="0"/>
      <w:marTop w:val="0"/>
      <w:marBottom w:val="0"/>
      <w:divBdr>
        <w:top w:val="none" w:sz="0" w:space="0" w:color="auto"/>
        <w:left w:val="none" w:sz="0" w:space="0" w:color="auto"/>
        <w:bottom w:val="none" w:sz="0" w:space="0" w:color="auto"/>
        <w:right w:val="none" w:sz="0" w:space="0" w:color="auto"/>
      </w:divBdr>
    </w:div>
    <w:div w:id="709113314">
      <w:bodyDiv w:val="1"/>
      <w:marLeft w:val="0"/>
      <w:marRight w:val="0"/>
      <w:marTop w:val="0"/>
      <w:marBottom w:val="0"/>
      <w:divBdr>
        <w:top w:val="none" w:sz="0" w:space="0" w:color="auto"/>
        <w:left w:val="none" w:sz="0" w:space="0" w:color="auto"/>
        <w:bottom w:val="none" w:sz="0" w:space="0" w:color="auto"/>
        <w:right w:val="none" w:sz="0" w:space="0" w:color="auto"/>
      </w:divBdr>
    </w:div>
    <w:div w:id="720372895">
      <w:bodyDiv w:val="1"/>
      <w:marLeft w:val="0"/>
      <w:marRight w:val="0"/>
      <w:marTop w:val="0"/>
      <w:marBottom w:val="0"/>
      <w:divBdr>
        <w:top w:val="none" w:sz="0" w:space="0" w:color="auto"/>
        <w:left w:val="none" w:sz="0" w:space="0" w:color="auto"/>
        <w:bottom w:val="none" w:sz="0" w:space="0" w:color="auto"/>
        <w:right w:val="none" w:sz="0" w:space="0" w:color="auto"/>
      </w:divBdr>
    </w:div>
    <w:div w:id="726875994">
      <w:marLeft w:val="0"/>
      <w:marRight w:val="0"/>
      <w:marTop w:val="0"/>
      <w:marBottom w:val="0"/>
      <w:divBdr>
        <w:top w:val="none" w:sz="0" w:space="0" w:color="auto"/>
        <w:left w:val="none" w:sz="0" w:space="0" w:color="auto"/>
        <w:bottom w:val="none" w:sz="0" w:space="0" w:color="auto"/>
        <w:right w:val="none" w:sz="0" w:space="0" w:color="auto"/>
      </w:divBdr>
    </w:div>
    <w:div w:id="734163499">
      <w:bodyDiv w:val="1"/>
      <w:marLeft w:val="0"/>
      <w:marRight w:val="0"/>
      <w:marTop w:val="0"/>
      <w:marBottom w:val="0"/>
      <w:divBdr>
        <w:top w:val="none" w:sz="0" w:space="0" w:color="auto"/>
        <w:left w:val="none" w:sz="0" w:space="0" w:color="auto"/>
        <w:bottom w:val="none" w:sz="0" w:space="0" w:color="auto"/>
        <w:right w:val="none" w:sz="0" w:space="0" w:color="auto"/>
      </w:divBdr>
    </w:div>
    <w:div w:id="763459769">
      <w:marLeft w:val="0"/>
      <w:marRight w:val="0"/>
      <w:marTop w:val="0"/>
      <w:marBottom w:val="0"/>
      <w:divBdr>
        <w:top w:val="none" w:sz="0" w:space="0" w:color="auto"/>
        <w:left w:val="none" w:sz="0" w:space="0" w:color="auto"/>
        <w:bottom w:val="none" w:sz="0" w:space="0" w:color="auto"/>
        <w:right w:val="none" w:sz="0" w:space="0" w:color="auto"/>
      </w:divBdr>
    </w:div>
    <w:div w:id="769348636">
      <w:bodyDiv w:val="1"/>
      <w:marLeft w:val="0"/>
      <w:marRight w:val="0"/>
      <w:marTop w:val="0"/>
      <w:marBottom w:val="0"/>
      <w:divBdr>
        <w:top w:val="none" w:sz="0" w:space="0" w:color="auto"/>
        <w:left w:val="none" w:sz="0" w:space="0" w:color="auto"/>
        <w:bottom w:val="none" w:sz="0" w:space="0" w:color="auto"/>
        <w:right w:val="none" w:sz="0" w:space="0" w:color="auto"/>
      </w:divBdr>
    </w:div>
    <w:div w:id="771126306">
      <w:bodyDiv w:val="1"/>
      <w:marLeft w:val="0"/>
      <w:marRight w:val="0"/>
      <w:marTop w:val="0"/>
      <w:marBottom w:val="0"/>
      <w:divBdr>
        <w:top w:val="none" w:sz="0" w:space="0" w:color="auto"/>
        <w:left w:val="none" w:sz="0" w:space="0" w:color="auto"/>
        <w:bottom w:val="none" w:sz="0" w:space="0" w:color="auto"/>
        <w:right w:val="none" w:sz="0" w:space="0" w:color="auto"/>
      </w:divBdr>
    </w:div>
    <w:div w:id="797912021">
      <w:bodyDiv w:val="1"/>
      <w:marLeft w:val="0"/>
      <w:marRight w:val="0"/>
      <w:marTop w:val="0"/>
      <w:marBottom w:val="0"/>
      <w:divBdr>
        <w:top w:val="none" w:sz="0" w:space="0" w:color="auto"/>
        <w:left w:val="none" w:sz="0" w:space="0" w:color="auto"/>
        <w:bottom w:val="none" w:sz="0" w:space="0" w:color="auto"/>
        <w:right w:val="none" w:sz="0" w:space="0" w:color="auto"/>
      </w:divBdr>
    </w:div>
    <w:div w:id="824081398">
      <w:bodyDiv w:val="1"/>
      <w:marLeft w:val="0"/>
      <w:marRight w:val="0"/>
      <w:marTop w:val="0"/>
      <w:marBottom w:val="0"/>
      <w:divBdr>
        <w:top w:val="none" w:sz="0" w:space="0" w:color="auto"/>
        <w:left w:val="none" w:sz="0" w:space="0" w:color="auto"/>
        <w:bottom w:val="none" w:sz="0" w:space="0" w:color="auto"/>
        <w:right w:val="none" w:sz="0" w:space="0" w:color="auto"/>
      </w:divBdr>
    </w:div>
    <w:div w:id="836724076">
      <w:bodyDiv w:val="1"/>
      <w:marLeft w:val="0"/>
      <w:marRight w:val="0"/>
      <w:marTop w:val="0"/>
      <w:marBottom w:val="0"/>
      <w:divBdr>
        <w:top w:val="none" w:sz="0" w:space="0" w:color="auto"/>
        <w:left w:val="none" w:sz="0" w:space="0" w:color="auto"/>
        <w:bottom w:val="none" w:sz="0" w:space="0" w:color="auto"/>
        <w:right w:val="none" w:sz="0" w:space="0" w:color="auto"/>
      </w:divBdr>
    </w:div>
    <w:div w:id="836768368">
      <w:marLeft w:val="0"/>
      <w:marRight w:val="0"/>
      <w:marTop w:val="0"/>
      <w:marBottom w:val="0"/>
      <w:divBdr>
        <w:top w:val="none" w:sz="0" w:space="0" w:color="auto"/>
        <w:left w:val="none" w:sz="0" w:space="0" w:color="auto"/>
        <w:bottom w:val="none" w:sz="0" w:space="0" w:color="auto"/>
        <w:right w:val="none" w:sz="0" w:space="0" w:color="auto"/>
      </w:divBdr>
    </w:div>
    <w:div w:id="862017564">
      <w:bodyDiv w:val="1"/>
      <w:marLeft w:val="0"/>
      <w:marRight w:val="0"/>
      <w:marTop w:val="0"/>
      <w:marBottom w:val="0"/>
      <w:divBdr>
        <w:top w:val="none" w:sz="0" w:space="0" w:color="auto"/>
        <w:left w:val="none" w:sz="0" w:space="0" w:color="auto"/>
        <w:bottom w:val="none" w:sz="0" w:space="0" w:color="auto"/>
        <w:right w:val="none" w:sz="0" w:space="0" w:color="auto"/>
      </w:divBdr>
      <w:divsChild>
        <w:div w:id="1960601841">
          <w:marLeft w:val="0"/>
          <w:marRight w:val="0"/>
          <w:marTop w:val="0"/>
          <w:marBottom w:val="0"/>
          <w:divBdr>
            <w:top w:val="none" w:sz="0" w:space="0" w:color="auto"/>
            <w:left w:val="none" w:sz="0" w:space="0" w:color="auto"/>
            <w:bottom w:val="none" w:sz="0" w:space="0" w:color="auto"/>
            <w:right w:val="none" w:sz="0" w:space="0" w:color="auto"/>
          </w:divBdr>
        </w:div>
      </w:divsChild>
    </w:div>
    <w:div w:id="865871133">
      <w:bodyDiv w:val="1"/>
      <w:marLeft w:val="0"/>
      <w:marRight w:val="0"/>
      <w:marTop w:val="0"/>
      <w:marBottom w:val="0"/>
      <w:divBdr>
        <w:top w:val="none" w:sz="0" w:space="0" w:color="auto"/>
        <w:left w:val="none" w:sz="0" w:space="0" w:color="auto"/>
        <w:bottom w:val="none" w:sz="0" w:space="0" w:color="auto"/>
        <w:right w:val="none" w:sz="0" w:space="0" w:color="auto"/>
      </w:divBdr>
    </w:div>
    <w:div w:id="884030049">
      <w:bodyDiv w:val="1"/>
      <w:marLeft w:val="0"/>
      <w:marRight w:val="0"/>
      <w:marTop w:val="0"/>
      <w:marBottom w:val="0"/>
      <w:divBdr>
        <w:top w:val="none" w:sz="0" w:space="0" w:color="auto"/>
        <w:left w:val="none" w:sz="0" w:space="0" w:color="auto"/>
        <w:bottom w:val="none" w:sz="0" w:space="0" w:color="auto"/>
        <w:right w:val="none" w:sz="0" w:space="0" w:color="auto"/>
      </w:divBdr>
    </w:div>
    <w:div w:id="901865854">
      <w:bodyDiv w:val="1"/>
      <w:marLeft w:val="0"/>
      <w:marRight w:val="0"/>
      <w:marTop w:val="0"/>
      <w:marBottom w:val="0"/>
      <w:divBdr>
        <w:top w:val="none" w:sz="0" w:space="0" w:color="auto"/>
        <w:left w:val="none" w:sz="0" w:space="0" w:color="auto"/>
        <w:bottom w:val="none" w:sz="0" w:space="0" w:color="auto"/>
        <w:right w:val="none" w:sz="0" w:space="0" w:color="auto"/>
      </w:divBdr>
    </w:div>
    <w:div w:id="914903182">
      <w:bodyDiv w:val="1"/>
      <w:marLeft w:val="0"/>
      <w:marRight w:val="0"/>
      <w:marTop w:val="0"/>
      <w:marBottom w:val="0"/>
      <w:divBdr>
        <w:top w:val="none" w:sz="0" w:space="0" w:color="auto"/>
        <w:left w:val="none" w:sz="0" w:space="0" w:color="auto"/>
        <w:bottom w:val="none" w:sz="0" w:space="0" w:color="auto"/>
        <w:right w:val="none" w:sz="0" w:space="0" w:color="auto"/>
      </w:divBdr>
    </w:div>
    <w:div w:id="922303805">
      <w:bodyDiv w:val="1"/>
      <w:marLeft w:val="0"/>
      <w:marRight w:val="0"/>
      <w:marTop w:val="0"/>
      <w:marBottom w:val="0"/>
      <w:divBdr>
        <w:top w:val="none" w:sz="0" w:space="0" w:color="auto"/>
        <w:left w:val="none" w:sz="0" w:space="0" w:color="auto"/>
        <w:bottom w:val="none" w:sz="0" w:space="0" w:color="auto"/>
        <w:right w:val="none" w:sz="0" w:space="0" w:color="auto"/>
      </w:divBdr>
    </w:div>
    <w:div w:id="960577483">
      <w:bodyDiv w:val="1"/>
      <w:marLeft w:val="0"/>
      <w:marRight w:val="0"/>
      <w:marTop w:val="0"/>
      <w:marBottom w:val="0"/>
      <w:divBdr>
        <w:top w:val="none" w:sz="0" w:space="0" w:color="auto"/>
        <w:left w:val="none" w:sz="0" w:space="0" w:color="auto"/>
        <w:bottom w:val="none" w:sz="0" w:space="0" w:color="auto"/>
        <w:right w:val="none" w:sz="0" w:space="0" w:color="auto"/>
      </w:divBdr>
    </w:div>
    <w:div w:id="966469991">
      <w:marLeft w:val="0"/>
      <w:marRight w:val="0"/>
      <w:marTop w:val="0"/>
      <w:marBottom w:val="0"/>
      <w:divBdr>
        <w:top w:val="none" w:sz="0" w:space="0" w:color="auto"/>
        <w:left w:val="none" w:sz="0" w:space="0" w:color="auto"/>
        <w:bottom w:val="none" w:sz="0" w:space="0" w:color="auto"/>
        <w:right w:val="none" w:sz="0" w:space="0" w:color="auto"/>
      </w:divBdr>
    </w:div>
    <w:div w:id="970935849">
      <w:bodyDiv w:val="1"/>
      <w:marLeft w:val="0"/>
      <w:marRight w:val="0"/>
      <w:marTop w:val="0"/>
      <w:marBottom w:val="0"/>
      <w:divBdr>
        <w:top w:val="none" w:sz="0" w:space="0" w:color="auto"/>
        <w:left w:val="none" w:sz="0" w:space="0" w:color="auto"/>
        <w:bottom w:val="none" w:sz="0" w:space="0" w:color="auto"/>
        <w:right w:val="none" w:sz="0" w:space="0" w:color="auto"/>
      </w:divBdr>
    </w:div>
    <w:div w:id="980501779">
      <w:marLeft w:val="0"/>
      <w:marRight w:val="0"/>
      <w:marTop w:val="0"/>
      <w:marBottom w:val="0"/>
      <w:divBdr>
        <w:top w:val="none" w:sz="0" w:space="0" w:color="auto"/>
        <w:left w:val="none" w:sz="0" w:space="0" w:color="auto"/>
        <w:bottom w:val="none" w:sz="0" w:space="0" w:color="auto"/>
        <w:right w:val="none" w:sz="0" w:space="0" w:color="auto"/>
      </w:divBdr>
    </w:div>
    <w:div w:id="984236080">
      <w:bodyDiv w:val="1"/>
      <w:marLeft w:val="0"/>
      <w:marRight w:val="0"/>
      <w:marTop w:val="0"/>
      <w:marBottom w:val="0"/>
      <w:divBdr>
        <w:top w:val="none" w:sz="0" w:space="0" w:color="auto"/>
        <w:left w:val="none" w:sz="0" w:space="0" w:color="auto"/>
        <w:bottom w:val="none" w:sz="0" w:space="0" w:color="auto"/>
        <w:right w:val="none" w:sz="0" w:space="0" w:color="auto"/>
      </w:divBdr>
    </w:div>
    <w:div w:id="987318765">
      <w:bodyDiv w:val="1"/>
      <w:marLeft w:val="0"/>
      <w:marRight w:val="0"/>
      <w:marTop w:val="0"/>
      <w:marBottom w:val="0"/>
      <w:divBdr>
        <w:top w:val="none" w:sz="0" w:space="0" w:color="auto"/>
        <w:left w:val="none" w:sz="0" w:space="0" w:color="auto"/>
        <w:bottom w:val="none" w:sz="0" w:space="0" w:color="auto"/>
        <w:right w:val="none" w:sz="0" w:space="0" w:color="auto"/>
      </w:divBdr>
    </w:div>
    <w:div w:id="1014648757">
      <w:bodyDiv w:val="1"/>
      <w:marLeft w:val="0"/>
      <w:marRight w:val="0"/>
      <w:marTop w:val="0"/>
      <w:marBottom w:val="0"/>
      <w:divBdr>
        <w:top w:val="none" w:sz="0" w:space="0" w:color="auto"/>
        <w:left w:val="none" w:sz="0" w:space="0" w:color="auto"/>
        <w:bottom w:val="none" w:sz="0" w:space="0" w:color="auto"/>
        <w:right w:val="none" w:sz="0" w:space="0" w:color="auto"/>
      </w:divBdr>
    </w:div>
    <w:div w:id="1028874743">
      <w:bodyDiv w:val="1"/>
      <w:marLeft w:val="0"/>
      <w:marRight w:val="0"/>
      <w:marTop w:val="0"/>
      <w:marBottom w:val="0"/>
      <w:divBdr>
        <w:top w:val="none" w:sz="0" w:space="0" w:color="auto"/>
        <w:left w:val="none" w:sz="0" w:space="0" w:color="auto"/>
        <w:bottom w:val="none" w:sz="0" w:space="0" w:color="auto"/>
        <w:right w:val="none" w:sz="0" w:space="0" w:color="auto"/>
      </w:divBdr>
    </w:div>
    <w:div w:id="1038699803">
      <w:bodyDiv w:val="1"/>
      <w:marLeft w:val="0"/>
      <w:marRight w:val="0"/>
      <w:marTop w:val="0"/>
      <w:marBottom w:val="0"/>
      <w:divBdr>
        <w:top w:val="none" w:sz="0" w:space="0" w:color="auto"/>
        <w:left w:val="none" w:sz="0" w:space="0" w:color="auto"/>
        <w:bottom w:val="none" w:sz="0" w:space="0" w:color="auto"/>
        <w:right w:val="none" w:sz="0" w:space="0" w:color="auto"/>
      </w:divBdr>
    </w:div>
    <w:div w:id="1060396736">
      <w:bodyDiv w:val="1"/>
      <w:marLeft w:val="0"/>
      <w:marRight w:val="0"/>
      <w:marTop w:val="0"/>
      <w:marBottom w:val="0"/>
      <w:divBdr>
        <w:top w:val="none" w:sz="0" w:space="0" w:color="auto"/>
        <w:left w:val="none" w:sz="0" w:space="0" w:color="auto"/>
        <w:bottom w:val="none" w:sz="0" w:space="0" w:color="auto"/>
        <w:right w:val="none" w:sz="0" w:space="0" w:color="auto"/>
      </w:divBdr>
    </w:div>
    <w:div w:id="1070277100">
      <w:bodyDiv w:val="1"/>
      <w:marLeft w:val="0"/>
      <w:marRight w:val="0"/>
      <w:marTop w:val="0"/>
      <w:marBottom w:val="0"/>
      <w:divBdr>
        <w:top w:val="none" w:sz="0" w:space="0" w:color="auto"/>
        <w:left w:val="none" w:sz="0" w:space="0" w:color="auto"/>
        <w:bottom w:val="none" w:sz="0" w:space="0" w:color="auto"/>
        <w:right w:val="none" w:sz="0" w:space="0" w:color="auto"/>
      </w:divBdr>
    </w:div>
    <w:div w:id="1076246488">
      <w:bodyDiv w:val="1"/>
      <w:marLeft w:val="0"/>
      <w:marRight w:val="0"/>
      <w:marTop w:val="0"/>
      <w:marBottom w:val="0"/>
      <w:divBdr>
        <w:top w:val="none" w:sz="0" w:space="0" w:color="auto"/>
        <w:left w:val="none" w:sz="0" w:space="0" w:color="auto"/>
        <w:bottom w:val="none" w:sz="0" w:space="0" w:color="auto"/>
        <w:right w:val="none" w:sz="0" w:space="0" w:color="auto"/>
      </w:divBdr>
    </w:div>
    <w:div w:id="1092630060">
      <w:bodyDiv w:val="1"/>
      <w:marLeft w:val="0"/>
      <w:marRight w:val="0"/>
      <w:marTop w:val="0"/>
      <w:marBottom w:val="0"/>
      <w:divBdr>
        <w:top w:val="none" w:sz="0" w:space="0" w:color="auto"/>
        <w:left w:val="none" w:sz="0" w:space="0" w:color="auto"/>
        <w:bottom w:val="none" w:sz="0" w:space="0" w:color="auto"/>
        <w:right w:val="none" w:sz="0" w:space="0" w:color="auto"/>
      </w:divBdr>
    </w:div>
    <w:div w:id="1121992273">
      <w:bodyDiv w:val="1"/>
      <w:marLeft w:val="0"/>
      <w:marRight w:val="0"/>
      <w:marTop w:val="0"/>
      <w:marBottom w:val="0"/>
      <w:divBdr>
        <w:top w:val="none" w:sz="0" w:space="0" w:color="auto"/>
        <w:left w:val="none" w:sz="0" w:space="0" w:color="auto"/>
        <w:bottom w:val="none" w:sz="0" w:space="0" w:color="auto"/>
        <w:right w:val="none" w:sz="0" w:space="0" w:color="auto"/>
      </w:divBdr>
    </w:div>
    <w:div w:id="1138300282">
      <w:bodyDiv w:val="1"/>
      <w:marLeft w:val="0"/>
      <w:marRight w:val="0"/>
      <w:marTop w:val="0"/>
      <w:marBottom w:val="0"/>
      <w:divBdr>
        <w:top w:val="none" w:sz="0" w:space="0" w:color="auto"/>
        <w:left w:val="none" w:sz="0" w:space="0" w:color="auto"/>
        <w:bottom w:val="none" w:sz="0" w:space="0" w:color="auto"/>
        <w:right w:val="none" w:sz="0" w:space="0" w:color="auto"/>
      </w:divBdr>
    </w:div>
    <w:div w:id="1140806599">
      <w:bodyDiv w:val="1"/>
      <w:marLeft w:val="0"/>
      <w:marRight w:val="0"/>
      <w:marTop w:val="0"/>
      <w:marBottom w:val="0"/>
      <w:divBdr>
        <w:top w:val="none" w:sz="0" w:space="0" w:color="auto"/>
        <w:left w:val="none" w:sz="0" w:space="0" w:color="auto"/>
        <w:bottom w:val="none" w:sz="0" w:space="0" w:color="auto"/>
        <w:right w:val="none" w:sz="0" w:space="0" w:color="auto"/>
      </w:divBdr>
    </w:div>
    <w:div w:id="1183940108">
      <w:bodyDiv w:val="1"/>
      <w:marLeft w:val="0"/>
      <w:marRight w:val="0"/>
      <w:marTop w:val="0"/>
      <w:marBottom w:val="0"/>
      <w:divBdr>
        <w:top w:val="none" w:sz="0" w:space="0" w:color="auto"/>
        <w:left w:val="none" w:sz="0" w:space="0" w:color="auto"/>
        <w:bottom w:val="none" w:sz="0" w:space="0" w:color="auto"/>
        <w:right w:val="none" w:sz="0" w:space="0" w:color="auto"/>
      </w:divBdr>
    </w:div>
    <w:div w:id="1191645855">
      <w:bodyDiv w:val="1"/>
      <w:marLeft w:val="0"/>
      <w:marRight w:val="0"/>
      <w:marTop w:val="0"/>
      <w:marBottom w:val="0"/>
      <w:divBdr>
        <w:top w:val="none" w:sz="0" w:space="0" w:color="auto"/>
        <w:left w:val="none" w:sz="0" w:space="0" w:color="auto"/>
        <w:bottom w:val="none" w:sz="0" w:space="0" w:color="auto"/>
        <w:right w:val="none" w:sz="0" w:space="0" w:color="auto"/>
      </w:divBdr>
    </w:div>
    <w:div w:id="1201628284">
      <w:bodyDiv w:val="1"/>
      <w:marLeft w:val="0"/>
      <w:marRight w:val="0"/>
      <w:marTop w:val="0"/>
      <w:marBottom w:val="0"/>
      <w:divBdr>
        <w:top w:val="none" w:sz="0" w:space="0" w:color="auto"/>
        <w:left w:val="none" w:sz="0" w:space="0" w:color="auto"/>
        <w:bottom w:val="none" w:sz="0" w:space="0" w:color="auto"/>
        <w:right w:val="none" w:sz="0" w:space="0" w:color="auto"/>
      </w:divBdr>
    </w:div>
    <w:div w:id="1210073726">
      <w:bodyDiv w:val="1"/>
      <w:marLeft w:val="0"/>
      <w:marRight w:val="0"/>
      <w:marTop w:val="0"/>
      <w:marBottom w:val="0"/>
      <w:divBdr>
        <w:top w:val="none" w:sz="0" w:space="0" w:color="auto"/>
        <w:left w:val="none" w:sz="0" w:space="0" w:color="auto"/>
        <w:bottom w:val="none" w:sz="0" w:space="0" w:color="auto"/>
        <w:right w:val="none" w:sz="0" w:space="0" w:color="auto"/>
      </w:divBdr>
    </w:div>
    <w:div w:id="1211068597">
      <w:bodyDiv w:val="1"/>
      <w:marLeft w:val="0"/>
      <w:marRight w:val="0"/>
      <w:marTop w:val="0"/>
      <w:marBottom w:val="0"/>
      <w:divBdr>
        <w:top w:val="none" w:sz="0" w:space="0" w:color="auto"/>
        <w:left w:val="none" w:sz="0" w:space="0" w:color="auto"/>
        <w:bottom w:val="none" w:sz="0" w:space="0" w:color="auto"/>
        <w:right w:val="none" w:sz="0" w:space="0" w:color="auto"/>
      </w:divBdr>
    </w:div>
    <w:div w:id="1219705193">
      <w:bodyDiv w:val="1"/>
      <w:marLeft w:val="0"/>
      <w:marRight w:val="0"/>
      <w:marTop w:val="0"/>
      <w:marBottom w:val="0"/>
      <w:divBdr>
        <w:top w:val="none" w:sz="0" w:space="0" w:color="auto"/>
        <w:left w:val="none" w:sz="0" w:space="0" w:color="auto"/>
        <w:bottom w:val="none" w:sz="0" w:space="0" w:color="auto"/>
        <w:right w:val="none" w:sz="0" w:space="0" w:color="auto"/>
      </w:divBdr>
    </w:div>
    <w:div w:id="1230651228">
      <w:bodyDiv w:val="1"/>
      <w:marLeft w:val="0"/>
      <w:marRight w:val="0"/>
      <w:marTop w:val="0"/>
      <w:marBottom w:val="0"/>
      <w:divBdr>
        <w:top w:val="none" w:sz="0" w:space="0" w:color="auto"/>
        <w:left w:val="none" w:sz="0" w:space="0" w:color="auto"/>
        <w:bottom w:val="none" w:sz="0" w:space="0" w:color="auto"/>
        <w:right w:val="none" w:sz="0" w:space="0" w:color="auto"/>
      </w:divBdr>
    </w:div>
    <w:div w:id="1240947930">
      <w:marLeft w:val="0"/>
      <w:marRight w:val="0"/>
      <w:marTop w:val="0"/>
      <w:marBottom w:val="0"/>
      <w:divBdr>
        <w:top w:val="none" w:sz="0" w:space="0" w:color="auto"/>
        <w:left w:val="none" w:sz="0" w:space="0" w:color="auto"/>
        <w:bottom w:val="none" w:sz="0" w:space="0" w:color="auto"/>
        <w:right w:val="none" w:sz="0" w:space="0" w:color="auto"/>
      </w:divBdr>
    </w:div>
    <w:div w:id="1244603664">
      <w:bodyDiv w:val="1"/>
      <w:marLeft w:val="0"/>
      <w:marRight w:val="0"/>
      <w:marTop w:val="0"/>
      <w:marBottom w:val="0"/>
      <w:divBdr>
        <w:top w:val="none" w:sz="0" w:space="0" w:color="auto"/>
        <w:left w:val="none" w:sz="0" w:space="0" w:color="auto"/>
        <w:bottom w:val="none" w:sz="0" w:space="0" w:color="auto"/>
        <w:right w:val="none" w:sz="0" w:space="0" w:color="auto"/>
      </w:divBdr>
    </w:div>
    <w:div w:id="1245382065">
      <w:bodyDiv w:val="1"/>
      <w:marLeft w:val="0"/>
      <w:marRight w:val="0"/>
      <w:marTop w:val="0"/>
      <w:marBottom w:val="0"/>
      <w:divBdr>
        <w:top w:val="none" w:sz="0" w:space="0" w:color="auto"/>
        <w:left w:val="none" w:sz="0" w:space="0" w:color="auto"/>
        <w:bottom w:val="none" w:sz="0" w:space="0" w:color="auto"/>
        <w:right w:val="none" w:sz="0" w:space="0" w:color="auto"/>
      </w:divBdr>
    </w:div>
    <w:div w:id="1254818898">
      <w:bodyDiv w:val="1"/>
      <w:marLeft w:val="0"/>
      <w:marRight w:val="0"/>
      <w:marTop w:val="0"/>
      <w:marBottom w:val="0"/>
      <w:divBdr>
        <w:top w:val="none" w:sz="0" w:space="0" w:color="auto"/>
        <w:left w:val="none" w:sz="0" w:space="0" w:color="auto"/>
        <w:bottom w:val="none" w:sz="0" w:space="0" w:color="auto"/>
        <w:right w:val="none" w:sz="0" w:space="0" w:color="auto"/>
      </w:divBdr>
    </w:div>
    <w:div w:id="1255675483">
      <w:bodyDiv w:val="1"/>
      <w:marLeft w:val="0"/>
      <w:marRight w:val="0"/>
      <w:marTop w:val="0"/>
      <w:marBottom w:val="0"/>
      <w:divBdr>
        <w:top w:val="none" w:sz="0" w:space="0" w:color="auto"/>
        <w:left w:val="none" w:sz="0" w:space="0" w:color="auto"/>
        <w:bottom w:val="none" w:sz="0" w:space="0" w:color="auto"/>
        <w:right w:val="none" w:sz="0" w:space="0" w:color="auto"/>
      </w:divBdr>
    </w:div>
    <w:div w:id="1262182125">
      <w:bodyDiv w:val="1"/>
      <w:marLeft w:val="0"/>
      <w:marRight w:val="0"/>
      <w:marTop w:val="0"/>
      <w:marBottom w:val="0"/>
      <w:divBdr>
        <w:top w:val="none" w:sz="0" w:space="0" w:color="auto"/>
        <w:left w:val="none" w:sz="0" w:space="0" w:color="auto"/>
        <w:bottom w:val="none" w:sz="0" w:space="0" w:color="auto"/>
        <w:right w:val="none" w:sz="0" w:space="0" w:color="auto"/>
      </w:divBdr>
    </w:div>
    <w:div w:id="1275483892">
      <w:bodyDiv w:val="1"/>
      <w:marLeft w:val="0"/>
      <w:marRight w:val="0"/>
      <w:marTop w:val="0"/>
      <w:marBottom w:val="0"/>
      <w:divBdr>
        <w:top w:val="none" w:sz="0" w:space="0" w:color="auto"/>
        <w:left w:val="none" w:sz="0" w:space="0" w:color="auto"/>
        <w:bottom w:val="none" w:sz="0" w:space="0" w:color="auto"/>
        <w:right w:val="none" w:sz="0" w:space="0" w:color="auto"/>
      </w:divBdr>
    </w:div>
    <w:div w:id="1335259097">
      <w:bodyDiv w:val="1"/>
      <w:marLeft w:val="0"/>
      <w:marRight w:val="0"/>
      <w:marTop w:val="0"/>
      <w:marBottom w:val="0"/>
      <w:divBdr>
        <w:top w:val="none" w:sz="0" w:space="0" w:color="auto"/>
        <w:left w:val="none" w:sz="0" w:space="0" w:color="auto"/>
        <w:bottom w:val="none" w:sz="0" w:space="0" w:color="auto"/>
        <w:right w:val="none" w:sz="0" w:space="0" w:color="auto"/>
      </w:divBdr>
    </w:div>
    <w:div w:id="1350982731">
      <w:bodyDiv w:val="1"/>
      <w:marLeft w:val="0"/>
      <w:marRight w:val="0"/>
      <w:marTop w:val="0"/>
      <w:marBottom w:val="0"/>
      <w:divBdr>
        <w:top w:val="none" w:sz="0" w:space="0" w:color="auto"/>
        <w:left w:val="none" w:sz="0" w:space="0" w:color="auto"/>
        <w:bottom w:val="none" w:sz="0" w:space="0" w:color="auto"/>
        <w:right w:val="none" w:sz="0" w:space="0" w:color="auto"/>
      </w:divBdr>
    </w:div>
    <w:div w:id="1360669338">
      <w:bodyDiv w:val="1"/>
      <w:marLeft w:val="0"/>
      <w:marRight w:val="0"/>
      <w:marTop w:val="0"/>
      <w:marBottom w:val="0"/>
      <w:divBdr>
        <w:top w:val="none" w:sz="0" w:space="0" w:color="auto"/>
        <w:left w:val="none" w:sz="0" w:space="0" w:color="auto"/>
        <w:bottom w:val="none" w:sz="0" w:space="0" w:color="auto"/>
        <w:right w:val="none" w:sz="0" w:space="0" w:color="auto"/>
      </w:divBdr>
    </w:div>
    <w:div w:id="1361930222">
      <w:bodyDiv w:val="1"/>
      <w:marLeft w:val="0"/>
      <w:marRight w:val="0"/>
      <w:marTop w:val="0"/>
      <w:marBottom w:val="0"/>
      <w:divBdr>
        <w:top w:val="none" w:sz="0" w:space="0" w:color="auto"/>
        <w:left w:val="none" w:sz="0" w:space="0" w:color="auto"/>
        <w:bottom w:val="none" w:sz="0" w:space="0" w:color="auto"/>
        <w:right w:val="none" w:sz="0" w:space="0" w:color="auto"/>
      </w:divBdr>
    </w:div>
    <w:div w:id="1402680769">
      <w:bodyDiv w:val="1"/>
      <w:marLeft w:val="0"/>
      <w:marRight w:val="0"/>
      <w:marTop w:val="0"/>
      <w:marBottom w:val="0"/>
      <w:divBdr>
        <w:top w:val="none" w:sz="0" w:space="0" w:color="auto"/>
        <w:left w:val="none" w:sz="0" w:space="0" w:color="auto"/>
        <w:bottom w:val="none" w:sz="0" w:space="0" w:color="auto"/>
        <w:right w:val="none" w:sz="0" w:space="0" w:color="auto"/>
      </w:divBdr>
    </w:div>
    <w:div w:id="1406103347">
      <w:marLeft w:val="0"/>
      <w:marRight w:val="0"/>
      <w:marTop w:val="0"/>
      <w:marBottom w:val="0"/>
      <w:divBdr>
        <w:top w:val="none" w:sz="0" w:space="0" w:color="auto"/>
        <w:left w:val="none" w:sz="0" w:space="0" w:color="auto"/>
        <w:bottom w:val="none" w:sz="0" w:space="0" w:color="auto"/>
        <w:right w:val="none" w:sz="0" w:space="0" w:color="auto"/>
      </w:divBdr>
    </w:div>
    <w:div w:id="1413238014">
      <w:bodyDiv w:val="1"/>
      <w:marLeft w:val="0"/>
      <w:marRight w:val="0"/>
      <w:marTop w:val="0"/>
      <w:marBottom w:val="0"/>
      <w:divBdr>
        <w:top w:val="none" w:sz="0" w:space="0" w:color="auto"/>
        <w:left w:val="none" w:sz="0" w:space="0" w:color="auto"/>
        <w:bottom w:val="none" w:sz="0" w:space="0" w:color="auto"/>
        <w:right w:val="none" w:sz="0" w:space="0" w:color="auto"/>
      </w:divBdr>
    </w:div>
    <w:div w:id="1431392850">
      <w:bodyDiv w:val="1"/>
      <w:marLeft w:val="0"/>
      <w:marRight w:val="0"/>
      <w:marTop w:val="0"/>
      <w:marBottom w:val="0"/>
      <w:divBdr>
        <w:top w:val="none" w:sz="0" w:space="0" w:color="auto"/>
        <w:left w:val="none" w:sz="0" w:space="0" w:color="auto"/>
        <w:bottom w:val="none" w:sz="0" w:space="0" w:color="auto"/>
        <w:right w:val="none" w:sz="0" w:space="0" w:color="auto"/>
      </w:divBdr>
    </w:div>
    <w:div w:id="1437940266">
      <w:bodyDiv w:val="1"/>
      <w:marLeft w:val="0"/>
      <w:marRight w:val="0"/>
      <w:marTop w:val="0"/>
      <w:marBottom w:val="0"/>
      <w:divBdr>
        <w:top w:val="none" w:sz="0" w:space="0" w:color="auto"/>
        <w:left w:val="none" w:sz="0" w:space="0" w:color="auto"/>
        <w:bottom w:val="none" w:sz="0" w:space="0" w:color="auto"/>
        <w:right w:val="none" w:sz="0" w:space="0" w:color="auto"/>
      </w:divBdr>
    </w:div>
    <w:div w:id="1480074842">
      <w:bodyDiv w:val="1"/>
      <w:marLeft w:val="0"/>
      <w:marRight w:val="0"/>
      <w:marTop w:val="0"/>
      <w:marBottom w:val="0"/>
      <w:divBdr>
        <w:top w:val="none" w:sz="0" w:space="0" w:color="auto"/>
        <w:left w:val="none" w:sz="0" w:space="0" w:color="auto"/>
        <w:bottom w:val="none" w:sz="0" w:space="0" w:color="auto"/>
        <w:right w:val="none" w:sz="0" w:space="0" w:color="auto"/>
      </w:divBdr>
    </w:div>
    <w:div w:id="1500996523">
      <w:bodyDiv w:val="1"/>
      <w:marLeft w:val="0"/>
      <w:marRight w:val="0"/>
      <w:marTop w:val="0"/>
      <w:marBottom w:val="0"/>
      <w:divBdr>
        <w:top w:val="none" w:sz="0" w:space="0" w:color="auto"/>
        <w:left w:val="none" w:sz="0" w:space="0" w:color="auto"/>
        <w:bottom w:val="none" w:sz="0" w:space="0" w:color="auto"/>
        <w:right w:val="none" w:sz="0" w:space="0" w:color="auto"/>
      </w:divBdr>
    </w:div>
    <w:div w:id="1525442055">
      <w:marLeft w:val="0"/>
      <w:marRight w:val="0"/>
      <w:marTop w:val="0"/>
      <w:marBottom w:val="0"/>
      <w:divBdr>
        <w:top w:val="none" w:sz="0" w:space="0" w:color="auto"/>
        <w:left w:val="none" w:sz="0" w:space="0" w:color="auto"/>
        <w:bottom w:val="none" w:sz="0" w:space="0" w:color="auto"/>
        <w:right w:val="none" w:sz="0" w:space="0" w:color="auto"/>
      </w:divBdr>
    </w:div>
    <w:div w:id="1531845009">
      <w:bodyDiv w:val="1"/>
      <w:marLeft w:val="0"/>
      <w:marRight w:val="0"/>
      <w:marTop w:val="0"/>
      <w:marBottom w:val="0"/>
      <w:divBdr>
        <w:top w:val="none" w:sz="0" w:space="0" w:color="auto"/>
        <w:left w:val="none" w:sz="0" w:space="0" w:color="auto"/>
        <w:bottom w:val="none" w:sz="0" w:space="0" w:color="auto"/>
        <w:right w:val="none" w:sz="0" w:space="0" w:color="auto"/>
      </w:divBdr>
      <w:divsChild>
        <w:div w:id="154734075">
          <w:marLeft w:val="0"/>
          <w:marRight w:val="0"/>
          <w:marTop w:val="0"/>
          <w:marBottom w:val="0"/>
          <w:divBdr>
            <w:top w:val="none" w:sz="0" w:space="0" w:color="auto"/>
            <w:left w:val="none" w:sz="0" w:space="0" w:color="auto"/>
            <w:bottom w:val="none" w:sz="0" w:space="0" w:color="auto"/>
            <w:right w:val="none" w:sz="0" w:space="0" w:color="auto"/>
          </w:divBdr>
        </w:div>
      </w:divsChild>
    </w:div>
    <w:div w:id="1547064835">
      <w:bodyDiv w:val="1"/>
      <w:marLeft w:val="0"/>
      <w:marRight w:val="0"/>
      <w:marTop w:val="0"/>
      <w:marBottom w:val="0"/>
      <w:divBdr>
        <w:top w:val="none" w:sz="0" w:space="0" w:color="auto"/>
        <w:left w:val="none" w:sz="0" w:space="0" w:color="auto"/>
        <w:bottom w:val="none" w:sz="0" w:space="0" w:color="auto"/>
        <w:right w:val="none" w:sz="0" w:space="0" w:color="auto"/>
      </w:divBdr>
    </w:div>
    <w:div w:id="1547373323">
      <w:bodyDiv w:val="1"/>
      <w:marLeft w:val="0"/>
      <w:marRight w:val="0"/>
      <w:marTop w:val="0"/>
      <w:marBottom w:val="0"/>
      <w:divBdr>
        <w:top w:val="none" w:sz="0" w:space="0" w:color="auto"/>
        <w:left w:val="none" w:sz="0" w:space="0" w:color="auto"/>
        <w:bottom w:val="none" w:sz="0" w:space="0" w:color="auto"/>
        <w:right w:val="none" w:sz="0" w:space="0" w:color="auto"/>
      </w:divBdr>
    </w:div>
    <w:div w:id="1568418984">
      <w:bodyDiv w:val="1"/>
      <w:marLeft w:val="0"/>
      <w:marRight w:val="0"/>
      <w:marTop w:val="0"/>
      <w:marBottom w:val="0"/>
      <w:divBdr>
        <w:top w:val="none" w:sz="0" w:space="0" w:color="auto"/>
        <w:left w:val="none" w:sz="0" w:space="0" w:color="auto"/>
        <w:bottom w:val="none" w:sz="0" w:space="0" w:color="auto"/>
        <w:right w:val="none" w:sz="0" w:space="0" w:color="auto"/>
      </w:divBdr>
    </w:div>
    <w:div w:id="1607275780">
      <w:bodyDiv w:val="1"/>
      <w:marLeft w:val="0"/>
      <w:marRight w:val="0"/>
      <w:marTop w:val="0"/>
      <w:marBottom w:val="0"/>
      <w:divBdr>
        <w:top w:val="none" w:sz="0" w:space="0" w:color="auto"/>
        <w:left w:val="none" w:sz="0" w:space="0" w:color="auto"/>
        <w:bottom w:val="none" w:sz="0" w:space="0" w:color="auto"/>
        <w:right w:val="none" w:sz="0" w:space="0" w:color="auto"/>
      </w:divBdr>
    </w:div>
    <w:div w:id="1611473810">
      <w:bodyDiv w:val="1"/>
      <w:marLeft w:val="0"/>
      <w:marRight w:val="0"/>
      <w:marTop w:val="0"/>
      <w:marBottom w:val="0"/>
      <w:divBdr>
        <w:top w:val="none" w:sz="0" w:space="0" w:color="auto"/>
        <w:left w:val="none" w:sz="0" w:space="0" w:color="auto"/>
        <w:bottom w:val="none" w:sz="0" w:space="0" w:color="auto"/>
        <w:right w:val="none" w:sz="0" w:space="0" w:color="auto"/>
      </w:divBdr>
    </w:div>
    <w:div w:id="1618752595">
      <w:marLeft w:val="0"/>
      <w:marRight w:val="0"/>
      <w:marTop w:val="0"/>
      <w:marBottom w:val="0"/>
      <w:divBdr>
        <w:top w:val="none" w:sz="0" w:space="0" w:color="auto"/>
        <w:left w:val="none" w:sz="0" w:space="0" w:color="auto"/>
        <w:bottom w:val="none" w:sz="0" w:space="0" w:color="auto"/>
        <w:right w:val="none" w:sz="0" w:space="0" w:color="auto"/>
      </w:divBdr>
    </w:div>
    <w:div w:id="1633900176">
      <w:bodyDiv w:val="1"/>
      <w:marLeft w:val="0"/>
      <w:marRight w:val="0"/>
      <w:marTop w:val="0"/>
      <w:marBottom w:val="0"/>
      <w:divBdr>
        <w:top w:val="none" w:sz="0" w:space="0" w:color="auto"/>
        <w:left w:val="none" w:sz="0" w:space="0" w:color="auto"/>
        <w:bottom w:val="none" w:sz="0" w:space="0" w:color="auto"/>
        <w:right w:val="none" w:sz="0" w:space="0" w:color="auto"/>
      </w:divBdr>
    </w:div>
    <w:div w:id="1653944416">
      <w:bodyDiv w:val="1"/>
      <w:marLeft w:val="0"/>
      <w:marRight w:val="0"/>
      <w:marTop w:val="0"/>
      <w:marBottom w:val="0"/>
      <w:divBdr>
        <w:top w:val="none" w:sz="0" w:space="0" w:color="auto"/>
        <w:left w:val="none" w:sz="0" w:space="0" w:color="auto"/>
        <w:bottom w:val="none" w:sz="0" w:space="0" w:color="auto"/>
        <w:right w:val="none" w:sz="0" w:space="0" w:color="auto"/>
      </w:divBdr>
    </w:div>
    <w:div w:id="1653949292">
      <w:bodyDiv w:val="1"/>
      <w:marLeft w:val="0"/>
      <w:marRight w:val="0"/>
      <w:marTop w:val="0"/>
      <w:marBottom w:val="0"/>
      <w:divBdr>
        <w:top w:val="none" w:sz="0" w:space="0" w:color="auto"/>
        <w:left w:val="none" w:sz="0" w:space="0" w:color="auto"/>
        <w:bottom w:val="none" w:sz="0" w:space="0" w:color="auto"/>
        <w:right w:val="none" w:sz="0" w:space="0" w:color="auto"/>
      </w:divBdr>
    </w:div>
    <w:div w:id="1677532343">
      <w:bodyDiv w:val="1"/>
      <w:marLeft w:val="0"/>
      <w:marRight w:val="0"/>
      <w:marTop w:val="0"/>
      <w:marBottom w:val="0"/>
      <w:divBdr>
        <w:top w:val="none" w:sz="0" w:space="0" w:color="auto"/>
        <w:left w:val="none" w:sz="0" w:space="0" w:color="auto"/>
        <w:bottom w:val="none" w:sz="0" w:space="0" w:color="auto"/>
        <w:right w:val="none" w:sz="0" w:space="0" w:color="auto"/>
      </w:divBdr>
    </w:div>
    <w:div w:id="1696884961">
      <w:marLeft w:val="0"/>
      <w:marRight w:val="0"/>
      <w:marTop w:val="0"/>
      <w:marBottom w:val="0"/>
      <w:divBdr>
        <w:top w:val="none" w:sz="0" w:space="0" w:color="auto"/>
        <w:left w:val="none" w:sz="0" w:space="0" w:color="auto"/>
        <w:bottom w:val="none" w:sz="0" w:space="0" w:color="auto"/>
        <w:right w:val="none" w:sz="0" w:space="0" w:color="auto"/>
      </w:divBdr>
    </w:div>
    <w:div w:id="1707020290">
      <w:bodyDiv w:val="1"/>
      <w:marLeft w:val="0"/>
      <w:marRight w:val="0"/>
      <w:marTop w:val="0"/>
      <w:marBottom w:val="0"/>
      <w:divBdr>
        <w:top w:val="none" w:sz="0" w:space="0" w:color="auto"/>
        <w:left w:val="none" w:sz="0" w:space="0" w:color="auto"/>
        <w:bottom w:val="none" w:sz="0" w:space="0" w:color="auto"/>
        <w:right w:val="none" w:sz="0" w:space="0" w:color="auto"/>
      </w:divBdr>
    </w:div>
    <w:div w:id="1764109209">
      <w:bodyDiv w:val="1"/>
      <w:marLeft w:val="0"/>
      <w:marRight w:val="0"/>
      <w:marTop w:val="0"/>
      <w:marBottom w:val="0"/>
      <w:divBdr>
        <w:top w:val="none" w:sz="0" w:space="0" w:color="auto"/>
        <w:left w:val="none" w:sz="0" w:space="0" w:color="auto"/>
        <w:bottom w:val="none" w:sz="0" w:space="0" w:color="auto"/>
        <w:right w:val="none" w:sz="0" w:space="0" w:color="auto"/>
      </w:divBdr>
    </w:div>
    <w:div w:id="1765608959">
      <w:bodyDiv w:val="1"/>
      <w:marLeft w:val="0"/>
      <w:marRight w:val="0"/>
      <w:marTop w:val="0"/>
      <w:marBottom w:val="0"/>
      <w:divBdr>
        <w:top w:val="none" w:sz="0" w:space="0" w:color="auto"/>
        <w:left w:val="none" w:sz="0" w:space="0" w:color="auto"/>
        <w:bottom w:val="none" w:sz="0" w:space="0" w:color="auto"/>
        <w:right w:val="none" w:sz="0" w:space="0" w:color="auto"/>
      </w:divBdr>
    </w:div>
    <w:div w:id="1766223907">
      <w:bodyDiv w:val="1"/>
      <w:marLeft w:val="0"/>
      <w:marRight w:val="0"/>
      <w:marTop w:val="0"/>
      <w:marBottom w:val="0"/>
      <w:divBdr>
        <w:top w:val="none" w:sz="0" w:space="0" w:color="auto"/>
        <w:left w:val="none" w:sz="0" w:space="0" w:color="auto"/>
        <w:bottom w:val="none" w:sz="0" w:space="0" w:color="auto"/>
        <w:right w:val="none" w:sz="0" w:space="0" w:color="auto"/>
      </w:divBdr>
    </w:div>
    <w:div w:id="1776169823">
      <w:bodyDiv w:val="1"/>
      <w:marLeft w:val="0"/>
      <w:marRight w:val="0"/>
      <w:marTop w:val="0"/>
      <w:marBottom w:val="0"/>
      <w:divBdr>
        <w:top w:val="none" w:sz="0" w:space="0" w:color="auto"/>
        <w:left w:val="none" w:sz="0" w:space="0" w:color="auto"/>
        <w:bottom w:val="none" w:sz="0" w:space="0" w:color="auto"/>
        <w:right w:val="none" w:sz="0" w:space="0" w:color="auto"/>
      </w:divBdr>
    </w:div>
    <w:div w:id="1808745562">
      <w:bodyDiv w:val="1"/>
      <w:marLeft w:val="0"/>
      <w:marRight w:val="0"/>
      <w:marTop w:val="0"/>
      <w:marBottom w:val="0"/>
      <w:divBdr>
        <w:top w:val="none" w:sz="0" w:space="0" w:color="auto"/>
        <w:left w:val="none" w:sz="0" w:space="0" w:color="auto"/>
        <w:bottom w:val="none" w:sz="0" w:space="0" w:color="auto"/>
        <w:right w:val="none" w:sz="0" w:space="0" w:color="auto"/>
      </w:divBdr>
    </w:div>
    <w:div w:id="1814524168">
      <w:bodyDiv w:val="1"/>
      <w:marLeft w:val="0"/>
      <w:marRight w:val="0"/>
      <w:marTop w:val="0"/>
      <w:marBottom w:val="0"/>
      <w:divBdr>
        <w:top w:val="none" w:sz="0" w:space="0" w:color="auto"/>
        <w:left w:val="none" w:sz="0" w:space="0" w:color="auto"/>
        <w:bottom w:val="none" w:sz="0" w:space="0" w:color="auto"/>
        <w:right w:val="none" w:sz="0" w:space="0" w:color="auto"/>
      </w:divBdr>
    </w:div>
    <w:div w:id="1821532699">
      <w:bodyDiv w:val="1"/>
      <w:marLeft w:val="0"/>
      <w:marRight w:val="0"/>
      <w:marTop w:val="0"/>
      <w:marBottom w:val="0"/>
      <w:divBdr>
        <w:top w:val="none" w:sz="0" w:space="0" w:color="auto"/>
        <w:left w:val="none" w:sz="0" w:space="0" w:color="auto"/>
        <w:bottom w:val="none" w:sz="0" w:space="0" w:color="auto"/>
        <w:right w:val="none" w:sz="0" w:space="0" w:color="auto"/>
      </w:divBdr>
    </w:div>
    <w:div w:id="1859930138">
      <w:bodyDiv w:val="1"/>
      <w:marLeft w:val="0"/>
      <w:marRight w:val="0"/>
      <w:marTop w:val="0"/>
      <w:marBottom w:val="0"/>
      <w:divBdr>
        <w:top w:val="none" w:sz="0" w:space="0" w:color="auto"/>
        <w:left w:val="none" w:sz="0" w:space="0" w:color="auto"/>
        <w:bottom w:val="none" w:sz="0" w:space="0" w:color="auto"/>
        <w:right w:val="none" w:sz="0" w:space="0" w:color="auto"/>
      </w:divBdr>
    </w:div>
    <w:div w:id="1879120627">
      <w:bodyDiv w:val="1"/>
      <w:marLeft w:val="0"/>
      <w:marRight w:val="0"/>
      <w:marTop w:val="0"/>
      <w:marBottom w:val="0"/>
      <w:divBdr>
        <w:top w:val="none" w:sz="0" w:space="0" w:color="auto"/>
        <w:left w:val="none" w:sz="0" w:space="0" w:color="auto"/>
        <w:bottom w:val="none" w:sz="0" w:space="0" w:color="auto"/>
        <w:right w:val="none" w:sz="0" w:space="0" w:color="auto"/>
      </w:divBdr>
    </w:div>
    <w:div w:id="1908026066">
      <w:bodyDiv w:val="1"/>
      <w:marLeft w:val="0"/>
      <w:marRight w:val="0"/>
      <w:marTop w:val="0"/>
      <w:marBottom w:val="0"/>
      <w:divBdr>
        <w:top w:val="none" w:sz="0" w:space="0" w:color="auto"/>
        <w:left w:val="none" w:sz="0" w:space="0" w:color="auto"/>
        <w:bottom w:val="none" w:sz="0" w:space="0" w:color="auto"/>
        <w:right w:val="none" w:sz="0" w:space="0" w:color="auto"/>
      </w:divBdr>
    </w:div>
    <w:div w:id="1916935433">
      <w:bodyDiv w:val="1"/>
      <w:marLeft w:val="0"/>
      <w:marRight w:val="0"/>
      <w:marTop w:val="0"/>
      <w:marBottom w:val="0"/>
      <w:divBdr>
        <w:top w:val="none" w:sz="0" w:space="0" w:color="auto"/>
        <w:left w:val="none" w:sz="0" w:space="0" w:color="auto"/>
        <w:bottom w:val="none" w:sz="0" w:space="0" w:color="auto"/>
        <w:right w:val="none" w:sz="0" w:space="0" w:color="auto"/>
      </w:divBdr>
    </w:div>
    <w:div w:id="1920674822">
      <w:bodyDiv w:val="1"/>
      <w:marLeft w:val="0"/>
      <w:marRight w:val="0"/>
      <w:marTop w:val="0"/>
      <w:marBottom w:val="0"/>
      <w:divBdr>
        <w:top w:val="none" w:sz="0" w:space="0" w:color="auto"/>
        <w:left w:val="none" w:sz="0" w:space="0" w:color="auto"/>
        <w:bottom w:val="none" w:sz="0" w:space="0" w:color="auto"/>
        <w:right w:val="none" w:sz="0" w:space="0" w:color="auto"/>
      </w:divBdr>
    </w:div>
    <w:div w:id="1990597626">
      <w:bodyDiv w:val="1"/>
      <w:marLeft w:val="0"/>
      <w:marRight w:val="0"/>
      <w:marTop w:val="0"/>
      <w:marBottom w:val="0"/>
      <w:divBdr>
        <w:top w:val="none" w:sz="0" w:space="0" w:color="auto"/>
        <w:left w:val="none" w:sz="0" w:space="0" w:color="auto"/>
        <w:bottom w:val="none" w:sz="0" w:space="0" w:color="auto"/>
        <w:right w:val="none" w:sz="0" w:space="0" w:color="auto"/>
      </w:divBdr>
    </w:div>
    <w:div w:id="1991448011">
      <w:bodyDiv w:val="1"/>
      <w:marLeft w:val="0"/>
      <w:marRight w:val="0"/>
      <w:marTop w:val="0"/>
      <w:marBottom w:val="0"/>
      <w:divBdr>
        <w:top w:val="none" w:sz="0" w:space="0" w:color="auto"/>
        <w:left w:val="none" w:sz="0" w:space="0" w:color="auto"/>
        <w:bottom w:val="none" w:sz="0" w:space="0" w:color="auto"/>
        <w:right w:val="none" w:sz="0" w:space="0" w:color="auto"/>
      </w:divBdr>
    </w:div>
    <w:div w:id="2005816149">
      <w:bodyDiv w:val="1"/>
      <w:marLeft w:val="0"/>
      <w:marRight w:val="0"/>
      <w:marTop w:val="0"/>
      <w:marBottom w:val="0"/>
      <w:divBdr>
        <w:top w:val="none" w:sz="0" w:space="0" w:color="auto"/>
        <w:left w:val="none" w:sz="0" w:space="0" w:color="auto"/>
        <w:bottom w:val="none" w:sz="0" w:space="0" w:color="auto"/>
        <w:right w:val="none" w:sz="0" w:space="0" w:color="auto"/>
      </w:divBdr>
    </w:div>
    <w:div w:id="2033605442">
      <w:bodyDiv w:val="1"/>
      <w:marLeft w:val="0"/>
      <w:marRight w:val="0"/>
      <w:marTop w:val="0"/>
      <w:marBottom w:val="0"/>
      <w:divBdr>
        <w:top w:val="none" w:sz="0" w:space="0" w:color="auto"/>
        <w:left w:val="none" w:sz="0" w:space="0" w:color="auto"/>
        <w:bottom w:val="none" w:sz="0" w:space="0" w:color="auto"/>
        <w:right w:val="none" w:sz="0" w:space="0" w:color="auto"/>
      </w:divBdr>
    </w:div>
    <w:div w:id="2036926729">
      <w:bodyDiv w:val="1"/>
      <w:marLeft w:val="0"/>
      <w:marRight w:val="0"/>
      <w:marTop w:val="0"/>
      <w:marBottom w:val="0"/>
      <w:divBdr>
        <w:top w:val="none" w:sz="0" w:space="0" w:color="auto"/>
        <w:left w:val="none" w:sz="0" w:space="0" w:color="auto"/>
        <w:bottom w:val="none" w:sz="0" w:space="0" w:color="auto"/>
        <w:right w:val="none" w:sz="0" w:space="0" w:color="auto"/>
      </w:divBdr>
    </w:div>
    <w:div w:id="2039774178">
      <w:marLeft w:val="0"/>
      <w:marRight w:val="0"/>
      <w:marTop w:val="0"/>
      <w:marBottom w:val="0"/>
      <w:divBdr>
        <w:top w:val="none" w:sz="0" w:space="0" w:color="auto"/>
        <w:left w:val="none" w:sz="0" w:space="0" w:color="auto"/>
        <w:bottom w:val="none" w:sz="0" w:space="0" w:color="auto"/>
        <w:right w:val="none" w:sz="0" w:space="0" w:color="auto"/>
      </w:divBdr>
    </w:div>
    <w:div w:id="2042439325">
      <w:bodyDiv w:val="1"/>
      <w:marLeft w:val="0"/>
      <w:marRight w:val="0"/>
      <w:marTop w:val="0"/>
      <w:marBottom w:val="0"/>
      <w:divBdr>
        <w:top w:val="none" w:sz="0" w:space="0" w:color="auto"/>
        <w:left w:val="none" w:sz="0" w:space="0" w:color="auto"/>
        <w:bottom w:val="none" w:sz="0" w:space="0" w:color="auto"/>
        <w:right w:val="none" w:sz="0" w:space="0" w:color="auto"/>
      </w:divBdr>
    </w:div>
    <w:div w:id="2086608243">
      <w:bodyDiv w:val="1"/>
      <w:marLeft w:val="0"/>
      <w:marRight w:val="0"/>
      <w:marTop w:val="0"/>
      <w:marBottom w:val="0"/>
      <w:divBdr>
        <w:top w:val="none" w:sz="0" w:space="0" w:color="auto"/>
        <w:left w:val="none" w:sz="0" w:space="0" w:color="auto"/>
        <w:bottom w:val="none" w:sz="0" w:space="0" w:color="auto"/>
        <w:right w:val="none" w:sz="0" w:space="0" w:color="auto"/>
      </w:divBdr>
    </w:div>
    <w:div w:id="2088333997">
      <w:bodyDiv w:val="1"/>
      <w:marLeft w:val="0"/>
      <w:marRight w:val="0"/>
      <w:marTop w:val="0"/>
      <w:marBottom w:val="0"/>
      <w:divBdr>
        <w:top w:val="none" w:sz="0" w:space="0" w:color="auto"/>
        <w:left w:val="none" w:sz="0" w:space="0" w:color="auto"/>
        <w:bottom w:val="none" w:sz="0" w:space="0" w:color="auto"/>
        <w:right w:val="none" w:sz="0" w:space="0" w:color="auto"/>
      </w:divBdr>
    </w:div>
    <w:div w:id="2090499881">
      <w:bodyDiv w:val="1"/>
      <w:marLeft w:val="0"/>
      <w:marRight w:val="0"/>
      <w:marTop w:val="0"/>
      <w:marBottom w:val="0"/>
      <w:divBdr>
        <w:top w:val="none" w:sz="0" w:space="0" w:color="auto"/>
        <w:left w:val="none" w:sz="0" w:space="0" w:color="auto"/>
        <w:bottom w:val="none" w:sz="0" w:space="0" w:color="auto"/>
        <w:right w:val="none" w:sz="0" w:space="0" w:color="auto"/>
      </w:divBdr>
    </w:div>
    <w:div w:id="2108303048">
      <w:bodyDiv w:val="1"/>
      <w:marLeft w:val="0"/>
      <w:marRight w:val="0"/>
      <w:marTop w:val="0"/>
      <w:marBottom w:val="0"/>
      <w:divBdr>
        <w:top w:val="none" w:sz="0" w:space="0" w:color="auto"/>
        <w:left w:val="none" w:sz="0" w:space="0" w:color="auto"/>
        <w:bottom w:val="none" w:sz="0" w:space="0" w:color="auto"/>
        <w:right w:val="none" w:sz="0" w:space="0" w:color="auto"/>
      </w:divBdr>
    </w:div>
    <w:div w:id="2133933611">
      <w:bodyDiv w:val="1"/>
      <w:marLeft w:val="0"/>
      <w:marRight w:val="0"/>
      <w:marTop w:val="0"/>
      <w:marBottom w:val="0"/>
      <w:divBdr>
        <w:top w:val="none" w:sz="0" w:space="0" w:color="auto"/>
        <w:left w:val="none" w:sz="0" w:space="0" w:color="auto"/>
        <w:bottom w:val="none" w:sz="0" w:space="0" w:color="auto"/>
        <w:right w:val="none" w:sz="0" w:space="0" w:color="auto"/>
      </w:divBdr>
    </w:div>
    <w:div w:id="21423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image" Target="media/image1.jpeg"/><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63" Type="http://schemas.openxmlformats.org/officeDocument/2006/relationships/chart" Target="charts/chart50.xml"/><Relationship Id="rId68" Type="http://schemas.openxmlformats.org/officeDocument/2006/relationships/chart" Target="charts/chart55.xml"/><Relationship Id="rId76" Type="http://schemas.openxmlformats.org/officeDocument/2006/relationships/hyperlink" Target="http://www.uradni-list.si/1/objava.jsp?sop=2015-01-3256" TargetMode="External"/><Relationship Id="rId84" Type="http://schemas.openxmlformats.org/officeDocument/2006/relationships/hyperlink" Target="http://www.uradni-list.si/1/objava.jsp?sop=2015-01-1930" TargetMode="External"/><Relationship Id="rId89" Type="http://schemas.openxmlformats.org/officeDocument/2006/relationships/image" Target="media/image2.emf"/><Relationship Id="rId7" Type="http://schemas.openxmlformats.org/officeDocument/2006/relationships/webSettings" Target="webSettings.xml"/><Relationship Id="rId71" Type="http://schemas.openxmlformats.org/officeDocument/2006/relationships/chart" Target="charts/chart58.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http://www.uradni-list.si/1/objava.jsp?sop=2007-01-1069"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5.xml"/><Relationship Id="rId66" Type="http://schemas.openxmlformats.org/officeDocument/2006/relationships/chart" Target="charts/chart53.xml"/><Relationship Id="rId74" Type="http://schemas.openxmlformats.org/officeDocument/2006/relationships/hyperlink" Target="http://www.uradni-list.si/1/objava.jsp?sop=2012-01-0918" TargetMode="External"/><Relationship Id="rId79" Type="http://schemas.openxmlformats.org/officeDocument/2006/relationships/hyperlink" Target="http://www.uradni-list.si/1/objava.jsp?sop=2008-01-1459" TargetMode="External"/><Relationship Id="rId87" Type="http://schemas.openxmlformats.org/officeDocument/2006/relationships/hyperlink" Target="http://www.uradni-list.si/1/objava.jsp?sop=2011-01-3715" TargetMode="External"/><Relationship Id="rId5" Type="http://schemas.microsoft.com/office/2007/relationships/stylesWithEffects" Target="stylesWithEffects.xml"/><Relationship Id="rId61" Type="http://schemas.openxmlformats.org/officeDocument/2006/relationships/chart" Target="charts/chart48.xml"/><Relationship Id="rId82" Type="http://schemas.openxmlformats.org/officeDocument/2006/relationships/hyperlink" Target="http://www.uradni-list.si/1/objava.jsp?sop=2011-01-3715" TargetMode="External"/><Relationship Id="rId90" Type="http://schemas.openxmlformats.org/officeDocument/2006/relationships/header" Target="header1.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64" Type="http://schemas.openxmlformats.org/officeDocument/2006/relationships/chart" Target="charts/chart51.xml"/><Relationship Id="rId69" Type="http://schemas.openxmlformats.org/officeDocument/2006/relationships/chart" Target="charts/chart56.xml"/><Relationship Id="rId77" Type="http://schemas.openxmlformats.org/officeDocument/2006/relationships/hyperlink" Target="http://www.uradni-list.si/1/objava.jsp?sop=2017-01-1444" TargetMode="External"/><Relationship Id="rId8" Type="http://schemas.openxmlformats.org/officeDocument/2006/relationships/footnotes" Target="footnotes.xml"/><Relationship Id="rId51" Type="http://schemas.openxmlformats.org/officeDocument/2006/relationships/chart" Target="charts/chart38.xml"/><Relationship Id="rId72" Type="http://schemas.openxmlformats.org/officeDocument/2006/relationships/chart" Target="charts/chart59.xml"/><Relationship Id="rId80" Type="http://schemas.openxmlformats.org/officeDocument/2006/relationships/hyperlink" Target="http://www.uradni-list.si/1/objava.jsp?sop=2010-01-4217" TargetMode="External"/><Relationship Id="rId85" Type="http://schemas.openxmlformats.org/officeDocument/2006/relationships/hyperlink" Target="http://www.uradni-list.si/1/objava.jsp?sop=2016-01-0831"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uradni-list.si/1/objava.jsp?sop=2014-01-2165"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3.xml"/><Relationship Id="rId59" Type="http://schemas.openxmlformats.org/officeDocument/2006/relationships/chart" Target="charts/chart46.xml"/><Relationship Id="rId67" Type="http://schemas.openxmlformats.org/officeDocument/2006/relationships/chart" Target="charts/chart54.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1.xml"/><Relationship Id="rId62" Type="http://schemas.openxmlformats.org/officeDocument/2006/relationships/chart" Target="charts/chart49.xml"/><Relationship Id="rId70" Type="http://schemas.openxmlformats.org/officeDocument/2006/relationships/chart" Target="charts/chart57.xml"/><Relationship Id="rId75" Type="http://schemas.openxmlformats.org/officeDocument/2006/relationships/hyperlink" Target="http://www.uradni-list.si/1/objava.jsp?sop=2009-01-3839" TargetMode="External"/><Relationship Id="rId83" Type="http://schemas.openxmlformats.org/officeDocument/2006/relationships/hyperlink" Target="http://www.uradni-list.si/1/objava.jsp?sop=2012-01-1962" TargetMode="External"/><Relationship Id="rId88" Type="http://schemas.openxmlformats.org/officeDocument/2006/relationships/hyperlink" Target="http://www.uradni-list.si/1/objava.jsp?sop=2015-01-3304"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hyperlink" Target="http://www.uradni-list.si/1/objava.jsp?sop=2004-01-2807" TargetMode="External"/><Relationship Id="rId31" Type="http://schemas.openxmlformats.org/officeDocument/2006/relationships/chart" Target="charts/chart19.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chart" Target="charts/chart47.xml"/><Relationship Id="rId65" Type="http://schemas.openxmlformats.org/officeDocument/2006/relationships/chart" Target="charts/chart52.xml"/><Relationship Id="rId73" Type="http://schemas.openxmlformats.org/officeDocument/2006/relationships/chart" Target="charts/chart60.xml"/><Relationship Id="rId78" Type="http://schemas.openxmlformats.org/officeDocument/2006/relationships/hyperlink" Target="http://www.uradni-list.si/1/objava.jsp?sop=2006-01-4666" TargetMode="External"/><Relationship Id="rId81" Type="http://schemas.openxmlformats.org/officeDocument/2006/relationships/hyperlink" Target="http://www.uradni-list.si/1/objava.jsp?sop=2010-01-4784" TargetMode="External"/><Relationship Id="rId86" Type="http://schemas.openxmlformats.org/officeDocument/2006/relationships/hyperlink" Target="http://www.uradni-list.si/1/objava.jsp?sop=2016-01-1705"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petition/state_aid/legislation/legislation.html" TargetMode="External"/><Relationship Id="rId2" Type="http://schemas.openxmlformats.org/officeDocument/2006/relationships/hyperlink" Target="http://www.uradni-list.si/1/objava.jsp?sop=2013-01-3733" TargetMode="External"/><Relationship Id="rId1" Type="http://schemas.openxmlformats.org/officeDocument/2006/relationships/hyperlink" Target="http://ec.europa.eu/competition/state_aid/scoreboard/index_en.html" TargetMode="External"/><Relationship Id="rId6" Type="http://schemas.openxmlformats.org/officeDocument/2006/relationships/hyperlink" Target="http://www.mf.gov.si/si/delovna_podrocja/drzavne_pomoci/referencne_obrestne_mere/" TargetMode="External"/><Relationship Id="rId5" Type="http://schemas.openxmlformats.org/officeDocument/2006/relationships/hyperlink" Target="http://ec.europa.eu/competition/state_aid/scoreboard/index_en.html" TargetMode="External"/><Relationship Id="rId4" Type="http://schemas.openxmlformats.org/officeDocument/2006/relationships/hyperlink" Target="http://www.mf.gov.si/si/delovna_podrocja/drzavne_pomoci/predpisi_in_pravila_ki_veljajo_na_podrocju_drzavnih_pomoc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BDP,%20prebivalstvo\Zbirno%202018%20-%202017.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f51045\Documents\MOJI%20DOKUMENTI\AID%20-%20State%20Aid\LETNO%20PORO&#268;ILO\LP%202018\Skupine,%20kategorije\Instrumenti%202008%20-%20201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Skupine,%20kategorije\Instrumenti%202008%20-%202017.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Indivualna_shem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stopek%20odobritve,%20GBER\Postopek%20odobritve%2013.8.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stopek%20odobritve,%20GBER\GBER%20Dr&#382;avne%20pomo&#269;i%2019.1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EU%20ANALIZ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EU%20po%20dr&#382;avah%20absolutno.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f51045\Documents\MOJI%20DOKUMENTI\AID%20-%20State%20Aid\LETNO%20PORO&#268;ILO\LP%202018\EU\EU%20po%20dr&#382;avah%20absolutn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EU%20po%20dr&#382;avah%20absolutn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EU%20D&#268;%20po%20kategorija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BDP,%20prebivalstvo\Zbirno%202018%20-%202017.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EU%20D&#268;%20po%20kategorijah.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Instrumenti%20EU.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Instrumenti%20EU.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Instrumenti%20EU.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EU\Instrumenti%20D&#268;%202014-2016.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Regije%202015%202017.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Regije%202015%202017.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Regije%202015%202017.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Regije%202015%202017.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Regije%202015%202017.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f51045\Documents\MOJI%20DOKUMENTI\AID%20-%20State%20Aid\LETNO%20PORO&#268;ILO\LP%202018\BDP,%20prebivalstvo\Zbirno%202018%20-%202017.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DP%20po%20regijah%202008-2017.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Regije\DP%20po%20regijah%202008-2017.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Varstvo%20okolja,%20var&#269;evanje%20z%20energijo\varstvo%20okolja%202008-2017.mht"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f51045\AppData\Local\Microsoft\Windows\Temporary%20Internet%20Files\Content.IE5\PRBPMJXL\L004%20dodeljene%20pomo&#269;i%20po%20letih%20po%20kategorijah%20-%20izbirno.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Varstvo%20okolja,%20var&#269;evanje%20z%20energijo\Varstvo%20okolja%20Instrumenti.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Zaposlovanje\Zaposlovanje%20po%20namenih.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Zaposlovanje\zaposlovanje%20po%20instrumentih_brez%20dav&#269;nih%20olaj&#353;av%20za%20invalide_splo&#353;en%20ukrep.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RI\RRI%20po%20namenih%202018-2017.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RI\RRI%20glavne%20sheme%202015%202017%20GRA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RI\RRI%20po%20instrumentih%202008%20-%202017.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f51045\Documents\MOJI%20DOKUMENTI\AID%20-%20State%20Aid\LETNO%20PORO&#268;ILO\LP%202018\BDP,%20prebivalstvo\Zbirno%202018%20-%202017.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Kategorije%20za%20grafe.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egionalne%20pomo&#269;i\Regionalne%20pomo&#269;i_sheme%202008-2017.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egionalne%20pomo&#269;i\Regionalne%20instrumenti.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MSP%20Tvegani%20kaptial\MSP%20nameni%20GRAF.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MSP%20Tvegani%20kaptial\MSP%20Insstrumenti%20GRAF.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Kultura%20Nameni.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Kultura\Kultura%20Nameni%202015-2017.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Usposabljanje\Usposabljanje%202015-2017%20Sheme.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Transport\Transport.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Skupine,%20kategorije\Skupine,%20kategorije.xls"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e&#353;vanje%20in%20prestrukturiranje\Re&#353;evanje%20in%20prestrukturiranje%202008-2017.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Re&#353;vanje%20in%20prestrukturiranje\RR%20Instrumenti.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Naravne%20nesre&#269;e\Naravne%20nesre&#269;e%202008-2017.xls"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Kmetijstvo\Kmetijstvo%202008_2017.xls"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O%20KATEGORIJAH\Kmetijstvo\Kmetijstvo%20_%20Nameni%202015-2017.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De%20minimis%20-%20NOVO\De%20minimis%202008_2017%20NOVO.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De%20minimis%20-%20NOVO%2020.8.2018\De%20minimis%202008_2017%20NOVO.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De%20minimis%20-%20NOVO%2020.8.2018\DE%20minmis%20po%20instrumentih.xls"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De%20minimis%20-%20NOVO%2020.8.2018\De%20minimis%20po%20DAJALCIH.mht"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REJEMNIKI%20analiza\VELIKOST%20Prejemnikov%20pomo&#269;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Skupine,%20kategorije\Skupine,%20kategorije.xls"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PREJEMNIKI%20analiza\VELIKOST%20Prejemnikov%20pomo&#269;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Skupine,%20kategorije\Skupine,%20kategorij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Skupine,%20kategorije\Skupine,%20kategorij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f51045\Documents\MOJI%20DOKUMENTI\AID%20-%20State%20Aid\LETNO%20PORO&#268;ILO\LP%202018\Skupine,%20kategorije\Instrumenti%202008%2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28735823477799"/>
          <c:y val="7.2239720034995597E-2"/>
          <c:w val="0.56757784735296501"/>
          <c:h val="0.81300411522633698"/>
        </c:manualLayout>
      </c:layout>
      <c:barChart>
        <c:barDir val="col"/>
        <c:grouping val="clustered"/>
        <c:varyColors val="0"/>
        <c:ser>
          <c:idx val="0"/>
          <c:order val="0"/>
          <c:tx>
            <c:strRef>
              <c:f>'Zbirno 2018 - 2017'!$A$49</c:f>
              <c:strCache>
                <c:ptCount val="1"/>
                <c:pt idx="0">
                  <c:v>Državne pomoči, v mio EUR</c:v>
                </c:pt>
              </c:strCache>
            </c:strRef>
          </c:tx>
          <c:spPr>
            <a:solidFill>
              <a:schemeClr val="tx2">
                <a:lumMod val="60000"/>
                <a:lumOff val="40000"/>
              </a:schemeClr>
            </a:solidFill>
          </c:spPr>
          <c:invertIfNegative val="0"/>
          <c:cat>
            <c:numRef>
              <c:f>'Zbirno 2018 - 2017'!$B$55:$K$55</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'Zbirno 2018 - 2017'!$B$49:$K$49</c:f>
              <c:numCache>
                <c:formatCode>#,##0.00</c:formatCode>
                <c:ptCount val="10"/>
                <c:pt idx="0">
                  <c:v>324.19</c:v>
                </c:pt>
                <c:pt idx="1">
                  <c:v>436.34</c:v>
                </c:pt>
                <c:pt idx="2">
                  <c:v>421.76</c:v>
                </c:pt>
                <c:pt idx="3">
                  <c:v>525.23</c:v>
                </c:pt>
                <c:pt idx="4">
                  <c:v>542.5</c:v>
                </c:pt>
                <c:pt idx="5">
                  <c:v>579.92999999999938</c:v>
                </c:pt>
                <c:pt idx="6">
                  <c:v>543.09</c:v>
                </c:pt>
                <c:pt idx="7">
                  <c:v>553.31999999999948</c:v>
                </c:pt>
                <c:pt idx="8">
                  <c:v>375.03</c:v>
                </c:pt>
                <c:pt idx="9">
                  <c:v>427.18</c:v>
                </c:pt>
              </c:numCache>
            </c:numRef>
          </c:val>
        </c:ser>
        <c:dLbls>
          <c:showLegendKey val="0"/>
          <c:showVal val="0"/>
          <c:showCatName val="0"/>
          <c:showSerName val="0"/>
          <c:showPercent val="0"/>
          <c:showBubbleSize val="0"/>
        </c:dLbls>
        <c:gapWidth val="150"/>
        <c:axId val="133427968"/>
        <c:axId val="133429504"/>
      </c:barChart>
      <c:lineChart>
        <c:grouping val="standard"/>
        <c:varyColors val="0"/>
        <c:ser>
          <c:idx val="1"/>
          <c:order val="1"/>
          <c:tx>
            <c:strRef>
              <c:f>'Zbirno 2018 - 2017'!$A$76</c:f>
              <c:strCache>
                <c:ptCount val="1"/>
                <c:pt idx="0">
                  <c:v>Delež državnih pomoči v BDP, v %</c:v>
                </c:pt>
              </c:strCache>
            </c:strRef>
          </c:tx>
          <c:spPr>
            <a:ln>
              <a:solidFill>
                <a:srgbClr val="7030A0"/>
              </a:solidFill>
              <a:prstDash val="sysDash"/>
            </a:ln>
          </c:spPr>
          <c:marker>
            <c:symbol val="none"/>
          </c:marker>
          <c:dLbls>
            <c:txPr>
              <a:bodyPr/>
              <a:lstStyle/>
              <a:p>
                <a:pPr>
                  <a:defRPr>
                    <a:solidFill>
                      <a:srgbClr val="7030A0"/>
                    </a:solidFill>
                  </a:defRPr>
                </a:pPr>
                <a:endParaRPr lang="sl-SI"/>
              </a:p>
            </c:txPr>
            <c:dLblPos val="t"/>
            <c:showLegendKey val="0"/>
            <c:showVal val="1"/>
            <c:showCatName val="0"/>
            <c:showSerName val="0"/>
            <c:showPercent val="0"/>
            <c:showBubbleSize val="0"/>
            <c:showLeaderLines val="0"/>
          </c:dLbls>
          <c:val>
            <c:numRef>
              <c:f>'Zbirno 2018 - 2017'!$B$76:$K$76</c:f>
              <c:numCache>
                <c:formatCode>0.00%</c:formatCode>
                <c:ptCount val="10"/>
                <c:pt idx="0">
                  <c:v>8.5000000000000006E-3</c:v>
                </c:pt>
                <c:pt idx="1">
                  <c:v>1.21E-2</c:v>
                </c:pt>
                <c:pt idx="2">
                  <c:v>1.1599999999999999E-2</c:v>
                </c:pt>
                <c:pt idx="3">
                  <c:v>1.4200000000000001E-2</c:v>
                </c:pt>
                <c:pt idx="4">
                  <c:v>1.4999999999999999E-2</c:v>
                </c:pt>
                <c:pt idx="5">
                  <c:v>1.6E-2</c:v>
                </c:pt>
                <c:pt idx="6">
                  <c:v>1.44E-2</c:v>
                </c:pt>
                <c:pt idx="7">
                  <c:v>1.4200000000000001E-2</c:v>
                </c:pt>
                <c:pt idx="8">
                  <c:v>9.2999999999999992E-3</c:v>
                </c:pt>
                <c:pt idx="9">
                  <c:v>9.9000000000000008E-3</c:v>
                </c:pt>
              </c:numCache>
            </c:numRef>
          </c:val>
          <c:smooth val="0"/>
        </c:ser>
        <c:dLbls>
          <c:showLegendKey val="0"/>
          <c:showVal val="0"/>
          <c:showCatName val="0"/>
          <c:showSerName val="0"/>
          <c:showPercent val="0"/>
          <c:showBubbleSize val="0"/>
        </c:dLbls>
        <c:marker val="1"/>
        <c:smooth val="0"/>
        <c:axId val="35858688"/>
        <c:axId val="35856768"/>
      </c:lineChart>
      <c:catAx>
        <c:axId val="133427968"/>
        <c:scaling>
          <c:orientation val="minMax"/>
        </c:scaling>
        <c:delete val="0"/>
        <c:axPos val="b"/>
        <c:numFmt formatCode="General" sourceLinked="1"/>
        <c:majorTickMark val="out"/>
        <c:minorTickMark val="none"/>
        <c:tickLblPos val="nextTo"/>
        <c:txPr>
          <a:bodyPr/>
          <a:lstStyle/>
          <a:p>
            <a:pPr>
              <a:defRPr sz="930" baseline="0"/>
            </a:pPr>
            <a:endParaRPr lang="sl-SI"/>
          </a:p>
        </c:txPr>
        <c:crossAx val="133429504"/>
        <c:crosses val="autoZero"/>
        <c:auto val="1"/>
        <c:lblAlgn val="ctr"/>
        <c:lblOffset val="100"/>
        <c:noMultiLvlLbl val="0"/>
      </c:catAx>
      <c:valAx>
        <c:axId val="133429504"/>
        <c:scaling>
          <c:orientation val="minMax"/>
        </c:scaling>
        <c:delete val="0"/>
        <c:axPos val="l"/>
        <c:majorGridlines/>
        <c:title>
          <c:tx>
            <c:rich>
              <a:bodyPr rot="-5400000" vert="horz"/>
              <a:lstStyle/>
              <a:p>
                <a:pPr>
                  <a:defRPr/>
                </a:pPr>
                <a:r>
                  <a:rPr lang="en-US"/>
                  <a:t>v mio EUR</a:t>
                </a:r>
              </a:p>
            </c:rich>
          </c:tx>
          <c:overlay val="0"/>
        </c:title>
        <c:numFmt formatCode="#,##0.00" sourceLinked="1"/>
        <c:majorTickMark val="out"/>
        <c:minorTickMark val="none"/>
        <c:tickLblPos val="nextTo"/>
        <c:txPr>
          <a:bodyPr/>
          <a:lstStyle/>
          <a:p>
            <a:pPr>
              <a:defRPr sz="930" baseline="0"/>
            </a:pPr>
            <a:endParaRPr lang="sl-SI"/>
          </a:p>
        </c:txPr>
        <c:crossAx val="133427968"/>
        <c:crosses val="autoZero"/>
        <c:crossBetween val="between"/>
      </c:valAx>
      <c:valAx>
        <c:axId val="35856768"/>
        <c:scaling>
          <c:orientation val="minMax"/>
        </c:scaling>
        <c:delete val="0"/>
        <c:axPos val="r"/>
        <c:title>
          <c:tx>
            <c:rich>
              <a:bodyPr rot="-5400000" vert="horz"/>
              <a:lstStyle/>
              <a:p>
                <a:pPr>
                  <a:defRPr/>
                </a:pPr>
                <a:r>
                  <a:rPr lang="en-US"/>
                  <a:t>v deležu BDP</a:t>
                </a:r>
              </a:p>
            </c:rich>
          </c:tx>
          <c:overlay val="0"/>
        </c:title>
        <c:numFmt formatCode="0.00%" sourceLinked="1"/>
        <c:majorTickMark val="out"/>
        <c:minorTickMark val="none"/>
        <c:tickLblPos val="nextTo"/>
        <c:txPr>
          <a:bodyPr/>
          <a:lstStyle/>
          <a:p>
            <a:pPr>
              <a:defRPr sz="930" baseline="0"/>
            </a:pPr>
            <a:endParaRPr lang="sl-SI"/>
          </a:p>
        </c:txPr>
        <c:crossAx val="35858688"/>
        <c:crosses val="max"/>
        <c:crossBetween val="between"/>
      </c:valAx>
      <c:catAx>
        <c:axId val="35858688"/>
        <c:scaling>
          <c:orientation val="minMax"/>
        </c:scaling>
        <c:delete val="1"/>
        <c:axPos val="b"/>
        <c:majorTickMark val="out"/>
        <c:minorTickMark val="none"/>
        <c:tickLblPos val="nextTo"/>
        <c:crossAx val="35856768"/>
        <c:crosses val="autoZero"/>
        <c:auto val="1"/>
        <c:lblAlgn val="ctr"/>
        <c:lblOffset val="100"/>
        <c:noMultiLvlLbl val="0"/>
      </c:catAx>
    </c:plotArea>
    <c:legend>
      <c:legendPos val="r"/>
      <c:layout>
        <c:manualLayout>
          <c:xMode val="edge"/>
          <c:yMode val="edge"/>
          <c:x val="0.79754000020163929"/>
          <c:y val="0.20997873683511101"/>
          <c:w val="0.17753216987441231"/>
          <c:h val="0.48461208180112053"/>
        </c:manualLayout>
      </c:layout>
      <c:overlay val="0"/>
    </c:legend>
    <c:plotVisOnly val="1"/>
    <c:dispBlanksAs val="gap"/>
    <c:showDLblsOverMax val="0"/>
  </c:chart>
  <c:spPr>
    <a:noFill/>
    <a:ln>
      <a:noFill/>
    </a:ln>
  </c:spPr>
  <c:txPr>
    <a:bodyPr/>
    <a:lstStyle/>
    <a:p>
      <a:pPr>
        <a:defRPr sz="900" baseline="0"/>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38339509031999"/>
          <c:y val="6.7301781127626401E-2"/>
          <c:w val="0.68576014090953896"/>
          <c:h val="0.70028562606144795"/>
        </c:manualLayout>
      </c:layout>
      <c:barChart>
        <c:barDir val="col"/>
        <c:grouping val="clustered"/>
        <c:varyColors val="0"/>
        <c:ser>
          <c:idx val="0"/>
          <c:order val="0"/>
          <c:tx>
            <c:v>2016</c:v>
          </c:tx>
          <c:invertIfNegative val="0"/>
          <c:cat>
            <c:strRef>
              <c:f>'Instrumenti 2015-2017 po VEL '!$B$5:$B$11</c:f>
              <c:strCache>
                <c:ptCount val="6"/>
                <c:pt idx="0">
                  <c:v>Subvencije</c:v>
                </c:pt>
                <c:pt idx="1">
                  <c:v>Znižanje prispevkov za socialno varnost</c:v>
                </c:pt>
                <c:pt idx="2">
                  <c:v>Davčne oprostitve in olajšave</c:v>
                </c:pt>
                <c:pt idx="3">
                  <c:v>Ugodna posojila</c:v>
                </c:pt>
                <c:pt idx="4">
                  <c:v>Kapitalske naložbe</c:v>
                </c:pt>
                <c:pt idx="5">
                  <c:v>Garancije</c:v>
                </c:pt>
              </c:strCache>
            </c:strRef>
          </c:cat>
          <c:val>
            <c:numRef>
              <c:f>'Instrumenti 2015-2017 po VEL '!$E$5:$E$11</c:f>
              <c:numCache>
                <c:formatCode>#,##0.00</c:formatCode>
                <c:ptCount val="6"/>
                <c:pt idx="0">
                  <c:v>246513235.31999999</c:v>
                </c:pt>
                <c:pt idx="1">
                  <c:v>73252443.810000002</c:v>
                </c:pt>
                <c:pt idx="2">
                  <c:v>49960419.829999998</c:v>
                </c:pt>
                <c:pt idx="3">
                  <c:v>3283972.36</c:v>
                </c:pt>
                <c:pt idx="4">
                  <c:v>1463881.09</c:v>
                </c:pt>
                <c:pt idx="5">
                  <c:v>531251.01</c:v>
                </c:pt>
              </c:numCache>
            </c:numRef>
          </c:val>
        </c:ser>
        <c:ser>
          <c:idx val="1"/>
          <c:order val="1"/>
          <c:tx>
            <c:v>2017</c:v>
          </c:tx>
          <c:invertIfNegative val="0"/>
          <c:cat>
            <c:strRef>
              <c:f>'Instrumenti 2015-2017 po VEL '!$B$5:$B$11</c:f>
              <c:strCache>
                <c:ptCount val="6"/>
                <c:pt idx="0">
                  <c:v>Subvencije</c:v>
                </c:pt>
                <c:pt idx="1">
                  <c:v>Znižanje prispevkov za socialno varnost</c:v>
                </c:pt>
                <c:pt idx="2">
                  <c:v>Davčne oprostitve in olajšave</c:v>
                </c:pt>
                <c:pt idx="3">
                  <c:v>Ugodna posojila</c:v>
                </c:pt>
                <c:pt idx="4">
                  <c:v>Kapitalske naložbe</c:v>
                </c:pt>
                <c:pt idx="5">
                  <c:v>Garancije</c:v>
                </c:pt>
              </c:strCache>
            </c:strRef>
          </c:cat>
          <c:val>
            <c:numRef>
              <c:f>'Instrumenti 2015-2017 po VEL '!$G$5:$G$11</c:f>
              <c:numCache>
                <c:formatCode>#,##0.00</c:formatCode>
                <c:ptCount val="6"/>
                <c:pt idx="0">
                  <c:v>302430051.87</c:v>
                </c:pt>
                <c:pt idx="1">
                  <c:v>80611308.489999995</c:v>
                </c:pt>
                <c:pt idx="2">
                  <c:v>42169305.539999999</c:v>
                </c:pt>
                <c:pt idx="3">
                  <c:v>972365.98</c:v>
                </c:pt>
                <c:pt idx="4">
                  <c:v>904952.81</c:v>
                </c:pt>
                <c:pt idx="5">
                  <c:v>33644</c:v>
                </c:pt>
              </c:numCache>
            </c:numRef>
          </c:val>
        </c:ser>
        <c:dLbls>
          <c:showLegendKey val="0"/>
          <c:showVal val="0"/>
          <c:showCatName val="0"/>
          <c:showSerName val="0"/>
          <c:showPercent val="0"/>
          <c:showBubbleSize val="0"/>
        </c:dLbls>
        <c:gapWidth val="150"/>
        <c:axId val="87614976"/>
        <c:axId val="87616512"/>
      </c:barChart>
      <c:catAx>
        <c:axId val="87614976"/>
        <c:scaling>
          <c:orientation val="minMax"/>
        </c:scaling>
        <c:delete val="0"/>
        <c:axPos val="b"/>
        <c:majorTickMark val="out"/>
        <c:minorTickMark val="none"/>
        <c:tickLblPos val="nextTo"/>
        <c:txPr>
          <a:bodyPr/>
          <a:lstStyle/>
          <a:p>
            <a:pPr>
              <a:defRPr sz="900" baseline="0"/>
            </a:pPr>
            <a:endParaRPr lang="sl-SI"/>
          </a:p>
        </c:txPr>
        <c:crossAx val="87616512"/>
        <c:crosses val="autoZero"/>
        <c:auto val="1"/>
        <c:lblAlgn val="ctr"/>
        <c:lblOffset val="100"/>
        <c:noMultiLvlLbl val="0"/>
      </c:catAx>
      <c:valAx>
        <c:axId val="87616512"/>
        <c:scaling>
          <c:orientation val="minMax"/>
          <c:max val="300000000"/>
        </c:scaling>
        <c:delete val="0"/>
        <c:axPos val="l"/>
        <c:majorGridlines/>
        <c:numFmt formatCode="#,##0.00" sourceLinked="1"/>
        <c:majorTickMark val="out"/>
        <c:minorTickMark val="none"/>
        <c:tickLblPos val="nextTo"/>
        <c:crossAx val="87614976"/>
        <c:crosses val="autoZero"/>
        <c:crossBetween val="between"/>
        <c:dispUnits>
          <c:builtInUnit val="millions"/>
          <c:dispUnitsLbl>
            <c:tx>
              <c:rich>
                <a:bodyPr/>
                <a:lstStyle/>
                <a:p>
                  <a:pPr>
                    <a:defRPr/>
                  </a:pPr>
                  <a:r>
                    <a:rPr lang="en-US"/>
                    <a:t>v mio EUR</a:t>
                  </a:r>
                </a:p>
              </c:rich>
            </c:tx>
          </c:dispUnitsLbl>
        </c:dispUnits>
      </c:valAx>
    </c:plotArea>
    <c:legend>
      <c:legendPos val="r"/>
      <c:overlay val="0"/>
    </c:legend>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186521277536903E-2"/>
          <c:y val="3.1067002041411499E-2"/>
          <c:w val="0.55584929517237303"/>
          <c:h val="0.85621670258697302"/>
        </c:manualLayout>
      </c:layout>
      <c:barChart>
        <c:barDir val="col"/>
        <c:grouping val="percentStacked"/>
        <c:varyColors val="0"/>
        <c:ser>
          <c:idx val="0"/>
          <c:order val="0"/>
          <c:tx>
            <c:strRef>
              <c:f>'Instrumenti 2008 - 2017 GRAF'!$B$57</c:f>
              <c:strCache>
                <c:ptCount val="1"/>
                <c:pt idx="0">
                  <c:v>Skupina A1 (nepovratna sredstva, vključni odpisi posojil)</c:v>
                </c:pt>
              </c:strCache>
            </c:strRef>
          </c:tx>
          <c:spPr>
            <a:solidFill>
              <a:srgbClr val="0070C0"/>
            </a:solidFill>
            <a:ln>
              <a:solidFill>
                <a:schemeClr val="tx1"/>
              </a:solidFill>
            </a:ln>
          </c:spPr>
          <c:invertIfNegative val="0"/>
          <c:dLbls>
            <c:dLbl>
              <c:idx val="0"/>
              <c:showLegendKey val="0"/>
              <c:showVal val="1"/>
              <c:showCatName val="0"/>
              <c:showSerName val="0"/>
              <c:showPercent val="0"/>
              <c:showBubbleSize val="0"/>
            </c:dLbl>
            <c:dLbl>
              <c:idx val="9"/>
              <c:showLegendKey val="0"/>
              <c:showVal val="1"/>
              <c:showCatName val="0"/>
              <c:showSerName val="0"/>
              <c:showPercent val="0"/>
              <c:showBubbleSize val="0"/>
            </c:dLbl>
            <c:txPr>
              <a:bodyPr/>
              <a:lstStyle/>
              <a:p>
                <a:pPr>
                  <a:defRPr sz="950" b="1" baseline="0"/>
                </a:pPr>
                <a:endParaRPr lang="sl-SI"/>
              </a:p>
            </c:txPr>
            <c:showLegendKey val="0"/>
            <c:showVal val="0"/>
            <c:showCatName val="0"/>
            <c:showSerName val="0"/>
            <c:showPercent val="0"/>
            <c:showBubbleSize val="0"/>
          </c:dLbls>
          <c:cat>
            <c:numRef>
              <c:f>'Instrumenti 2008 - 2017 GRAF'!$C$56:$L$56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'Instrumenti 2008 - 2017 GRAF'!$C$57:$L$57</c:f>
              <c:numCache>
                <c:formatCode>0.0%</c:formatCode>
                <c:ptCount val="10"/>
                <c:pt idx="0">
                  <c:v>0.98399999999999999</c:v>
                </c:pt>
                <c:pt idx="1">
                  <c:v>0.95399999999999996</c:v>
                </c:pt>
                <c:pt idx="2">
                  <c:v>0.97599999999999998</c:v>
                </c:pt>
                <c:pt idx="3">
                  <c:v>0.877</c:v>
                </c:pt>
                <c:pt idx="4">
                  <c:v>0.84799999999999998</c:v>
                </c:pt>
                <c:pt idx="5">
                  <c:v>0.78700000000000003</c:v>
                </c:pt>
                <c:pt idx="6">
                  <c:v>0.80800000000000005</c:v>
                </c:pt>
                <c:pt idx="7">
                  <c:v>0.67200000000000004</c:v>
                </c:pt>
                <c:pt idx="8">
                  <c:v>0.65700000000000003</c:v>
                </c:pt>
                <c:pt idx="9">
                  <c:v>0.70799999999999996</c:v>
                </c:pt>
              </c:numCache>
            </c:numRef>
          </c:val>
        </c:ser>
        <c:ser>
          <c:idx val="1"/>
          <c:order val="1"/>
          <c:tx>
            <c:strRef>
              <c:f>'Instrumenti 2008 - 2017 GRAF'!$B$58</c:f>
              <c:strCache>
                <c:ptCount val="1"/>
                <c:pt idx="0">
                  <c:v>Skupina C1 (ugodna posojila)</c:v>
                </c:pt>
              </c:strCache>
            </c:strRef>
          </c:tx>
          <c:spPr>
            <a:solidFill>
              <a:srgbClr val="FFFF00"/>
            </a:solidFill>
            <a:ln>
              <a:solidFill>
                <a:schemeClr val="tx1"/>
              </a:solidFill>
            </a:ln>
          </c:spPr>
          <c:invertIfNegative val="0"/>
          <c:dLbls>
            <c:dLbl>
              <c:idx val="4"/>
              <c:showLegendKey val="0"/>
              <c:showVal val="1"/>
              <c:showCatName val="0"/>
              <c:showSerName val="0"/>
              <c:showPercent val="0"/>
              <c:showBubbleSize val="0"/>
            </c:dLbl>
            <c:txPr>
              <a:bodyPr/>
              <a:lstStyle/>
              <a:p>
                <a:pPr>
                  <a:defRPr sz="950" b="1" baseline="0"/>
                </a:pPr>
                <a:endParaRPr lang="sl-SI"/>
              </a:p>
            </c:txPr>
            <c:showLegendKey val="0"/>
            <c:showVal val="0"/>
            <c:showCatName val="0"/>
            <c:showSerName val="0"/>
            <c:showPercent val="0"/>
            <c:showBubbleSize val="0"/>
          </c:dLbls>
          <c:cat>
            <c:numRef>
              <c:f>'Instrumenti 2008 - 2017 GRAF'!$C$56:$L$56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'Instrumenti 2008 - 2017 GRAF'!$C$58:$L$58</c:f>
              <c:numCache>
                <c:formatCode>0.0%</c:formatCode>
                <c:ptCount val="10"/>
                <c:pt idx="0">
                  <c:v>2E-3</c:v>
                </c:pt>
                <c:pt idx="1">
                  <c:v>5.0000000000000001E-3</c:v>
                </c:pt>
                <c:pt idx="2">
                  <c:v>5.0000000000000001E-3</c:v>
                </c:pt>
                <c:pt idx="3">
                  <c:v>2E-3</c:v>
                </c:pt>
                <c:pt idx="4">
                  <c:v>2.9000000000000001E-2</c:v>
                </c:pt>
                <c:pt idx="5">
                  <c:v>7.0000000000000001E-3</c:v>
                </c:pt>
                <c:pt idx="6">
                  <c:v>3.0000000000000001E-3</c:v>
                </c:pt>
                <c:pt idx="7">
                  <c:v>1.7000000000000001E-2</c:v>
                </c:pt>
                <c:pt idx="8">
                  <c:v>8.9999999999999993E-3</c:v>
                </c:pt>
                <c:pt idx="9">
                  <c:v>2E-3</c:v>
                </c:pt>
              </c:numCache>
            </c:numRef>
          </c:val>
        </c:ser>
        <c:ser>
          <c:idx val="2"/>
          <c:order val="2"/>
          <c:tx>
            <c:strRef>
              <c:f>'Instrumenti 2008 - 2017 GRAF'!$B$59</c:f>
              <c:strCache>
                <c:ptCount val="1"/>
                <c:pt idx="0">
                  <c:v>Skupina B1 (kapitalske naložbe)</c:v>
                </c:pt>
              </c:strCache>
            </c:strRef>
          </c:tx>
          <c:spPr>
            <a:solidFill>
              <a:srgbClr val="C00000"/>
            </a:solidFill>
            <a:ln>
              <a:solidFill>
                <a:schemeClr val="tx1"/>
              </a:solidFill>
            </a:ln>
          </c:spPr>
          <c:invertIfNegative val="0"/>
          <c:dLbls>
            <c:dLbl>
              <c:idx val="7"/>
              <c:showLegendKey val="0"/>
              <c:showVal val="1"/>
              <c:showCatName val="0"/>
              <c:showSerName val="0"/>
              <c:showPercent val="0"/>
              <c:showBubbleSize val="0"/>
            </c:dLbl>
            <c:txPr>
              <a:bodyPr/>
              <a:lstStyle/>
              <a:p>
                <a:pPr>
                  <a:defRPr sz="950" b="1" baseline="0"/>
                </a:pPr>
                <a:endParaRPr lang="sl-SI"/>
              </a:p>
            </c:txPr>
            <c:showLegendKey val="0"/>
            <c:showVal val="0"/>
            <c:showCatName val="0"/>
            <c:showSerName val="0"/>
            <c:showPercent val="0"/>
            <c:showBubbleSize val="0"/>
          </c:dLbls>
          <c:cat>
            <c:numRef>
              <c:f>'Instrumenti 2008 - 2017 GRAF'!$C$56:$L$56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'Instrumenti 2008 - 2017 GRAF'!$C$59:$L$59</c:f>
              <c:numCache>
                <c:formatCode>0.0%</c:formatCode>
                <c:ptCount val="10"/>
                <c:pt idx="0">
                  <c:v>0</c:v>
                </c:pt>
                <c:pt idx="1">
                  <c:v>0</c:v>
                </c:pt>
                <c:pt idx="2">
                  <c:v>2E-3</c:v>
                </c:pt>
                <c:pt idx="3">
                  <c:v>9.9000000000000005E-2</c:v>
                </c:pt>
                <c:pt idx="4">
                  <c:v>5.0000000000000001E-3</c:v>
                </c:pt>
                <c:pt idx="5">
                  <c:v>4.0000000000000001E-3</c:v>
                </c:pt>
                <c:pt idx="6">
                  <c:v>7.0000000000000001E-3</c:v>
                </c:pt>
                <c:pt idx="7">
                  <c:v>0.10299999999999999</c:v>
                </c:pt>
                <c:pt idx="8">
                  <c:v>4.0000000000000001E-3</c:v>
                </c:pt>
                <c:pt idx="9">
                  <c:v>2E-3</c:v>
                </c:pt>
              </c:numCache>
            </c:numRef>
          </c:val>
        </c:ser>
        <c:ser>
          <c:idx val="3"/>
          <c:order val="3"/>
          <c:tx>
            <c:strRef>
              <c:f>'Instrumenti 2008 - 2017 GRAF'!$B$60</c:f>
              <c:strCache>
                <c:ptCount val="1"/>
                <c:pt idx="0">
                  <c:v>Skupina D (garancije)</c:v>
                </c:pt>
              </c:strCache>
            </c:strRef>
          </c:tx>
          <c:spPr>
            <a:solidFill>
              <a:srgbClr val="7030A0"/>
            </a:solidFill>
            <a:ln>
              <a:solidFill>
                <a:schemeClr val="tx1"/>
              </a:solidFill>
            </a:ln>
          </c:spPr>
          <c:invertIfNegative val="0"/>
          <c:dLbls>
            <c:dLbl>
              <c:idx val="5"/>
              <c:showLegendKey val="0"/>
              <c:showVal val="1"/>
              <c:showCatName val="0"/>
              <c:showSerName val="0"/>
              <c:showPercent val="0"/>
              <c:showBubbleSize val="0"/>
            </c:dLbl>
            <c:txPr>
              <a:bodyPr/>
              <a:lstStyle/>
              <a:p>
                <a:pPr>
                  <a:defRPr sz="950" b="1" baseline="0"/>
                </a:pPr>
                <a:endParaRPr lang="sl-SI"/>
              </a:p>
            </c:txPr>
            <c:showLegendKey val="0"/>
            <c:showVal val="0"/>
            <c:showCatName val="0"/>
            <c:showSerName val="0"/>
            <c:showPercent val="0"/>
            <c:showBubbleSize val="0"/>
          </c:dLbls>
          <c:cat>
            <c:numRef>
              <c:f>'Instrumenti 2008 - 2017 GRAF'!$C$56:$L$56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'Instrumenti 2008 - 2017 GRAF'!$C$60:$L$60</c:f>
              <c:numCache>
                <c:formatCode>0.0%</c:formatCode>
                <c:ptCount val="10"/>
                <c:pt idx="0">
                  <c:v>0</c:v>
                </c:pt>
                <c:pt idx="1">
                  <c:v>0</c:v>
                </c:pt>
                <c:pt idx="2">
                  <c:v>0</c:v>
                </c:pt>
                <c:pt idx="3">
                  <c:v>0</c:v>
                </c:pt>
                <c:pt idx="4">
                  <c:v>0</c:v>
                </c:pt>
                <c:pt idx="5">
                  <c:v>6.9000000000000006E-2</c:v>
                </c:pt>
                <c:pt idx="6">
                  <c:v>0</c:v>
                </c:pt>
                <c:pt idx="7">
                  <c:v>0</c:v>
                </c:pt>
                <c:pt idx="8">
                  <c:v>1E-3</c:v>
                </c:pt>
                <c:pt idx="9">
                  <c:v>0</c:v>
                </c:pt>
              </c:numCache>
            </c:numRef>
          </c:val>
        </c:ser>
        <c:ser>
          <c:idx val="4"/>
          <c:order val="4"/>
          <c:tx>
            <c:strRef>
              <c:f>'Instrumenti 2008 - 2017 GRAF'!$B$61</c:f>
              <c:strCache>
                <c:ptCount val="1"/>
                <c:pt idx="0">
                  <c:v>Skupina A2 (davčne oljašave, znižanje prispevkov)</c:v>
                </c:pt>
              </c:strCache>
            </c:strRef>
          </c:tx>
          <c:spPr>
            <a:solidFill>
              <a:srgbClr val="00B050"/>
            </a:solidFill>
            <a:ln>
              <a:solidFill>
                <a:schemeClr val="tx1"/>
              </a:solidFill>
            </a:ln>
          </c:spPr>
          <c:invertIfNegative val="0"/>
          <c:dLbls>
            <c:dLbl>
              <c:idx val="8"/>
              <c:showLegendKey val="0"/>
              <c:showVal val="1"/>
              <c:showCatName val="0"/>
              <c:showSerName val="0"/>
              <c:showPercent val="0"/>
              <c:showBubbleSize val="0"/>
            </c:dLbl>
            <c:dLbl>
              <c:idx val="9"/>
              <c:showLegendKey val="0"/>
              <c:showVal val="1"/>
              <c:showCatName val="0"/>
              <c:showSerName val="0"/>
              <c:showPercent val="0"/>
              <c:showBubbleSize val="0"/>
            </c:dLbl>
            <c:txPr>
              <a:bodyPr/>
              <a:lstStyle/>
              <a:p>
                <a:pPr>
                  <a:defRPr sz="950" b="1" baseline="0"/>
                </a:pPr>
                <a:endParaRPr lang="sl-SI"/>
              </a:p>
            </c:txPr>
            <c:showLegendKey val="0"/>
            <c:showVal val="0"/>
            <c:showCatName val="0"/>
            <c:showSerName val="0"/>
            <c:showPercent val="0"/>
            <c:showBubbleSize val="0"/>
          </c:dLbls>
          <c:cat>
            <c:numRef>
              <c:f>'Instrumenti 2008 - 2017 GRAF'!$C$56:$L$56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'Instrumenti 2008 - 2017 GRAF'!$C$61:$L$61</c:f>
              <c:numCache>
                <c:formatCode>0.0%</c:formatCode>
                <c:ptCount val="10"/>
                <c:pt idx="0">
                  <c:v>1.4E-2</c:v>
                </c:pt>
                <c:pt idx="1">
                  <c:v>4.1000000000000002E-2</c:v>
                </c:pt>
                <c:pt idx="2">
                  <c:v>1.7999999999999999E-2</c:v>
                </c:pt>
                <c:pt idx="3">
                  <c:v>2.1000000000000001E-2</c:v>
                </c:pt>
                <c:pt idx="4">
                  <c:v>0.11799999999999999</c:v>
                </c:pt>
                <c:pt idx="5">
                  <c:v>0.13300000000000001</c:v>
                </c:pt>
                <c:pt idx="6">
                  <c:v>0.182</c:v>
                </c:pt>
                <c:pt idx="7">
                  <c:v>0.20799999999999999</c:v>
                </c:pt>
                <c:pt idx="8">
                  <c:v>0.32900000000000001</c:v>
                </c:pt>
                <c:pt idx="9">
                  <c:v>0.28699999999999998</c:v>
                </c:pt>
              </c:numCache>
            </c:numRef>
          </c:val>
        </c:ser>
        <c:dLbls>
          <c:showLegendKey val="0"/>
          <c:showVal val="0"/>
          <c:showCatName val="0"/>
          <c:showSerName val="0"/>
          <c:showPercent val="0"/>
          <c:showBubbleSize val="0"/>
        </c:dLbls>
        <c:gapWidth val="150"/>
        <c:overlap val="100"/>
        <c:axId val="122252288"/>
        <c:axId val="122278656"/>
      </c:barChart>
      <c:catAx>
        <c:axId val="122252288"/>
        <c:scaling>
          <c:orientation val="minMax"/>
        </c:scaling>
        <c:delete val="0"/>
        <c:axPos val="b"/>
        <c:numFmt formatCode="General" sourceLinked="1"/>
        <c:majorTickMark val="out"/>
        <c:minorTickMark val="none"/>
        <c:tickLblPos val="nextTo"/>
        <c:txPr>
          <a:bodyPr/>
          <a:lstStyle/>
          <a:p>
            <a:pPr>
              <a:defRPr sz="950" baseline="0"/>
            </a:pPr>
            <a:endParaRPr lang="sl-SI"/>
          </a:p>
        </c:txPr>
        <c:crossAx val="122278656"/>
        <c:crosses val="autoZero"/>
        <c:auto val="1"/>
        <c:lblAlgn val="ctr"/>
        <c:lblOffset val="100"/>
        <c:noMultiLvlLbl val="0"/>
      </c:catAx>
      <c:valAx>
        <c:axId val="122278656"/>
        <c:scaling>
          <c:orientation val="minMax"/>
        </c:scaling>
        <c:delete val="0"/>
        <c:axPos val="l"/>
        <c:majorGridlines/>
        <c:numFmt formatCode="0%" sourceLinked="1"/>
        <c:majorTickMark val="out"/>
        <c:minorTickMark val="none"/>
        <c:tickLblPos val="nextTo"/>
        <c:txPr>
          <a:bodyPr/>
          <a:lstStyle/>
          <a:p>
            <a:pPr>
              <a:defRPr sz="950" baseline="0"/>
            </a:pPr>
            <a:endParaRPr lang="sl-SI"/>
          </a:p>
        </c:txPr>
        <c:crossAx val="122252288"/>
        <c:crosses val="autoZero"/>
        <c:crossBetween val="between"/>
      </c:valAx>
    </c:plotArea>
    <c:legend>
      <c:legendPos val="r"/>
      <c:layout>
        <c:manualLayout>
          <c:xMode val="edge"/>
          <c:yMode val="edge"/>
          <c:x val="0.70714780736677596"/>
          <c:y val="6.8029097169305497E-2"/>
          <c:w val="0.26678960600430601"/>
          <c:h val="0.86048442314275897"/>
        </c:manualLayout>
      </c:layout>
      <c:overlay val="0"/>
      <c:txPr>
        <a:bodyPr/>
        <a:lstStyle/>
        <a:p>
          <a:pPr>
            <a:defRPr sz="960" baseline="0"/>
          </a:pPr>
          <a:endParaRPr lang="sl-SI"/>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65240725506297E-2"/>
          <c:y val="2.8237442541904498E-2"/>
          <c:w val="0.62961276295686897"/>
          <c:h val="0.84471732700079205"/>
        </c:manualLayout>
      </c:layout>
      <c:barChart>
        <c:barDir val="col"/>
        <c:grouping val="stacked"/>
        <c:varyColors val="0"/>
        <c:ser>
          <c:idx val="0"/>
          <c:order val="0"/>
          <c:tx>
            <c:strRef>
              <c:f>Indivualna_shema!$B$18</c:f>
              <c:strCache>
                <c:ptCount val="1"/>
                <c:pt idx="0">
                  <c:v>Shema</c:v>
                </c:pt>
              </c:strCache>
            </c:strRef>
          </c:tx>
          <c:invertIfNegative val="0"/>
          <c:dLbls>
            <c:dLbl>
              <c:idx val="7"/>
              <c:showLegendKey val="0"/>
              <c:showVal val="1"/>
              <c:showCatName val="0"/>
              <c:showSerName val="0"/>
              <c:showPercent val="0"/>
              <c:showBubbleSize val="0"/>
            </c:dLbl>
            <c:dLbl>
              <c:idx val="9"/>
              <c:showLegendKey val="0"/>
              <c:showVal val="1"/>
              <c:showCatName val="0"/>
              <c:showSerName val="0"/>
              <c:showPercent val="0"/>
              <c:showBubbleSize val="0"/>
            </c:dLbl>
            <c:showLegendKey val="0"/>
            <c:showVal val="0"/>
            <c:showCatName val="0"/>
            <c:showSerName val="0"/>
            <c:showPercent val="0"/>
            <c:showBubbleSize val="0"/>
          </c:dLbls>
          <c:cat>
            <c:numRef>
              <c:f>Indivualna_shema!$C$17:$L$17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Indivualna_shema!$C$18:$L$18</c:f>
              <c:numCache>
                <c:formatCode>0%</c:formatCode>
                <c:ptCount val="10"/>
                <c:pt idx="0">
                  <c:v>0.80403102918908298</c:v>
                </c:pt>
                <c:pt idx="1">
                  <c:v>0.87018865741976703</c:v>
                </c:pt>
                <c:pt idx="2">
                  <c:v>0.86313195606839299</c:v>
                </c:pt>
                <c:pt idx="3">
                  <c:v>0.78966983054210904</c:v>
                </c:pt>
                <c:pt idx="4">
                  <c:v>0.88678555620344302</c:v>
                </c:pt>
                <c:pt idx="5">
                  <c:v>0.82656735359746003</c:v>
                </c:pt>
                <c:pt idx="6">
                  <c:v>0.88796661853955405</c:v>
                </c:pt>
                <c:pt idx="7">
                  <c:v>0.71004606722223995</c:v>
                </c:pt>
                <c:pt idx="8">
                  <c:v>0.84834253346868704</c:v>
                </c:pt>
                <c:pt idx="9">
                  <c:v>0.85623937403809902</c:v>
                </c:pt>
              </c:numCache>
            </c:numRef>
          </c:val>
        </c:ser>
        <c:ser>
          <c:idx val="1"/>
          <c:order val="1"/>
          <c:tx>
            <c:strRef>
              <c:f>Indivualna_shema!$B$19</c:f>
              <c:strCache>
                <c:ptCount val="1"/>
                <c:pt idx="0">
                  <c:v>Individualna</c:v>
                </c:pt>
              </c:strCache>
            </c:strRef>
          </c:tx>
          <c:invertIfNegative val="0"/>
          <c:dLbls>
            <c:dLbl>
              <c:idx val="7"/>
              <c:showLegendKey val="0"/>
              <c:showVal val="1"/>
              <c:showCatName val="0"/>
              <c:showSerName val="0"/>
              <c:showPercent val="0"/>
              <c:showBubbleSize val="0"/>
            </c:dLbl>
            <c:dLbl>
              <c:idx val="9"/>
              <c:showLegendKey val="0"/>
              <c:showVal val="1"/>
              <c:showCatName val="0"/>
              <c:showSerName val="0"/>
              <c:showPercent val="0"/>
              <c:showBubbleSize val="0"/>
            </c:dLbl>
            <c:showLegendKey val="0"/>
            <c:showVal val="0"/>
            <c:showCatName val="0"/>
            <c:showSerName val="0"/>
            <c:showPercent val="0"/>
            <c:showBubbleSize val="0"/>
          </c:dLbls>
          <c:cat>
            <c:numRef>
              <c:f>Indivualna_shema!$C$17:$L$17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Indivualna_shema!$C$19:$L$19</c:f>
              <c:numCache>
                <c:formatCode>0%</c:formatCode>
                <c:ptCount val="10"/>
                <c:pt idx="0">
                  <c:v>0.19596897081091699</c:v>
                </c:pt>
                <c:pt idx="1">
                  <c:v>0.129811342580233</c:v>
                </c:pt>
                <c:pt idx="2">
                  <c:v>0.13686804393160701</c:v>
                </c:pt>
                <c:pt idx="3">
                  <c:v>0.21033016945789201</c:v>
                </c:pt>
                <c:pt idx="4">
                  <c:v>0.113214443796557</c:v>
                </c:pt>
                <c:pt idx="5">
                  <c:v>0.17343264640254</c:v>
                </c:pt>
                <c:pt idx="6">
                  <c:v>0.112033381460446</c:v>
                </c:pt>
                <c:pt idx="7">
                  <c:v>0.28995393277775899</c:v>
                </c:pt>
                <c:pt idx="8">
                  <c:v>0.15165746653131301</c:v>
                </c:pt>
                <c:pt idx="9">
                  <c:v>0.14376062596190101</c:v>
                </c:pt>
              </c:numCache>
            </c:numRef>
          </c:val>
        </c:ser>
        <c:dLbls>
          <c:showLegendKey val="0"/>
          <c:showVal val="0"/>
          <c:showCatName val="0"/>
          <c:showSerName val="0"/>
          <c:showPercent val="0"/>
          <c:showBubbleSize val="0"/>
        </c:dLbls>
        <c:gapWidth val="300"/>
        <c:overlap val="100"/>
        <c:serLines/>
        <c:axId val="126167296"/>
        <c:axId val="126169088"/>
      </c:barChart>
      <c:catAx>
        <c:axId val="126167296"/>
        <c:scaling>
          <c:orientation val="minMax"/>
        </c:scaling>
        <c:delete val="0"/>
        <c:axPos val="b"/>
        <c:numFmt formatCode="General" sourceLinked="1"/>
        <c:majorTickMark val="none"/>
        <c:minorTickMark val="none"/>
        <c:tickLblPos val="nextTo"/>
        <c:txPr>
          <a:bodyPr/>
          <a:lstStyle/>
          <a:p>
            <a:pPr>
              <a:defRPr sz="950" baseline="0"/>
            </a:pPr>
            <a:endParaRPr lang="sl-SI"/>
          </a:p>
        </c:txPr>
        <c:crossAx val="126169088"/>
        <c:crosses val="autoZero"/>
        <c:auto val="1"/>
        <c:lblAlgn val="ctr"/>
        <c:lblOffset val="100"/>
        <c:noMultiLvlLbl val="0"/>
      </c:catAx>
      <c:valAx>
        <c:axId val="126169088"/>
        <c:scaling>
          <c:orientation val="minMax"/>
          <c:max val="1"/>
        </c:scaling>
        <c:delete val="0"/>
        <c:axPos val="l"/>
        <c:majorGridlines/>
        <c:numFmt formatCode="0%" sourceLinked="1"/>
        <c:majorTickMark val="out"/>
        <c:minorTickMark val="none"/>
        <c:tickLblPos val="nextTo"/>
        <c:txPr>
          <a:bodyPr/>
          <a:lstStyle/>
          <a:p>
            <a:pPr>
              <a:defRPr sz="950" baseline="0"/>
            </a:pPr>
            <a:endParaRPr lang="sl-SI"/>
          </a:p>
        </c:txPr>
        <c:crossAx val="126167296"/>
        <c:crosses val="autoZero"/>
        <c:crossBetween val="between"/>
      </c:valAx>
    </c:plotArea>
    <c:legend>
      <c:legendPos val="r"/>
      <c:layout>
        <c:manualLayout>
          <c:xMode val="edge"/>
          <c:yMode val="edge"/>
          <c:x val="0.77671680965252499"/>
          <c:y val="0.39092883430332098"/>
          <c:w val="0.208357817213147"/>
          <c:h val="0.19096841834987999"/>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'Postopek odobritve GRAF'!$B$64</c:f>
              <c:strCache>
                <c:ptCount val="1"/>
                <c:pt idx="0">
                  <c:v>Državna pomoč</c:v>
                </c:pt>
              </c:strCache>
            </c:strRef>
          </c:tx>
          <c:invertIfNegative val="0"/>
          <c:cat>
            <c:numRef>
              <c:f>'Postopek odobritve GRAF'!$C$63:$L$63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'Postopek odobritve GRAF'!$C$64:$L$64</c:f>
              <c:numCache>
                <c:formatCode>#,##0.00</c:formatCode>
                <c:ptCount val="10"/>
                <c:pt idx="0">
                  <c:v>235.32834711000001</c:v>
                </c:pt>
                <c:pt idx="1">
                  <c:v>227.54398374000004</c:v>
                </c:pt>
                <c:pt idx="2">
                  <c:v>217.00863655999999</c:v>
                </c:pt>
                <c:pt idx="3">
                  <c:v>294.76258528</c:v>
                </c:pt>
                <c:pt idx="4">
                  <c:v>257.75408012000003</c:v>
                </c:pt>
                <c:pt idx="5">
                  <c:v>298.37579519999997</c:v>
                </c:pt>
                <c:pt idx="6">
                  <c:v>224.47259136</c:v>
                </c:pt>
                <c:pt idx="7">
                  <c:v>317.41314806000003</c:v>
                </c:pt>
                <c:pt idx="8">
                  <c:v>219.90186599</c:v>
                </c:pt>
                <c:pt idx="9">
                  <c:v>232.08385816000001</c:v>
                </c:pt>
              </c:numCache>
            </c:numRef>
          </c:val>
        </c:ser>
        <c:ser>
          <c:idx val="1"/>
          <c:order val="1"/>
          <c:tx>
            <c:strRef>
              <c:f>'Postopek odobritve GRAF'!$B$65</c:f>
              <c:strCache>
                <c:ptCount val="1"/>
                <c:pt idx="0">
                  <c:v>Skupinska izjema</c:v>
                </c:pt>
              </c:strCache>
            </c:strRef>
          </c:tx>
          <c:invertIfNegative val="0"/>
          <c:cat>
            <c:numRef>
              <c:f>'Postopek odobritve GRAF'!$C$63:$L$63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'Postopek odobritve GRAF'!$C$65:$L$65</c:f>
              <c:numCache>
                <c:formatCode>#,##0.00</c:formatCode>
                <c:ptCount val="10"/>
                <c:pt idx="0">
                  <c:v>88.861818900000003</c:v>
                </c:pt>
                <c:pt idx="1">
                  <c:v>106.38816338000001</c:v>
                </c:pt>
                <c:pt idx="2">
                  <c:v>108.58269172999999</c:v>
                </c:pt>
                <c:pt idx="3">
                  <c:v>154.13544740999998</c:v>
                </c:pt>
                <c:pt idx="4">
                  <c:v>194.56622084</c:v>
                </c:pt>
                <c:pt idx="5">
                  <c:v>182.21753103999998</c:v>
                </c:pt>
                <c:pt idx="6">
                  <c:v>233.07156658000002</c:v>
                </c:pt>
                <c:pt idx="7">
                  <c:v>173.49296090000001</c:v>
                </c:pt>
                <c:pt idx="8">
                  <c:v>149.13561268000001</c:v>
                </c:pt>
                <c:pt idx="9">
                  <c:v>181.16218719</c:v>
                </c:pt>
              </c:numCache>
            </c:numRef>
          </c:val>
        </c:ser>
        <c:ser>
          <c:idx val="2"/>
          <c:order val="2"/>
          <c:tx>
            <c:strRef>
              <c:f>'Postopek odobritve GRAF'!$B$66</c:f>
              <c:strCache>
                <c:ptCount val="1"/>
                <c:pt idx="0">
                  <c:v>De minimis</c:v>
                </c:pt>
              </c:strCache>
            </c:strRef>
          </c:tx>
          <c:invertIfNegative val="0"/>
          <c:cat>
            <c:numRef>
              <c:f>'Postopek odobritve GRAF'!$C$63:$L$63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'Postopek odobritve GRAF'!$C$66:$L$66</c:f>
              <c:numCache>
                <c:formatCode>#,##0.00</c:formatCode>
                <c:ptCount val="10"/>
                <c:pt idx="0">
                  <c:v>28.719727129999999</c:v>
                </c:pt>
                <c:pt idx="1">
                  <c:v>84.938300549999994</c:v>
                </c:pt>
                <c:pt idx="2">
                  <c:v>63.700944790000001</c:v>
                </c:pt>
                <c:pt idx="3">
                  <c:v>65.513796929999998</c:v>
                </c:pt>
                <c:pt idx="4">
                  <c:v>66.193163080000005</c:v>
                </c:pt>
                <c:pt idx="5">
                  <c:v>101.85634062000001</c:v>
                </c:pt>
                <c:pt idx="6">
                  <c:v>37.000223929999997</c:v>
                </c:pt>
                <c:pt idx="7">
                  <c:v>33.688415310000003</c:v>
                </c:pt>
                <c:pt idx="8">
                  <c:v>83.912484860000006</c:v>
                </c:pt>
                <c:pt idx="9">
                  <c:v>82.495167840000008</c:v>
                </c:pt>
              </c:numCache>
            </c:numRef>
          </c:val>
        </c:ser>
        <c:dLbls>
          <c:showLegendKey val="0"/>
          <c:showVal val="0"/>
          <c:showCatName val="0"/>
          <c:showSerName val="0"/>
          <c:showPercent val="0"/>
          <c:showBubbleSize val="0"/>
        </c:dLbls>
        <c:gapWidth val="300"/>
        <c:overlap val="100"/>
        <c:serLines/>
        <c:axId val="126199680"/>
        <c:axId val="126201216"/>
      </c:barChart>
      <c:catAx>
        <c:axId val="126199680"/>
        <c:scaling>
          <c:orientation val="minMax"/>
        </c:scaling>
        <c:delete val="0"/>
        <c:axPos val="b"/>
        <c:numFmt formatCode="General" sourceLinked="1"/>
        <c:majorTickMark val="none"/>
        <c:minorTickMark val="none"/>
        <c:tickLblPos val="nextTo"/>
        <c:txPr>
          <a:bodyPr/>
          <a:lstStyle/>
          <a:p>
            <a:pPr>
              <a:defRPr sz="950" baseline="0"/>
            </a:pPr>
            <a:endParaRPr lang="sl-SI"/>
          </a:p>
        </c:txPr>
        <c:crossAx val="126201216"/>
        <c:crosses val="autoZero"/>
        <c:auto val="1"/>
        <c:lblAlgn val="ctr"/>
        <c:lblOffset val="100"/>
        <c:noMultiLvlLbl val="0"/>
      </c:catAx>
      <c:valAx>
        <c:axId val="126201216"/>
        <c:scaling>
          <c:orientation val="minMax"/>
        </c:scaling>
        <c:delete val="0"/>
        <c:axPos val="l"/>
        <c:majorGridlines/>
        <c:numFmt formatCode="0%" sourceLinked="1"/>
        <c:majorTickMark val="out"/>
        <c:minorTickMark val="none"/>
        <c:tickLblPos val="nextTo"/>
        <c:crossAx val="12619968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'GBER Državne pomoči 19.10.'!$B$69</c:f>
              <c:strCache>
                <c:ptCount val="1"/>
                <c:pt idx="0">
                  <c:v>Skupinske izjeme, obseg pomoči kot % vseh pomoči</c:v>
                </c:pt>
              </c:strCache>
            </c:strRef>
          </c:tx>
          <c:invertIfNegative val="0"/>
          <c:dLbls>
            <c:dLbl>
              <c:idx val="7"/>
              <c:showLegendKey val="0"/>
              <c:showVal val="1"/>
              <c:showCatName val="0"/>
              <c:showSerName val="0"/>
              <c:showPercent val="0"/>
              <c:showBubbleSize val="0"/>
            </c:dLbl>
            <c:showLegendKey val="0"/>
            <c:showVal val="0"/>
            <c:showCatName val="0"/>
            <c:showSerName val="0"/>
            <c:showPercent val="0"/>
            <c:showBubbleSize val="0"/>
          </c:dLbls>
          <c:trendline>
            <c:trendlineType val="linear"/>
            <c:dispRSqr val="0"/>
            <c:dispEq val="0"/>
          </c:trendline>
          <c:cat>
            <c:numRef>
              <c:f>'GBER Državne pomoči 19.10.'!$C$52:$J$52</c:f>
              <c:numCache>
                <c:formatCode>General</c:formatCode>
                <c:ptCount val="8"/>
                <c:pt idx="0">
                  <c:v>2010</c:v>
                </c:pt>
                <c:pt idx="1">
                  <c:v>2011</c:v>
                </c:pt>
                <c:pt idx="2">
                  <c:v>2012</c:v>
                </c:pt>
                <c:pt idx="3">
                  <c:v>2013</c:v>
                </c:pt>
                <c:pt idx="4">
                  <c:v>2014</c:v>
                </c:pt>
                <c:pt idx="5">
                  <c:v>2015</c:v>
                </c:pt>
                <c:pt idx="6">
                  <c:v>2016</c:v>
                </c:pt>
                <c:pt idx="7">
                  <c:v>2017</c:v>
                </c:pt>
              </c:numCache>
            </c:numRef>
          </c:cat>
          <c:val>
            <c:numRef>
              <c:f>'GBER Državne pomoči 19.10.'!$C$69:$J$69</c:f>
              <c:numCache>
                <c:formatCode>0%</c:formatCode>
                <c:ptCount val="8"/>
                <c:pt idx="0">
                  <c:v>0.38617242461400197</c:v>
                </c:pt>
                <c:pt idx="1">
                  <c:v>0.38475520544418501</c:v>
                </c:pt>
                <c:pt idx="2">
                  <c:v>0.48783534794454902</c:v>
                </c:pt>
                <c:pt idx="3">
                  <c:v>0.42894714516896498</c:v>
                </c:pt>
                <c:pt idx="4">
                  <c:v>0.57409064800490195</c:v>
                </c:pt>
                <c:pt idx="5">
                  <c:v>0.39587342639330902</c:v>
                </c:pt>
                <c:pt idx="6">
                  <c:v>0.45756081726451397</c:v>
                </c:pt>
                <c:pt idx="7">
                  <c:v>0.492845755294473</c:v>
                </c:pt>
              </c:numCache>
            </c:numRef>
          </c:val>
        </c:ser>
        <c:dLbls>
          <c:showLegendKey val="0"/>
          <c:showVal val="0"/>
          <c:showCatName val="0"/>
          <c:showSerName val="0"/>
          <c:showPercent val="0"/>
          <c:showBubbleSize val="0"/>
        </c:dLbls>
        <c:gapWidth val="150"/>
        <c:axId val="126565760"/>
        <c:axId val="126567552"/>
      </c:barChart>
      <c:lineChart>
        <c:grouping val="standard"/>
        <c:varyColors val="0"/>
        <c:ser>
          <c:idx val="1"/>
          <c:order val="1"/>
          <c:tx>
            <c:strRef>
              <c:f>'GBER Državne pomoči 19.10.'!$B$70</c:f>
              <c:strCache>
                <c:ptCount val="1"/>
                <c:pt idx="0">
                  <c:v>Skupinske izjeme, število shem kot % vseh shem</c:v>
                </c:pt>
              </c:strCache>
            </c:strRef>
          </c:tx>
          <c:marker>
            <c:symbol val="none"/>
          </c:marker>
          <c:dLbls>
            <c:dLbl>
              <c:idx val="7"/>
              <c:showLegendKey val="0"/>
              <c:showVal val="1"/>
              <c:showCatName val="0"/>
              <c:showSerName val="0"/>
              <c:showPercent val="0"/>
              <c:showBubbleSize val="0"/>
            </c:dLbl>
            <c:showLegendKey val="0"/>
            <c:showVal val="0"/>
            <c:showCatName val="0"/>
            <c:showSerName val="0"/>
            <c:showPercent val="0"/>
            <c:showBubbleSize val="0"/>
          </c:dLbls>
          <c:trendline>
            <c:trendlineType val="linear"/>
            <c:dispRSqr val="0"/>
            <c:dispEq val="0"/>
          </c:trendline>
          <c:val>
            <c:numRef>
              <c:f>'GBER Državne pomoči 19.10.'!$C$70:$J$70</c:f>
              <c:numCache>
                <c:formatCode>0%</c:formatCode>
                <c:ptCount val="8"/>
                <c:pt idx="0">
                  <c:v>0.45454545454545398</c:v>
                </c:pt>
                <c:pt idx="1">
                  <c:v>0.46153846153846201</c:v>
                </c:pt>
                <c:pt idx="2">
                  <c:v>0.57575757575757602</c:v>
                </c:pt>
                <c:pt idx="3">
                  <c:v>0.59375</c:v>
                </c:pt>
                <c:pt idx="4">
                  <c:v>0.62068965517241403</c:v>
                </c:pt>
                <c:pt idx="5">
                  <c:v>0.69047619047619102</c:v>
                </c:pt>
                <c:pt idx="6">
                  <c:v>0.73684210526315796</c:v>
                </c:pt>
                <c:pt idx="7">
                  <c:v>0.71428571428571397</c:v>
                </c:pt>
              </c:numCache>
            </c:numRef>
          </c:val>
          <c:smooth val="0"/>
        </c:ser>
        <c:dLbls>
          <c:showLegendKey val="0"/>
          <c:showVal val="0"/>
          <c:showCatName val="0"/>
          <c:showSerName val="0"/>
          <c:showPercent val="0"/>
          <c:showBubbleSize val="0"/>
        </c:dLbls>
        <c:marker val="1"/>
        <c:smooth val="0"/>
        <c:axId val="126565760"/>
        <c:axId val="126567552"/>
      </c:lineChart>
      <c:catAx>
        <c:axId val="126565760"/>
        <c:scaling>
          <c:orientation val="minMax"/>
        </c:scaling>
        <c:delete val="0"/>
        <c:axPos val="b"/>
        <c:numFmt formatCode="General" sourceLinked="1"/>
        <c:majorTickMark val="out"/>
        <c:minorTickMark val="none"/>
        <c:tickLblPos val="nextTo"/>
        <c:crossAx val="126567552"/>
        <c:crosses val="autoZero"/>
        <c:auto val="1"/>
        <c:lblAlgn val="ctr"/>
        <c:lblOffset val="100"/>
        <c:noMultiLvlLbl val="0"/>
      </c:catAx>
      <c:valAx>
        <c:axId val="126567552"/>
        <c:scaling>
          <c:orientation val="minMax"/>
        </c:scaling>
        <c:delete val="0"/>
        <c:axPos val="l"/>
        <c:majorGridlines/>
        <c:numFmt formatCode="0%" sourceLinked="1"/>
        <c:majorTickMark val="out"/>
        <c:minorTickMark val="none"/>
        <c:tickLblPos val="nextTo"/>
        <c:crossAx val="126565760"/>
        <c:crosses val="autoZero"/>
        <c:crossBetween val="between"/>
      </c:valAx>
    </c:plotArea>
    <c:legend>
      <c:legendPos val="r"/>
      <c:legendEntry>
        <c:idx val="2"/>
        <c:delete val="1"/>
      </c:legendEntry>
      <c:legendEntry>
        <c:idx val="3"/>
        <c:delete val="1"/>
      </c:legendEntry>
      <c:layout>
        <c:manualLayout>
          <c:xMode val="edge"/>
          <c:yMode val="edge"/>
          <c:x val="0.66928292505666998"/>
          <c:y val="0.28035891491394199"/>
          <c:w val="0.31501993660168898"/>
          <c:h val="0.523357339994029"/>
        </c:manualLayou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26120434556"/>
          <c:y val="6.9729615152025304E-2"/>
          <c:w val="0.55222465689838196"/>
          <c:h val="0.65920973061265198"/>
        </c:manualLayout>
      </c:layout>
      <c:barChart>
        <c:barDir val="col"/>
        <c:grouping val="stacked"/>
        <c:varyColors val="0"/>
        <c:ser>
          <c:idx val="0"/>
          <c:order val="0"/>
          <c:tx>
            <c:strRef>
              <c:f>'EU po skupinah'!$B$5</c:f>
              <c:strCache>
                <c:ptCount val="1"/>
                <c:pt idx="0">
                  <c:v>Nekmetijske pomoči</c:v>
                </c:pt>
              </c:strCache>
            </c:strRef>
          </c:tx>
          <c:spPr>
            <a:solidFill>
              <a:srgbClr val="0070C0"/>
            </a:solidFill>
          </c:spPr>
          <c:invertIfNegative val="0"/>
          <c:cat>
            <c:multiLvlStrRef>
              <c:f>'EU po skupinah'!$C$3:$L$4</c:f>
              <c:multiLvlStrCache>
                <c:ptCount val="10"/>
                <c:lvl>
                  <c:pt idx="0">
                    <c:v>61.664,3</c:v>
                  </c:pt>
                  <c:pt idx="1">
                    <c:v>78.009,4</c:v>
                  </c:pt>
                  <c:pt idx="2">
                    <c:v>75.530,7</c:v>
                  </c:pt>
                  <c:pt idx="3">
                    <c:v>74.849,8</c:v>
                  </c:pt>
                  <c:pt idx="4">
                    <c:v>68.633,4</c:v>
                  </c:pt>
                  <c:pt idx="5">
                    <c:v>70.031,0</c:v>
                  </c:pt>
                  <c:pt idx="6">
                    <c:v>69.327,4</c:v>
                  </c:pt>
                  <c:pt idx="7">
                    <c:v>100.178,9</c:v>
                  </c:pt>
                  <c:pt idx="8">
                    <c:v>102.257,0</c:v>
                  </c:pt>
                  <c:pt idx="9">
                    <c:v>104.869,5</c:v>
                  </c:pt>
                </c:lvl>
                <c:lvl>
                  <c:pt idx="0">
                    <c:v>2007</c:v>
                  </c:pt>
                  <c:pt idx="1">
                    <c:v>2008</c:v>
                  </c:pt>
                  <c:pt idx="2">
                    <c:v>2009</c:v>
                  </c:pt>
                  <c:pt idx="3">
                    <c:v>2010</c:v>
                  </c:pt>
                  <c:pt idx="4">
                    <c:v>2011</c:v>
                  </c:pt>
                  <c:pt idx="5">
                    <c:v>2012</c:v>
                  </c:pt>
                  <c:pt idx="6">
                    <c:v>2013</c:v>
                  </c:pt>
                  <c:pt idx="7">
                    <c:v>2014</c:v>
                  </c:pt>
                  <c:pt idx="8">
                    <c:v>2015</c:v>
                  </c:pt>
                  <c:pt idx="9">
                    <c:v>2016</c:v>
                  </c:pt>
                </c:lvl>
              </c:multiLvlStrCache>
            </c:multiLvlStrRef>
          </c:cat>
          <c:val>
            <c:numRef>
              <c:f>'EU po skupinah'!$C$5:$L$5</c:f>
              <c:numCache>
                <c:formatCode>#,##0.0</c:formatCode>
                <c:ptCount val="10"/>
                <c:pt idx="0">
                  <c:v>52912.3</c:v>
                </c:pt>
                <c:pt idx="1">
                  <c:v>70125.600000000006</c:v>
                </c:pt>
                <c:pt idx="2">
                  <c:v>65733.2</c:v>
                </c:pt>
                <c:pt idx="3">
                  <c:v>63825.3</c:v>
                </c:pt>
                <c:pt idx="4">
                  <c:v>58013.7</c:v>
                </c:pt>
                <c:pt idx="5">
                  <c:v>59519.5</c:v>
                </c:pt>
                <c:pt idx="6">
                  <c:v>59787</c:v>
                </c:pt>
                <c:pt idx="7">
                  <c:v>90822.3</c:v>
                </c:pt>
                <c:pt idx="8">
                  <c:v>93590.1</c:v>
                </c:pt>
                <c:pt idx="9">
                  <c:v>97298.8</c:v>
                </c:pt>
              </c:numCache>
            </c:numRef>
          </c:val>
        </c:ser>
        <c:ser>
          <c:idx val="1"/>
          <c:order val="1"/>
          <c:tx>
            <c:strRef>
              <c:f>'EU po skupinah'!$B$6</c:f>
              <c:strCache>
                <c:ptCount val="1"/>
                <c:pt idx="0">
                  <c:v>Kmetijstvo in ribištvo</c:v>
                </c:pt>
              </c:strCache>
            </c:strRef>
          </c:tx>
          <c:spPr>
            <a:solidFill>
              <a:srgbClr val="00B050"/>
            </a:solidFill>
          </c:spPr>
          <c:invertIfNegative val="0"/>
          <c:cat>
            <c:multiLvlStrRef>
              <c:f>'EU po skupinah'!$C$3:$L$4</c:f>
              <c:multiLvlStrCache>
                <c:ptCount val="10"/>
                <c:lvl>
                  <c:pt idx="0">
                    <c:v>61.664,3</c:v>
                  </c:pt>
                  <c:pt idx="1">
                    <c:v>78.009,4</c:v>
                  </c:pt>
                  <c:pt idx="2">
                    <c:v>75.530,7</c:v>
                  </c:pt>
                  <c:pt idx="3">
                    <c:v>74.849,8</c:v>
                  </c:pt>
                  <c:pt idx="4">
                    <c:v>68.633,4</c:v>
                  </c:pt>
                  <c:pt idx="5">
                    <c:v>70.031,0</c:v>
                  </c:pt>
                  <c:pt idx="6">
                    <c:v>69.327,4</c:v>
                  </c:pt>
                  <c:pt idx="7">
                    <c:v>100.178,9</c:v>
                  </c:pt>
                  <c:pt idx="8">
                    <c:v>102.257,0</c:v>
                  </c:pt>
                  <c:pt idx="9">
                    <c:v>104.869,5</c:v>
                  </c:pt>
                </c:lvl>
                <c:lvl>
                  <c:pt idx="0">
                    <c:v>2007</c:v>
                  </c:pt>
                  <c:pt idx="1">
                    <c:v>2008</c:v>
                  </c:pt>
                  <c:pt idx="2">
                    <c:v>2009</c:v>
                  </c:pt>
                  <c:pt idx="3">
                    <c:v>2010</c:v>
                  </c:pt>
                  <c:pt idx="4">
                    <c:v>2011</c:v>
                  </c:pt>
                  <c:pt idx="5">
                    <c:v>2012</c:v>
                  </c:pt>
                  <c:pt idx="6">
                    <c:v>2013</c:v>
                  </c:pt>
                  <c:pt idx="7">
                    <c:v>2014</c:v>
                  </c:pt>
                  <c:pt idx="8">
                    <c:v>2015</c:v>
                  </c:pt>
                  <c:pt idx="9">
                    <c:v>2016</c:v>
                  </c:pt>
                </c:lvl>
              </c:multiLvlStrCache>
            </c:multiLvlStrRef>
          </c:cat>
          <c:val>
            <c:numRef>
              <c:f>'EU po skupinah'!$C$6:$L$6</c:f>
              <c:numCache>
                <c:formatCode>#,##0.0</c:formatCode>
                <c:ptCount val="10"/>
                <c:pt idx="0">
                  <c:v>8752</c:v>
                </c:pt>
                <c:pt idx="1">
                  <c:v>7883.8</c:v>
                </c:pt>
                <c:pt idx="2">
                  <c:v>6912.2</c:v>
                </c:pt>
                <c:pt idx="3">
                  <c:v>8932</c:v>
                </c:pt>
                <c:pt idx="4">
                  <c:v>8541.699999999988</c:v>
                </c:pt>
                <c:pt idx="5">
                  <c:v>8584.199999999988</c:v>
                </c:pt>
                <c:pt idx="6">
                  <c:v>7977</c:v>
                </c:pt>
                <c:pt idx="7">
                  <c:v>7492.7</c:v>
                </c:pt>
                <c:pt idx="8">
                  <c:v>6592.5</c:v>
                </c:pt>
                <c:pt idx="9">
                  <c:v>5501.4</c:v>
                </c:pt>
              </c:numCache>
            </c:numRef>
          </c:val>
        </c:ser>
        <c:ser>
          <c:idx val="2"/>
          <c:order val="2"/>
          <c:tx>
            <c:strRef>
              <c:f>'EU po skupinah'!$B$7</c:f>
              <c:strCache>
                <c:ptCount val="1"/>
                <c:pt idx="0">
                  <c:v>Transport (brez železnic)</c:v>
                </c:pt>
              </c:strCache>
            </c:strRef>
          </c:tx>
          <c:spPr>
            <a:solidFill>
              <a:schemeClr val="bg2">
                <a:lumMod val="25000"/>
              </a:schemeClr>
            </a:solidFill>
          </c:spPr>
          <c:invertIfNegative val="0"/>
          <c:cat>
            <c:multiLvlStrRef>
              <c:f>'EU po skupinah'!$C$3:$L$4</c:f>
              <c:multiLvlStrCache>
                <c:ptCount val="10"/>
                <c:lvl>
                  <c:pt idx="0">
                    <c:v>61.664,3</c:v>
                  </c:pt>
                  <c:pt idx="1">
                    <c:v>78.009,4</c:v>
                  </c:pt>
                  <c:pt idx="2">
                    <c:v>75.530,7</c:v>
                  </c:pt>
                  <c:pt idx="3">
                    <c:v>74.849,8</c:v>
                  </c:pt>
                  <c:pt idx="4">
                    <c:v>68.633,4</c:v>
                  </c:pt>
                  <c:pt idx="5">
                    <c:v>70.031,0</c:v>
                  </c:pt>
                  <c:pt idx="6">
                    <c:v>69.327,4</c:v>
                  </c:pt>
                  <c:pt idx="7">
                    <c:v>100.178,9</c:v>
                  </c:pt>
                  <c:pt idx="8">
                    <c:v>102.257,0</c:v>
                  </c:pt>
                  <c:pt idx="9">
                    <c:v>104.869,5</c:v>
                  </c:pt>
                </c:lvl>
                <c:lvl>
                  <c:pt idx="0">
                    <c:v>2007</c:v>
                  </c:pt>
                  <c:pt idx="1">
                    <c:v>2008</c:v>
                  </c:pt>
                  <c:pt idx="2">
                    <c:v>2009</c:v>
                  </c:pt>
                  <c:pt idx="3">
                    <c:v>2010</c:v>
                  </c:pt>
                  <c:pt idx="4">
                    <c:v>2011</c:v>
                  </c:pt>
                  <c:pt idx="5">
                    <c:v>2012</c:v>
                  </c:pt>
                  <c:pt idx="6">
                    <c:v>2013</c:v>
                  </c:pt>
                  <c:pt idx="7">
                    <c:v>2014</c:v>
                  </c:pt>
                  <c:pt idx="8">
                    <c:v>2015</c:v>
                  </c:pt>
                  <c:pt idx="9">
                    <c:v>2016</c:v>
                  </c:pt>
                </c:lvl>
              </c:multiLvlStrCache>
            </c:multiLvlStrRef>
          </c:cat>
          <c:val>
            <c:numRef>
              <c:f>'EU po skupinah'!$C$7:$L$7</c:f>
              <c:numCache>
                <c:formatCode>General</c:formatCode>
                <c:ptCount val="10"/>
                <c:pt idx="2" formatCode="#,##0.0">
                  <c:v>2885.3</c:v>
                </c:pt>
                <c:pt idx="3" formatCode="#,##0.0">
                  <c:v>2092.5</c:v>
                </c:pt>
                <c:pt idx="4" formatCode="#,##0.0">
                  <c:v>2078</c:v>
                </c:pt>
                <c:pt idx="5" formatCode="#,##0.0">
                  <c:v>1927.3</c:v>
                </c:pt>
                <c:pt idx="6" formatCode="#,##0.0">
                  <c:v>1563.4</c:v>
                </c:pt>
                <c:pt idx="7" formatCode="#,##0.0">
                  <c:v>1863.9</c:v>
                </c:pt>
                <c:pt idx="8" formatCode="#,##0.0">
                  <c:v>2074.4</c:v>
                </c:pt>
                <c:pt idx="9" formatCode="#,##0.0">
                  <c:v>2069.3000000000002</c:v>
                </c:pt>
              </c:numCache>
            </c:numRef>
          </c:val>
        </c:ser>
        <c:dLbls>
          <c:showLegendKey val="0"/>
          <c:showVal val="0"/>
          <c:showCatName val="0"/>
          <c:showSerName val="0"/>
          <c:showPercent val="0"/>
          <c:showBubbleSize val="0"/>
        </c:dLbls>
        <c:gapWidth val="150"/>
        <c:overlap val="100"/>
        <c:axId val="126612992"/>
        <c:axId val="126614528"/>
      </c:barChart>
      <c:lineChart>
        <c:grouping val="standard"/>
        <c:varyColors val="0"/>
        <c:ser>
          <c:idx val="3"/>
          <c:order val="3"/>
          <c:tx>
            <c:strRef>
              <c:f>'EU po skupinah'!$B$9</c:f>
              <c:strCache>
                <c:ptCount val="1"/>
                <c:pt idx="0">
                  <c:v>v % BDP</c:v>
                </c:pt>
              </c:strCache>
            </c:strRef>
          </c:tx>
          <c:spPr>
            <a:ln>
              <a:solidFill>
                <a:srgbClr val="C00000"/>
              </a:solidFill>
              <a:prstDash val="sysDash"/>
            </a:ln>
          </c:spPr>
          <c:marker>
            <c:symbol val="none"/>
          </c:marker>
          <c:dLbls>
            <c:dLbl>
              <c:idx val="6"/>
              <c:dLblPos val="t"/>
              <c:showLegendKey val="0"/>
              <c:showVal val="1"/>
              <c:showCatName val="0"/>
              <c:showSerName val="0"/>
              <c:showPercent val="0"/>
              <c:showBubbleSize val="0"/>
            </c:dLbl>
            <c:dLbl>
              <c:idx val="8"/>
              <c:delete val="1"/>
            </c:dLbl>
            <c:dLbl>
              <c:idx val="9"/>
              <c:layout>
                <c:manualLayout>
                  <c:x val="-4.5045335242185597E-2"/>
                  <c:y val="-9.1182829853274694E-2"/>
                </c:manualLayout>
              </c:layout>
              <c:dLblPos val="r"/>
              <c:showLegendKey val="0"/>
              <c:showVal val="1"/>
              <c:showCatName val="0"/>
              <c:showSerName val="0"/>
              <c:showPercent val="0"/>
              <c:showBubbleSize val="0"/>
            </c:dLbl>
            <c:txPr>
              <a:bodyPr/>
              <a:lstStyle/>
              <a:p>
                <a:pPr>
                  <a:defRPr sz="940" baseline="0"/>
                </a:pPr>
                <a:endParaRPr lang="sl-SI"/>
              </a:p>
            </c:txPr>
            <c:dLblPos val="t"/>
            <c:showLegendKey val="0"/>
            <c:showVal val="0"/>
            <c:showCatName val="0"/>
            <c:showSerName val="0"/>
            <c:showPercent val="0"/>
            <c:showBubbleSize val="0"/>
          </c:dLbls>
          <c:val>
            <c:numRef>
              <c:f>'EU po skupinah'!$C$9:$L$9</c:f>
              <c:numCache>
                <c:formatCode>0.00%</c:formatCode>
                <c:ptCount val="10"/>
                <c:pt idx="0">
                  <c:v>4.7411201747636798E-3</c:v>
                </c:pt>
                <c:pt idx="1">
                  <c:v>5.9614631277765699E-3</c:v>
                </c:pt>
                <c:pt idx="2">
                  <c:v>6.1261684749010399E-3</c:v>
                </c:pt>
                <c:pt idx="3">
                  <c:v>5.8287632190336903E-3</c:v>
                </c:pt>
                <c:pt idx="4">
                  <c:v>5.1925624219035802E-3</c:v>
                </c:pt>
                <c:pt idx="5">
                  <c:v>5.1936110196781002E-3</c:v>
                </c:pt>
                <c:pt idx="6">
                  <c:v>5.0989312877612204E-3</c:v>
                </c:pt>
                <c:pt idx="7">
                  <c:v>7.1225708073288704E-3</c:v>
                </c:pt>
                <c:pt idx="8">
                  <c:v>6.90037527441622E-3</c:v>
                </c:pt>
                <c:pt idx="9">
                  <c:v>7.0283684115509401E-3</c:v>
                </c:pt>
              </c:numCache>
            </c:numRef>
          </c:val>
          <c:smooth val="0"/>
        </c:ser>
        <c:dLbls>
          <c:showLegendKey val="0"/>
          <c:showVal val="0"/>
          <c:showCatName val="0"/>
          <c:showSerName val="0"/>
          <c:showPercent val="0"/>
          <c:showBubbleSize val="0"/>
        </c:dLbls>
        <c:marker val="1"/>
        <c:smooth val="0"/>
        <c:axId val="122301440"/>
        <c:axId val="122299520"/>
      </c:lineChart>
      <c:catAx>
        <c:axId val="126612992"/>
        <c:scaling>
          <c:orientation val="minMax"/>
        </c:scaling>
        <c:delete val="0"/>
        <c:axPos val="b"/>
        <c:majorTickMark val="out"/>
        <c:minorTickMark val="none"/>
        <c:tickLblPos val="nextTo"/>
        <c:txPr>
          <a:bodyPr/>
          <a:lstStyle/>
          <a:p>
            <a:pPr>
              <a:defRPr sz="950" baseline="0"/>
            </a:pPr>
            <a:endParaRPr lang="sl-SI"/>
          </a:p>
        </c:txPr>
        <c:crossAx val="126614528"/>
        <c:crosses val="autoZero"/>
        <c:auto val="1"/>
        <c:lblAlgn val="ctr"/>
        <c:lblOffset val="100"/>
        <c:noMultiLvlLbl val="0"/>
      </c:catAx>
      <c:valAx>
        <c:axId val="126614528"/>
        <c:scaling>
          <c:orientation val="minMax"/>
          <c:max val="110000"/>
        </c:scaling>
        <c:delete val="0"/>
        <c:axPos val="l"/>
        <c:majorGridlines/>
        <c:title>
          <c:tx>
            <c:rich>
              <a:bodyPr rot="-5400000" vert="horz"/>
              <a:lstStyle/>
              <a:p>
                <a:pPr>
                  <a:defRPr/>
                </a:pPr>
                <a:r>
                  <a:rPr lang="en-US"/>
                  <a:t>v mio EUR</a:t>
                </a:r>
              </a:p>
            </c:rich>
          </c:tx>
          <c:overlay val="0"/>
        </c:title>
        <c:numFmt formatCode="#,##0.0" sourceLinked="1"/>
        <c:majorTickMark val="out"/>
        <c:minorTickMark val="none"/>
        <c:tickLblPos val="nextTo"/>
        <c:txPr>
          <a:bodyPr/>
          <a:lstStyle/>
          <a:p>
            <a:pPr>
              <a:defRPr sz="950" baseline="0"/>
            </a:pPr>
            <a:endParaRPr lang="sl-SI"/>
          </a:p>
        </c:txPr>
        <c:crossAx val="126612992"/>
        <c:crosses val="autoZero"/>
        <c:crossBetween val="between"/>
        <c:majorUnit val="10000"/>
      </c:valAx>
      <c:valAx>
        <c:axId val="122299520"/>
        <c:scaling>
          <c:orientation val="minMax"/>
        </c:scaling>
        <c:delete val="0"/>
        <c:axPos val="r"/>
        <c:title>
          <c:tx>
            <c:rich>
              <a:bodyPr rot="-5400000" vert="horz"/>
              <a:lstStyle/>
              <a:p>
                <a:pPr>
                  <a:defRPr/>
                </a:pPr>
                <a:r>
                  <a:rPr lang="en-US"/>
                  <a:t>% BDP</a:t>
                </a:r>
              </a:p>
            </c:rich>
          </c:tx>
          <c:overlay val="0"/>
        </c:title>
        <c:numFmt formatCode="0.00%" sourceLinked="1"/>
        <c:majorTickMark val="out"/>
        <c:minorTickMark val="none"/>
        <c:tickLblPos val="nextTo"/>
        <c:txPr>
          <a:bodyPr/>
          <a:lstStyle/>
          <a:p>
            <a:pPr>
              <a:defRPr sz="940" baseline="0"/>
            </a:pPr>
            <a:endParaRPr lang="sl-SI"/>
          </a:p>
        </c:txPr>
        <c:crossAx val="122301440"/>
        <c:crosses val="max"/>
        <c:crossBetween val="between"/>
      </c:valAx>
      <c:catAx>
        <c:axId val="122301440"/>
        <c:scaling>
          <c:orientation val="minMax"/>
        </c:scaling>
        <c:delete val="1"/>
        <c:axPos val="b"/>
        <c:majorTickMark val="out"/>
        <c:minorTickMark val="none"/>
        <c:tickLblPos val="nextTo"/>
        <c:crossAx val="122299520"/>
        <c:crosses val="autoZero"/>
        <c:auto val="1"/>
        <c:lblAlgn val="ctr"/>
        <c:lblOffset val="100"/>
        <c:noMultiLvlLbl val="0"/>
      </c:catAx>
    </c:plotArea>
    <c:legend>
      <c:legendPos val="r"/>
      <c:layout>
        <c:manualLayout>
          <c:xMode val="edge"/>
          <c:yMode val="edge"/>
          <c:x val="0.78199730715478699"/>
          <c:y val="0.24539082727525899"/>
          <c:w val="0.206203429116815"/>
          <c:h val="0.429375523265071"/>
        </c:manualLayout>
      </c:layout>
      <c:overlay val="1"/>
      <c:txPr>
        <a:bodyPr/>
        <a:lstStyle/>
        <a:p>
          <a:pPr>
            <a:defRPr sz="960" baseline="0"/>
          </a:pPr>
          <a:endParaRPr lang="sl-SI"/>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51292199586203E-2"/>
          <c:y val="2.6287268866672601E-2"/>
          <c:w val="0.84004291130275399"/>
          <c:h val="0.84700337668465597"/>
        </c:manualLayout>
      </c:layout>
      <c:barChart>
        <c:barDir val="col"/>
        <c:grouping val="clustered"/>
        <c:varyColors val="0"/>
        <c:ser>
          <c:idx val="0"/>
          <c:order val="0"/>
          <c:tx>
            <c:v>Državne pomoči kot % BDP</c:v>
          </c:tx>
          <c:spPr>
            <a:solidFill>
              <a:schemeClr val="accent6">
                <a:lumMod val="50000"/>
              </a:schemeClr>
            </a:solidFill>
          </c:spPr>
          <c:invertIfNegative val="0"/>
          <c:dPt>
            <c:idx val="14"/>
            <c:invertIfNegative val="0"/>
            <c:bubble3D val="0"/>
            <c:spPr>
              <a:solidFill>
                <a:srgbClr val="002060"/>
              </a:solidFill>
            </c:spPr>
          </c:dPt>
          <c:dPt>
            <c:idx val="17"/>
            <c:invertIfNegative val="0"/>
            <c:bubble3D val="0"/>
            <c:spPr>
              <a:solidFill>
                <a:srgbClr val="00B050"/>
              </a:solidFill>
              <a:ln>
                <a:solidFill>
                  <a:sysClr val="windowText" lastClr="000000"/>
                </a:solidFill>
              </a:ln>
            </c:spPr>
          </c:dPt>
          <c:dLbls>
            <c:dLbl>
              <c:idx val="0"/>
              <c:showLegendKey val="0"/>
              <c:showVal val="1"/>
              <c:showCatName val="0"/>
              <c:showSerName val="0"/>
              <c:showPercent val="0"/>
              <c:showBubbleSize val="0"/>
            </c:dLbl>
            <c:dLbl>
              <c:idx val="14"/>
              <c:tx>
                <c:rich>
                  <a:bodyPr/>
                  <a:lstStyle/>
                  <a:p>
                    <a:pPr>
                      <a:defRPr/>
                    </a:pPr>
                    <a:r>
                      <a:rPr lang="en-US"/>
                      <a:t>0</a:t>
                    </a:r>
                    <a:r>
                      <a:rPr lang="sl-SI"/>
                      <a:t>,70</a:t>
                    </a:r>
                    <a:r>
                      <a:rPr lang="en-US"/>
                      <a:t>%</a:t>
                    </a:r>
                  </a:p>
                </c:rich>
              </c:tx>
              <c:spPr>
                <a:ln>
                  <a:solidFill>
                    <a:srgbClr val="002060"/>
                  </a:solidFill>
                </a:ln>
              </c:spPr>
              <c:showLegendKey val="0"/>
              <c:showVal val="1"/>
              <c:showCatName val="0"/>
              <c:showSerName val="0"/>
              <c:showPercent val="0"/>
              <c:showBubbleSize val="0"/>
            </c:dLbl>
            <c:dLbl>
              <c:idx val="17"/>
              <c:spPr>
                <a:ln>
                  <a:solidFill>
                    <a:srgbClr val="008000"/>
                  </a:solidFill>
                </a:ln>
              </c:spPr>
              <c:txPr>
                <a:bodyPr/>
                <a:lstStyle/>
                <a:p>
                  <a:pPr>
                    <a:defRPr/>
                  </a:pPr>
                  <a:endParaRPr lang="sl-SI"/>
                </a:p>
              </c:txPr>
              <c:showLegendKey val="0"/>
              <c:showVal val="1"/>
              <c:showCatName val="0"/>
              <c:showSerName val="0"/>
              <c:showPercent val="0"/>
              <c:showBubbleSize val="0"/>
            </c:dLbl>
            <c:dLbl>
              <c:idx val="24"/>
              <c:showLegendKey val="0"/>
              <c:showVal val="1"/>
              <c:showCatName val="0"/>
              <c:showSerName val="0"/>
              <c:showPercent val="0"/>
              <c:showBubbleSize val="0"/>
            </c:dLbl>
            <c:dLbl>
              <c:idx val="25"/>
              <c:layout>
                <c:manualLayout>
                  <c:x val="2.2045855379188698E-3"/>
                  <c:y val="0"/>
                </c:manualLayout>
              </c:layout>
              <c:showLegendKey val="0"/>
              <c:showVal val="1"/>
              <c:showCatName val="0"/>
              <c:showSerName val="0"/>
              <c:showPercent val="0"/>
              <c:showBubbleSize val="0"/>
            </c:dLbl>
            <c:dLbl>
              <c:idx val="26"/>
              <c:showLegendKey val="0"/>
              <c:showVal val="1"/>
              <c:showCatName val="0"/>
              <c:showSerName val="0"/>
              <c:showPercent val="0"/>
              <c:showBubbleSize val="0"/>
            </c:dLbl>
            <c:dLbl>
              <c:idx val="27"/>
              <c:showLegendKey val="0"/>
              <c:showVal val="1"/>
              <c:showCatName val="0"/>
              <c:showSerName val="0"/>
              <c:showPercent val="0"/>
              <c:showBubbleSize val="0"/>
            </c:dLbl>
            <c:dLbl>
              <c:idx val="28"/>
              <c:showLegendKey val="0"/>
              <c:showVal val="1"/>
              <c:showCatName val="0"/>
              <c:showSerName val="0"/>
              <c:showPercent val="0"/>
              <c:showBubbleSize val="0"/>
            </c:dLbl>
            <c:showLegendKey val="0"/>
            <c:showVal val="0"/>
            <c:showCatName val="0"/>
            <c:showSerName val="0"/>
            <c:showPercent val="0"/>
            <c:showBubbleSize val="0"/>
          </c:dLbls>
          <c:cat>
            <c:strRef>
              <c:f>'SKUPAJ v BDP'!$B$38:$B$66</c:f>
              <c:strCache>
                <c:ptCount val="29"/>
                <c:pt idx="0">
                  <c:v>IE</c:v>
                </c:pt>
                <c:pt idx="1">
                  <c:v>IT</c:v>
                </c:pt>
                <c:pt idx="2">
                  <c:v>ES</c:v>
                </c:pt>
                <c:pt idx="3">
                  <c:v>LU</c:v>
                </c:pt>
                <c:pt idx="4">
                  <c:v>NL</c:v>
                </c:pt>
                <c:pt idx="5">
                  <c:v>UK</c:v>
                </c:pt>
                <c:pt idx="6">
                  <c:v>PT</c:v>
                </c:pt>
                <c:pt idx="7">
                  <c:v>EL</c:v>
                </c:pt>
                <c:pt idx="8">
                  <c:v>SK</c:v>
                </c:pt>
                <c:pt idx="9">
                  <c:v>MT</c:v>
                </c:pt>
                <c:pt idx="10">
                  <c:v>AT</c:v>
                </c:pt>
                <c:pt idx="11">
                  <c:v>BE</c:v>
                </c:pt>
                <c:pt idx="12">
                  <c:v>RO</c:v>
                </c:pt>
                <c:pt idx="13">
                  <c:v>FR</c:v>
                </c:pt>
                <c:pt idx="14">
                  <c:v>EU28</c:v>
                </c:pt>
                <c:pt idx="15">
                  <c:v>CY</c:v>
                </c:pt>
                <c:pt idx="16">
                  <c:v>BG</c:v>
                </c:pt>
                <c:pt idx="17">
                  <c:v>SI</c:v>
                </c:pt>
                <c:pt idx="18">
                  <c:v>SE</c:v>
                </c:pt>
                <c:pt idx="19">
                  <c:v>EE</c:v>
                </c:pt>
                <c:pt idx="20">
                  <c:v>LT</c:v>
                </c:pt>
                <c:pt idx="21">
                  <c:v>FI</c:v>
                </c:pt>
                <c:pt idx="22">
                  <c:v>PL</c:v>
                </c:pt>
                <c:pt idx="23">
                  <c:v>HR</c:v>
                </c:pt>
                <c:pt idx="24">
                  <c:v>DE</c:v>
                </c:pt>
                <c:pt idx="25">
                  <c:v>CZ</c:v>
                </c:pt>
                <c:pt idx="26">
                  <c:v>LV</c:v>
                </c:pt>
                <c:pt idx="27">
                  <c:v>DK</c:v>
                </c:pt>
                <c:pt idx="28">
                  <c:v>HU</c:v>
                </c:pt>
              </c:strCache>
            </c:strRef>
          </c:cat>
          <c:val>
            <c:numRef>
              <c:f>'SKUPAJ v BDP'!$J$38:$J$66</c:f>
              <c:numCache>
                <c:formatCode>0.00%</c:formatCode>
                <c:ptCount val="29"/>
                <c:pt idx="0">
                  <c:v>1.9671480781237802E-3</c:v>
                </c:pt>
                <c:pt idx="1">
                  <c:v>2.19102541000522E-3</c:v>
                </c:pt>
                <c:pt idx="2">
                  <c:v>2.5047339256626202E-3</c:v>
                </c:pt>
                <c:pt idx="3">
                  <c:v>2.7601273846896901E-3</c:v>
                </c:pt>
                <c:pt idx="4">
                  <c:v>3.3220063331436899E-3</c:v>
                </c:pt>
                <c:pt idx="5">
                  <c:v>3.5575692359593502E-3</c:v>
                </c:pt>
                <c:pt idx="6">
                  <c:v>3.62221958661736E-3</c:v>
                </c:pt>
                <c:pt idx="7">
                  <c:v>4.0763654044534102E-3</c:v>
                </c:pt>
                <c:pt idx="8">
                  <c:v>4.74776351134879E-3</c:v>
                </c:pt>
                <c:pt idx="9">
                  <c:v>5.31544519305266E-3</c:v>
                </c:pt>
                <c:pt idx="10">
                  <c:v>5.6496391561884603E-3</c:v>
                </c:pt>
                <c:pt idx="11">
                  <c:v>5.8212216592504499E-3</c:v>
                </c:pt>
                <c:pt idx="12">
                  <c:v>6.0494028716231102E-3</c:v>
                </c:pt>
                <c:pt idx="13">
                  <c:v>6.4878433146307399E-3</c:v>
                </c:pt>
                <c:pt idx="14">
                  <c:v>6.8896836390096201E-3</c:v>
                </c:pt>
                <c:pt idx="15">
                  <c:v>7.0530377461016196E-3</c:v>
                </c:pt>
                <c:pt idx="16">
                  <c:v>7.4155491745033098E-3</c:v>
                </c:pt>
                <c:pt idx="17">
                  <c:v>7.5807620843137101E-3</c:v>
                </c:pt>
                <c:pt idx="18">
                  <c:v>7.8052616350184102E-3</c:v>
                </c:pt>
                <c:pt idx="19">
                  <c:v>8.6405065810989494E-3</c:v>
                </c:pt>
                <c:pt idx="20">
                  <c:v>8.7048047108354894E-3</c:v>
                </c:pt>
                <c:pt idx="21">
                  <c:v>9.2517271217105995E-3</c:v>
                </c:pt>
                <c:pt idx="22">
                  <c:v>1.07686149389059E-2</c:v>
                </c:pt>
                <c:pt idx="23">
                  <c:v>1.12801380803825E-2</c:v>
                </c:pt>
                <c:pt idx="24">
                  <c:v>1.305841192093E-2</c:v>
                </c:pt>
                <c:pt idx="25">
                  <c:v>1.4423646638517499E-2</c:v>
                </c:pt>
                <c:pt idx="26">
                  <c:v>1.5325609012421E-2</c:v>
                </c:pt>
                <c:pt idx="27">
                  <c:v>1.6326767429783701E-2</c:v>
                </c:pt>
                <c:pt idx="28">
                  <c:v>2.1028604388608901E-2</c:v>
                </c:pt>
              </c:numCache>
            </c:numRef>
          </c:val>
        </c:ser>
        <c:dLbls>
          <c:showLegendKey val="0"/>
          <c:showVal val="0"/>
          <c:showCatName val="0"/>
          <c:showSerName val="0"/>
          <c:showPercent val="0"/>
          <c:showBubbleSize val="0"/>
        </c:dLbls>
        <c:gapWidth val="150"/>
        <c:axId val="122328576"/>
        <c:axId val="122330112"/>
      </c:barChart>
      <c:catAx>
        <c:axId val="122328576"/>
        <c:scaling>
          <c:orientation val="minMax"/>
        </c:scaling>
        <c:delete val="0"/>
        <c:axPos val="b"/>
        <c:majorTickMark val="out"/>
        <c:minorTickMark val="none"/>
        <c:tickLblPos val="nextTo"/>
        <c:crossAx val="122330112"/>
        <c:crosses val="autoZero"/>
        <c:auto val="1"/>
        <c:lblAlgn val="ctr"/>
        <c:lblOffset val="100"/>
        <c:noMultiLvlLbl val="0"/>
      </c:catAx>
      <c:valAx>
        <c:axId val="122330112"/>
        <c:scaling>
          <c:orientation val="minMax"/>
          <c:max val="2.5000000000000001E-2"/>
        </c:scaling>
        <c:delete val="0"/>
        <c:axPos val="l"/>
        <c:majorGridlines/>
        <c:numFmt formatCode="0.00%" sourceLinked="1"/>
        <c:majorTickMark val="out"/>
        <c:minorTickMark val="none"/>
        <c:tickLblPos val="nextTo"/>
        <c:crossAx val="122328576"/>
        <c:crosses val="autoZero"/>
        <c:crossBetween val="between"/>
      </c:valAx>
    </c:plotArea>
    <c:plotVisOnly val="1"/>
    <c:dispBlanksAs val="gap"/>
    <c:showDLblsOverMax val="0"/>
  </c:chart>
  <c:spPr>
    <a:ln>
      <a:noFill/>
    </a:ln>
  </c:spPr>
  <c:txPr>
    <a:bodyPr/>
    <a:lstStyle/>
    <a:p>
      <a:pPr>
        <a:defRPr sz="920" baseline="0"/>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54541099029299"/>
          <c:y val="2.7386541471048499E-2"/>
          <c:w val="0.76230540626866095"/>
          <c:h val="0.80412708094586804"/>
        </c:manualLayout>
      </c:layout>
      <c:barChart>
        <c:barDir val="col"/>
        <c:grouping val="clustered"/>
        <c:varyColors val="0"/>
        <c:ser>
          <c:idx val="0"/>
          <c:order val="0"/>
          <c:tx>
            <c:v>2015</c:v>
          </c:tx>
          <c:spPr>
            <a:solidFill>
              <a:srgbClr val="00B050"/>
            </a:solidFill>
            <a:ln>
              <a:solidFill>
                <a:sysClr val="windowText" lastClr="000000"/>
              </a:solidFill>
            </a:ln>
          </c:spPr>
          <c:invertIfNegative val="0"/>
          <c:cat>
            <c:strRef>
              <c:f>'SKUPAJ v BDP'!$B$6:$B$34</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'SKUPAJ v BDP'!$M$6:$M$34</c:f>
              <c:numCache>
                <c:formatCode>0.00%</c:formatCode>
                <c:ptCount val="29"/>
                <c:pt idx="0">
                  <c:v>6.7603932832640398E-3</c:v>
                </c:pt>
                <c:pt idx="1">
                  <c:v>4.9772051753574596E-3</c:v>
                </c:pt>
                <c:pt idx="2">
                  <c:v>9.2433727490532497E-3</c:v>
                </c:pt>
                <c:pt idx="3">
                  <c:v>1.26666955535388E-2</c:v>
                </c:pt>
                <c:pt idx="4">
                  <c:v>1.23619413954861E-2</c:v>
                </c:pt>
                <c:pt idx="5">
                  <c:v>1.20782941534013E-2</c:v>
                </c:pt>
                <c:pt idx="6">
                  <c:v>1.0015874029988599E-2</c:v>
                </c:pt>
                <c:pt idx="7">
                  <c:v>3.01448338871824E-3</c:v>
                </c:pt>
                <c:pt idx="8">
                  <c:v>1.30529969599347E-2</c:v>
                </c:pt>
                <c:pt idx="9">
                  <c:v>2.6230604130748399E-3</c:v>
                </c:pt>
                <c:pt idx="10">
                  <c:v>7.3402315832375104E-3</c:v>
                </c:pt>
                <c:pt idx="11">
                  <c:v>8.6894334605960195E-3</c:v>
                </c:pt>
                <c:pt idx="12">
                  <c:v>2.6841583827109201E-3</c:v>
                </c:pt>
                <c:pt idx="13">
                  <c:v>7.6879720437380197E-3</c:v>
                </c:pt>
                <c:pt idx="14">
                  <c:v>2.2697088440520902E-2</c:v>
                </c:pt>
                <c:pt idx="15">
                  <c:v>8.2802071254134708E-3</c:v>
                </c:pt>
                <c:pt idx="16">
                  <c:v>3.53346039203944E-3</c:v>
                </c:pt>
                <c:pt idx="17">
                  <c:v>1.3032534371841801E-2</c:v>
                </c:pt>
                <c:pt idx="18">
                  <c:v>9.6071151385480197E-3</c:v>
                </c:pt>
                <c:pt idx="19">
                  <c:v>3.2447449884639001E-3</c:v>
                </c:pt>
                <c:pt idx="20">
                  <c:v>5.5269596032664799E-3</c:v>
                </c:pt>
                <c:pt idx="21">
                  <c:v>8.6656418357943799E-3</c:v>
                </c:pt>
                <c:pt idx="22">
                  <c:v>5.1871679464498702E-3</c:v>
                </c:pt>
                <c:pt idx="23">
                  <c:v>8.0874472388267407E-3</c:v>
                </c:pt>
                <c:pt idx="24">
                  <c:v>1.10076577249296E-2</c:v>
                </c:pt>
                <c:pt idx="25">
                  <c:v>5.7619866052190001E-3</c:v>
                </c:pt>
                <c:pt idx="26">
                  <c:v>9.3667105589587997E-3</c:v>
                </c:pt>
                <c:pt idx="27">
                  <c:v>7.0955344901771598E-3</c:v>
                </c:pt>
                <c:pt idx="28">
                  <c:v>3.64842148361049E-3</c:v>
                </c:pt>
              </c:numCache>
            </c:numRef>
          </c:val>
        </c:ser>
        <c:ser>
          <c:idx val="1"/>
          <c:order val="1"/>
          <c:tx>
            <c:v>2016</c:v>
          </c:tx>
          <c:spPr>
            <a:ln>
              <a:solidFill>
                <a:sysClr val="windowText" lastClr="000000"/>
              </a:solidFill>
            </a:ln>
          </c:spPr>
          <c:invertIfNegative val="0"/>
          <c:cat>
            <c:strRef>
              <c:f>'SKUPAJ v BDP'!$B$6:$B$34</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'SKUPAJ v BDP'!$P$6:$P$34</c:f>
              <c:numCache>
                <c:formatCode>0.00%</c:formatCode>
                <c:ptCount val="29"/>
                <c:pt idx="0">
                  <c:v>6.8896836390096201E-3</c:v>
                </c:pt>
                <c:pt idx="1">
                  <c:v>5.8212216592504499E-3</c:v>
                </c:pt>
                <c:pt idx="2">
                  <c:v>7.4155491745033098E-3</c:v>
                </c:pt>
                <c:pt idx="3">
                  <c:v>1.4423646638517499E-2</c:v>
                </c:pt>
                <c:pt idx="4">
                  <c:v>1.6326767429783701E-2</c:v>
                </c:pt>
                <c:pt idx="5">
                  <c:v>1.305841192093E-2</c:v>
                </c:pt>
                <c:pt idx="6">
                  <c:v>8.6405065810989494E-3</c:v>
                </c:pt>
                <c:pt idx="7">
                  <c:v>1.9671480781237802E-3</c:v>
                </c:pt>
                <c:pt idx="8">
                  <c:v>4.0763654044534102E-3</c:v>
                </c:pt>
                <c:pt idx="9">
                  <c:v>2.5047339256626202E-3</c:v>
                </c:pt>
                <c:pt idx="10">
                  <c:v>6.4878433146307399E-3</c:v>
                </c:pt>
                <c:pt idx="11">
                  <c:v>1.12801380803825E-2</c:v>
                </c:pt>
                <c:pt idx="12">
                  <c:v>2.19102541000522E-3</c:v>
                </c:pt>
                <c:pt idx="13">
                  <c:v>7.0530377461016196E-3</c:v>
                </c:pt>
                <c:pt idx="14">
                  <c:v>1.5325609012421E-2</c:v>
                </c:pt>
                <c:pt idx="15">
                  <c:v>8.7048047108354894E-3</c:v>
                </c:pt>
                <c:pt idx="16">
                  <c:v>2.7601273846896901E-3</c:v>
                </c:pt>
                <c:pt idx="17">
                  <c:v>2.1028604388608901E-2</c:v>
                </c:pt>
                <c:pt idx="18">
                  <c:v>5.31544519305266E-3</c:v>
                </c:pt>
                <c:pt idx="19">
                  <c:v>3.3220063331436899E-3</c:v>
                </c:pt>
                <c:pt idx="20">
                  <c:v>5.6496391561884603E-3</c:v>
                </c:pt>
                <c:pt idx="21">
                  <c:v>1.07686149389059E-2</c:v>
                </c:pt>
                <c:pt idx="22">
                  <c:v>3.62221958661736E-3</c:v>
                </c:pt>
                <c:pt idx="23">
                  <c:v>6.0494028716231102E-3</c:v>
                </c:pt>
                <c:pt idx="24">
                  <c:v>7.5807620843137101E-3</c:v>
                </c:pt>
                <c:pt idx="25">
                  <c:v>4.74776351134879E-3</c:v>
                </c:pt>
                <c:pt idx="26">
                  <c:v>9.2517271217105995E-3</c:v>
                </c:pt>
                <c:pt idx="27">
                  <c:v>7.8052616350184102E-3</c:v>
                </c:pt>
                <c:pt idx="28">
                  <c:v>3.5575692359593502E-3</c:v>
                </c:pt>
              </c:numCache>
            </c:numRef>
          </c:val>
        </c:ser>
        <c:dLbls>
          <c:showLegendKey val="0"/>
          <c:showVal val="0"/>
          <c:showCatName val="0"/>
          <c:showSerName val="0"/>
          <c:showPercent val="0"/>
          <c:showBubbleSize val="0"/>
        </c:dLbls>
        <c:gapWidth val="150"/>
        <c:axId val="126422400"/>
        <c:axId val="126440576"/>
      </c:barChart>
      <c:catAx>
        <c:axId val="126422400"/>
        <c:scaling>
          <c:orientation val="minMax"/>
        </c:scaling>
        <c:delete val="0"/>
        <c:axPos val="b"/>
        <c:majorTickMark val="out"/>
        <c:minorTickMark val="none"/>
        <c:tickLblPos val="nextTo"/>
        <c:txPr>
          <a:bodyPr/>
          <a:lstStyle/>
          <a:p>
            <a:pPr>
              <a:defRPr sz="920" baseline="0"/>
            </a:pPr>
            <a:endParaRPr lang="sl-SI"/>
          </a:p>
        </c:txPr>
        <c:crossAx val="126440576"/>
        <c:crosses val="autoZero"/>
        <c:auto val="1"/>
        <c:lblAlgn val="ctr"/>
        <c:lblOffset val="100"/>
        <c:noMultiLvlLbl val="0"/>
      </c:catAx>
      <c:valAx>
        <c:axId val="126440576"/>
        <c:scaling>
          <c:orientation val="minMax"/>
        </c:scaling>
        <c:delete val="0"/>
        <c:axPos val="l"/>
        <c:majorGridlines/>
        <c:title>
          <c:tx>
            <c:rich>
              <a:bodyPr rot="-5400000" vert="horz"/>
              <a:lstStyle/>
              <a:p>
                <a:pPr>
                  <a:defRPr/>
                </a:pPr>
                <a:r>
                  <a:rPr lang="sl-SI"/>
                  <a:t>v % BDP</a:t>
                </a:r>
              </a:p>
            </c:rich>
          </c:tx>
          <c:overlay val="0"/>
        </c:title>
        <c:numFmt formatCode="0.00%" sourceLinked="1"/>
        <c:majorTickMark val="out"/>
        <c:minorTickMark val="none"/>
        <c:tickLblPos val="nextTo"/>
        <c:txPr>
          <a:bodyPr/>
          <a:lstStyle/>
          <a:p>
            <a:pPr>
              <a:defRPr sz="950" baseline="0"/>
            </a:pPr>
            <a:endParaRPr lang="sl-SI"/>
          </a:p>
        </c:txPr>
        <c:crossAx val="126422400"/>
        <c:crosses val="autoZero"/>
        <c:crossBetween val="between"/>
      </c:valAx>
      <c:spPr>
        <a:noFill/>
        <a:ln w="25400">
          <a:noFill/>
        </a:ln>
      </c:spPr>
    </c:plotArea>
    <c:legend>
      <c:legendPos val="r"/>
      <c:overlay val="0"/>
      <c:txPr>
        <a:bodyPr/>
        <a:lstStyle/>
        <a:p>
          <a:pPr>
            <a:defRPr sz="950" baseline="0"/>
          </a:pPr>
          <a:endParaRPr lang="sl-SI"/>
        </a:p>
      </c:txPr>
    </c:legend>
    <c:plotVisOnly val="1"/>
    <c:dispBlanksAs val="gap"/>
    <c:showDLblsOverMax val="0"/>
  </c:chart>
  <c:spPr>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411002853838"/>
          <c:y val="7.0175438596491196E-2"/>
          <c:w val="0.55158053231067805"/>
          <c:h val="0.82401333057052095"/>
        </c:manualLayout>
      </c:layout>
      <c:barChart>
        <c:barDir val="bar"/>
        <c:grouping val="clustered"/>
        <c:varyColors val="0"/>
        <c:ser>
          <c:idx val="0"/>
          <c:order val="0"/>
          <c:tx>
            <c:v>2016</c:v>
          </c:tx>
          <c:invertIfNegative val="0"/>
          <c:dLbls>
            <c:txPr>
              <a:bodyPr/>
              <a:lstStyle/>
              <a:p>
                <a:pPr>
                  <a:defRPr sz="950" baseline="0"/>
                </a:pPr>
                <a:endParaRPr lang="sl-SI"/>
              </a:p>
            </c:txPr>
            <c:showLegendKey val="0"/>
            <c:showVal val="1"/>
            <c:showCatName val="0"/>
            <c:showSerName val="0"/>
            <c:showPercent val="0"/>
            <c:showBubbleSize val="0"/>
            <c:showLeaderLines val="0"/>
          </c:dLbls>
          <c:cat>
            <c:strRef>
              <c:f>'SKUPAJ (brez trans in železnic)'!$B$38:$B$50</c:f>
              <c:strCache>
                <c:ptCount val="13"/>
                <c:pt idx="0">
                  <c:v>Nemčija</c:v>
                </c:pt>
                <c:pt idx="1">
                  <c:v>Francija</c:v>
                </c:pt>
                <c:pt idx="2">
                  <c:v>Velika Britanija</c:v>
                </c:pt>
                <c:pt idx="3">
                  <c:v>Poljska</c:v>
                </c:pt>
                <c:pt idx="4">
                  <c:v>Danska</c:v>
                </c:pt>
                <c:pt idx="5">
                  <c:v>Italija</c:v>
                </c:pt>
                <c:pt idx="6">
                  <c:v>Švedska </c:v>
                </c:pt>
                <c:pt idx="7">
                  <c:v>Španija</c:v>
                </c:pt>
                <c:pt idx="8">
                  <c:v>Češka</c:v>
                </c:pt>
                <c:pt idx="9">
                  <c:v>Belgija</c:v>
                </c:pt>
                <c:pt idx="10">
                  <c:v>Madžarska</c:v>
                </c:pt>
                <c:pt idx="11">
                  <c:v>Nizozemska</c:v>
                </c:pt>
                <c:pt idx="12">
                  <c:v>Ostale države</c:v>
                </c:pt>
              </c:strCache>
            </c:strRef>
          </c:cat>
          <c:val>
            <c:numRef>
              <c:f>'SKUPAJ (brez trans in železnic)'!$O$38:$O$50</c:f>
              <c:numCache>
                <c:formatCode>0.0%</c:formatCode>
                <c:ptCount val="13"/>
                <c:pt idx="0">
                  <c:v>0.39937957319149198</c:v>
                </c:pt>
                <c:pt idx="1">
                  <c:v>0.14064758628874299</c:v>
                </c:pt>
                <c:pt idx="2">
                  <c:v>8.3172989935817204E-2</c:v>
                </c:pt>
                <c:pt idx="3">
                  <c:v>4.4618590236205798E-2</c:v>
                </c:pt>
                <c:pt idx="4">
                  <c:v>4.4070925932050697E-2</c:v>
                </c:pt>
                <c:pt idx="5">
                  <c:v>3.5826778547123503E-2</c:v>
                </c:pt>
                <c:pt idx="6">
                  <c:v>3.53199701946105E-2</c:v>
                </c:pt>
                <c:pt idx="7">
                  <c:v>2.7252865266799101E-2</c:v>
                </c:pt>
                <c:pt idx="8">
                  <c:v>2.4746060805329199E-2</c:v>
                </c:pt>
                <c:pt idx="9">
                  <c:v>2.39347783370071E-2</c:v>
                </c:pt>
                <c:pt idx="10">
                  <c:v>2.3264546177925699E-2</c:v>
                </c:pt>
                <c:pt idx="11">
                  <c:v>2.2890033287873E-2</c:v>
                </c:pt>
                <c:pt idx="12">
                  <c:v>9.4876274559777096E-2</c:v>
                </c:pt>
              </c:numCache>
            </c:numRef>
          </c:val>
        </c:ser>
        <c:ser>
          <c:idx val="1"/>
          <c:order val="1"/>
          <c:tx>
            <c:v>povprečje 2014-2016</c:v>
          </c:tx>
          <c:invertIfNegative val="0"/>
          <c:cat>
            <c:strRef>
              <c:f>'SKUPAJ (brez trans in železnic)'!$B$38:$B$50</c:f>
              <c:strCache>
                <c:ptCount val="13"/>
                <c:pt idx="0">
                  <c:v>Nemčija</c:v>
                </c:pt>
                <c:pt idx="1">
                  <c:v>Francija</c:v>
                </c:pt>
                <c:pt idx="2">
                  <c:v>Velika Britanija</c:v>
                </c:pt>
                <c:pt idx="3">
                  <c:v>Poljska</c:v>
                </c:pt>
                <c:pt idx="4">
                  <c:v>Danska</c:v>
                </c:pt>
                <c:pt idx="5">
                  <c:v>Italija</c:v>
                </c:pt>
                <c:pt idx="6">
                  <c:v>Švedska </c:v>
                </c:pt>
                <c:pt idx="7">
                  <c:v>Španija</c:v>
                </c:pt>
                <c:pt idx="8">
                  <c:v>Češka</c:v>
                </c:pt>
                <c:pt idx="9">
                  <c:v>Belgija</c:v>
                </c:pt>
                <c:pt idx="10">
                  <c:v>Madžarska</c:v>
                </c:pt>
                <c:pt idx="11">
                  <c:v>Nizozemska</c:v>
                </c:pt>
                <c:pt idx="12">
                  <c:v>Ostale države</c:v>
                </c:pt>
              </c:strCache>
            </c:strRef>
          </c:cat>
          <c:val>
            <c:numRef>
              <c:f>'SKUPAJ (brez trans in železnic)'!$Q$38:$Q$50</c:f>
              <c:numCache>
                <c:formatCode>0.0%</c:formatCode>
                <c:ptCount val="13"/>
                <c:pt idx="0">
                  <c:v>0.38331677164585998</c:v>
                </c:pt>
                <c:pt idx="1">
                  <c:v>0.15246178365723201</c:v>
                </c:pt>
                <c:pt idx="2">
                  <c:v>8.8391285963588195E-2</c:v>
                </c:pt>
                <c:pt idx="3">
                  <c:v>4.48181168266081E-2</c:v>
                </c:pt>
                <c:pt idx="4">
                  <c:v>3.4523650687127497E-2</c:v>
                </c:pt>
                <c:pt idx="5">
                  <c:v>3.9091888490390601E-2</c:v>
                </c:pt>
                <c:pt idx="6">
                  <c:v>3.356214350055E-2</c:v>
                </c:pt>
                <c:pt idx="7">
                  <c:v>2.9726071680576501E-2</c:v>
                </c:pt>
                <c:pt idx="8">
                  <c:v>2.1352296631439099E-2</c:v>
                </c:pt>
                <c:pt idx="9">
                  <c:v>2.0762182797219201E-2</c:v>
                </c:pt>
                <c:pt idx="10">
                  <c:v>1.8314438406121802E-2</c:v>
                </c:pt>
                <c:pt idx="11">
                  <c:v>2.2701792047602101E-2</c:v>
                </c:pt>
                <c:pt idx="12">
                  <c:v>0.11097824146077399</c:v>
                </c:pt>
              </c:numCache>
            </c:numRef>
          </c:val>
        </c:ser>
        <c:dLbls>
          <c:showLegendKey val="0"/>
          <c:showVal val="0"/>
          <c:showCatName val="0"/>
          <c:showSerName val="0"/>
          <c:showPercent val="0"/>
          <c:showBubbleSize val="0"/>
        </c:dLbls>
        <c:gapWidth val="150"/>
        <c:axId val="126461824"/>
        <c:axId val="126463360"/>
      </c:barChart>
      <c:catAx>
        <c:axId val="126461824"/>
        <c:scaling>
          <c:orientation val="minMax"/>
        </c:scaling>
        <c:delete val="0"/>
        <c:axPos val="l"/>
        <c:majorTickMark val="out"/>
        <c:minorTickMark val="none"/>
        <c:tickLblPos val="nextTo"/>
        <c:txPr>
          <a:bodyPr/>
          <a:lstStyle/>
          <a:p>
            <a:pPr>
              <a:defRPr sz="950" baseline="0"/>
            </a:pPr>
            <a:endParaRPr lang="sl-SI"/>
          </a:p>
        </c:txPr>
        <c:crossAx val="126463360"/>
        <c:crosses val="autoZero"/>
        <c:auto val="1"/>
        <c:lblAlgn val="ctr"/>
        <c:lblOffset val="100"/>
        <c:noMultiLvlLbl val="0"/>
      </c:catAx>
      <c:valAx>
        <c:axId val="126463360"/>
        <c:scaling>
          <c:orientation val="minMax"/>
          <c:max val="0.4"/>
        </c:scaling>
        <c:delete val="0"/>
        <c:axPos val="b"/>
        <c:majorGridlines/>
        <c:numFmt formatCode="0.0%" sourceLinked="1"/>
        <c:majorTickMark val="out"/>
        <c:minorTickMark val="none"/>
        <c:tickLblPos val="nextTo"/>
        <c:txPr>
          <a:bodyPr/>
          <a:lstStyle/>
          <a:p>
            <a:pPr>
              <a:defRPr sz="950" baseline="0"/>
            </a:pPr>
            <a:endParaRPr lang="sl-SI"/>
          </a:p>
        </c:txPr>
        <c:crossAx val="126461824"/>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13151921689098"/>
          <c:y val="0.19358562992125999"/>
          <c:w val="0.42785816662875897"/>
          <c:h val="0.77763221784776904"/>
        </c:manualLayout>
      </c:layout>
      <c:pieChart>
        <c:varyColors val="1"/>
        <c:ser>
          <c:idx val="0"/>
          <c:order val="0"/>
          <c:spPr>
            <a:ln>
              <a:solidFill>
                <a:schemeClr val="bg1"/>
              </a:solidFill>
            </a:ln>
          </c:spPr>
          <c:dPt>
            <c:idx val="0"/>
            <c:bubble3D val="0"/>
            <c:spPr>
              <a:solidFill>
                <a:schemeClr val="accent4"/>
              </a:solidFill>
              <a:ln>
                <a:solidFill>
                  <a:schemeClr val="bg1"/>
                </a:solidFill>
              </a:ln>
            </c:spPr>
          </c:dPt>
          <c:dPt>
            <c:idx val="1"/>
            <c:bubble3D val="0"/>
            <c:spPr>
              <a:solidFill>
                <a:schemeClr val="accent6">
                  <a:lumMod val="75000"/>
                </a:schemeClr>
              </a:solidFill>
              <a:ln>
                <a:solidFill>
                  <a:schemeClr val="bg1"/>
                </a:solidFill>
              </a:ln>
            </c:spPr>
          </c:dPt>
          <c:dPt>
            <c:idx val="2"/>
            <c:bubble3D val="0"/>
            <c:spPr>
              <a:solidFill>
                <a:srgbClr val="0070C0"/>
              </a:solidFill>
              <a:ln>
                <a:solidFill>
                  <a:schemeClr val="bg1"/>
                </a:solidFill>
              </a:ln>
            </c:spPr>
          </c:dPt>
          <c:dPt>
            <c:idx val="3"/>
            <c:bubble3D val="0"/>
            <c:spPr>
              <a:solidFill>
                <a:srgbClr val="FFFF66"/>
              </a:solidFill>
              <a:ln>
                <a:solidFill>
                  <a:schemeClr val="bg1"/>
                </a:solidFill>
              </a:ln>
            </c:spPr>
          </c:dPt>
          <c:dPt>
            <c:idx val="4"/>
            <c:bubble3D val="0"/>
            <c:spPr>
              <a:solidFill>
                <a:srgbClr val="C00000"/>
              </a:solidFill>
              <a:ln>
                <a:solidFill>
                  <a:schemeClr val="bg1"/>
                </a:solidFill>
              </a:ln>
            </c:spPr>
          </c:dPt>
          <c:dPt>
            <c:idx val="5"/>
            <c:bubble3D val="0"/>
            <c:spPr>
              <a:solidFill>
                <a:schemeClr val="accent1">
                  <a:lumMod val="60000"/>
                  <a:lumOff val="40000"/>
                </a:schemeClr>
              </a:solidFill>
              <a:ln>
                <a:solidFill>
                  <a:schemeClr val="bg1"/>
                </a:solidFill>
              </a:ln>
            </c:spPr>
          </c:dPt>
          <c:dPt>
            <c:idx val="6"/>
            <c:bubble3D val="0"/>
            <c:spPr>
              <a:solidFill>
                <a:schemeClr val="bg2">
                  <a:lumMod val="25000"/>
                </a:schemeClr>
              </a:solidFill>
              <a:ln>
                <a:solidFill>
                  <a:schemeClr val="bg1"/>
                </a:solidFill>
              </a:ln>
            </c:spPr>
          </c:dPt>
          <c:dPt>
            <c:idx val="7"/>
            <c:bubble3D val="0"/>
            <c:spPr>
              <a:solidFill>
                <a:schemeClr val="bg2">
                  <a:lumMod val="50000"/>
                </a:schemeClr>
              </a:solidFill>
              <a:ln>
                <a:solidFill>
                  <a:schemeClr val="bg1"/>
                </a:solidFill>
              </a:ln>
            </c:spPr>
          </c:dPt>
          <c:dPt>
            <c:idx val="8"/>
            <c:bubble3D val="0"/>
          </c:dPt>
          <c:dPt>
            <c:idx val="9"/>
            <c:bubble3D val="0"/>
            <c:spPr>
              <a:solidFill>
                <a:srgbClr val="00B050"/>
              </a:solidFill>
              <a:ln>
                <a:solidFill>
                  <a:schemeClr val="bg1"/>
                </a:solidFill>
              </a:ln>
            </c:spPr>
          </c:dPt>
          <c:dLbls>
            <c:dLbl>
              <c:idx val="3"/>
              <c:layout>
                <c:manualLayout>
                  <c:x val="1.8784614463908601E-2"/>
                  <c:y val="0.117712549365909"/>
                </c:manualLayout>
              </c:layout>
              <c:numFmt formatCode="0.0%" sourceLinked="0"/>
              <c:spPr/>
              <c:txPr>
                <a:bodyPr/>
                <a:lstStyle/>
                <a:p>
                  <a:pPr>
                    <a:defRPr/>
                  </a:pPr>
                  <a:endParaRPr lang="sl-SI"/>
                </a:p>
              </c:txPr>
              <c:dLblPos val="bestFit"/>
              <c:showLegendKey val="0"/>
              <c:showVal val="0"/>
              <c:showCatName val="1"/>
              <c:showSerName val="0"/>
              <c:showPercent val="1"/>
              <c:showBubbleSize val="0"/>
            </c:dLbl>
            <c:dLbl>
              <c:idx val="4"/>
              <c:layout>
                <c:manualLayout>
                  <c:x val="-7.7408499833286307E-2"/>
                  <c:y val="9.7153641425662907E-2"/>
                </c:manualLayout>
              </c:layout>
              <c:numFmt formatCode="0.0%" sourceLinked="0"/>
              <c:spPr/>
              <c:txPr>
                <a:bodyPr/>
                <a:lstStyle/>
                <a:p>
                  <a:pPr>
                    <a:defRPr/>
                  </a:pPr>
                  <a:endParaRPr lang="sl-SI"/>
                </a:p>
              </c:txPr>
              <c:dLblPos val="bestFit"/>
              <c:showLegendKey val="0"/>
              <c:showVal val="0"/>
              <c:showCatName val="1"/>
              <c:showSerName val="0"/>
              <c:showPercent val="1"/>
              <c:showBubbleSize val="0"/>
            </c:dLbl>
            <c:dLbl>
              <c:idx val="5"/>
              <c:layout>
                <c:manualLayout>
                  <c:x val="-4.7480742431625998E-2"/>
                  <c:y val="4.1547391272352699E-2"/>
                </c:manualLayout>
              </c:layout>
              <c:numFmt formatCode="0.0%" sourceLinked="0"/>
              <c:spPr/>
              <c:txPr>
                <a:bodyPr/>
                <a:lstStyle/>
                <a:p>
                  <a:pPr>
                    <a:defRPr/>
                  </a:pPr>
                  <a:endParaRPr lang="sl-SI"/>
                </a:p>
              </c:txPr>
              <c:dLblPos val="bestFit"/>
              <c:showLegendKey val="0"/>
              <c:showVal val="0"/>
              <c:showCatName val="1"/>
              <c:showSerName val="0"/>
              <c:showPercent val="1"/>
              <c:showBubbleSize val="0"/>
            </c:dLbl>
            <c:dLbl>
              <c:idx val="6"/>
              <c:layout>
                <c:manualLayout>
                  <c:x val="-7.2225499499858903E-3"/>
                  <c:y val="2.16161355998724E-2"/>
                </c:manualLayout>
              </c:layout>
              <c:numFmt formatCode="0.0%" sourceLinked="0"/>
              <c:spPr/>
              <c:txPr>
                <a:bodyPr/>
                <a:lstStyle/>
                <a:p>
                  <a:pPr>
                    <a:defRPr/>
                  </a:pPr>
                  <a:endParaRPr lang="sl-SI"/>
                </a:p>
              </c:txPr>
              <c:dLblPos val="bestFit"/>
              <c:showLegendKey val="0"/>
              <c:showVal val="0"/>
              <c:showCatName val="1"/>
              <c:showSerName val="0"/>
              <c:showPercent val="1"/>
              <c:showBubbleSize val="0"/>
            </c:dLbl>
            <c:dLbl>
              <c:idx val="7"/>
              <c:layout>
                <c:manualLayout>
                  <c:x val="5.2498311489565401E-2"/>
                  <c:y val="-3.19676453994652E-2"/>
                </c:manualLayout>
              </c:layout>
              <c:numFmt formatCode="0.0%" sourceLinked="0"/>
              <c:spPr/>
              <c:txPr>
                <a:bodyPr/>
                <a:lstStyle/>
                <a:p>
                  <a:pPr>
                    <a:defRPr/>
                  </a:pPr>
                  <a:endParaRPr lang="sl-SI"/>
                </a:p>
              </c:txPr>
              <c:dLblPos val="bestFit"/>
              <c:showLegendKey val="0"/>
              <c:showVal val="0"/>
              <c:showCatName val="1"/>
              <c:showSerName val="0"/>
              <c:showPercent val="1"/>
              <c:showBubbleSize val="0"/>
            </c:dLbl>
            <c:dLbl>
              <c:idx val="9"/>
              <c:layout>
                <c:manualLayout>
                  <c:x val="8.5142305094599399E-2"/>
                  <c:y val="-4.8758800009811899E-3"/>
                </c:manualLayout>
              </c:layout>
              <c:numFmt formatCode="0.0%" sourceLinked="0"/>
              <c:spPr/>
              <c:txPr>
                <a:bodyPr/>
                <a:lstStyle/>
                <a:p>
                  <a:pPr>
                    <a:defRPr/>
                  </a:pPr>
                  <a:endParaRPr lang="sl-SI"/>
                </a:p>
              </c:txPr>
              <c:dLblPos val="bestFit"/>
              <c:showLegendKey val="0"/>
              <c:showVal val="0"/>
              <c:showCatName val="1"/>
              <c:showSerName val="0"/>
              <c:showPercent val="1"/>
              <c:showBubbleSize val="0"/>
            </c:dLbl>
            <c:dLbl>
              <c:idx val="10"/>
              <c:layout>
                <c:manualLayout>
                  <c:x val="5.4444872594402803E-2"/>
                  <c:y val="3.4980660312197799E-2"/>
                </c:manualLayout>
              </c:layout>
              <c:numFmt formatCode="0.0%" sourceLinked="0"/>
              <c:spPr/>
              <c:txPr>
                <a:bodyPr/>
                <a:lstStyle/>
                <a:p>
                  <a:pPr>
                    <a:defRPr/>
                  </a:pPr>
                  <a:endParaRPr lang="sl-SI"/>
                </a:p>
              </c:txPr>
              <c:dLblPos val="bestFi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'Za GRAF 2014-2016'!$E$4:$N$4</c:f>
              <c:strCache>
                <c:ptCount val="10"/>
                <c:pt idx="0">
                  <c:v>Regionalne</c:v>
                </c:pt>
                <c:pt idx="1">
                  <c:v>RRI</c:v>
                </c:pt>
                <c:pt idx="2">
                  <c:v>Varstvo okolja</c:v>
                </c:pt>
                <c:pt idx="3">
                  <c:v>MSP in tvegani kapital</c:v>
                </c:pt>
                <c:pt idx="4">
                  <c:v>Zaposlovanje</c:v>
                </c:pt>
                <c:pt idx="5">
                  <c:v>Kultura, kulturna dediščina</c:v>
                </c:pt>
                <c:pt idx="6">
                  <c:v>Sektorske pomoči</c:v>
                </c:pt>
                <c:pt idx="7">
                  <c:v>Zapiranje rudnikov</c:v>
                </c:pt>
                <c:pt idx="8">
                  <c:v>Drugo</c:v>
                </c:pt>
                <c:pt idx="9">
                  <c:v>Kmetijstvo in ribištvo</c:v>
                </c:pt>
              </c:strCache>
            </c:strRef>
          </c:cat>
          <c:val>
            <c:numRef>
              <c:f>'Za GRAF 2014-2016'!$E$5:$N$5</c:f>
              <c:numCache>
                <c:formatCode>#,##0.0</c:formatCode>
                <c:ptCount val="10"/>
                <c:pt idx="0">
                  <c:v>11075.76666666667</c:v>
                </c:pt>
                <c:pt idx="1">
                  <c:v>9000.4333333333307</c:v>
                </c:pt>
                <c:pt idx="2">
                  <c:v>48224.800000000003</c:v>
                </c:pt>
                <c:pt idx="3">
                  <c:v>4509.4333333333279</c:v>
                </c:pt>
                <c:pt idx="4">
                  <c:v>2524.4</c:v>
                </c:pt>
                <c:pt idx="5">
                  <c:v>4667.9333333333279</c:v>
                </c:pt>
                <c:pt idx="6">
                  <c:v>4621.0666666666702</c:v>
                </c:pt>
                <c:pt idx="7">
                  <c:v>1535.0666666666671</c:v>
                </c:pt>
                <c:pt idx="8">
                  <c:v>7700.6666666666697</c:v>
                </c:pt>
                <c:pt idx="9">
                  <c:v>6528.8666666666704</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63644707545999"/>
          <c:y val="6.09354274264104E-2"/>
          <c:w val="0.492126505020206"/>
          <c:h val="0.83735289137244895"/>
        </c:manualLayout>
      </c:layout>
      <c:barChart>
        <c:barDir val="col"/>
        <c:grouping val="clustered"/>
        <c:varyColors val="0"/>
        <c:ser>
          <c:idx val="0"/>
          <c:order val="0"/>
          <c:tx>
            <c:strRef>
              <c:f>'Zbirno 2018 - 2017'!$A$80</c:f>
              <c:strCache>
                <c:ptCount val="1"/>
                <c:pt idx="0">
                  <c:v>Državne pomoči s kriznimi ukrepi</c:v>
                </c:pt>
              </c:strCache>
            </c:strRef>
          </c:tx>
          <c:spPr>
            <a:solidFill>
              <a:schemeClr val="accent2">
                <a:lumMod val="75000"/>
              </a:schemeClr>
            </a:solidFill>
          </c:spPr>
          <c:invertIfNegative val="0"/>
          <c:cat>
            <c:numRef>
              <c:f>'Zbirno 2018 - 2017'!$B$28:$K$28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'Zbirno 2018 - 2017'!$B$80:$K$80</c:f>
              <c:numCache>
                <c:formatCode>#,##0.00</c:formatCode>
                <c:ptCount val="10"/>
                <c:pt idx="0">
                  <c:v>324.19</c:v>
                </c:pt>
                <c:pt idx="1">
                  <c:v>651.82999999999947</c:v>
                </c:pt>
                <c:pt idx="2">
                  <c:v>455.66</c:v>
                </c:pt>
                <c:pt idx="3">
                  <c:v>768.61</c:v>
                </c:pt>
                <c:pt idx="4">
                  <c:v>1025.3599999999999</c:v>
                </c:pt>
                <c:pt idx="5">
                  <c:v>3896.93</c:v>
                </c:pt>
                <c:pt idx="6">
                  <c:v>976.09</c:v>
                </c:pt>
                <c:pt idx="7">
                  <c:v>553.31999999999948</c:v>
                </c:pt>
                <c:pt idx="8">
                  <c:v>375.03</c:v>
                </c:pt>
                <c:pt idx="9">
                  <c:v>427.18</c:v>
                </c:pt>
              </c:numCache>
            </c:numRef>
          </c:val>
        </c:ser>
        <c:ser>
          <c:idx val="1"/>
          <c:order val="1"/>
          <c:tx>
            <c:strRef>
              <c:f>'Zbirno 2018 - 2017'!$A$81</c:f>
              <c:strCache>
                <c:ptCount val="1"/>
                <c:pt idx="0">
                  <c:v>Državne pomoči brez kriznih ukrepov</c:v>
                </c:pt>
              </c:strCache>
            </c:strRef>
          </c:tx>
          <c:spPr>
            <a:solidFill>
              <a:schemeClr val="accent5">
                <a:lumMod val="75000"/>
              </a:schemeClr>
            </a:solidFill>
          </c:spPr>
          <c:invertIfNegative val="0"/>
          <c:cat>
            <c:numRef>
              <c:f>'Zbirno 2018 - 2017'!$B$28:$K$28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'Zbirno 2018 - 2017'!$B$81:$K$81</c:f>
              <c:numCache>
                <c:formatCode>#,##0.00</c:formatCode>
                <c:ptCount val="10"/>
                <c:pt idx="0">
                  <c:v>324.19</c:v>
                </c:pt>
                <c:pt idx="1">
                  <c:v>436.34</c:v>
                </c:pt>
                <c:pt idx="2">
                  <c:v>421.76</c:v>
                </c:pt>
                <c:pt idx="3">
                  <c:v>525.23</c:v>
                </c:pt>
                <c:pt idx="4">
                  <c:v>542.5</c:v>
                </c:pt>
                <c:pt idx="5">
                  <c:v>579.92999999999938</c:v>
                </c:pt>
                <c:pt idx="6">
                  <c:v>543.09</c:v>
                </c:pt>
                <c:pt idx="7">
                  <c:v>553.31999999999948</c:v>
                </c:pt>
                <c:pt idx="8">
                  <c:v>375.03</c:v>
                </c:pt>
                <c:pt idx="9">
                  <c:v>427.18</c:v>
                </c:pt>
              </c:numCache>
            </c:numRef>
          </c:val>
        </c:ser>
        <c:dLbls>
          <c:showLegendKey val="0"/>
          <c:showVal val="0"/>
          <c:showCatName val="0"/>
          <c:showSerName val="0"/>
          <c:showPercent val="0"/>
          <c:showBubbleSize val="0"/>
        </c:dLbls>
        <c:gapWidth val="150"/>
        <c:axId val="35878784"/>
        <c:axId val="35880320"/>
      </c:barChart>
      <c:lineChart>
        <c:grouping val="standard"/>
        <c:varyColors val="0"/>
        <c:ser>
          <c:idx val="2"/>
          <c:order val="2"/>
          <c:tx>
            <c:strRef>
              <c:f>'Zbirno 2018 - 2017'!$A$82</c:f>
              <c:strCache>
                <c:ptCount val="1"/>
                <c:pt idx="0">
                  <c:v>Delež državnih pomoči v BDP (s kriznimi ukrepi)</c:v>
                </c:pt>
              </c:strCache>
            </c:strRef>
          </c:tx>
          <c:spPr>
            <a:ln>
              <a:solidFill>
                <a:schemeClr val="accent2">
                  <a:lumMod val="50000"/>
                </a:schemeClr>
              </a:solidFill>
              <a:prstDash val="sysDash"/>
            </a:ln>
          </c:spPr>
          <c:marker>
            <c:symbol val="none"/>
          </c:marker>
          <c:dLbls>
            <c:txPr>
              <a:bodyPr/>
              <a:lstStyle/>
              <a:p>
                <a:pPr>
                  <a:defRPr sz="900" baseline="0">
                    <a:solidFill>
                      <a:schemeClr val="accent2">
                        <a:lumMod val="50000"/>
                      </a:schemeClr>
                    </a:solidFill>
                  </a:defRPr>
                </a:pPr>
                <a:endParaRPr lang="sl-SI"/>
              </a:p>
            </c:txPr>
            <c:dLblPos val="t"/>
            <c:showLegendKey val="0"/>
            <c:showVal val="1"/>
            <c:showCatName val="0"/>
            <c:showSerName val="0"/>
            <c:showPercent val="0"/>
            <c:showBubbleSize val="0"/>
            <c:showLeaderLines val="0"/>
          </c:dLbls>
          <c:val>
            <c:numRef>
              <c:f>'Zbirno 2018 - 2017'!$B$82:$K$82</c:f>
              <c:numCache>
                <c:formatCode>0.00%</c:formatCode>
                <c:ptCount val="10"/>
                <c:pt idx="0">
                  <c:v>8.5000000000000006E-3</c:v>
                </c:pt>
                <c:pt idx="1">
                  <c:v>1.7999999999999999E-2</c:v>
                </c:pt>
                <c:pt idx="2">
                  <c:v>1.26E-2</c:v>
                </c:pt>
                <c:pt idx="3">
                  <c:v>2.0799999999999999E-2</c:v>
                </c:pt>
                <c:pt idx="4">
                  <c:v>2.8400000000000002E-2</c:v>
                </c:pt>
                <c:pt idx="5">
                  <c:v>0.1075</c:v>
                </c:pt>
                <c:pt idx="6">
                  <c:v>2.5899999999999999E-2</c:v>
                </c:pt>
                <c:pt idx="7">
                  <c:v>1.4200000000000001E-2</c:v>
                </c:pt>
                <c:pt idx="8">
                  <c:v>9.2999999999999992E-3</c:v>
                </c:pt>
                <c:pt idx="9">
                  <c:v>9.9000000000000008E-3</c:v>
                </c:pt>
              </c:numCache>
            </c:numRef>
          </c:val>
          <c:smooth val="0"/>
        </c:ser>
        <c:ser>
          <c:idx val="3"/>
          <c:order val="3"/>
          <c:tx>
            <c:strRef>
              <c:f>'Zbirno 2018 - 2017'!$A$83</c:f>
              <c:strCache>
                <c:ptCount val="1"/>
                <c:pt idx="0">
                  <c:v>Delež državnih pomoči v BDP (brez kriznih ukrepov)</c:v>
                </c:pt>
              </c:strCache>
            </c:strRef>
          </c:tx>
          <c:spPr>
            <a:ln>
              <a:solidFill>
                <a:schemeClr val="accent5">
                  <a:lumMod val="50000"/>
                </a:schemeClr>
              </a:solidFill>
              <a:prstDash val="sysDash"/>
            </a:ln>
          </c:spPr>
          <c:marker>
            <c:symbol val="none"/>
          </c:marker>
          <c:val>
            <c:numRef>
              <c:f>'Zbirno 2018 - 2017'!$B$83:$K$83</c:f>
              <c:numCache>
                <c:formatCode>0.00%</c:formatCode>
                <c:ptCount val="10"/>
                <c:pt idx="0">
                  <c:v>8.5000000000000006E-3</c:v>
                </c:pt>
                <c:pt idx="1">
                  <c:v>1.21E-2</c:v>
                </c:pt>
                <c:pt idx="2">
                  <c:v>1.1599999999999999E-2</c:v>
                </c:pt>
                <c:pt idx="3">
                  <c:v>1.4200000000000001E-2</c:v>
                </c:pt>
                <c:pt idx="4">
                  <c:v>1.4999999999999999E-2</c:v>
                </c:pt>
                <c:pt idx="5">
                  <c:v>1.6E-2</c:v>
                </c:pt>
                <c:pt idx="6">
                  <c:v>1.44E-2</c:v>
                </c:pt>
                <c:pt idx="7">
                  <c:v>1.4200000000000001E-2</c:v>
                </c:pt>
                <c:pt idx="8">
                  <c:v>9.2999999999999992E-3</c:v>
                </c:pt>
                <c:pt idx="9">
                  <c:v>9.9000000000000008E-3</c:v>
                </c:pt>
              </c:numCache>
            </c:numRef>
          </c:val>
          <c:smooth val="0"/>
        </c:ser>
        <c:dLbls>
          <c:showLegendKey val="0"/>
          <c:showVal val="0"/>
          <c:showCatName val="0"/>
          <c:showSerName val="0"/>
          <c:showPercent val="0"/>
          <c:showBubbleSize val="0"/>
        </c:dLbls>
        <c:marker val="1"/>
        <c:smooth val="0"/>
        <c:axId val="35888512"/>
        <c:axId val="35886592"/>
      </c:lineChart>
      <c:catAx>
        <c:axId val="35878784"/>
        <c:scaling>
          <c:orientation val="minMax"/>
        </c:scaling>
        <c:delete val="0"/>
        <c:axPos val="b"/>
        <c:numFmt formatCode="General" sourceLinked="1"/>
        <c:majorTickMark val="out"/>
        <c:minorTickMark val="none"/>
        <c:tickLblPos val="nextTo"/>
        <c:txPr>
          <a:bodyPr/>
          <a:lstStyle/>
          <a:p>
            <a:pPr>
              <a:defRPr sz="940" baseline="0"/>
            </a:pPr>
            <a:endParaRPr lang="sl-SI"/>
          </a:p>
        </c:txPr>
        <c:crossAx val="35880320"/>
        <c:crosses val="autoZero"/>
        <c:auto val="1"/>
        <c:lblAlgn val="ctr"/>
        <c:lblOffset val="100"/>
        <c:noMultiLvlLbl val="0"/>
      </c:catAx>
      <c:valAx>
        <c:axId val="35880320"/>
        <c:scaling>
          <c:orientation val="minMax"/>
        </c:scaling>
        <c:delete val="0"/>
        <c:axPos val="l"/>
        <c:majorGridlines/>
        <c:title>
          <c:tx>
            <c:rich>
              <a:bodyPr rot="-5400000" vert="horz"/>
              <a:lstStyle/>
              <a:p>
                <a:pPr>
                  <a:defRPr/>
                </a:pPr>
                <a:r>
                  <a:rPr lang="en-US"/>
                  <a:t>v mio EUR</a:t>
                </a:r>
              </a:p>
            </c:rich>
          </c:tx>
          <c:overlay val="0"/>
        </c:title>
        <c:numFmt formatCode="#,##0.00" sourceLinked="1"/>
        <c:majorTickMark val="out"/>
        <c:minorTickMark val="none"/>
        <c:tickLblPos val="nextTo"/>
        <c:txPr>
          <a:bodyPr/>
          <a:lstStyle/>
          <a:p>
            <a:pPr>
              <a:defRPr sz="950" baseline="0"/>
            </a:pPr>
            <a:endParaRPr lang="sl-SI"/>
          </a:p>
        </c:txPr>
        <c:crossAx val="35878784"/>
        <c:crosses val="autoZero"/>
        <c:crossBetween val="between"/>
      </c:valAx>
      <c:valAx>
        <c:axId val="35886592"/>
        <c:scaling>
          <c:orientation val="minMax"/>
        </c:scaling>
        <c:delete val="0"/>
        <c:axPos val="r"/>
        <c:title>
          <c:tx>
            <c:rich>
              <a:bodyPr rot="-5400000" vert="horz"/>
              <a:lstStyle/>
              <a:p>
                <a:pPr>
                  <a:defRPr/>
                </a:pPr>
                <a:r>
                  <a:rPr lang="en-US"/>
                  <a:t>v % BDP</a:t>
                </a:r>
              </a:p>
            </c:rich>
          </c:tx>
          <c:overlay val="0"/>
        </c:title>
        <c:numFmt formatCode="0.00%" sourceLinked="1"/>
        <c:majorTickMark val="out"/>
        <c:minorTickMark val="none"/>
        <c:tickLblPos val="nextTo"/>
        <c:txPr>
          <a:bodyPr/>
          <a:lstStyle/>
          <a:p>
            <a:pPr>
              <a:defRPr sz="950" baseline="0"/>
            </a:pPr>
            <a:endParaRPr lang="sl-SI"/>
          </a:p>
        </c:txPr>
        <c:crossAx val="35888512"/>
        <c:crosses val="max"/>
        <c:crossBetween val="between"/>
      </c:valAx>
      <c:catAx>
        <c:axId val="35888512"/>
        <c:scaling>
          <c:orientation val="minMax"/>
        </c:scaling>
        <c:delete val="1"/>
        <c:axPos val="b"/>
        <c:majorTickMark val="out"/>
        <c:minorTickMark val="none"/>
        <c:tickLblPos val="nextTo"/>
        <c:crossAx val="35886592"/>
        <c:crosses val="autoZero"/>
        <c:auto val="1"/>
        <c:lblAlgn val="ctr"/>
        <c:lblOffset val="100"/>
        <c:noMultiLvlLbl val="0"/>
      </c:catAx>
    </c:plotArea>
    <c:legend>
      <c:legendPos val="r"/>
      <c:layout>
        <c:manualLayout>
          <c:xMode val="edge"/>
          <c:yMode val="edge"/>
          <c:x val="0.763551431071116"/>
          <c:y val="0.178883385544549"/>
          <c:w val="0.23411240261634"/>
          <c:h val="0.728057531115062"/>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2014</c:v>
          </c:tx>
          <c:spPr>
            <a:solidFill>
              <a:schemeClr val="accent6">
                <a:lumMod val="75000"/>
              </a:schemeClr>
            </a:solidFill>
          </c:spPr>
          <c:invertIfNegative val="0"/>
          <c:cat>
            <c:strRef>
              <c:f>'3 leta'!$B$28:$B$36</c:f>
              <c:strCache>
                <c:ptCount val="9"/>
                <c:pt idx="0">
                  <c:v>Varstvo okolja</c:v>
                </c:pt>
                <c:pt idx="1">
                  <c:v>RRI</c:v>
                </c:pt>
                <c:pt idx="2">
                  <c:v>Regionalne pomoči</c:v>
                </c:pt>
                <c:pt idx="3">
                  <c:v>Kmetijstvo</c:v>
                </c:pt>
                <c:pt idx="4">
                  <c:v>MSP in tvegani kapital</c:v>
                </c:pt>
                <c:pt idx="5">
                  <c:v>Kultura, kulturna dediščina</c:v>
                </c:pt>
                <c:pt idx="6">
                  <c:v>Sektorske pomoči</c:v>
                </c:pt>
                <c:pt idx="7">
                  <c:v>Zaposlovanje</c:v>
                </c:pt>
                <c:pt idx="8">
                  <c:v>Zapiranje rudnikov</c:v>
                </c:pt>
              </c:strCache>
            </c:strRef>
          </c:cat>
          <c:val>
            <c:numRef>
              <c:f>'3 leta'!$C$28:$C$36</c:f>
              <c:numCache>
                <c:formatCode>#,##0.0</c:formatCode>
                <c:ptCount val="9"/>
                <c:pt idx="0">
                  <c:v>42.169200000000011</c:v>
                </c:pt>
                <c:pt idx="1">
                  <c:v>9.3257000000000012</c:v>
                </c:pt>
                <c:pt idx="2">
                  <c:v>14.743600000000001</c:v>
                </c:pt>
                <c:pt idx="3">
                  <c:v>7.452</c:v>
                </c:pt>
                <c:pt idx="4">
                  <c:v>3.7972000000000001</c:v>
                </c:pt>
                <c:pt idx="5">
                  <c:v>3.536</c:v>
                </c:pt>
                <c:pt idx="6">
                  <c:v>4.6778999999999966</c:v>
                </c:pt>
                <c:pt idx="7">
                  <c:v>2.7239</c:v>
                </c:pt>
                <c:pt idx="8">
                  <c:v>1.5871</c:v>
                </c:pt>
              </c:numCache>
            </c:numRef>
          </c:val>
        </c:ser>
        <c:ser>
          <c:idx val="1"/>
          <c:order val="1"/>
          <c:tx>
            <c:v>2015</c:v>
          </c:tx>
          <c:spPr>
            <a:solidFill>
              <a:srgbClr val="00B050"/>
            </a:solidFill>
          </c:spPr>
          <c:invertIfNegative val="0"/>
          <c:cat>
            <c:strRef>
              <c:f>'3 leta'!$B$28:$B$36</c:f>
              <c:strCache>
                <c:ptCount val="9"/>
                <c:pt idx="0">
                  <c:v>Varstvo okolja</c:v>
                </c:pt>
                <c:pt idx="1">
                  <c:v>RRI</c:v>
                </c:pt>
                <c:pt idx="2">
                  <c:v>Regionalne pomoči</c:v>
                </c:pt>
                <c:pt idx="3">
                  <c:v>Kmetijstvo</c:v>
                </c:pt>
                <c:pt idx="4">
                  <c:v>MSP in tvegani kapital</c:v>
                </c:pt>
                <c:pt idx="5">
                  <c:v>Kultura, kulturna dediščina</c:v>
                </c:pt>
                <c:pt idx="6">
                  <c:v>Sektorske pomoči</c:v>
                </c:pt>
                <c:pt idx="7">
                  <c:v>Zaposlovanje</c:v>
                </c:pt>
                <c:pt idx="8">
                  <c:v>Zapiranje rudnikov</c:v>
                </c:pt>
              </c:strCache>
            </c:strRef>
          </c:cat>
          <c:val>
            <c:numRef>
              <c:f>'3 leta'!$D$28:$D$36</c:f>
              <c:numCache>
                <c:formatCode>#,##0.0</c:formatCode>
                <c:ptCount val="9"/>
                <c:pt idx="0">
                  <c:v>46.585600000000007</c:v>
                </c:pt>
                <c:pt idx="1">
                  <c:v>8.5786000000000016</c:v>
                </c:pt>
                <c:pt idx="2">
                  <c:v>11.2254</c:v>
                </c:pt>
                <c:pt idx="3">
                  <c:v>6.5590000000000002</c:v>
                </c:pt>
                <c:pt idx="4">
                  <c:v>4.4638</c:v>
                </c:pt>
                <c:pt idx="5">
                  <c:v>4.7268999999999997</c:v>
                </c:pt>
                <c:pt idx="6">
                  <c:v>4.9438000000000004</c:v>
                </c:pt>
                <c:pt idx="7">
                  <c:v>2.5541999999999998</c:v>
                </c:pt>
                <c:pt idx="8">
                  <c:v>1.5782</c:v>
                </c:pt>
              </c:numCache>
            </c:numRef>
          </c:val>
        </c:ser>
        <c:ser>
          <c:idx val="2"/>
          <c:order val="2"/>
          <c:tx>
            <c:v>2016</c:v>
          </c:tx>
          <c:spPr>
            <a:solidFill>
              <a:schemeClr val="tx2"/>
            </a:solidFill>
          </c:spPr>
          <c:invertIfNegative val="0"/>
          <c:cat>
            <c:strRef>
              <c:f>'3 leta'!$B$28:$B$36</c:f>
              <c:strCache>
                <c:ptCount val="9"/>
                <c:pt idx="0">
                  <c:v>Varstvo okolja</c:v>
                </c:pt>
                <c:pt idx="1">
                  <c:v>RRI</c:v>
                </c:pt>
                <c:pt idx="2">
                  <c:v>Regionalne pomoči</c:v>
                </c:pt>
                <c:pt idx="3">
                  <c:v>Kmetijstvo</c:v>
                </c:pt>
                <c:pt idx="4">
                  <c:v>MSP in tvegani kapital</c:v>
                </c:pt>
                <c:pt idx="5">
                  <c:v>Kultura, kulturna dediščina</c:v>
                </c:pt>
                <c:pt idx="6">
                  <c:v>Sektorske pomoči</c:v>
                </c:pt>
                <c:pt idx="7">
                  <c:v>Zaposlovanje</c:v>
                </c:pt>
                <c:pt idx="8">
                  <c:v>Zapiranje rudnikov</c:v>
                </c:pt>
              </c:strCache>
            </c:strRef>
          </c:cat>
          <c:val>
            <c:numRef>
              <c:f>'3 leta'!$E$28:$E$36</c:f>
              <c:numCache>
                <c:formatCode>#,##0.0</c:formatCode>
                <c:ptCount val="9"/>
                <c:pt idx="0">
                  <c:v>55.919600000000003</c:v>
                </c:pt>
                <c:pt idx="1">
                  <c:v>9.0970000000000013</c:v>
                </c:pt>
                <c:pt idx="2">
                  <c:v>7.2583000000000002</c:v>
                </c:pt>
                <c:pt idx="3">
                  <c:v>5.4646999999999997</c:v>
                </c:pt>
                <c:pt idx="4">
                  <c:v>5.2673000000000014</c:v>
                </c:pt>
                <c:pt idx="5">
                  <c:v>4.6076999999999977</c:v>
                </c:pt>
                <c:pt idx="6">
                  <c:v>4.2415000000000003</c:v>
                </c:pt>
                <c:pt idx="7">
                  <c:v>2.2951000000000001</c:v>
                </c:pt>
                <c:pt idx="8">
                  <c:v>1.4399</c:v>
                </c:pt>
              </c:numCache>
            </c:numRef>
          </c:val>
        </c:ser>
        <c:dLbls>
          <c:showLegendKey val="0"/>
          <c:showVal val="0"/>
          <c:showCatName val="0"/>
          <c:showSerName val="0"/>
          <c:showPercent val="0"/>
          <c:showBubbleSize val="0"/>
        </c:dLbls>
        <c:gapWidth val="150"/>
        <c:axId val="87364736"/>
        <c:axId val="87366272"/>
      </c:barChart>
      <c:catAx>
        <c:axId val="87364736"/>
        <c:scaling>
          <c:orientation val="minMax"/>
        </c:scaling>
        <c:delete val="0"/>
        <c:axPos val="b"/>
        <c:majorTickMark val="out"/>
        <c:minorTickMark val="none"/>
        <c:tickLblPos val="nextTo"/>
        <c:txPr>
          <a:bodyPr/>
          <a:lstStyle/>
          <a:p>
            <a:pPr>
              <a:defRPr sz="900" baseline="0"/>
            </a:pPr>
            <a:endParaRPr lang="sl-SI"/>
          </a:p>
        </c:txPr>
        <c:crossAx val="87366272"/>
        <c:crosses val="autoZero"/>
        <c:auto val="1"/>
        <c:lblAlgn val="ctr"/>
        <c:lblOffset val="100"/>
        <c:noMultiLvlLbl val="0"/>
      </c:catAx>
      <c:valAx>
        <c:axId val="87366272"/>
        <c:scaling>
          <c:orientation val="minMax"/>
        </c:scaling>
        <c:delete val="0"/>
        <c:axPos val="l"/>
        <c:majorGridlines/>
        <c:title>
          <c:tx>
            <c:rich>
              <a:bodyPr rot="-5400000" vert="horz"/>
              <a:lstStyle/>
              <a:p>
                <a:pPr>
                  <a:defRPr/>
                </a:pPr>
                <a:r>
                  <a:rPr lang="sl-SI"/>
                  <a:t>v mrd</a:t>
                </a:r>
                <a:r>
                  <a:rPr lang="sl-SI" baseline="0"/>
                  <a:t> EUR</a:t>
                </a:r>
                <a:endParaRPr lang="en-US"/>
              </a:p>
            </c:rich>
          </c:tx>
          <c:overlay val="0"/>
        </c:title>
        <c:numFmt formatCode="#,##0.0" sourceLinked="1"/>
        <c:majorTickMark val="out"/>
        <c:minorTickMark val="none"/>
        <c:tickLblPos val="nextTo"/>
        <c:crossAx val="87364736"/>
        <c:crosses val="autoZero"/>
        <c:crossBetween val="between"/>
      </c:valAx>
    </c:plotArea>
    <c:legend>
      <c:legendPos val="r"/>
      <c:overlay val="0"/>
    </c:legend>
    <c:plotVisOnly val="1"/>
    <c:dispBlanksAs val="gap"/>
    <c:showDLblsOverMax val="0"/>
  </c:chart>
  <c:spPr>
    <a:ln>
      <a:noFill/>
    </a:ln>
  </c:spPr>
  <c:txPr>
    <a:bodyPr/>
    <a:lstStyle/>
    <a:p>
      <a:pPr>
        <a:defRPr sz="950" baseline="0"/>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40845670031699"/>
          <c:y val="0.19882910469524601"/>
          <c:w val="0.39123215204587403"/>
          <c:h val="0.77050998833479101"/>
        </c:manualLayout>
      </c:layout>
      <c:pieChart>
        <c:varyColors val="1"/>
        <c:ser>
          <c:idx val="0"/>
          <c:order val="0"/>
          <c:spPr>
            <a:ln>
              <a:solidFill>
                <a:schemeClr val="bg1"/>
              </a:solidFill>
            </a:ln>
          </c:spPr>
          <c:dPt>
            <c:idx val="0"/>
            <c:bubble3D val="0"/>
            <c:spPr>
              <a:solidFill>
                <a:srgbClr val="0070C0"/>
              </a:solidFill>
              <a:ln>
                <a:solidFill>
                  <a:schemeClr val="bg1"/>
                </a:solidFill>
              </a:ln>
            </c:spPr>
          </c:dPt>
          <c:dPt>
            <c:idx val="1"/>
            <c:bubble3D val="0"/>
            <c:spPr>
              <a:solidFill>
                <a:srgbClr val="00B050"/>
              </a:solidFill>
              <a:ln>
                <a:solidFill>
                  <a:schemeClr val="bg1"/>
                </a:solidFill>
              </a:ln>
            </c:spPr>
          </c:dPt>
          <c:dPt>
            <c:idx val="2"/>
            <c:bubble3D val="0"/>
            <c:spPr>
              <a:solidFill>
                <a:srgbClr val="FFFF00"/>
              </a:solidFill>
              <a:ln>
                <a:solidFill>
                  <a:schemeClr val="bg1"/>
                </a:solidFill>
              </a:ln>
            </c:spPr>
          </c:dPt>
          <c:dPt>
            <c:idx val="3"/>
            <c:bubble3D val="0"/>
            <c:spPr>
              <a:solidFill>
                <a:srgbClr val="C00000"/>
              </a:solidFill>
              <a:ln>
                <a:solidFill>
                  <a:schemeClr val="bg1"/>
                </a:solidFill>
              </a:ln>
            </c:spPr>
          </c:dPt>
          <c:dPt>
            <c:idx val="4"/>
            <c:bubble3D val="0"/>
            <c:spPr>
              <a:solidFill>
                <a:srgbClr val="7030A0"/>
              </a:solidFill>
              <a:ln>
                <a:solidFill>
                  <a:schemeClr val="bg1"/>
                </a:solidFill>
              </a:ln>
            </c:spPr>
          </c:dPt>
          <c:dPt>
            <c:idx val="5"/>
            <c:bubble3D val="0"/>
          </c:dPt>
          <c:dLbls>
            <c:dLbl>
              <c:idx val="5"/>
              <c:layout>
                <c:manualLayout>
                  <c:x val="0.119513822818108"/>
                  <c:y val="4.2181811120712301E-2"/>
                </c:manualLayout>
              </c:layout>
              <c:dLblPos val="bestFit"/>
              <c:showLegendKey val="0"/>
              <c:showVal val="0"/>
              <c:showCatName val="1"/>
              <c:showSerName val="0"/>
              <c:showPercent val="1"/>
              <c:showBubbleSize val="0"/>
            </c:dLbl>
            <c:numFmt formatCode="0.0%" sourceLinked="0"/>
            <c:txPr>
              <a:bodyPr/>
              <a:lstStyle/>
              <a:p>
                <a:pPr>
                  <a:defRPr sz="940" b="0" i="0" u="none" strike="noStrike" baseline="0">
                    <a:solidFill>
                      <a:srgbClr val="000000"/>
                    </a:solidFill>
                    <a:latin typeface="Calibri"/>
                    <a:ea typeface="Calibri"/>
                    <a:cs typeface="Calibri"/>
                  </a:defRPr>
                </a:pPr>
                <a:endParaRPr lang="sl-SI"/>
              </a:p>
            </c:txPr>
            <c:showLegendKey val="0"/>
            <c:showVal val="0"/>
            <c:showCatName val="1"/>
            <c:showSerName val="0"/>
            <c:showPercent val="1"/>
            <c:showBubbleSize val="0"/>
            <c:showLeaderLines val="1"/>
          </c:dLbls>
          <c:cat>
            <c:strRef>
              <c:f>'Instrumenti GRAF'!$A$6:$A$11</c:f>
              <c:strCache>
                <c:ptCount val="6"/>
                <c:pt idx="0">
                  <c:v>Subvenicije</c:v>
                </c:pt>
                <c:pt idx="1">
                  <c:v>Davčne oprostiteve, izjeme in olajšave</c:v>
                </c:pt>
                <c:pt idx="2">
                  <c:v>Ugodna posojila</c:v>
                </c:pt>
                <c:pt idx="3">
                  <c:v>Udeležbe v kapitalu</c:v>
                </c:pt>
                <c:pt idx="4">
                  <c:v>Garancije</c:v>
                </c:pt>
                <c:pt idx="5">
                  <c:v>Drugo</c:v>
                </c:pt>
              </c:strCache>
            </c:strRef>
          </c:cat>
          <c:val>
            <c:numRef>
              <c:f>'Instrumenti GRAF'!$S$6:$S$11</c:f>
              <c:numCache>
                <c:formatCode>#,##0</c:formatCode>
                <c:ptCount val="6"/>
                <c:pt idx="0">
                  <c:v>58647.033333333333</c:v>
                </c:pt>
                <c:pt idx="1">
                  <c:v>29953.96666666666</c:v>
                </c:pt>
                <c:pt idx="2">
                  <c:v>1275.5666666666671</c:v>
                </c:pt>
                <c:pt idx="3">
                  <c:v>613.9666666666667</c:v>
                </c:pt>
                <c:pt idx="4">
                  <c:v>1616.666666666667</c:v>
                </c:pt>
                <c:pt idx="5">
                  <c:v>1792.4</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900920462937"/>
          <c:y val="5.1067780872794802E-2"/>
          <c:w val="0.72042199460443501"/>
          <c:h val="0.69865330204197995"/>
        </c:manualLayout>
      </c:layout>
      <c:barChart>
        <c:barDir val="col"/>
        <c:grouping val="clustered"/>
        <c:varyColors val="0"/>
        <c:ser>
          <c:idx val="0"/>
          <c:order val="0"/>
          <c:tx>
            <c:v>2014</c:v>
          </c:tx>
          <c:invertIfNegative val="0"/>
          <c:cat>
            <c:strRef>
              <c:f>'Instrumenti GRAF'!$A$6:$A$11</c:f>
              <c:strCache>
                <c:ptCount val="6"/>
                <c:pt idx="0">
                  <c:v>Subvenicije</c:v>
                </c:pt>
                <c:pt idx="1">
                  <c:v>Davčne oprostiteve, izjeme in olajšave</c:v>
                </c:pt>
                <c:pt idx="2">
                  <c:v>Ugodna posojila</c:v>
                </c:pt>
                <c:pt idx="3">
                  <c:v>Udeležbe v kapitalu</c:v>
                </c:pt>
                <c:pt idx="4">
                  <c:v>Garancije</c:v>
                </c:pt>
                <c:pt idx="5">
                  <c:v>Drugo</c:v>
                </c:pt>
              </c:strCache>
            </c:strRef>
          </c:cat>
          <c:val>
            <c:numRef>
              <c:f>'Instrumenti GRAF'!$P$6:$P$11</c:f>
              <c:numCache>
                <c:formatCode>#,##0.0</c:formatCode>
                <c:ptCount val="6"/>
                <c:pt idx="0">
                  <c:v>57221</c:v>
                </c:pt>
                <c:pt idx="1">
                  <c:v>28235.899999999991</c:v>
                </c:pt>
                <c:pt idx="2">
                  <c:v>1793.2</c:v>
                </c:pt>
                <c:pt idx="3">
                  <c:v>645.29999999999995</c:v>
                </c:pt>
                <c:pt idx="4">
                  <c:v>2680.2</c:v>
                </c:pt>
                <c:pt idx="5">
                  <c:v>246.8</c:v>
                </c:pt>
              </c:numCache>
            </c:numRef>
          </c:val>
        </c:ser>
        <c:ser>
          <c:idx val="1"/>
          <c:order val="1"/>
          <c:tx>
            <c:v>2015</c:v>
          </c:tx>
          <c:invertIfNegative val="0"/>
          <c:cat>
            <c:strRef>
              <c:f>'Instrumenti GRAF'!$A$6:$A$11</c:f>
              <c:strCache>
                <c:ptCount val="6"/>
                <c:pt idx="0">
                  <c:v>Subvenicije</c:v>
                </c:pt>
                <c:pt idx="1">
                  <c:v>Davčne oprostiteve, izjeme in olajšave</c:v>
                </c:pt>
                <c:pt idx="2">
                  <c:v>Ugodna posojila</c:v>
                </c:pt>
                <c:pt idx="3">
                  <c:v>Udeležbe v kapitalu</c:v>
                </c:pt>
                <c:pt idx="4">
                  <c:v>Garancije</c:v>
                </c:pt>
                <c:pt idx="5">
                  <c:v>Drugo</c:v>
                </c:pt>
              </c:strCache>
            </c:strRef>
          </c:cat>
          <c:val>
            <c:numRef>
              <c:f>'Instrumenti GRAF'!$Q$6:$Q$11</c:f>
              <c:numCache>
                <c:formatCode>#,##0.0</c:formatCode>
                <c:ptCount val="6"/>
                <c:pt idx="0">
                  <c:v>57116.7</c:v>
                </c:pt>
                <c:pt idx="1">
                  <c:v>30746</c:v>
                </c:pt>
                <c:pt idx="2">
                  <c:v>1265.9000000000001</c:v>
                </c:pt>
                <c:pt idx="3">
                  <c:v>746.6</c:v>
                </c:pt>
                <c:pt idx="4">
                  <c:v>1882.3</c:v>
                </c:pt>
                <c:pt idx="5">
                  <c:v>1832.7</c:v>
                </c:pt>
              </c:numCache>
            </c:numRef>
          </c:val>
        </c:ser>
        <c:ser>
          <c:idx val="2"/>
          <c:order val="2"/>
          <c:tx>
            <c:v>2016</c:v>
          </c:tx>
          <c:invertIfNegative val="0"/>
          <c:cat>
            <c:strRef>
              <c:f>'Instrumenti GRAF'!$A$6:$A$11</c:f>
              <c:strCache>
                <c:ptCount val="6"/>
                <c:pt idx="0">
                  <c:v>Subvenicije</c:v>
                </c:pt>
                <c:pt idx="1">
                  <c:v>Davčne oprostiteve, izjeme in olajšave</c:v>
                </c:pt>
                <c:pt idx="2">
                  <c:v>Ugodna posojila</c:v>
                </c:pt>
                <c:pt idx="3">
                  <c:v>Udeležbe v kapitalu</c:v>
                </c:pt>
                <c:pt idx="4">
                  <c:v>Garancije</c:v>
                </c:pt>
                <c:pt idx="5">
                  <c:v>Drugo</c:v>
                </c:pt>
              </c:strCache>
            </c:strRef>
          </c:cat>
          <c:val>
            <c:numRef>
              <c:f>'Instrumenti GRAF'!$R$6:$R$11</c:f>
              <c:numCache>
                <c:formatCode>#,##0</c:formatCode>
                <c:ptCount val="6"/>
                <c:pt idx="0">
                  <c:v>61603.4</c:v>
                </c:pt>
                <c:pt idx="1">
                  <c:v>30880</c:v>
                </c:pt>
                <c:pt idx="2">
                  <c:v>767.6</c:v>
                </c:pt>
                <c:pt idx="3">
                  <c:v>450</c:v>
                </c:pt>
                <c:pt idx="4">
                  <c:v>287.5</c:v>
                </c:pt>
                <c:pt idx="5">
                  <c:v>3297.7</c:v>
                </c:pt>
              </c:numCache>
            </c:numRef>
          </c:val>
        </c:ser>
        <c:dLbls>
          <c:showLegendKey val="0"/>
          <c:showVal val="0"/>
          <c:showCatName val="0"/>
          <c:showSerName val="0"/>
          <c:showPercent val="0"/>
          <c:showBubbleSize val="0"/>
        </c:dLbls>
        <c:gapWidth val="150"/>
        <c:axId val="122458496"/>
        <c:axId val="122460032"/>
      </c:barChart>
      <c:catAx>
        <c:axId val="122458496"/>
        <c:scaling>
          <c:orientation val="minMax"/>
        </c:scaling>
        <c:delete val="0"/>
        <c:axPos val="b"/>
        <c:majorTickMark val="out"/>
        <c:minorTickMark val="none"/>
        <c:tickLblPos val="nextTo"/>
        <c:txPr>
          <a:bodyPr/>
          <a:lstStyle/>
          <a:p>
            <a:pPr>
              <a:defRPr sz="950" baseline="0"/>
            </a:pPr>
            <a:endParaRPr lang="sl-SI"/>
          </a:p>
        </c:txPr>
        <c:crossAx val="122460032"/>
        <c:crosses val="autoZero"/>
        <c:auto val="1"/>
        <c:lblAlgn val="ctr"/>
        <c:lblOffset val="100"/>
        <c:noMultiLvlLbl val="0"/>
      </c:catAx>
      <c:valAx>
        <c:axId val="122460032"/>
        <c:scaling>
          <c:orientation val="minMax"/>
        </c:scaling>
        <c:delete val="0"/>
        <c:axPos val="l"/>
        <c:majorGridlines/>
        <c:title>
          <c:tx>
            <c:rich>
              <a:bodyPr rot="-5400000" vert="horz"/>
              <a:lstStyle/>
              <a:p>
                <a:pPr>
                  <a:defRPr/>
                </a:pPr>
                <a:r>
                  <a:rPr lang="en-US"/>
                  <a:t>v mrd EUR</a:t>
                </a:r>
              </a:p>
            </c:rich>
          </c:tx>
          <c:overlay val="0"/>
        </c:title>
        <c:numFmt formatCode="#,##0.0" sourceLinked="1"/>
        <c:majorTickMark val="out"/>
        <c:minorTickMark val="none"/>
        <c:tickLblPos val="nextTo"/>
        <c:txPr>
          <a:bodyPr/>
          <a:lstStyle/>
          <a:p>
            <a:pPr>
              <a:defRPr sz="950" baseline="0"/>
            </a:pPr>
            <a:endParaRPr lang="sl-SI"/>
          </a:p>
        </c:txPr>
        <c:crossAx val="12245849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929486818439501E-2"/>
          <c:y val="6.8029115692280706E-2"/>
          <c:w val="0.57780593949361503"/>
          <c:h val="0.84027775167722196"/>
        </c:manualLayout>
      </c:layout>
      <c:barChart>
        <c:barDir val="col"/>
        <c:grouping val="percentStacked"/>
        <c:varyColors val="0"/>
        <c:ser>
          <c:idx val="0"/>
          <c:order val="0"/>
          <c:tx>
            <c:strRef>
              <c:f>'Instrumenti GRAF'!$A$16</c:f>
              <c:strCache>
                <c:ptCount val="1"/>
                <c:pt idx="0">
                  <c:v>Subvenicije</c:v>
                </c:pt>
              </c:strCache>
            </c:strRef>
          </c:tx>
          <c:spPr>
            <a:solidFill>
              <a:srgbClr val="0070C0"/>
            </a:solidFill>
          </c:spPr>
          <c:invertIfNegative val="0"/>
          <c:dLbls>
            <c:dLbl>
              <c:idx val="0"/>
              <c:showLegendKey val="0"/>
              <c:showVal val="1"/>
              <c:showCatName val="0"/>
              <c:showSerName val="0"/>
              <c:showPercent val="0"/>
              <c:showBubbleSize val="0"/>
            </c:dLbl>
            <c:dLbl>
              <c:idx val="9"/>
              <c:spPr/>
              <c:txPr>
                <a:bodyPr/>
                <a:lstStyle/>
                <a:p>
                  <a:pPr>
                    <a:defRPr/>
                  </a:pPr>
                  <a:endParaRPr lang="sl-SI"/>
                </a:p>
              </c:txPr>
              <c:showLegendKey val="0"/>
              <c:showVal val="1"/>
              <c:showCatName val="0"/>
              <c:showSerName val="0"/>
              <c:showPercent val="0"/>
              <c:showBubbleSize val="0"/>
            </c:dLbl>
            <c:showLegendKey val="0"/>
            <c:showVal val="0"/>
            <c:showCatName val="0"/>
            <c:showSerName val="0"/>
            <c:showPercent val="0"/>
            <c:showBubbleSize val="0"/>
          </c:dLbls>
          <c:cat>
            <c:strRef>
              <c:f>'Instrumenti GRAF'!$I$15:$R$15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'Instrumenti GRAF'!$I$16:$R$16</c:f>
              <c:numCache>
                <c:formatCode>0.0%</c:formatCode>
                <c:ptCount val="10"/>
                <c:pt idx="0">
                  <c:v>0.50124923458395398</c:v>
                </c:pt>
                <c:pt idx="1">
                  <c:v>0.498041246065698</c:v>
                </c:pt>
                <c:pt idx="2">
                  <c:v>0.51794222706334103</c:v>
                </c:pt>
                <c:pt idx="3">
                  <c:v>0.52226506603857203</c:v>
                </c:pt>
                <c:pt idx="4">
                  <c:v>0.53598718923288802</c:v>
                </c:pt>
                <c:pt idx="5">
                  <c:v>0.539802148543164</c:v>
                </c:pt>
                <c:pt idx="6">
                  <c:v>0.53562736987533999</c:v>
                </c:pt>
                <c:pt idx="7">
                  <c:v>0.63003179832288103</c:v>
                </c:pt>
                <c:pt idx="8">
                  <c:v>0.61028505121262699</c:v>
                </c:pt>
                <c:pt idx="9">
                  <c:v>0.63321827761799698</c:v>
                </c:pt>
              </c:numCache>
            </c:numRef>
          </c:val>
        </c:ser>
        <c:ser>
          <c:idx val="1"/>
          <c:order val="1"/>
          <c:tx>
            <c:strRef>
              <c:f>'Instrumenti GRAF'!$A$17</c:f>
              <c:strCache>
                <c:ptCount val="1"/>
                <c:pt idx="0">
                  <c:v>Davčne oprostiteve, izjeme in olajšave</c:v>
                </c:pt>
              </c:strCache>
            </c:strRef>
          </c:tx>
          <c:spPr>
            <a:solidFill>
              <a:srgbClr val="00B050"/>
            </a:solidFill>
          </c:spPr>
          <c:invertIfNegative val="0"/>
          <c:dLbls>
            <c:dLbl>
              <c:idx val="0"/>
              <c:showLegendKey val="0"/>
              <c:showVal val="1"/>
              <c:showCatName val="0"/>
              <c:showSerName val="0"/>
              <c:showPercent val="0"/>
              <c:showBubbleSize val="0"/>
            </c:dLbl>
            <c:dLbl>
              <c:idx val="9"/>
              <c:spPr/>
              <c:txPr>
                <a:bodyPr/>
                <a:lstStyle/>
                <a:p>
                  <a:pPr>
                    <a:defRPr/>
                  </a:pPr>
                  <a:endParaRPr lang="sl-SI"/>
                </a:p>
              </c:txPr>
              <c:showLegendKey val="0"/>
              <c:showVal val="1"/>
              <c:showCatName val="0"/>
              <c:showSerName val="0"/>
              <c:showPercent val="0"/>
              <c:showBubbleSize val="0"/>
            </c:dLbl>
            <c:showLegendKey val="0"/>
            <c:showVal val="0"/>
            <c:showCatName val="0"/>
            <c:showSerName val="0"/>
            <c:showPercent val="0"/>
            <c:showBubbleSize val="0"/>
          </c:dLbls>
          <c:cat>
            <c:strRef>
              <c:f>'Instrumenti GRAF'!$I$15:$R$15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'Instrumenti GRAF'!$I$17:$R$17</c:f>
              <c:numCache>
                <c:formatCode>0.0%</c:formatCode>
                <c:ptCount val="10"/>
                <c:pt idx="0">
                  <c:v>0.45409393639298201</c:v>
                </c:pt>
                <c:pt idx="1">
                  <c:v>0.441089103233132</c:v>
                </c:pt>
                <c:pt idx="2">
                  <c:v>0.39287605045851998</c:v>
                </c:pt>
                <c:pt idx="3">
                  <c:v>0.39153022071952298</c:v>
                </c:pt>
                <c:pt idx="4">
                  <c:v>0.37447533944568301</c:v>
                </c:pt>
                <c:pt idx="5">
                  <c:v>0.36357893392742502</c:v>
                </c:pt>
                <c:pt idx="6">
                  <c:v>0.37228054975253799</c:v>
                </c:pt>
                <c:pt idx="7">
                  <c:v>0.31089136600662398</c:v>
                </c:pt>
                <c:pt idx="8">
                  <c:v>0.32851730202521201</c:v>
                </c:pt>
                <c:pt idx="9">
                  <c:v>0.31741398060567699</c:v>
                </c:pt>
              </c:numCache>
            </c:numRef>
          </c:val>
        </c:ser>
        <c:ser>
          <c:idx val="2"/>
          <c:order val="2"/>
          <c:tx>
            <c:strRef>
              <c:f>'Instrumenti GRAF'!$A$18</c:f>
              <c:strCache>
                <c:ptCount val="1"/>
                <c:pt idx="0">
                  <c:v>Ugodna posojila</c:v>
                </c:pt>
              </c:strCache>
            </c:strRef>
          </c:tx>
          <c:spPr>
            <a:solidFill>
              <a:srgbClr val="FFFF00"/>
            </a:solidFill>
          </c:spPr>
          <c:invertIfNegative val="0"/>
          <c:dLbls>
            <c:dLbl>
              <c:idx val="9"/>
              <c:spPr/>
              <c:txPr>
                <a:bodyPr/>
                <a:lstStyle/>
                <a:p>
                  <a:pPr>
                    <a:defRPr/>
                  </a:pPr>
                  <a:endParaRPr lang="sl-SI"/>
                </a:p>
              </c:txPr>
              <c:dLblPos val="inEnd"/>
              <c:showLegendKey val="0"/>
              <c:showVal val="1"/>
              <c:showCatName val="0"/>
              <c:showSerName val="0"/>
              <c:showPercent val="0"/>
              <c:showBubbleSize val="0"/>
            </c:dLbl>
            <c:showLegendKey val="0"/>
            <c:showVal val="0"/>
            <c:showCatName val="0"/>
            <c:showSerName val="0"/>
            <c:showPercent val="0"/>
            <c:showBubbleSize val="0"/>
          </c:dLbls>
          <c:cat>
            <c:strRef>
              <c:f>'Instrumenti GRAF'!$I$15:$R$15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'Instrumenti GRAF'!$I$18:$R$18</c:f>
              <c:numCache>
                <c:formatCode>0.0%</c:formatCode>
                <c:ptCount val="10"/>
                <c:pt idx="0">
                  <c:v>3.1461434370771299E-2</c:v>
                </c:pt>
                <c:pt idx="1">
                  <c:v>4.29910033309467E-2</c:v>
                </c:pt>
                <c:pt idx="2">
                  <c:v>3.4567007235308797E-2</c:v>
                </c:pt>
                <c:pt idx="3">
                  <c:v>2.7056503184793999E-2</c:v>
                </c:pt>
                <c:pt idx="4">
                  <c:v>2.9491309811303199E-2</c:v>
                </c:pt>
                <c:pt idx="5">
                  <c:v>2.69609572677144E-2</c:v>
                </c:pt>
                <c:pt idx="6">
                  <c:v>2.11668442417988E-2</c:v>
                </c:pt>
                <c:pt idx="7">
                  <c:v>1.97440279050102E-2</c:v>
                </c:pt>
                <c:pt idx="8">
                  <c:v>1.3525988832164101E-2</c:v>
                </c:pt>
                <c:pt idx="9">
                  <c:v>7.8901221344856703E-3</c:v>
                </c:pt>
              </c:numCache>
            </c:numRef>
          </c:val>
        </c:ser>
        <c:ser>
          <c:idx val="3"/>
          <c:order val="3"/>
          <c:tx>
            <c:strRef>
              <c:f>'Instrumenti GRAF'!$A$19</c:f>
              <c:strCache>
                <c:ptCount val="1"/>
                <c:pt idx="0">
                  <c:v>Udeležba v kapitalu</c:v>
                </c:pt>
              </c:strCache>
            </c:strRef>
          </c:tx>
          <c:spPr>
            <a:solidFill>
              <a:srgbClr val="C00000"/>
            </a:solidFill>
          </c:spPr>
          <c:invertIfNegative val="0"/>
          <c:cat>
            <c:strRef>
              <c:f>'Instrumenti GRAF'!$I$15:$R$15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'Instrumenti GRAF'!$I$19:$R$19</c:f>
              <c:numCache>
                <c:formatCode>0.0%</c:formatCode>
                <c:ptCount val="10"/>
                <c:pt idx="0">
                  <c:v>3.66643735683885E-3</c:v>
                </c:pt>
                <c:pt idx="1">
                  <c:v>5.62639984139909E-3</c:v>
                </c:pt>
                <c:pt idx="2">
                  <c:v>1.6323562522439199E-2</c:v>
                </c:pt>
                <c:pt idx="3">
                  <c:v>1.11847687067077E-2</c:v>
                </c:pt>
                <c:pt idx="4">
                  <c:v>6.9845570959962897E-3</c:v>
                </c:pt>
                <c:pt idx="5">
                  <c:v>8.2998148502841096E-3</c:v>
                </c:pt>
                <c:pt idx="6">
                  <c:v>9.1307627590659496E-3</c:v>
                </c:pt>
                <c:pt idx="7">
                  <c:v>7.1050753999013496E-3</c:v>
                </c:pt>
                <c:pt idx="8">
                  <c:v>7.9773309598654592E-3</c:v>
                </c:pt>
                <c:pt idx="9">
                  <c:v>4.6255275671163998E-3</c:v>
                </c:pt>
              </c:numCache>
            </c:numRef>
          </c:val>
        </c:ser>
        <c:ser>
          <c:idx val="4"/>
          <c:order val="4"/>
          <c:tx>
            <c:strRef>
              <c:f>'Instrumenti GRAF'!$A$20</c:f>
              <c:strCache>
                <c:ptCount val="1"/>
                <c:pt idx="0">
                  <c:v>Garancije</c:v>
                </c:pt>
              </c:strCache>
            </c:strRef>
          </c:tx>
          <c:spPr>
            <a:solidFill>
              <a:srgbClr val="7030A0"/>
            </a:solidFill>
          </c:spPr>
          <c:invertIfNegative val="0"/>
          <c:cat>
            <c:strRef>
              <c:f>'Instrumenti GRAF'!$I$15:$R$15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'Instrumenti GRAF'!$I$20:$R$20</c:f>
              <c:numCache>
                <c:formatCode>0.0%</c:formatCode>
                <c:ptCount val="10"/>
                <c:pt idx="0">
                  <c:v>9.5289572954543704E-3</c:v>
                </c:pt>
                <c:pt idx="1">
                  <c:v>1.2252247528824201E-2</c:v>
                </c:pt>
                <c:pt idx="2">
                  <c:v>3.8069042736394998E-2</c:v>
                </c:pt>
                <c:pt idx="3">
                  <c:v>4.5980068127999603E-2</c:v>
                </c:pt>
                <c:pt idx="4">
                  <c:v>5.2923705952214697E-2</c:v>
                </c:pt>
                <c:pt idx="5">
                  <c:v>4.8611041105925103E-2</c:v>
                </c:pt>
                <c:pt idx="6">
                  <c:v>5.6097573214199101E-2</c:v>
                </c:pt>
                <c:pt idx="7">
                  <c:v>2.9510341061236001E-2</c:v>
                </c:pt>
                <c:pt idx="8">
                  <c:v>2.0112148494179999E-2</c:v>
                </c:pt>
                <c:pt idx="9">
                  <c:v>2.95519816787993E-3</c:v>
                </c:pt>
              </c:numCache>
            </c:numRef>
          </c:val>
        </c:ser>
        <c:ser>
          <c:idx val="5"/>
          <c:order val="5"/>
          <c:tx>
            <c:strRef>
              <c:f>'Instrumenti GRAF'!$A$21</c:f>
              <c:strCache>
                <c:ptCount val="1"/>
                <c:pt idx="0">
                  <c:v>Drugo</c:v>
                </c:pt>
              </c:strCache>
            </c:strRef>
          </c:tx>
          <c:spPr>
            <a:solidFill>
              <a:schemeClr val="accent6">
                <a:lumMod val="75000"/>
              </a:schemeClr>
            </a:solidFill>
          </c:spPr>
          <c:invertIfNegative val="0"/>
          <c:dLbls>
            <c:dLbl>
              <c:idx val="9"/>
              <c:spPr/>
              <c:txPr>
                <a:bodyPr/>
                <a:lstStyle/>
                <a:p>
                  <a:pPr>
                    <a:defRPr/>
                  </a:pPr>
                  <a:endParaRPr lang="sl-SI"/>
                </a:p>
              </c:txPr>
              <c:dLblPos val="inBase"/>
              <c:showLegendKey val="0"/>
              <c:showVal val="1"/>
              <c:showCatName val="0"/>
              <c:showSerName val="0"/>
              <c:showPercent val="0"/>
              <c:showBubbleSize val="0"/>
            </c:dLbl>
            <c:showLegendKey val="0"/>
            <c:showVal val="0"/>
            <c:showCatName val="0"/>
            <c:showSerName val="0"/>
            <c:showPercent val="0"/>
            <c:showBubbleSize val="0"/>
          </c:dLbls>
          <c:cat>
            <c:strRef>
              <c:f>'Instrumenti GRAF'!$I$15:$R$15</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'Instrumenti GRAF'!$I$21:$R$21</c:f>
              <c:numCache>
                <c:formatCode>0.0%</c:formatCode>
                <c:ptCount val="10"/>
                <c:pt idx="0">
                  <c:v>0</c:v>
                </c:pt>
                <c:pt idx="1">
                  <c:v>0</c:v>
                </c:pt>
                <c:pt idx="2">
                  <c:v>2.2210998399591099E-4</c:v>
                </c:pt>
                <c:pt idx="3">
                  <c:v>1.9833732224037301E-3</c:v>
                </c:pt>
                <c:pt idx="4">
                  <c:v>1.3789846191503E-4</c:v>
                </c:pt>
                <c:pt idx="5">
                  <c:v>1.2747104305487001E-2</c:v>
                </c:pt>
                <c:pt idx="6">
                  <c:v>5.6969001570578203E-3</c:v>
                </c:pt>
                <c:pt idx="7">
                  <c:v>2.7173913043478299E-3</c:v>
                </c:pt>
                <c:pt idx="8">
                  <c:v>1.9582178475951499E-2</c:v>
                </c:pt>
                <c:pt idx="9">
                  <c:v>3.3896893906843903E-2</c:v>
                </c:pt>
              </c:numCache>
            </c:numRef>
          </c:val>
        </c:ser>
        <c:dLbls>
          <c:showLegendKey val="0"/>
          <c:showVal val="0"/>
          <c:showCatName val="0"/>
          <c:showSerName val="0"/>
          <c:showPercent val="0"/>
          <c:showBubbleSize val="0"/>
        </c:dLbls>
        <c:gapWidth val="150"/>
        <c:overlap val="100"/>
        <c:axId val="127002112"/>
        <c:axId val="127003648"/>
      </c:barChart>
      <c:catAx>
        <c:axId val="127002112"/>
        <c:scaling>
          <c:orientation val="minMax"/>
        </c:scaling>
        <c:delete val="0"/>
        <c:axPos val="b"/>
        <c:numFmt formatCode="General" sourceLinked="1"/>
        <c:majorTickMark val="out"/>
        <c:minorTickMark val="none"/>
        <c:tickLblPos val="nextTo"/>
        <c:txPr>
          <a:bodyPr rot="0" vert="horz"/>
          <a:lstStyle/>
          <a:p>
            <a:pPr>
              <a:defRPr/>
            </a:pPr>
            <a:endParaRPr lang="sl-SI"/>
          </a:p>
        </c:txPr>
        <c:crossAx val="127003648"/>
        <c:crosses val="autoZero"/>
        <c:auto val="1"/>
        <c:lblAlgn val="ctr"/>
        <c:lblOffset val="100"/>
        <c:noMultiLvlLbl val="0"/>
      </c:catAx>
      <c:valAx>
        <c:axId val="127003648"/>
        <c:scaling>
          <c:orientation val="minMax"/>
        </c:scaling>
        <c:delete val="0"/>
        <c:axPos val="l"/>
        <c:majorGridlines/>
        <c:numFmt formatCode="0%" sourceLinked="1"/>
        <c:majorTickMark val="out"/>
        <c:minorTickMark val="none"/>
        <c:tickLblPos val="nextTo"/>
        <c:txPr>
          <a:bodyPr rot="0" vert="horz"/>
          <a:lstStyle/>
          <a:p>
            <a:pPr>
              <a:defRPr/>
            </a:pPr>
            <a:endParaRPr lang="sl-SI"/>
          </a:p>
        </c:txPr>
        <c:crossAx val="127002112"/>
        <c:crosses val="autoZero"/>
        <c:crossBetween val="between"/>
      </c:valAx>
    </c:plotArea>
    <c:legend>
      <c:legendPos val="r"/>
      <c:layout>
        <c:manualLayout>
          <c:xMode val="edge"/>
          <c:yMode val="edge"/>
          <c:x val="0.70840495796394498"/>
          <c:y val="9.6090241106496499E-2"/>
          <c:w val="0.24390073558401801"/>
          <c:h val="0.78359172883819095"/>
        </c:manualLayout>
      </c:layout>
      <c:overlay val="0"/>
    </c:legend>
    <c:plotVisOnly val="1"/>
    <c:dispBlanksAs val="gap"/>
    <c:showDLblsOverMax val="0"/>
  </c:chart>
  <c:spPr>
    <a:ln>
      <a:noFill/>
    </a:ln>
  </c:spPr>
  <c:txPr>
    <a:bodyPr/>
    <a:lstStyle/>
    <a:p>
      <a:pPr>
        <a:defRPr sz="950" b="0" i="0" u="none" strike="noStrike" baseline="0">
          <a:solidFill>
            <a:srgbClr val="000000"/>
          </a:solidFill>
          <a:latin typeface="Calibri"/>
          <a:ea typeface="Calibri"/>
          <a:cs typeface="Calibri"/>
        </a:defRPr>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49829118792198E-2"/>
          <c:y val="8.0623131063840905E-2"/>
          <c:w val="0.713028058992626"/>
          <c:h val="0.81519657319703898"/>
        </c:manualLayout>
      </c:layout>
      <c:barChart>
        <c:barDir val="col"/>
        <c:grouping val="percentStacked"/>
        <c:varyColors val="0"/>
        <c:ser>
          <c:idx val="0"/>
          <c:order val="0"/>
          <c:tx>
            <c:strRef>
              <c:f>Sheet0!$A$37</c:f>
              <c:strCache>
                <c:ptCount val="1"/>
                <c:pt idx="0">
                  <c:v>Subvencije</c:v>
                </c:pt>
              </c:strCache>
            </c:strRef>
          </c:tx>
          <c:spPr>
            <a:solidFill>
              <a:srgbClr val="0070C0"/>
            </a:solidFill>
          </c:spPr>
          <c:invertIfNegative val="0"/>
          <c:dLbls>
            <c:dLbl>
              <c:idx val="0"/>
              <c:showLegendKey val="0"/>
              <c:showVal val="1"/>
              <c:showCatName val="0"/>
              <c:showSerName val="0"/>
              <c:showPercent val="0"/>
              <c:showBubbleSize val="0"/>
            </c:dLbl>
            <c:dLbl>
              <c:idx val="24"/>
              <c:showLegendKey val="0"/>
              <c:showVal val="1"/>
              <c:showCatName val="0"/>
              <c:showSerName val="0"/>
              <c:showPercent val="0"/>
              <c:showBubbleSize val="0"/>
            </c:dLbl>
            <c:showLegendKey val="0"/>
            <c:showVal val="0"/>
            <c:showCatName val="0"/>
            <c:showSerName val="0"/>
            <c:showPercent val="0"/>
            <c:showBubbleSize val="0"/>
          </c:dLbls>
          <c:cat>
            <c:strRef>
              <c:f>Sheet0!$B$36:$AD$36</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Sheet0!$B$37:$AD$37</c:f>
              <c:numCache>
                <c:formatCode>0.0</c:formatCode>
                <c:ptCount val="29"/>
                <c:pt idx="0">
                  <c:v>62.433333333333337</c:v>
                </c:pt>
                <c:pt idx="1">
                  <c:v>58.93333333333333</c:v>
                </c:pt>
                <c:pt idx="2">
                  <c:v>55.466666666666583</c:v>
                </c:pt>
                <c:pt idx="3">
                  <c:v>64.066666666666663</c:v>
                </c:pt>
                <c:pt idx="4">
                  <c:v>66.733333333333306</c:v>
                </c:pt>
                <c:pt idx="5">
                  <c:v>71.900000000000006</c:v>
                </c:pt>
                <c:pt idx="6">
                  <c:v>84.2</c:v>
                </c:pt>
                <c:pt idx="7">
                  <c:v>66</c:v>
                </c:pt>
                <c:pt idx="8">
                  <c:v>46.666666666666593</c:v>
                </c:pt>
                <c:pt idx="9">
                  <c:v>79.766666666666666</c:v>
                </c:pt>
                <c:pt idx="10">
                  <c:v>41.8</c:v>
                </c:pt>
                <c:pt idx="11">
                  <c:v>44.766666666666609</c:v>
                </c:pt>
                <c:pt idx="12">
                  <c:v>75.5</c:v>
                </c:pt>
                <c:pt idx="13">
                  <c:v>95.766666666666666</c:v>
                </c:pt>
                <c:pt idx="14">
                  <c:v>88.8</c:v>
                </c:pt>
                <c:pt idx="15">
                  <c:v>55.166666666666593</c:v>
                </c:pt>
                <c:pt idx="16">
                  <c:v>100</c:v>
                </c:pt>
                <c:pt idx="17">
                  <c:v>84.466666666666654</c:v>
                </c:pt>
                <c:pt idx="18">
                  <c:v>16.3</c:v>
                </c:pt>
                <c:pt idx="19">
                  <c:v>73.3</c:v>
                </c:pt>
                <c:pt idx="20">
                  <c:v>81.566666666666663</c:v>
                </c:pt>
                <c:pt idx="21">
                  <c:v>79.133333333333269</c:v>
                </c:pt>
                <c:pt idx="22">
                  <c:v>27.9</c:v>
                </c:pt>
                <c:pt idx="23">
                  <c:v>52.5</c:v>
                </c:pt>
                <c:pt idx="24">
                  <c:v>63.433333333333337</c:v>
                </c:pt>
                <c:pt idx="25">
                  <c:v>79.53333333333326</c:v>
                </c:pt>
                <c:pt idx="26">
                  <c:v>43.766666666666609</c:v>
                </c:pt>
                <c:pt idx="27">
                  <c:v>15.7</c:v>
                </c:pt>
                <c:pt idx="28">
                  <c:v>59.1</c:v>
                </c:pt>
              </c:numCache>
            </c:numRef>
          </c:val>
        </c:ser>
        <c:ser>
          <c:idx val="1"/>
          <c:order val="1"/>
          <c:tx>
            <c:strRef>
              <c:f>Sheet0!$A$38</c:f>
              <c:strCache>
                <c:ptCount val="1"/>
                <c:pt idx="0">
                  <c:v>Ugodna posojila</c:v>
                </c:pt>
              </c:strCache>
            </c:strRef>
          </c:tx>
          <c:spPr>
            <a:solidFill>
              <a:srgbClr val="FFFF00"/>
            </a:solidFill>
          </c:spPr>
          <c:invertIfNegative val="0"/>
          <c:cat>
            <c:strRef>
              <c:f>Sheet0!$B$36:$AD$36</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Sheet0!$B$38:$AD$38</c:f>
              <c:numCache>
                <c:formatCode>0.0</c:formatCode>
                <c:ptCount val="29"/>
                <c:pt idx="0">
                  <c:v>1.4</c:v>
                </c:pt>
                <c:pt idx="1">
                  <c:v>2.4666666666666659</c:v>
                </c:pt>
                <c:pt idx="2">
                  <c:v>3.5333333333333332</c:v>
                </c:pt>
                <c:pt idx="3">
                  <c:v>6.6666666666666693E-2</c:v>
                </c:pt>
                <c:pt idx="4">
                  <c:v>0.56666666666666698</c:v>
                </c:pt>
                <c:pt idx="5">
                  <c:v>0.46666666666666701</c:v>
                </c:pt>
                <c:pt idx="6">
                  <c:v>0</c:v>
                </c:pt>
                <c:pt idx="7">
                  <c:v>1.2666666666666671</c:v>
                </c:pt>
                <c:pt idx="8">
                  <c:v>0</c:v>
                </c:pt>
                <c:pt idx="9">
                  <c:v>6.43333333333333</c:v>
                </c:pt>
                <c:pt idx="10">
                  <c:v>2.0333333333333341</c:v>
                </c:pt>
                <c:pt idx="11">
                  <c:v>2.8666666666666671</c:v>
                </c:pt>
                <c:pt idx="12">
                  <c:v>2.9</c:v>
                </c:pt>
                <c:pt idx="13">
                  <c:v>0</c:v>
                </c:pt>
                <c:pt idx="14">
                  <c:v>0.96666666666666701</c:v>
                </c:pt>
                <c:pt idx="15">
                  <c:v>0</c:v>
                </c:pt>
                <c:pt idx="16">
                  <c:v>0</c:v>
                </c:pt>
                <c:pt idx="17">
                  <c:v>0.33333333333333298</c:v>
                </c:pt>
                <c:pt idx="18">
                  <c:v>0.96666666666666701</c:v>
                </c:pt>
                <c:pt idx="19">
                  <c:v>3.3666666666666671</c:v>
                </c:pt>
                <c:pt idx="20">
                  <c:v>0.93333333333333401</c:v>
                </c:pt>
                <c:pt idx="21">
                  <c:v>0.53333333333333299</c:v>
                </c:pt>
                <c:pt idx="22">
                  <c:v>33.566666666666578</c:v>
                </c:pt>
                <c:pt idx="23">
                  <c:v>1.033333333333333</c:v>
                </c:pt>
                <c:pt idx="24">
                  <c:v>0.6</c:v>
                </c:pt>
                <c:pt idx="25">
                  <c:v>0</c:v>
                </c:pt>
                <c:pt idx="26">
                  <c:v>1.166666666666667</c:v>
                </c:pt>
                <c:pt idx="27">
                  <c:v>0.53333333333333299</c:v>
                </c:pt>
                <c:pt idx="28">
                  <c:v>0.73333333333333295</c:v>
                </c:pt>
              </c:numCache>
            </c:numRef>
          </c:val>
        </c:ser>
        <c:ser>
          <c:idx val="2"/>
          <c:order val="2"/>
          <c:tx>
            <c:strRef>
              <c:f>Sheet0!$A$39</c:f>
              <c:strCache>
                <c:ptCount val="1"/>
                <c:pt idx="0">
                  <c:v>Udeležbe v kapitalu</c:v>
                </c:pt>
              </c:strCache>
            </c:strRef>
          </c:tx>
          <c:spPr>
            <a:solidFill>
              <a:srgbClr val="C00000"/>
            </a:solidFill>
          </c:spPr>
          <c:invertIfNegative val="0"/>
          <c:dLbls>
            <c:dLbl>
              <c:idx val="24"/>
              <c:showLegendKey val="0"/>
              <c:showVal val="1"/>
              <c:showCatName val="0"/>
              <c:showSerName val="0"/>
              <c:showPercent val="0"/>
              <c:showBubbleSize val="0"/>
            </c:dLbl>
            <c:showLegendKey val="0"/>
            <c:showVal val="0"/>
            <c:showCatName val="0"/>
            <c:showSerName val="0"/>
            <c:showPercent val="0"/>
            <c:showBubbleSize val="0"/>
          </c:dLbls>
          <c:cat>
            <c:strRef>
              <c:f>Sheet0!$B$36:$AD$36</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Sheet0!$B$39:$AD$39</c:f>
              <c:numCache>
                <c:formatCode>0.0</c:formatCode>
                <c:ptCount val="29"/>
                <c:pt idx="0">
                  <c:v>0.66666666666666696</c:v>
                </c:pt>
                <c:pt idx="1">
                  <c:v>0.36666666666666697</c:v>
                </c:pt>
                <c:pt idx="2">
                  <c:v>0</c:v>
                </c:pt>
                <c:pt idx="3">
                  <c:v>0</c:v>
                </c:pt>
                <c:pt idx="4">
                  <c:v>0.46666666666666701</c:v>
                </c:pt>
                <c:pt idx="5">
                  <c:v>0.1</c:v>
                </c:pt>
                <c:pt idx="6">
                  <c:v>0</c:v>
                </c:pt>
                <c:pt idx="7">
                  <c:v>0</c:v>
                </c:pt>
                <c:pt idx="8">
                  <c:v>7.4333333333333398</c:v>
                </c:pt>
                <c:pt idx="9">
                  <c:v>0</c:v>
                </c:pt>
                <c:pt idx="10">
                  <c:v>0.56666666666666698</c:v>
                </c:pt>
                <c:pt idx="11">
                  <c:v>0</c:v>
                </c:pt>
                <c:pt idx="12">
                  <c:v>1.966666666666667</c:v>
                </c:pt>
                <c:pt idx="13">
                  <c:v>0</c:v>
                </c:pt>
                <c:pt idx="14">
                  <c:v>2.0333333333333341</c:v>
                </c:pt>
                <c:pt idx="15">
                  <c:v>4.3666666666666663</c:v>
                </c:pt>
                <c:pt idx="16">
                  <c:v>0</c:v>
                </c:pt>
                <c:pt idx="17">
                  <c:v>5.7333333333333378</c:v>
                </c:pt>
                <c:pt idx="18">
                  <c:v>20.7</c:v>
                </c:pt>
                <c:pt idx="19">
                  <c:v>0.266666666666667</c:v>
                </c:pt>
                <c:pt idx="20">
                  <c:v>0.133333333333333</c:v>
                </c:pt>
                <c:pt idx="21">
                  <c:v>1.1000000000000001</c:v>
                </c:pt>
                <c:pt idx="22">
                  <c:v>1.866666666666666</c:v>
                </c:pt>
                <c:pt idx="23">
                  <c:v>0.1</c:v>
                </c:pt>
                <c:pt idx="24">
                  <c:v>8.56666666666667</c:v>
                </c:pt>
                <c:pt idx="25">
                  <c:v>1.2666666666666671</c:v>
                </c:pt>
                <c:pt idx="26">
                  <c:v>0.66666666666666696</c:v>
                </c:pt>
                <c:pt idx="27">
                  <c:v>6.6666666666666693E-2</c:v>
                </c:pt>
                <c:pt idx="28">
                  <c:v>1.2333333333333329</c:v>
                </c:pt>
              </c:numCache>
            </c:numRef>
          </c:val>
        </c:ser>
        <c:ser>
          <c:idx val="3"/>
          <c:order val="3"/>
          <c:tx>
            <c:strRef>
              <c:f>Sheet0!$A$40</c:f>
              <c:strCache>
                <c:ptCount val="1"/>
                <c:pt idx="0">
                  <c:v>Garancije</c:v>
                </c:pt>
              </c:strCache>
            </c:strRef>
          </c:tx>
          <c:spPr>
            <a:solidFill>
              <a:srgbClr val="7030A0"/>
            </a:solidFill>
          </c:spPr>
          <c:invertIfNegative val="0"/>
          <c:cat>
            <c:strRef>
              <c:f>Sheet0!$B$36:$AD$36</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Sheet0!$B$40:$AD$40</c:f>
              <c:numCache>
                <c:formatCode>0.0</c:formatCode>
                <c:ptCount val="29"/>
                <c:pt idx="0">
                  <c:v>1.7666666666666671</c:v>
                </c:pt>
                <c:pt idx="1">
                  <c:v>0</c:v>
                </c:pt>
                <c:pt idx="2">
                  <c:v>0</c:v>
                </c:pt>
                <c:pt idx="3">
                  <c:v>0.4</c:v>
                </c:pt>
                <c:pt idx="4">
                  <c:v>0</c:v>
                </c:pt>
                <c:pt idx="5">
                  <c:v>1.333333333333333</c:v>
                </c:pt>
                <c:pt idx="6">
                  <c:v>0.1</c:v>
                </c:pt>
                <c:pt idx="7">
                  <c:v>0.86666666666666703</c:v>
                </c:pt>
                <c:pt idx="8">
                  <c:v>45.866666666666568</c:v>
                </c:pt>
                <c:pt idx="9">
                  <c:v>0.43333333333333302</c:v>
                </c:pt>
                <c:pt idx="10">
                  <c:v>0</c:v>
                </c:pt>
                <c:pt idx="11">
                  <c:v>0.1</c:v>
                </c:pt>
                <c:pt idx="12">
                  <c:v>0.6</c:v>
                </c:pt>
                <c:pt idx="13">
                  <c:v>0</c:v>
                </c:pt>
                <c:pt idx="14">
                  <c:v>0</c:v>
                </c:pt>
                <c:pt idx="15">
                  <c:v>0</c:v>
                </c:pt>
                <c:pt idx="16">
                  <c:v>0</c:v>
                </c:pt>
                <c:pt idx="17">
                  <c:v>3.3333333333333298E-2</c:v>
                </c:pt>
                <c:pt idx="18">
                  <c:v>0.266666666666667</c:v>
                </c:pt>
                <c:pt idx="19">
                  <c:v>0.233333333333333</c:v>
                </c:pt>
                <c:pt idx="20">
                  <c:v>0.56666666666666698</c:v>
                </c:pt>
                <c:pt idx="21">
                  <c:v>0</c:v>
                </c:pt>
                <c:pt idx="22">
                  <c:v>0</c:v>
                </c:pt>
                <c:pt idx="23">
                  <c:v>0.36666666666666697</c:v>
                </c:pt>
                <c:pt idx="24">
                  <c:v>0.16666666666666699</c:v>
                </c:pt>
                <c:pt idx="25">
                  <c:v>0</c:v>
                </c:pt>
                <c:pt idx="26">
                  <c:v>0.1</c:v>
                </c:pt>
                <c:pt idx="27">
                  <c:v>0.133333333333333</c:v>
                </c:pt>
                <c:pt idx="28">
                  <c:v>1.966666666666667</c:v>
                </c:pt>
              </c:numCache>
            </c:numRef>
          </c:val>
        </c:ser>
        <c:ser>
          <c:idx val="4"/>
          <c:order val="4"/>
          <c:tx>
            <c:strRef>
              <c:f>Sheet0!$A$41</c:f>
              <c:strCache>
                <c:ptCount val="1"/>
                <c:pt idx="0">
                  <c:v>Davčne oprostitve, odlog plačila davkov</c:v>
                </c:pt>
              </c:strCache>
            </c:strRef>
          </c:tx>
          <c:spPr>
            <a:solidFill>
              <a:srgbClr val="00B050"/>
            </a:solidFill>
          </c:spPr>
          <c:invertIfNegative val="0"/>
          <c:dLbls>
            <c:dLbl>
              <c:idx val="0"/>
              <c:showLegendKey val="0"/>
              <c:showVal val="1"/>
              <c:showCatName val="0"/>
              <c:showSerName val="0"/>
              <c:showPercent val="0"/>
              <c:showBubbleSize val="0"/>
            </c:dLbl>
            <c:dLbl>
              <c:idx val="24"/>
              <c:showLegendKey val="0"/>
              <c:showVal val="1"/>
              <c:showCatName val="0"/>
              <c:showSerName val="0"/>
              <c:showPercent val="0"/>
              <c:showBubbleSize val="0"/>
            </c:dLbl>
            <c:showLegendKey val="0"/>
            <c:showVal val="0"/>
            <c:showCatName val="0"/>
            <c:showSerName val="0"/>
            <c:showPercent val="0"/>
            <c:showBubbleSize val="0"/>
          </c:dLbls>
          <c:cat>
            <c:strRef>
              <c:f>Sheet0!$B$36:$AD$36</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Sheet0!$B$41:$AD$41</c:f>
              <c:numCache>
                <c:formatCode>0.0</c:formatCode>
                <c:ptCount val="29"/>
                <c:pt idx="0">
                  <c:v>31.86666666666666</c:v>
                </c:pt>
                <c:pt idx="1">
                  <c:v>38.233333333333341</c:v>
                </c:pt>
                <c:pt idx="2">
                  <c:v>5.3999999999999986</c:v>
                </c:pt>
                <c:pt idx="3">
                  <c:v>14.93333333333333</c:v>
                </c:pt>
                <c:pt idx="4">
                  <c:v>31.86666666666666</c:v>
                </c:pt>
                <c:pt idx="5">
                  <c:v>26.099999999999991</c:v>
                </c:pt>
                <c:pt idx="6">
                  <c:v>15.633333333333329</c:v>
                </c:pt>
                <c:pt idx="7">
                  <c:v>31.5</c:v>
                </c:pt>
                <c:pt idx="8">
                  <c:v>0</c:v>
                </c:pt>
                <c:pt idx="9">
                  <c:v>12.96666666666667</c:v>
                </c:pt>
                <c:pt idx="10">
                  <c:v>51.766666666666588</c:v>
                </c:pt>
                <c:pt idx="11">
                  <c:v>15.43333333333333</c:v>
                </c:pt>
                <c:pt idx="12">
                  <c:v>16.966666666666661</c:v>
                </c:pt>
                <c:pt idx="13">
                  <c:v>4.2333333333333396</c:v>
                </c:pt>
                <c:pt idx="14">
                  <c:v>8.06666666666667</c:v>
                </c:pt>
                <c:pt idx="15">
                  <c:v>24.233333333333281</c:v>
                </c:pt>
                <c:pt idx="16">
                  <c:v>0</c:v>
                </c:pt>
                <c:pt idx="17">
                  <c:v>9.4333333333333318</c:v>
                </c:pt>
                <c:pt idx="18">
                  <c:v>50.066666666666578</c:v>
                </c:pt>
                <c:pt idx="19">
                  <c:v>22.7</c:v>
                </c:pt>
                <c:pt idx="20">
                  <c:v>16.599999999999991</c:v>
                </c:pt>
                <c:pt idx="21">
                  <c:v>19.233333333333281</c:v>
                </c:pt>
                <c:pt idx="22">
                  <c:v>22.43333333333328</c:v>
                </c:pt>
                <c:pt idx="23">
                  <c:v>26.833333333333279</c:v>
                </c:pt>
                <c:pt idx="24">
                  <c:v>27.2</c:v>
                </c:pt>
                <c:pt idx="25">
                  <c:v>18.166666666666671</c:v>
                </c:pt>
                <c:pt idx="26">
                  <c:v>53.966666666666583</c:v>
                </c:pt>
                <c:pt idx="27">
                  <c:v>83.466666666666697</c:v>
                </c:pt>
                <c:pt idx="28">
                  <c:v>36.833333333333343</c:v>
                </c:pt>
              </c:numCache>
            </c:numRef>
          </c:val>
        </c:ser>
        <c:ser>
          <c:idx val="5"/>
          <c:order val="5"/>
          <c:tx>
            <c:strRef>
              <c:f>Sheet0!$A$42</c:f>
              <c:strCache>
                <c:ptCount val="1"/>
                <c:pt idx="0">
                  <c:v>Drugo</c:v>
                </c:pt>
              </c:strCache>
            </c:strRef>
          </c:tx>
          <c:spPr>
            <a:solidFill>
              <a:schemeClr val="tx1">
                <a:lumMod val="65000"/>
                <a:lumOff val="35000"/>
              </a:schemeClr>
            </a:solidFill>
          </c:spPr>
          <c:invertIfNegative val="0"/>
          <c:cat>
            <c:strRef>
              <c:f>Sheet0!$B$36:$AD$36</c:f>
              <c:strCache>
                <c:ptCount val="29"/>
                <c:pt idx="0">
                  <c:v>EU28</c:v>
                </c:pt>
                <c:pt idx="1">
                  <c:v>BE</c:v>
                </c:pt>
                <c:pt idx="2">
                  <c:v>BG</c:v>
                </c:pt>
                <c:pt idx="3">
                  <c:v>CZ</c:v>
                </c:pt>
                <c:pt idx="4">
                  <c:v>DK</c:v>
                </c:pt>
                <c:pt idx="5">
                  <c:v>DE</c:v>
                </c:pt>
                <c:pt idx="6">
                  <c:v>EE</c:v>
                </c:pt>
                <c:pt idx="7">
                  <c:v>IE</c:v>
                </c:pt>
                <c:pt idx="8">
                  <c:v>EL</c:v>
                </c:pt>
                <c:pt idx="9">
                  <c:v>ES</c:v>
                </c:pt>
                <c:pt idx="10">
                  <c:v>FR</c:v>
                </c:pt>
                <c:pt idx="11">
                  <c:v>HR</c:v>
                </c:pt>
                <c:pt idx="12">
                  <c:v>IT</c:v>
                </c:pt>
                <c:pt idx="13">
                  <c:v>CY</c:v>
                </c:pt>
                <c:pt idx="14">
                  <c:v>LV</c:v>
                </c:pt>
                <c:pt idx="15">
                  <c:v>LT</c:v>
                </c:pt>
                <c:pt idx="16">
                  <c:v>LU</c:v>
                </c:pt>
                <c:pt idx="17">
                  <c:v>HU</c:v>
                </c:pt>
                <c:pt idx="18">
                  <c:v>MT</c:v>
                </c:pt>
                <c:pt idx="19">
                  <c:v>NL</c:v>
                </c:pt>
                <c:pt idx="20">
                  <c:v>AT</c:v>
                </c:pt>
                <c:pt idx="21">
                  <c:v>PL</c:v>
                </c:pt>
                <c:pt idx="22">
                  <c:v>PT</c:v>
                </c:pt>
                <c:pt idx="23">
                  <c:v>RO</c:v>
                </c:pt>
                <c:pt idx="24">
                  <c:v>SI</c:v>
                </c:pt>
                <c:pt idx="25">
                  <c:v>SK</c:v>
                </c:pt>
                <c:pt idx="26">
                  <c:v>FI</c:v>
                </c:pt>
                <c:pt idx="27">
                  <c:v>SE</c:v>
                </c:pt>
                <c:pt idx="28">
                  <c:v>UK</c:v>
                </c:pt>
              </c:strCache>
            </c:strRef>
          </c:cat>
          <c:val>
            <c:numRef>
              <c:f>Sheet0!$B$42:$AD$42</c:f>
              <c:numCache>
                <c:formatCode>0.0</c:formatCode>
                <c:ptCount val="29"/>
                <c:pt idx="0">
                  <c:v>1.9</c:v>
                </c:pt>
                <c:pt idx="1">
                  <c:v>0</c:v>
                </c:pt>
                <c:pt idx="2">
                  <c:v>35.633333333333333</c:v>
                </c:pt>
                <c:pt idx="3">
                  <c:v>20.466666666666669</c:v>
                </c:pt>
                <c:pt idx="4">
                  <c:v>0.36666666666666697</c:v>
                </c:pt>
                <c:pt idx="5">
                  <c:v>6.6666666666666693E-2</c:v>
                </c:pt>
                <c:pt idx="6">
                  <c:v>6.6666666666666693E-2</c:v>
                </c:pt>
                <c:pt idx="7">
                  <c:v>0.3</c:v>
                </c:pt>
                <c:pt idx="8">
                  <c:v>0</c:v>
                </c:pt>
                <c:pt idx="9">
                  <c:v>0.36666666666666697</c:v>
                </c:pt>
                <c:pt idx="10">
                  <c:v>3.833333333333333</c:v>
                </c:pt>
                <c:pt idx="11">
                  <c:v>36.833333333333343</c:v>
                </c:pt>
                <c:pt idx="12">
                  <c:v>2.1</c:v>
                </c:pt>
                <c:pt idx="13">
                  <c:v>0</c:v>
                </c:pt>
                <c:pt idx="14">
                  <c:v>0.1</c:v>
                </c:pt>
                <c:pt idx="15">
                  <c:v>16.233333333333281</c:v>
                </c:pt>
                <c:pt idx="16">
                  <c:v>0</c:v>
                </c:pt>
                <c:pt idx="17">
                  <c:v>0</c:v>
                </c:pt>
                <c:pt idx="18">
                  <c:v>11.7</c:v>
                </c:pt>
                <c:pt idx="19">
                  <c:v>0.2</c:v>
                </c:pt>
                <c:pt idx="20">
                  <c:v>0</c:v>
                </c:pt>
                <c:pt idx="21">
                  <c:v>0</c:v>
                </c:pt>
                <c:pt idx="22">
                  <c:v>14.233333333333331</c:v>
                </c:pt>
                <c:pt idx="23">
                  <c:v>19.233333333333281</c:v>
                </c:pt>
                <c:pt idx="24">
                  <c:v>3.3333333333333298E-2</c:v>
                </c:pt>
                <c:pt idx="25">
                  <c:v>1</c:v>
                </c:pt>
                <c:pt idx="26">
                  <c:v>0.3</c:v>
                </c:pt>
                <c:pt idx="27">
                  <c:v>6.6666666666666693E-2</c:v>
                </c:pt>
                <c:pt idx="28">
                  <c:v>0.1</c:v>
                </c:pt>
              </c:numCache>
            </c:numRef>
          </c:val>
        </c:ser>
        <c:dLbls>
          <c:showLegendKey val="0"/>
          <c:showVal val="0"/>
          <c:showCatName val="0"/>
          <c:showSerName val="0"/>
          <c:showPercent val="0"/>
          <c:showBubbleSize val="0"/>
        </c:dLbls>
        <c:gapWidth val="150"/>
        <c:overlap val="100"/>
        <c:axId val="127060608"/>
        <c:axId val="127066496"/>
      </c:barChart>
      <c:catAx>
        <c:axId val="127060608"/>
        <c:scaling>
          <c:orientation val="minMax"/>
        </c:scaling>
        <c:delete val="0"/>
        <c:axPos val="b"/>
        <c:majorTickMark val="out"/>
        <c:minorTickMark val="none"/>
        <c:tickLblPos val="nextTo"/>
        <c:txPr>
          <a:bodyPr/>
          <a:lstStyle/>
          <a:p>
            <a:pPr>
              <a:defRPr sz="890" baseline="0"/>
            </a:pPr>
            <a:endParaRPr lang="sl-SI"/>
          </a:p>
        </c:txPr>
        <c:crossAx val="127066496"/>
        <c:crosses val="autoZero"/>
        <c:auto val="1"/>
        <c:lblAlgn val="ctr"/>
        <c:lblOffset val="100"/>
        <c:noMultiLvlLbl val="0"/>
      </c:catAx>
      <c:valAx>
        <c:axId val="127066496"/>
        <c:scaling>
          <c:orientation val="minMax"/>
        </c:scaling>
        <c:delete val="0"/>
        <c:axPos val="l"/>
        <c:majorGridlines/>
        <c:numFmt formatCode="0%" sourceLinked="1"/>
        <c:majorTickMark val="out"/>
        <c:minorTickMark val="none"/>
        <c:tickLblPos val="nextTo"/>
        <c:crossAx val="127060608"/>
        <c:crosses val="autoZero"/>
        <c:crossBetween val="between"/>
      </c:valAx>
    </c:plotArea>
    <c:legend>
      <c:legendPos val="r"/>
      <c:layout>
        <c:manualLayout>
          <c:xMode val="edge"/>
          <c:yMode val="edge"/>
          <c:x val="0.798176963990612"/>
          <c:y val="6.8985570966065807E-2"/>
          <c:w val="0.18928380480217799"/>
          <c:h val="0.881226268036292"/>
        </c:manualLayout>
      </c:layout>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336728208119"/>
          <c:y val="0.106362621138704"/>
          <c:w val="0.52847324496809001"/>
          <c:h val="0.793879056047198"/>
        </c:manualLayout>
      </c:layout>
      <c:pieChart>
        <c:varyColors val="1"/>
        <c:ser>
          <c:idx val="0"/>
          <c:order val="0"/>
          <c:spPr>
            <a:ln>
              <a:solidFill>
                <a:schemeClr val="bg1"/>
              </a:solidFill>
            </a:ln>
          </c:spPr>
          <c:dLbls>
            <c:dLbl>
              <c:idx val="0"/>
              <c:layout>
                <c:manualLayout>
                  <c:x val="-5.2530160534056902E-2"/>
                  <c:y val="-1.86798829349871E-2"/>
                </c:manualLayout>
              </c:layout>
              <c:showLegendKey val="0"/>
              <c:showVal val="0"/>
              <c:showCatName val="1"/>
              <c:showSerName val="0"/>
              <c:showPercent val="1"/>
              <c:showBubbleSize val="0"/>
            </c:dLbl>
            <c:dLbl>
              <c:idx val="1"/>
              <c:layout>
                <c:manualLayout>
                  <c:x val="-4.7407508339808002E-2"/>
                  <c:y val="-4.5150744431282398E-2"/>
                </c:manualLayout>
              </c:layout>
              <c:showLegendKey val="0"/>
              <c:showVal val="0"/>
              <c:showCatName val="1"/>
              <c:showSerName val="0"/>
              <c:showPercent val="1"/>
              <c:showBubbleSize val="0"/>
            </c:dLbl>
            <c:dLbl>
              <c:idx val="3"/>
              <c:layout>
                <c:manualLayout>
                  <c:x val="2.5963764838673499E-2"/>
                  <c:y val="2.1464822428169899E-3"/>
                </c:manualLayout>
              </c:layout>
              <c:showLegendKey val="0"/>
              <c:showVal val="0"/>
              <c:showCatName val="1"/>
              <c:showSerName val="0"/>
              <c:showPercent val="1"/>
              <c:showBubbleSize val="0"/>
            </c:dLbl>
            <c:dLbl>
              <c:idx val="4"/>
              <c:layout>
                <c:manualLayout>
                  <c:x val="3.7056579267797797E-2"/>
                  <c:y val="6.3265916428588004E-2"/>
                </c:manualLayout>
              </c:layout>
              <c:showLegendKey val="0"/>
              <c:showVal val="0"/>
              <c:showCatName val="1"/>
              <c:showSerName val="0"/>
              <c:showPercent val="1"/>
              <c:showBubbleSize val="0"/>
            </c:dLbl>
            <c:dLbl>
              <c:idx val="5"/>
              <c:layout>
                <c:manualLayout>
                  <c:x val="-7.8939321583391606E-2"/>
                  <c:y val="4.8887255186467797E-2"/>
                </c:manualLayout>
              </c:layout>
              <c:showLegendKey val="0"/>
              <c:showVal val="0"/>
              <c:showCatName val="1"/>
              <c:showSerName val="0"/>
              <c:showPercent val="1"/>
              <c:showBubbleSize val="0"/>
            </c:dLbl>
            <c:dLbl>
              <c:idx val="6"/>
              <c:layout>
                <c:manualLayout>
                  <c:x val="-0.10769311052613301"/>
                  <c:y val="-0.13549026780944401"/>
                </c:manualLayout>
              </c:layout>
              <c:tx>
                <c:rich>
                  <a:bodyPr/>
                  <a:lstStyle/>
                  <a:p>
                    <a:pPr>
                      <a:defRPr sz="950" baseline="0"/>
                    </a:pPr>
                    <a:r>
                      <a:rPr lang="en-US" sz="950" baseline="0"/>
                      <a:t>OSREDNJE</a:t>
                    </a:r>
                    <a:r>
                      <a:rPr lang="sl-SI" sz="950" baseline="0"/>
                      <a:t>-</a:t>
                    </a:r>
                  </a:p>
                  <a:p>
                    <a:pPr>
                      <a:defRPr sz="950" baseline="0"/>
                    </a:pPr>
                    <a:r>
                      <a:rPr lang="en-US" sz="950" baseline="0"/>
                      <a:t>SLOVENSKA
36,2%</a:t>
                    </a:r>
                  </a:p>
                </c:rich>
              </c:tx>
              <c:numFmt formatCode="0.0%" sourceLinked="0"/>
              <c:spPr/>
              <c:showLegendKey val="0"/>
              <c:showVal val="0"/>
              <c:showCatName val="1"/>
              <c:showSerName val="0"/>
              <c:showPercent val="1"/>
              <c:showBubbleSize val="0"/>
            </c:dLbl>
            <c:dLbl>
              <c:idx val="8"/>
              <c:layout>
                <c:manualLayout>
                  <c:x val="1.9733358072509001E-4"/>
                  <c:y val="1.9187106589552399E-2"/>
                </c:manualLayout>
              </c:layout>
              <c:showLegendKey val="0"/>
              <c:showVal val="0"/>
              <c:showCatName val="1"/>
              <c:showSerName val="0"/>
              <c:showPercent val="1"/>
              <c:showBubbleSize val="0"/>
            </c:dLbl>
            <c:dLbl>
              <c:idx val="9"/>
              <c:layout>
                <c:manualLayout>
                  <c:x val="-1.52501555862218E-2"/>
                  <c:y val="-6.1032332241655598E-3"/>
                </c:manualLayout>
              </c:layout>
              <c:showLegendKey val="0"/>
              <c:showVal val="0"/>
              <c:showCatName val="1"/>
              <c:showSerName val="0"/>
              <c:showPercent val="1"/>
              <c:showBubbleSize val="0"/>
            </c:dLbl>
            <c:dLbl>
              <c:idx val="10"/>
              <c:layout>
                <c:manualLayout>
                  <c:x val="-8.2361575395459193E-3"/>
                  <c:y val="3.6927263698917197E-2"/>
                </c:manualLayout>
              </c:layout>
              <c:showLegendKey val="0"/>
              <c:showVal val="0"/>
              <c:showCatName val="1"/>
              <c:showSerName val="0"/>
              <c:showPercent val="1"/>
              <c:showBubbleSize val="0"/>
            </c:dLbl>
            <c:dLbl>
              <c:idx val="11"/>
              <c:layout>
                <c:manualLayout>
                  <c:x val="-5.0757057429676997E-2"/>
                  <c:y val="-2.3415905976354699E-3"/>
                </c:manualLayout>
              </c:layout>
              <c:showLegendKey val="0"/>
              <c:showVal val="0"/>
              <c:showCatName val="1"/>
              <c:showSerName val="0"/>
              <c:showPercent val="1"/>
              <c:showBubbleSize val="0"/>
            </c:dLbl>
            <c:numFmt formatCode="0.0%" sourceLinked="0"/>
            <c:txPr>
              <a:bodyPr/>
              <a:lstStyle/>
              <a:p>
                <a:pPr>
                  <a:defRPr sz="920" baseline="0"/>
                </a:pPr>
                <a:endParaRPr lang="sl-SI"/>
              </a:p>
            </c:txPr>
            <c:showLegendKey val="0"/>
            <c:showVal val="0"/>
            <c:showCatName val="1"/>
            <c:showSerName val="0"/>
            <c:showPercent val="1"/>
            <c:showBubbleSize val="0"/>
            <c:showLeaderLines val="1"/>
          </c:dLbls>
          <c:cat>
            <c:strRef>
              <c:f>'TABELA P4'!$B$6:$B$17</c:f>
              <c:strCache>
                <c:ptCount val="12"/>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strCache>
            </c:strRef>
          </c:cat>
          <c:val>
            <c:numRef>
              <c:f>'TABELA P4'!$I$6:$I$17</c:f>
              <c:numCache>
                <c:formatCode>#,##0.00</c:formatCode>
                <c:ptCount val="12"/>
                <c:pt idx="0">
                  <c:v>24662466.350000001</c:v>
                </c:pt>
                <c:pt idx="1">
                  <c:v>15910341.140000001</c:v>
                </c:pt>
                <c:pt idx="2">
                  <c:v>22978043.2966667</c:v>
                </c:pt>
                <c:pt idx="3">
                  <c:v>13244783.6566667</c:v>
                </c:pt>
                <c:pt idx="4">
                  <c:v>4710589.82</c:v>
                </c:pt>
                <c:pt idx="5">
                  <c:v>38854506.923333302</c:v>
                </c:pt>
                <c:pt idx="6">
                  <c:v>163580702.04333299</c:v>
                </c:pt>
                <c:pt idx="7">
                  <c:v>61137094.853333302</c:v>
                </c:pt>
                <c:pt idx="8">
                  <c:v>19038756.513333298</c:v>
                </c:pt>
                <c:pt idx="9">
                  <c:v>10808296.810000001</c:v>
                </c:pt>
                <c:pt idx="10">
                  <c:v>58041481.409999996</c:v>
                </c:pt>
                <c:pt idx="11">
                  <c:v>18858264.6133333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2015</c:v>
          </c:tx>
          <c:spPr>
            <a:solidFill>
              <a:schemeClr val="bg2">
                <a:lumMod val="50000"/>
              </a:schemeClr>
            </a:solidFill>
          </c:spPr>
          <c:invertIfNegative val="0"/>
          <c:cat>
            <c:strRef>
              <c:f>'tabela  in GRAFI'!$B$5:$B$16</c:f>
              <c:strCache>
                <c:ptCount val="12"/>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strCache>
            </c:strRef>
          </c:cat>
          <c:val>
            <c:numRef>
              <c:f>'tabela  in GRAFI'!$C$5:$C$16</c:f>
              <c:numCache>
                <c:formatCode>#,##0.00</c:formatCode>
                <c:ptCount val="12"/>
                <c:pt idx="0">
                  <c:v>27242616.579999998</c:v>
                </c:pt>
                <c:pt idx="1">
                  <c:v>19386584.530000001</c:v>
                </c:pt>
                <c:pt idx="2">
                  <c:v>25023870.510000002</c:v>
                </c:pt>
                <c:pt idx="3">
                  <c:v>14472947.85</c:v>
                </c:pt>
                <c:pt idx="4">
                  <c:v>5147421.76</c:v>
                </c:pt>
                <c:pt idx="5">
                  <c:v>103316077.45999999</c:v>
                </c:pt>
                <c:pt idx="6">
                  <c:v>193209614.66</c:v>
                </c:pt>
                <c:pt idx="7">
                  <c:v>63126123.259999998</c:v>
                </c:pt>
                <c:pt idx="8">
                  <c:v>20316650.260000002</c:v>
                </c:pt>
                <c:pt idx="9">
                  <c:v>11244777.33</c:v>
                </c:pt>
                <c:pt idx="10">
                  <c:v>58074613.649999999</c:v>
                </c:pt>
                <c:pt idx="11">
                  <c:v>12743846.720000001</c:v>
                </c:pt>
              </c:numCache>
            </c:numRef>
          </c:val>
        </c:ser>
        <c:ser>
          <c:idx val="1"/>
          <c:order val="1"/>
          <c:tx>
            <c:v>2016</c:v>
          </c:tx>
          <c:spPr>
            <a:solidFill>
              <a:schemeClr val="accent6">
                <a:lumMod val="75000"/>
              </a:schemeClr>
            </a:solidFill>
          </c:spPr>
          <c:invertIfNegative val="0"/>
          <c:cat>
            <c:strRef>
              <c:f>'tabela  in GRAFI'!$B$5:$B$16</c:f>
              <c:strCache>
                <c:ptCount val="12"/>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strCache>
            </c:strRef>
          </c:cat>
          <c:val>
            <c:numRef>
              <c:f>'tabela  in GRAFI'!$D$5:$D$16</c:f>
              <c:numCache>
                <c:formatCode>#,##0.00</c:formatCode>
                <c:ptCount val="12"/>
                <c:pt idx="0">
                  <c:v>21164048.829999998</c:v>
                </c:pt>
                <c:pt idx="1">
                  <c:v>13305761.91</c:v>
                </c:pt>
                <c:pt idx="2">
                  <c:v>22727033.18</c:v>
                </c:pt>
                <c:pt idx="3">
                  <c:v>11593465.119999999</c:v>
                </c:pt>
                <c:pt idx="4">
                  <c:v>3965819.88</c:v>
                </c:pt>
                <c:pt idx="5">
                  <c:v>5525406.7000000002</c:v>
                </c:pt>
                <c:pt idx="6">
                  <c:v>138052488.63</c:v>
                </c:pt>
                <c:pt idx="7">
                  <c:v>55285271.789999999</c:v>
                </c:pt>
                <c:pt idx="8">
                  <c:v>17548568.440000001</c:v>
                </c:pt>
                <c:pt idx="9">
                  <c:v>9619423.9000000004</c:v>
                </c:pt>
                <c:pt idx="10">
                  <c:v>56120445.700000003</c:v>
                </c:pt>
                <c:pt idx="11">
                  <c:v>20100822.989999998</c:v>
                </c:pt>
              </c:numCache>
            </c:numRef>
          </c:val>
        </c:ser>
        <c:ser>
          <c:idx val="2"/>
          <c:order val="2"/>
          <c:tx>
            <c:v>2017</c:v>
          </c:tx>
          <c:spPr>
            <a:solidFill>
              <a:srgbClr val="7030A0"/>
            </a:solidFill>
          </c:spPr>
          <c:invertIfNegative val="0"/>
          <c:cat>
            <c:strRef>
              <c:f>'tabela  in GRAFI'!$B$5:$B$16</c:f>
              <c:strCache>
                <c:ptCount val="12"/>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strCache>
            </c:strRef>
          </c:cat>
          <c:val>
            <c:numRef>
              <c:f>'tabela  in GRAFI'!$E$5:$E$16</c:f>
              <c:numCache>
                <c:formatCode>#,##0.00</c:formatCode>
                <c:ptCount val="12"/>
                <c:pt idx="0">
                  <c:v>25580733.640000001</c:v>
                </c:pt>
                <c:pt idx="1">
                  <c:v>15038676.98</c:v>
                </c:pt>
                <c:pt idx="2">
                  <c:v>21183226.199999999</c:v>
                </c:pt>
                <c:pt idx="3">
                  <c:v>13667938</c:v>
                </c:pt>
                <c:pt idx="4">
                  <c:v>5018527.82</c:v>
                </c:pt>
                <c:pt idx="5">
                  <c:v>7722036.6100000003</c:v>
                </c:pt>
                <c:pt idx="6">
                  <c:v>159480002.84</c:v>
                </c:pt>
                <c:pt idx="7">
                  <c:v>64999889.509999998</c:v>
                </c:pt>
                <c:pt idx="8">
                  <c:v>19251050.84</c:v>
                </c:pt>
                <c:pt idx="9">
                  <c:v>11560689.199999999</c:v>
                </c:pt>
                <c:pt idx="10">
                  <c:v>59929384.880000003</c:v>
                </c:pt>
                <c:pt idx="11">
                  <c:v>23730124.129999999</c:v>
                </c:pt>
              </c:numCache>
            </c:numRef>
          </c:val>
        </c:ser>
        <c:dLbls>
          <c:showLegendKey val="0"/>
          <c:showVal val="0"/>
          <c:showCatName val="0"/>
          <c:showSerName val="0"/>
          <c:showPercent val="0"/>
          <c:showBubbleSize val="0"/>
        </c:dLbls>
        <c:gapWidth val="150"/>
        <c:axId val="127202816"/>
        <c:axId val="127204352"/>
      </c:barChart>
      <c:catAx>
        <c:axId val="127202816"/>
        <c:scaling>
          <c:orientation val="minMax"/>
        </c:scaling>
        <c:delete val="0"/>
        <c:axPos val="b"/>
        <c:majorTickMark val="out"/>
        <c:minorTickMark val="none"/>
        <c:tickLblPos val="nextTo"/>
        <c:txPr>
          <a:bodyPr/>
          <a:lstStyle/>
          <a:p>
            <a:pPr>
              <a:defRPr sz="940" baseline="0"/>
            </a:pPr>
            <a:endParaRPr lang="sl-SI"/>
          </a:p>
        </c:txPr>
        <c:crossAx val="127204352"/>
        <c:crosses val="autoZero"/>
        <c:auto val="1"/>
        <c:lblAlgn val="ctr"/>
        <c:lblOffset val="100"/>
        <c:noMultiLvlLbl val="0"/>
      </c:catAx>
      <c:valAx>
        <c:axId val="127204352"/>
        <c:scaling>
          <c:orientation val="minMax"/>
          <c:max val="200000000"/>
        </c:scaling>
        <c:delete val="0"/>
        <c:axPos val="l"/>
        <c:majorGridlines/>
        <c:numFmt formatCode="#,##0.00" sourceLinked="1"/>
        <c:majorTickMark val="out"/>
        <c:minorTickMark val="none"/>
        <c:tickLblPos val="nextTo"/>
        <c:txPr>
          <a:bodyPr/>
          <a:lstStyle/>
          <a:p>
            <a:pPr>
              <a:defRPr sz="960" baseline="0"/>
            </a:pPr>
            <a:endParaRPr lang="sl-SI"/>
          </a:p>
        </c:txPr>
        <c:crossAx val="127202816"/>
        <c:crosses val="autoZero"/>
        <c:crossBetween val="between"/>
        <c:dispUnits>
          <c:builtInUnit val="millions"/>
          <c:dispUnitsLbl>
            <c:tx>
              <c:rich>
                <a:bodyPr/>
                <a:lstStyle/>
                <a:p>
                  <a:pPr>
                    <a:defRPr/>
                  </a:pPr>
                  <a:r>
                    <a:rPr lang="en-US"/>
                    <a:t>v mio EUR</a:t>
                  </a:r>
                </a:p>
              </c:rich>
            </c:tx>
          </c:dispUnitsLbl>
        </c:dispUnits>
      </c:valAx>
    </c:plotArea>
    <c:legend>
      <c:legendPos val="r"/>
      <c:overlay val="0"/>
    </c:legend>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BDP!$C$35</c:f>
              <c:strCache>
                <c:ptCount val="1"/>
                <c:pt idx="0">
                  <c:v>2014</c:v>
                </c:pt>
              </c:strCache>
            </c:strRef>
          </c:tx>
          <c:spPr>
            <a:solidFill>
              <a:srgbClr val="00B050"/>
            </a:solidFill>
          </c:spPr>
          <c:invertIfNegative val="0"/>
          <c:cat>
            <c:strRef>
              <c:f>BDP!$B$36:$B$48</c:f>
              <c:strCache>
                <c:ptCount val="13"/>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pt idx="12">
                  <c:v>SLOVENIJA</c:v>
                </c:pt>
              </c:strCache>
            </c:strRef>
          </c:cat>
          <c:val>
            <c:numRef>
              <c:f>BDP!$C$36:$C$48</c:f>
              <c:numCache>
                <c:formatCode>0.00%</c:formatCode>
                <c:ptCount val="13"/>
                <c:pt idx="0">
                  <c:v>1.2200000000000001E-2</c:v>
                </c:pt>
                <c:pt idx="1">
                  <c:v>1.1299999999999999E-2</c:v>
                </c:pt>
                <c:pt idx="2">
                  <c:v>1.32E-2</c:v>
                </c:pt>
                <c:pt idx="3">
                  <c:v>1.9199999999999998E-2</c:v>
                </c:pt>
                <c:pt idx="4">
                  <c:v>1.54E-2</c:v>
                </c:pt>
                <c:pt idx="5">
                  <c:v>4.5999999999999999E-3</c:v>
                </c:pt>
                <c:pt idx="6">
                  <c:v>1.54E-2</c:v>
                </c:pt>
                <c:pt idx="7">
                  <c:v>1.34E-2</c:v>
                </c:pt>
                <c:pt idx="8">
                  <c:v>1.77E-2</c:v>
                </c:pt>
                <c:pt idx="9">
                  <c:v>1.09E-2</c:v>
                </c:pt>
                <c:pt idx="10">
                  <c:v>1.6899999999999998E-2</c:v>
                </c:pt>
                <c:pt idx="11">
                  <c:v>3.4200000000000001E-2</c:v>
                </c:pt>
                <c:pt idx="12">
                  <c:v>1.44E-2</c:v>
                </c:pt>
              </c:numCache>
            </c:numRef>
          </c:val>
        </c:ser>
        <c:ser>
          <c:idx val="1"/>
          <c:order val="1"/>
          <c:tx>
            <c:strRef>
              <c:f>BDP!$D$35</c:f>
              <c:strCache>
                <c:ptCount val="1"/>
                <c:pt idx="0">
                  <c:v>2015</c:v>
                </c:pt>
              </c:strCache>
            </c:strRef>
          </c:tx>
          <c:invertIfNegative val="0"/>
          <c:cat>
            <c:strRef>
              <c:f>BDP!$B$36:$B$48</c:f>
              <c:strCache>
                <c:ptCount val="13"/>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pt idx="12">
                  <c:v>SLOVENIJA</c:v>
                </c:pt>
              </c:strCache>
            </c:strRef>
          </c:cat>
          <c:val>
            <c:numRef>
              <c:f>BDP!$D$36:$D$48</c:f>
              <c:numCache>
                <c:formatCode>0.00%</c:formatCode>
                <c:ptCount val="13"/>
                <c:pt idx="0">
                  <c:v>8.0999999999999996E-3</c:v>
                </c:pt>
                <c:pt idx="1">
                  <c:v>9.4999999999999998E-3</c:v>
                </c:pt>
                <c:pt idx="2">
                  <c:v>9.7000000000000003E-3</c:v>
                </c:pt>
                <c:pt idx="3">
                  <c:v>1.34E-2</c:v>
                </c:pt>
                <c:pt idx="4">
                  <c:v>7.1000000000000004E-3</c:v>
                </c:pt>
                <c:pt idx="5">
                  <c:v>4.8599999999999997E-2</c:v>
                </c:pt>
                <c:pt idx="6">
                  <c:v>1.3599999999999999E-2</c:v>
                </c:pt>
                <c:pt idx="7">
                  <c:v>1.26E-2</c:v>
                </c:pt>
                <c:pt idx="8">
                  <c:v>1.38E-2</c:v>
                </c:pt>
                <c:pt idx="9">
                  <c:v>9.4000000000000004E-3</c:v>
                </c:pt>
                <c:pt idx="10">
                  <c:v>1.32E-2</c:v>
                </c:pt>
                <c:pt idx="11">
                  <c:v>2.1700000000000001E-2</c:v>
                </c:pt>
                <c:pt idx="12">
                  <c:v>1.4200000000000001E-2</c:v>
                </c:pt>
              </c:numCache>
            </c:numRef>
          </c:val>
        </c:ser>
        <c:ser>
          <c:idx val="2"/>
          <c:order val="2"/>
          <c:tx>
            <c:strRef>
              <c:f>BDP!$E$35</c:f>
              <c:strCache>
                <c:ptCount val="1"/>
                <c:pt idx="0">
                  <c:v>2016</c:v>
                </c:pt>
              </c:strCache>
            </c:strRef>
          </c:tx>
          <c:spPr>
            <a:solidFill>
              <a:srgbClr val="002060"/>
            </a:solidFill>
          </c:spPr>
          <c:invertIfNegative val="0"/>
          <c:cat>
            <c:strRef>
              <c:f>BDP!$B$36:$B$48</c:f>
              <c:strCache>
                <c:ptCount val="13"/>
                <c:pt idx="0">
                  <c:v>Gorenjska</c:v>
                </c:pt>
                <c:pt idx="1">
                  <c:v>Goriška</c:v>
                </c:pt>
                <c:pt idx="2">
                  <c:v>Jugovzhodna Slovenija</c:v>
                </c:pt>
                <c:pt idx="3">
                  <c:v>Koroška</c:v>
                </c:pt>
                <c:pt idx="4">
                  <c:v>Notranjsko-kraška</c:v>
                </c:pt>
                <c:pt idx="5">
                  <c:v>Obalno-kraška</c:v>
                </c:pt>
                <c:pt idx="6">
                  <c:v>Osrednjeslovenska</c:v>
                </c:pt>
                <c:pt idx="7">
                  <c:v>Podravska</c:v>
                </c:pt>
                <c:pt idx="8">
                  <c:v>Pomurska</c:v>
                </c:pt>
                <c:pt idx="9">
                  <c:v>Posavska</c:v>
                </c:pt>
                <c:pt idx="10">
                  <c:v>Savinjska</c:v>
                </c:pt>
                <c:pt idx="11">
                  <c:v>Zasavska</c:v>
                </c:pt>
                <c:pt idx="12">
                  <c:v>SLOVENIJA</c:v>
                </c:pt>
              </c:strCache>
            </c:strRef>
          </c:cat>
          <c:val>
            <c:numRef>
              <c:f>BDP!$E$36:$E$48</c:f>
              <c:numCache>
                <c:formatCode>0.00%</c:formatCode>
                <c:ptCount val="13"/>
                <c:pt idx="0">
                  <c:v>6.0000000000000001E-3</c:v>
                </c:pt>
                <c:pt idx="1">
                  <c:v>6.3E-3</c:v>
                </c:pt>
                <c:pt idx="2">
                  <c:v>8.6E-3</c:v>
                </c:pt>
                <c:pt idx="3">
                  <c:v>1.03E-2</c:v>
                </c:pt>
                <c:pt idx="4">
                  <c:v>5.1999999999999998E-3</c:v>
                </c:pt>
                <c:pt idx="5">
                  <c:v>2.3999999999999998E-3</c:v>
                </c:pt>
                <c:pt idx="6">
                  <c:v>9.2999999999999992E-3</c:v>
                </c:pt>
                <c:pt idx="7">
                  <c:v>1.0699999999999999E-2</c:v>
                </c:pt>
                <c:pt idx="8">
                  <c:v>1.14E-2</c:v>
                </c:pt>
                <c:pt idx="9">
                  <c:v>7.7999999999999996E-3</c:v>
                </c:pt>
                <c:pt idx="10">
                  <c:v>1.2200000000000001E-2</c:v>
                </c:pt>
                <c:pt idx="11">
                  <c:v>3.3500000000000002E-2</c:v>
                </c:pt>
                <c:pt idx="12">
                  <c:v>9.2999999999999992E-3</c:v>
                </c:pt>
              </c:numCache>
            </c:numRef>
          </c:val>
        </c:ser>
        <c:dLbls>
          <c:showLegendKey val="0"/>
          <c:showVal val="0"/>
          <c:showCatName val="0"/>
          <c:showSerName val="0"/>
          <c:showPercent val="0"/>
          <c:showBubbleSize val="0"/>
        </c:dLbls>
        <c:gapWidth val="150"/>
        <c:axId val="127230720"/>
        <c:axId val="127232256"/>
      </c:barChart>
      <c:catAx>
        <c:axId val="127230720"/>
        <c:scaling>
          <c:orientation val="minMax"/>
        </c:scaling>
        <c:delete val="0"/>
        <c:axPos val="l"/>
        <c:majorTickMark val="out"/>
        <c:minorTickMark val="none"/>
        <c:tickLblPos val="nextTo"/>
        <c:txPr>
          <a:bodyPr/>
          <a:lstStyle/>
          <a:p>
            <a:pPr>
              <a:defRPr sz="950" baseline="0"/>
            </a:pPr>
            <a:endParaRPr lang="sl-SI"/>
          </a:p>
        </c:txPr>
        <c:crossAx val="127232256"/>
        <c:crosses val="autoZero"/>
        <c:auto val="1"/>
        <c:lblAlgn val="ctr"/>
        <c:lblOffset val="100"/>
        <c:noMultiLvlLbl val="0"/>
      </c:catAx>
      <c:valAx>
        <c:axId val="127232256"/>
        <c:scaling>
          <c:orientation val="minMax"/>
          <c:max val="0.05"/>
        </c:scaling>
        <c:delete val="0"/>
        <c:axPos val="b"/>
        <c:majorGridlines/>
        <c:numFmt formatCode="0.00%" sourceLinked="1"/>
        <c:majorTickMark val="out"/>
        <c:minorTickMark val="none"/>
        <c:tickLblPos val="nextTo"/>
        <c:txPr>
          <a:bodyPr/>
          <a:lstStyle/>
          <a:p>
            <a:pPr>
              <a:defRPr sz="950" baseline="0"/>
            </a:pPr>
            <a:endParaRPr lang="sl-SI"/>
          </a:p>
        </c:txPr>
        <c:crossAx val="1272307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6"/>
            <c:invertIfNegative val="0"/>
            <c:bubble3D val="0"/>
            <c:spPr>
              <a:solidFill>
                <a:srgbClr val="00B050"/>
              </a:solidFill>
            </c:spPr>
          </c:dPt>
          <c:dLbls>
            <c:numFmt formatCode="0.0%" sourceLinked="0"/>
            <c:txPr>
              <a:bodyPr/>
              <a:lstStyle/>
              <a:p>
                <a:pPr>
                  <a:defRPr sz="950" baseline="0"/>
                </a:pPr>
                <a:endParaRPr lang="sl-SI"/>
              </a:p>
            </c:txPr>
            <c:showLegendKey val="0"/>
            <c:showVal val="1"/>
            <c:showCatName val="0"/>
            <c:showSerName val="0"/>
            <c:showPercent val="0"/>
            <c:showBubbleSize val="0"/>
            <c:showLeaderLines val="0"/>
          </c:dLbls>
          <c:cat>
            <c:strRef>
              <c:f>BDP!$B$56:$B$68</c:f>
              <c:strCache>
                <c:ptCount val="13"/>
                <c:pt idx="0">
                  <c:v>Gorenjska</c:v>
                </c:pt>
                <c:pt idx="1">
                  <c:v>Goriška</c:v>
                </c:pt>
                <c:pt idx="2">
                  <c:v>Notranjsko-kraška</c:v>
                </c:pt>
                <c:pt idx="3">
                  <c:v>Posavska</c:v>
                </c:pt>
                <c:pt idx="4">
                  <c:v>Jugovzhodna Slovenija</c:v>
                </c:pt>
                <c:pt idx="5">
                  <c:v>Podravska</c:v>
                </c:pt>
                <c:pt idx="6">
                  <c:v>SLOVENIJA</c:v>
                </c:pt>
                <c:pt idx="7">
                  <c:v>Osrednjeslovenska</c:v>
                </c:pt>
                <c:pt idx="8">
                  <c:v>Savinjska</c:v>
                </c:pt>
                <c:pt idx="9">
                  <c:v>Koroška</c:v>
                </c:pt>
                <c:pt idx="10">
                  <c:v>Pomurska</c:v>
                </c:pt>
                <c:pt idx="11">
                  <c:v>Obalno-kraška</c:v>
                </c:pt>
                <c:pt idx="12">
                  <c:v>Zasavska</c:v>
                </c:pt>
              </c:strCache>
            </c:strRef>
          </c:cat>
          <c:val>
            <c:numRef>
              <c:f>BDP!$F$56:$F$68</c:f>
              <c:numCache>
                <c:formatCode>0.00%</c:formatCode>
                <c:ptCount val="13"/>
                <c:pt idx="0">
                  <c:v>8.7666666666666691E-3</c:v>
                </c:pt>
                <c:pt idx="1">
                  <c:v>9.0333333333333307E-3</c:v>
                </c:pt>
                <c:pt idx="2">
                  <c:v>9.2333333333333295E-3</c:v>
                </c:pt>
                <c:pt idx="3">
                  <c:v>9.3666666666666707E-3</c:v>
                </c:pt>
                <c:pt idx="4">
                  <c:v>1.0500000000000001E-2</c:v>
                </c:pt>
                <c:pt idx="5">
                  <c:v>1.2233333333333299E-2</c:v>
                </c:pt>
                <c:pt idx="6">
                  <c:v>1.26333333333333E-2</c:v>
                </c:pt>
                <c:pt idx="7">
                  <c:v>1.27666666666667E-2</c:v>
                </c:pt>
                <c:pt idx="8">
                  <c:v>1.41E-2</c:v>
                </c:pt>
                <c:pt idx="9">
                  <c:v>1.43E-2</c:v>
                </c:pt>
                <c:pt idx="10">
                  <c:v>1.43E-2</c:v>
                </c:pt>
                <c:pt idx="11">
                  <c:v>1.8533333333333301E-2</c:v>
                </c:pt>
                <c:pt idx="12">
                  <c:v>2.98E-2</c:v>
                </c:pt>
              </c:numCache>
            </c:numRef>
          </c:val>
        </c:ser>
        <c:dLbls>
          <c:showLegendKey val="0"/>
          <c:showVal val="0"/>
          <c:showCatName val="0"/>
          <c:showSerName val="0"/>
          <c:showPercent val="0"/>
          <c:showBubbleSize val="0"/>
        </c:dLbls>
        <c:gapWidth val="150"/>
        <c:axId val="127253120"/>
        <c:axId val="127930752"/>
      </c:barChart>
      <c:catAx>
        <c:axId val="127253120"/>
        <c:scaling>
          <c:orientation val="minMax"/>
        </c:scaling>
        <c:delete val="0"/>
        <c:axPos val="b"/>
        <c:majorTickMark val="out"/>
        <c:minorTickMark val="none"/>
        <c:tickLblPos val="nextTo"/>
        <c:txPr>
          <a:bodyPr/>
          <a:lstStyle/>
          <a:p>
            <a:pPr>
              <a:defRPr sz="950" baseline="0"/>
            </a:pPr>
            <a:endParaRPr lang="sl-SI"/>
          </a:p>
        </c:txPr>
        <c:crossAx val="127930752"/>
        <c:crosses val="autoZero"/>
        <c:auto val="1"/>
        <c:lblAlgn val="ctr"/>
        <c:lblOffset val="100"/>
        <c:noMultiLvlLbl val="0"/>
      </c:catAx>
      <c:valAx>
        <c:axId val="127930752"/>
        <c:scaling>
          <c:orientation val="minMax"/>
          <c:max val="0.03"/>
        </c:scaling>
        <c:delete val="0"/>
        <c:axPos val="l"/>
        <c:majorGridlines/>
        <c:title>
          <c:tx>
            <c:rich>
              <a:bodyPr rot="-5400000" vert="horz"/>
              <a:lstStyle/>
              <a:p>
                <a:pPr>
                  <a:defRPr/>
                </a:pPr>
                <a:r>
                  <a:rPr lang="en-US"/>
                  <a:t>Državne pomoči v deležu BDP</a:t>
                </a:r>
              </a:p>
            </c:rich>
          </c:tx>
          <c:overlay val="0"/>
        </c:title>
        <c:numFmt formatCode="0.00%" sourceLinked="1"/>
        <c:majorTickMark val="out"/>
        <c:minorTickMark val="none"/>
        <c:tickLblPos val="nextTo"/>
        <c:txPr>
          <a:bodyPr/>
          <a:lstStyle/>
          <a:p>
            <a:pPr>
              <a:defRPr sz="950" baseline="0"/>
            </a:pPr>
            <a:endParaRPr lang="sl-SI"/>
          </a:p>
        </c:txPr>
        <c:crossAx val="127253120"/>
        <c:crosses val="autoZero"/>
        <c:crossBetween val="between"/>
      </c:valAx>
    </c:plotArea>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6">
                <a:lumMod val="75000"/>
              </a:schemeClr>
            </a:solidFill>
          </c:spPr>
          <c:invertIfNegative val="0"/>
          <c:dPt>
            <c:idx val="8"/>
            <c:invertIfNegative val="0"/>
            <c:bubble3D val="0"/>
            <c:spPr>
              <a:solidFill>
                <a:srgbClr val="00B050"/>
              </a:solidFill>
            </c:spPr>
          </c:dPt>
          <c:dLbls>
            <c:numFmt formatCode="#,##0" sourceLinked="0"/>
            <c:txPr>
              <a:bodyPr/>
              <a:lstStyle/>
              <a:p>
                <a:pPr>
                  <a:defRPr sz="950" baseline="0"/>
                </a:pPr>
                <a:endParaRPr lang="sl-SI"/>
              </a:p>
            </c:txPr>
            <c:showLegendKey val="0"/>
            <c:showVal val="1"/>
            <c:showCatName val="0"/>
            <c:showSerName val="0"/>
            <c:showPercent val="0"/>
            <c:showBubbleSize val="0"/>
            <c:showLeaderLines val="0"/>
          </c:dLbls>
          <c:cat>
            <c:strRef>
              <c:f>Prebivalci!$B$49:$B$61</c:f>
              <c:strCache>
                <c:ptCount val="13"/>
                <c:pt idx="0">
                  <c:v>Notranjsko-kraška</c:v>
                </c:pt>
                <c:pt idx="1">
                  <c:v>Gorenjska</c:v>
                </c:pt>
                <c:pt idx="2">
                  <c:v>Goriška</c:v>
                </c:pt>
                <c:pt idx="3">
                  <c:v>Posavska</c:v>
                </c:pt>
                <c:pt idx="4">
                  <c:v>Jugovzhodna Slovenija</c:v>
                </c:pt>
                <c:pt idx="5">
                  <c:v>Pomurska</c:v>
                </c:pt>
                <c:pt idx="6">
                  <c:v>Koroška</c:v>
                </c:pt>
                <c:pt idx="7">
                  <c:v>Podravska</c:v>
                </c:pt>
                <c:pt idx="8">
                  <c:v>SLOVENIJA</c:v>
                </c:pt>
                <c:pt idx="9">
                  <c:v>Savinjska</c:v>
                </c:pt>
                <c:pt idx="10">
                  <c:v>Osrednjeslovenska</c:v>
                </c:pt>
                <c:pt idx="11">
                  <c:v>Zasavska</c:v>
                </c:pt>
                <c:pt idx="12">
                  <c:v>Obalno-kraška</c:v>
                </c:pt>
              </c:strCache>
            </c:strRef>
          </c:cat>
          <c:val>
            <c:numRef>
              <c:f>Prebivalci!$F$49:$F$61</c:f>
              <c:numCache>
                <c:formatCode>0.00</c:formatCode>
                <c:ptCount val="13"/>
                <c:pt idx="0">
                  <c:v>89.64333333333326</c:v>
                </c:pt>
                <c:pt idx="1">
                  <c:v>120.9966666666667</c:v>
                </c:pt>
                <c:pt idx="2">
                  <c:v>134.81666666666669</c:v>
                </c:pt>
                <c:pt idx="3">
                  <c:v>142.92666666666659</c:v>
                </c:pt>
                <c:pt idx="4">
                  <c:v>161.19999999999999</c:v>
                </c:pt>
                <c:pt idx="5">
                  <c:v>164.01</c:v>
                </c:pt>
                <c:pt idx="6">
                  <c:v>186.4466666666666</c:v>
                </c:pt>
                <c:pt idx="7">
                  <c:v>189.48666666666671</c:v>
                </c:pt>
                <c:pt idx="8">
                  <c:v>218.8966666666667</c:v>
                </c:pt>
                <c:pt idx="9">
                  <c:v>228.19</c:v>
                </c:pt>
                <c:pt idx="10">
                  <c:v>304.68333333333339</c:v>
                </c:pt>
                <c:pt idx="11">
                  <c:v>328.42</c:v>
                </c:pt>
                <c:pt idx="12">
                  <c:v>344.34666666666669</c:v>
                </c:pt>
              </c:numCache>
            </c:numRef>
          </c:val>
        </c:ser>
        <c:dLbls>
          <c:showLegendKey val="0"/>
          <c:showVal val="0"/>
          <c:showCatName val="0"/>
          <c:showSerName val="0"/>
          <c:showPercent val="0"/>
          <c:showBubbleSize val="0"/>
        </c:dLbls>
        <c:gapWidth val="150"/>
        <c:axId val="127947520"/>
        <c:axId val="127949056"/>
      </c:barChart>
      <c:catAx>
        <c:axId val="127947520"/>
        <c:scaling>
          <c:orientation val="minMax"/>
        </c:scaling>
        <c:delete val="0"/>
        <c:axPos val="b"/>
        <c:majorTickMark val="out"/>
        <c:minorTickMark val="none"/>
        <c:tickLblPos val="nextTo"/>
        <c:txPr>
          <a:bodyPr/>
          <a:lstStyle/>
          <a:p>
            <a:pPr>
              <a:defRPr sz="950" baseline="0"/>
            </a:pPr>
            <a:endParaRPr lang="sl-SI"/>
          </a:p>
        </c:txPr>
        <c:crossAx val="127949056"/>
        <c:crosses val="autoZero"/>
        <c:auto val="1"/>
        <c:lblAlgn val="ctr"/>
        <c:lblOffset val="100"/>
        <c:noMultiLvlLbl val="0"/>
      </c:catAx>
      <c:valAx>
        <c:axId val="127949056"/>
        <c:scaling>
          <c:orientation val="minMax"/>
          <c:max val="350"/>
        </c:scaling>
        <c:delete val="0"/>
        <c:axPos val="l"/>
        <c:majorGridlines/>
        <c:numFmt formatCode="0.00" sourceLinked="1"/>
        <c:majorTickMark val="out"/>
        <c:minorTickMark val="none"/>
        <c:tickLblPos val="nextTo"/>
        <c:txPr>
          <a:bodyPr/>
          <a:lstStyle/>
          <a:p>
            <a:pPr>
              <a:defRPr sz="950" baseline="0"/>
            </a:pPr>
            <a:endParaRPr lang="sl-SI"/>
          </a:p>
        </c:txPr>
        <c:crossAx val="12794752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448652251801903"/>
          <c:y val="2.0939599531190701E-3"/>
          <c:w val="0.68669678919668697"/>
          <c:h val="0.85023906895359003"/>
        </c:manualLayout>
      </c:layout>
      <c:barChart>
        <c:barDir val="bar"/>
        <c:grouping val="clustered"/>
        <c:varyColors val="0"/>
        <c:ser>
          <c:idx val="0"/>
          <c:order val="0"/>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Pt>
            <c:idx val="4"/>
            <c:invertIfNegative val="0"/>
            <c:bubble3D val="0"/>
            <c:spPr>
              <a:solidFill>
                <a:srgbClr val="FFC000"/>
              </a:solidFill>
            </c:spPr>
          </c:dPt>
          <c:dPt>
            <c:idx val="5"/>
            <c:invertIfNegative val="0"/>
            <c:bubble3D val="0"/>
            <c:spPr>
              <a:solidFill>
                <a:srgbClr val="FFC000"/>
              </a:solidFill>
            </c:spPr>
          </c:dPt>
          <c:dPt>
            <c:idx val="6"/>
            <c:invertIfNegative val="0"/>
            <c:bubble3D val="0"/>
            <c:spPr>
              <a:solidFill>
                <a:srgbClr val="FFC000"/>
              </a:solidFill>
            </c:spPr>
          </c:dPt>
          <c:dPt>
            <c:idx val="7"/>
            <c:invertIfNegative val="0"/>
            <c:bubble3D val="0"/>
            <c:spPr>
              <a:solidFill>
                <a:srgbClr val="FFC000"/>
              </a:solidFill>
            </c:spPr>
          </c:dPt>
          <c:dPt>
            <c:idx val="8"/>
            <c:invertIfNegative val="0"/>
            <c:bubble3D val="0"/>
            <c:spPr>
              <a:solidFill>
                <a:srgbClr val="FFC000"/>
              </a:solidFill>
            </c:spPr>
          </c:dPt>
          <c:dPt>
            <c:idx val="9"/>
            <c:invertIfNegative val="0"/>
            <c:bubble3D val="0"/>
            <c:spPr>
              <a:solidFill>
                <a:srgbClr val="FFC000"/>
              </a:solidFill>
            </c:spPr>
          </c:dPt>
          <c:dPt>
            <c:idx val="10"/>
            <c:invertIfNegative val="0"/>
            <c:bubble3D val="0"/>
            <c:spPr>
              <a:solidFill>
                <a:srgbClr val="00B050"/>
              </a:solidFill>
            </c:spPr>
          </c:dPt>
          <c:dPt>
            <c:idx val="11"/>
            <c:invertIfNegative val="0"/>
            <c:bubble3D val="0"/>
            <c:spPr>
              <a:solidFill>
                <a:srgbClr val="00B050"/>
              </a:solidFill>
            </c:spPr>
          </c:dPt>
          <c:dPt>
            <c:idx val="12"/>
            <c:invertIfNegative val="0"/>
            <c:bubble3D val="0"/>
            <c:spPr>
              <a:solidFill>
                <a:srgbClr val="00B050"/>
              </a:solidFill>
            </c:spPr>
          </c:dPt>
          <c:dLbls>
            <c:dLbl>
              <c:idx val="0"/>
              <c:layout>
                <c:manualLayout>
                  <c:x val="-7.7429345722028597E-3"/>
                  <c:y val="0"/>
                </c:manualLayout>
              </c:layout>
              <c:showLegendKey val="0"/>
              <c:showVal val="1"/>
              <c:showCatName val="0"/>
              <c:showSerName val="0"/>
              <c:showPercent val="0"/>
              <c:showBubbleSize val="0"/>
            </c:dLbl>
            <c:dLbl>
              <c:idx val="1"/>
              <c:layout>
                <c:manualLayout>
                  <c:x val="-1.1614401858304301E-2"/>
                  <c:y val="0"/>
                </c:manualLayout>
              </c:layout>
              <c:showLegendKey val="0"/>
              <c:showVal val="1"/>
              <c:showCatName val="0"/>
              <c:showSerName val="0"/>
              <c:showPercent val="0"/>
              <c:showBubbleSize val="0"/>
            </c:dLbl>
            <c:dLbl>
              <c:idx val="12"/>
              <c:layout>
                <c:manualLayout>
                  <c:x val="-1.04297037964122E-2"/>
                  <c:y val="3.0386697129180101E-2"/>
                </c:manualLayout>
              </c:layout>
              <c:showLegendKey val="0"/>
              <c:showVal val="1"/>
              <c:showCatName val="0"/>
              <c:showSerName val="0"/>
              <c:showPercent val="0"/>
              <c:showBubbleSize val="0"/>
            </c:dLbl>
            <c:txPr>
              <a:bodyPr/>
              <a:lstStyle/>
              <a:p>
                <a:pPr>
                  <a:defRPr sz="950" baseline="0"/>
                </a:pPr>
                <a:endParaRPr lang="sl-SI"/>
              </a:p>
            </c:txPr>
            <c:showLegendKey val="0"/>
            <c:showVal val="1"/>
            <c:showCatName val="0"/>
            <c:showSerName val="0"/>
            <c:showPercent val="0"/>
            <c:showBubbleSize val="0"/>
            <c:showLeaderLines val="0"/>
          </c:dLbls>
          <c:cat>
            <c:strRef>
              <c:f>'Kategorije - spremembe GRAF'!$B$78:$B$90</c:f>
              <c:strCache>
                <c:ptCount val="13"/>
                <c:pt idx="0">
                  <c:v>Reševanje in prestrukturiranje</c:v>
                </c:pt>
                <c:pt idx="1">
                  <c:v>Regionalne pomoči</c:v>
                </c:pt>
                <c:pt idx="2">
                  <c:v>Ribištvo</c:v>
                </c:pt>
                <c:pt idx="3">
                  <c:v>Kultura</c:v>
                </c:pt>
                <c:pt idx="4">
                  <c:v>Usposabljanje</c:v>
                </c:pt>
                <c:pt idx="5">
                  <c:v>Transport (zračni)</c:v>
                </c:pt>
                <c:pt idx="6">
                  <c:v>MSP in tvegani kapital</c:v>
                </c:pt>
                <c:pt idx="7">
                  <c:v>Transport (kopenski)</c:v>
                </c:pt>
                <c:pt idx="8">
                  <c:v>Premogovništvo</c:v>
                </c:pt>
                <c:pt idx="9">
                  <c:v>Varstvo okolja</c:v>
                </c:pt>
                <c:pt idx="10">
                  <c:v>Kmetijstvo</c:v>
                </c:pt>
                <c:pt idx="11">
                  <c:v>Zaposlovanje</c:v>
                </c:pt>
                <c:pt idx="12">
                  <c:v>RRI</c:v>
                </c:pt>
              </c:strCache>
            </c:strRef>
          </c:cat>
          <c:val>
            <c:numRef>
              <c:f>'Kategorije - spremembe GRAF'!$M$78:$M$90</c:f>
              <c:numCache>
                <c:formatCode>#,##0.00</c:formatCode>
                <c:ptCount val="13"/>
                <c:pt idx="0">
                  <c:v>-1.25</c:v>
                </c:pt>
                <c:pt idx="1">
                  <c:v>-0.99</c:v>
                </c:pt>
                <c:pt idx="2">
                  <c:v>-0.47</c:v>
                </c:pt>
                <c:pt idx="3">
                  <c:v>0.03</c:v>
                </c:pt>
                <c:pt idx="4">
                  <c:v>0.59</c:v>
                </c:pt>
                <c:pt idx="5">
                  <c:v>0.61</c:v>
                </c:pt>
                <c:pt idx="6">
                  <c:v>0.96</c:v>
                </c:pt>
                <c:pt idx="7">
                  <c:v>2.56</c:v>
                </c:pt>
                <c:pt idx="8">
                  <c:v>3.28</c:v>
                </c:pt>
                <c:pt idx="9">
                  <c:v>6</c:v>
                </c:pt>
                <c:pt idx="10">
                  <c:v>8.41</c:v>
                </c:pt>
                <c:pt idx="11">
                  <c:v>8.66</c:v>
                </c:pt>
                <c:pt idx="12">
                  <c:v>23.75</c:v>
                </c:pt>
              </c:numCache>
            </c:numRef>
          </c:val>
        </c:ser>
        <c:dLbls>
          <c:showLegendKey val="0"/>
          <c:showVal val="0"/>
          <c:showCatName val="0"/>
          <c:showSerName val="0"/>
          <c:showPercent val="0"/>
          <c:showBubbleSize val="0"/>
        </c:dLbls>
        <c:gapWidth val="150"/>
        <c:axId val="36569472"/>
        <c:axId val="36571392"/>
      </c:barChart>
      <c:catAx>
        <c:axId val="36569472"/>
        <c:scaling>
          <c:orientation val="minMax"/>
        </c:scaling>
        <c:delete val="0"/>
        <c:axPos val="l"/>
        <c:title>
          <c:tx>
            <c:rich>
              <a:bodyPr rot="-5400000" vert="horz"/>
              <a:lstStyle/>
              <a:p>
                <a:pPr>
                  <a:defRPr/>
                </a:pPr>
                <a:r>
                  <a:rPr lang="sl-SI"/>
                  <a:t>kategorije pomoči</a:t>
                </a:r>
              </a:p>
            </c:rich>
          </c:tx>
          <c:overlay val="0"/>
        </c:title>
        <c:majorTickMark val="out"/>
        <c:minorTickMark val="none"/>
        <c:tickLblPos val="nextTo"/>
        <c:crossAx val="36571392"/>
        <c:crossesAt val="0"/>
        <c:auto val="1"/>
        <c:lblAlgn val="ctr"/>
        <c:lblOffset val="1000"/>
        <c:noMultiLvlLbl val="0"/>
      </c:catAx>
      <c:valAx>
        <c:axId val="36571392"/>
        <c:scaling>
          <c:orientation val="minMax"/>
          <c:max val="24"/>
          <c:min val="-3"/>
        </c:scaling>
        <c:delete val="0"/>
        <c:axPos val="b"/>
        <c:majorGridlines/>
        <c:title>
          <c:tx>
            <c:rich>
              <a:bodyPr/>
              <a:lstStyle/>
              <a:p>
                <a:pPr>
                  <a:defRPr/>
                </a:pPr>
                <a:r>
                  <a:rPr lang="sl-SI"/>
                  <a:t>mio EUR</a:t>
                </a:r>
              </a:p>
            </c:rich>
          </c:tx>
          <c:overlay val="0"/>
        </c:title>
        <c:numFmt formatCode="#,##0.00" sourceLinked="1"/>
        <c:majorTickMark val="out"/>
        <c:minorTickMark val="none"/>
        <c:tickLblPos val="nextTo"/>
        <c:txPr>
          <a:bodyPr/>
          <a:lstStyle/>
          <a:p>
            <a:pPr>
              <a:defRPr sz="950" baseline="0"/>
            </a:pPr>
            <a:endParaRPr lang="sl-SI"/>
          </a:p>
        </c:txPr>
        <c:crossAx val="36569472"/>
        <c:crosses val="autoZero"/>
        <c:crossBetween val="between"/>
        <c:majorUnit val="3"/>
      </c:valAx>
      <c:spPr>
        <a:ln>
          <a:noFill/>
        </a:ln>
      </c:spPr>
    </c:plotArea>
    <c:plotVisOnly val="1"/>
    <c:dispBlanksAs val="gap"/>
    <c:showDLblsOverMax val="0"/>
  </c:chart>
  <c:spPr>
    <a:ln>
      <a:noFill/>
    </a:ln>
  </c:sp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505218824391"/>
          <c:y val="2.8957784035537702E-2"/>
          <c:w val="0.71763915967412395"/>
          <c:h val="0.75910892687388998"/>
        </c:manualLayout>
      </c:layout>
      <c:barChart>
        <c:barDir val="col"/>
        <c:grouping val="percentStacked"/>
        <c:varyColors val="0"/>
        <c:ser>
          <c:idx val="0"/>
          <c:order val="0"/>
          <c:tx>
            <c:strRef>
              <c:f>'DP po regijah 2008-2017'!$B$44</c:f>
              <c:strCache>
                <c:ptCount val="1"/>
                <c:pt idx="0">
                  <c:v>Zahodna kohezijska regija</c:v>
                </c:pt>
              </c:strCache>
            </c:strRef>
          </c:tx>
          <c:spPr>
            <a:ln>
              <a:solidFill>
                <a:srgbClr val="0070C0"/>
              </a:solidFill>
            </a:ln>
          </c:spPr>
          <c:invertIfNegative val="0"/>
          <c:cat>
            <c:numRef>
              <c:f>'DP po regijah 2008-2017'!$C$43:$L$43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'DP po regijah 2008-2017'!$C$44:$L$44</c:f>
              <c:numCache>
                <c:formatCode>#,##0.00</c:formatCode>
                <c:ptCount val="10"/>
                <c:pt idx="0">
                  <c:v>185.10966307000001</c:v>
                </c:pt>
                <c:pt idx="1">
                  <c:v>252.30605451</c:v>
                </c:pt>
                <c:pt idx="2">
                  <c:v>237.48995715000001</c:v>
                </c:pt>
                <c:pt idx="3">
                  <c:v>308.52071137000001</c:v>
                </c:pt>
                <c:pt idx="4">
                  <c:v>293.66389556000001</c:v>
                </c:pt>
                <c:pt idx="5">
                  <c:v>320.01222847999998</c:v>
                </c:pt>
                <c:pt idx="6">
                  <c:v>283.15286554000011</c:v>
                </c:pt>
                <c:pt idx="7">
                  <c:v>343.15489323000008</c:v>
                </c:pt>
                <c:pt idx="8">
                  <c:v>178.04770607</c:v>
                </c:pt>
                <c:pt idx="9">
                  <c:v>207.82145007</c:v>
                </c:pt>
              </c:numCache>
            </c:numRef>
          </c:val>
        </c:ser>
        <c:ser>
          <c:idx val="1"/>
          <c:order val="1"/>
          <c:tx>
            <c:strRef>
              <c:f>'DP po regijah 2008-2017'!$B$45</c:f>
              <c:strCache>
                <c:ptCount val="1"/>
                <c:pt idx="0">
                  <c:v>Vzhodna kohezjska regija</c:v>
                </c:pt>
              </c:strCache>
            </c:strRef>
          </c:tx>
          <c:spPr>
            <a:solidFill>
              <a:schemeClr val="accent6">
                <a:lumMod val="75000"/>
              </a:schemeClr>
            </a:solidFill>
            <a:ln>
              <a:solidFill>
                <a:schemeClr val="accent6">
                  <a:lumMod val="75000"/>
                </a:schemeClr>
              </a:solidFill>
            </a:ln>
          </c:spPr>
          <c:invertIfNegative val="0"/>
          <c:cat>
            <c:numRef>
              <c:f>'DP po regijah 2008-2017'!$C$43:$L$43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'DP po regijah 2008-2017'!$C$45:$L$45</c:f>
              <c:numCache>
                <c:formatCode>#,##0.00</c:formatCode>
                <c:ptCount val="10"/>
                <c:pt idx="0">
                  <c:v>134.86007004000001</c:v>
                </c:pt>
                <c:pt idx="1">
                  <c:v>173.70126922</c:v>
                </c:pt>
                <c:pt idx="2">
                  <c:v>178.79650771999999</c:v>
                </c:pt>
                <c:pt idx="3">
                  <c:v>210.22170973999999</c:v>
                </c:pt>
                <c:pt idx="4">
                  <c:v>247.68894834</c:v>
                </c:pt>
                <c:pt idx="5">
                  <c:v>259.90995825999948</c:v>
                </c:pt>
                <c:pt idx="6">
                  <c:v>259.86782918</c:v>
                </c:pt>
                <c:pt idx="7">
                  <c:v>210.15025134000001</c:v>
                </c:pt>
                <c:pt idx="8">
                  <c:v>196.96085099999999</c:v>
                </c:pt>
                <c:pt idx="9">
                  <c:v>219.34083057999999</c:v>
                </c:pt>
              </c:numCache>
            </c:numRef>
          </c:val>
        </c:ser>
        <c:dLbls>
          <c:showLegendKey val="0"/>
          <c:showVal val="0"/>
          <c:showCatName val="0"/>
          <c:showSerName val="0"/>
          <c:showPercent val="0"/>
          <c:showBubbleSize val="0"/>
        </c:dLbls>
        <c:gapWidth val="95"/>
        <c:overlap val="100"/>
        <c:axId val="128003072"/>
        <c:axId val="128008960"/>
      </c:barChart>
      <c:catAx>
        <c:axId val="128003072"/>
        <c:scaling>
          <c:orientation val="minMax"/>
        </c:scaling>
        <c:delete val="0"/>
        <c:axPos val="b"/>
        <c:numFmt formatCode="General" sourceLinked="1"/>
        <c:majorTickMark val="none"/>
        <c:minorTickMark val="none"/>
        <c:tickLblPos val="nextTo"/>
        <c:crossAx val="128008960"/>
        <c:crosses val="autoZero"/>
        <c:auto val="1"/>
        <c:lblAlgn val="ctr"/>
        <c:lblOffset val="100"/>
        <c:noMultiLvlLbl val="0"/>
      </c:catAx>
      <c:valAx>
        <c:axId val="128008960"/>
        <c:scaling>
          <c:orientation val="minMax"/>
        </c:scaling>
        <c:delete val="0"/>
        <c:axPos val="l"/>
        <c:majorGridlines/>
        <c:numFmt formatCode="0%" sourceLinked="1"/>
        <c:majorTickMark val="none"/>
        <c:minorTickMark val="none"/>
        <c:tickLblPos val="nextTo"/>
        <c:crossAx val="128003072"/>
        <c:crosses val="autoZero"/>
        <c:crossBetween val="between"/>
      </c:valAx>
      <c:dTable>
        <c:showHorzBorder val="1"/>
        <c:showVertBorder val="1"/>
        <c:showOutline val="1"/>
        <c:showKeys val="1"/>
        <c:txPr>
          <a:bodyPr/>
          <a:lstStyle/>
          <a:p>
            <a:pPr rtl="0">
              <a:defRPr sz="940" baseline="0"/>
            </a:pPr>
            <a:endParaRPr lang="sl-SI"/>
          </a:p>
        </c:txPr>
      </c:dTable>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026636873094"/>
          <c:y val="2.9190782970310501E-2"/>
          <c:w val="0.64982850961197403"/>
          <c:h val="0.73270409380645596"/>
        </c:manualLayout>
      </c:layout>
      <c:lineChart>
        <c:grouping val="standard"/>
        <c:varyColors val="0"/>
        <c:ser>
          <c:idx val="0"/>
          <c:order val="0"/>
          <c:tx>
            <c:strRef>
              <c:f>BDP!$B$17</c:f>
              <c:strCache>
                <c:ptCount val="1"/>
                <c:pt idx="0">
                  <c:v>Zahodna kohezijska regija</c:v>
                </c:pt>
              </c:strCache>
            </c:strRef>
          </c:tx>
          <c:marker>
            <c:symbol val="none"/>
          </c:marker>
          <c:dLbls>
            <c:dLbl>
              <c:idx val="8"/>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BDP!$C$4:$K$4</c:f>
              <c:strCache>
                <c:ptCount val="9"/>
                <c:pt idx="0">
                  <c:v>2008</c:v>
                </c:pt>
                <c:pt idx="1">
                  <c:v>2009</c:v>
                </c:pt>
                <c:pt idx="2">
                  <c:v>2010</c:v>
                </c:pt>
                <c:pt idx="3">
                  <c:v>2011</c:v>
                </c:pt>
                <c:pt idx="4">
                  <c:v>2012</c:v>
                </c:pt>
                <c:pt idx="5">
                  <c:v>2013</c:v>
                </c:pt>
                <c:pt idx="6">
                  <c:v>2014</c:v>
                </c:pt>
                <c:pt idx="7">
                  <c:v>2015</c:v>
                </c:pt>
                <c:pt idx="8">
                  <c:v>2016</c:v>
                </c:pt>
              </c:strCache>
            </c:strRef>
          </c:cat>
          <c:val>
            <c:numRef>
              <c:f>BDP!$C$17:$K$17</c:f>
              <c:numCache>
                <c:formatCode>0.0%</c:formatCode>
                <c:ptCount val="9"/>
                <c:pt idx="0">
                  <c:v>8.7605141064836696E-3</c:v>
                </c:pt>
                <c:pt idx="1">
                  <c:v>1.2422750098966E-2</c:v>
                </c:pt>
                <c:pt idx="2">
                  <c:v>1.16622449985268E-2</c:v>
                </c:pt>
                <c:pt idx="3">
                  <c:v>1.49701931859867E-2</c:v>
                </c:pt>
                <c:pt idx="4">
                  <c:v>1.4555109811657399E-2</c:v>
                </c:pt>
                <c:pt idx="5">
                  <c:v>1.5817132684855701E-2</c:v>
                </c:pt>
                <c:pt idx="6">
                  <c:v>1.34706406060894E-2</c:v>
                </c:pt>
                <c:pt idx="7" formatCode="0.00%">
                  <c:v>1.5769985902113998E-2</c:v>
                </c:pt>
                <c:pt idx="8">
                  <c:v>7.8211160144959404E-3</c:v>
                </c:pt>
              </c:numCache>
            </c:numRef>
          </c:val>
          <c:smooth val="0"/>
        </c:ser>
        <c:ser>
          <c:idx val="1"/>
          <c:order val="1"/>
          <c:tx>
            <c:strRef>
              <c:f>BDP!$B$18</c:f>
              <c:strCache>
                <c:ptCount val="1"/>
                <c:pt idx="0">
                  <c:v>Vzhodna kohezjska regija</c:v>
                </c:pt>
              </c:strCache>
            </c:strRef>
          </c:tx>
          <c:marker>
            <c:symbol val="none"/>
          </c:marker>
          <c:dLbls>
            <c:dLbl>
              <c:idx val="8"/>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BDP!$C$4:$K$4</c:f>
              <c:strCache>
                <c:ptCount val="9"/>
                <c:pt idx="0">
                  <c:v>2008</c:v>
                </c:pt>
                <c:pt idx="1">
                  <c:v>2009</c:v>
                </c:pt>
                <c:pt idx="2">
                  <c:v>2010</c:v>
                </c:pt>
                <c:pt idx="3">
                  <c:v>2011</c:v>
                </c:pt>
                <c:pt idx="4">
                  <c:v>2012</c:v>
                </c:pt>
                <c:pt idx="5">
                  <c:v>2013</c:v>
                </c:pt>
                <c:pt idx="6">
                  <c:v>2014</c:v>
                </c:pt>
                <c:pt idx="7">
                  <c:v>2015</c:v>
                </c:pt>
                <c:pt idx="8">
                  <c:v>2016</c:v>
                </c:pt>
              </c:strCache>
            </c:strRef>
          </c:cat>
          <c:val>
            <c:numRef>
              <c:f>BDP!$C$18:$K$18</c:f>
              <c:numCache>
                <c:formatCode>0.0%</c:formatCode>
                <c:ptCount val="9"/>
                <c:pt idx="0">
                  <c:v>8.0173634171571192E-3</c:v>
                </c:pt>
                <c:pt idx="1">
                  <c:v>1.0954923639001E-2</c:v>
                </c:pt>
                <c:pt idx="2">
                  <c:v>1.12535566289023E-2</c:v>
                </c:pt>
                <c:pt idx="3">
                  <c:v>1.29073315982072E-2</c:v>
                </c:pt>
                <c:pt idx="4">
                  <c:v>1.55779212792453E-2</c:v>
                </c:pt>
                <c:pt idx="5">
                  <c:v>1.6237268586243501E-2</c:v>
                </c:pt>
                <c:pt idx="6">
                  <c:v>1.5659405193130499E-2</c:v>
                </c:pt>
                <c:pt idx="7" formatCode="0.00%">
                  <c:v>1.23060403665749E-2</c:v>
                </c:pt>
                <c:pt idx="8">
                  <c:v>1.11573585792783E-2</c:v>
                </c:pt>
              </c:numCache>
            </c:numRef>
          </c:val>
          <c:smooth val="0"/>
        </c:ser>
        <c:ser>
          <c:idx val="2"/>
          <c:order val="2"/>
          <c:tx>
            <c:strRef>
              <c:f>BDP!$B$19</c:f>
              <c:strCache>
                <c:ptCount val="1"/>
                <c:pt idx="0">
                  <c:v>Slovenija</c:v>
                </c:pt>
              </c:strCache>
            </c:strRef>
          </c:tx>
          <c:marker>
            <c:symbol val="none"/>
          </c:marker>
          <c:dLbls>
            <c:dLbl>
              <c:idx val="8"/>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BDP!$C$4:$K$4</c:f>
              <c:strCache>
                <c:ptCount val="9"/>
                <c:pt idx="0">
                  <c:v>2008</c:v>
                </c:pt>
                <c:pt idx="1">
                  <c:v>2009</c:v>
                </c:pt>
                <c:pt idx="2">
                  <c:v>2010</c:v>
                </c:pt>
                <c:pt idx="3">
                  <c:v>2011</c:v>
                </c:pt>
                <c:pt idx="4">
                  <c:v>2012</c:v>
                </c:pt>
                <c:pt idx="5">
                  <c:v>2013</c:v>
                </c:pt>
                <c:pt idx="6">
                  <c:v>2014</c:v>
                </c:pt>
                <c:pt idx="7">
                  <c:v>2015</c:v>
                </c:pt>
                <c:pt idx="8">
                  <c:v>2016</c:v>
                </c:pt>
              </c:strCache>
            </c:strRef>
          </c:cat>
          <c:val>
            <c:numRef>
              <c:f>BDP!$C$19:$K$19</c:f>
              <c:numCache>
                <c:formatCode>0.0%</c:formatCode>
                <c:ptCount val="9"/>
                <c:pt idx="0">
                  <c:v>8.4311278519670092E-3</c:v>
                </c:pt>
                <c:pt idx="1">
                  <c:v>1.17792214712714E-2</c:v>
                </c:pt>
                <c:pt idx="2">
                  <c:v>1.1483130996083E-2</c:v>
                </c:pt>
                <c:pt idx="3">
                  <c:v>1.40595842668582E-2</c:v>
                </c:pt>
                <c:pt idx="4">
                  <c:v>1.5005899875263301E-2</c:v>
                </c:pt>
                <c:pt idx="5">
                  <c:v>1.60027094218935E-2</c:v>
                </c:pt>
                <c:pt idx="6">
                  <c:v>1.4436280598697299E-2</c:v>
                </c:pt>
                <c:pt idx="7" formatCode="0.00%">
                  <c:v>1.4246855951026101E-2</c:v>
                </c:pt>
                <c:pt idx="8">
                  <c:v>9.2782561499826794E-3</c:v>
                </c:pt>
              </c:numCache>
            </c:numRef>
          </c:val>
          <c:smooth val="0"/>
        </c:ser>
        <c:dLbls>
          <c:showLegendKey val="0"/>
          <c:showVal val="0"/>
          <c:showCatName val="0"/>
          <c:showSerName val="0"/>
          <c:showPercent val="0"/>
          <c:showBubbleSize val="0"/>
        </c:dLbls>
        <c:dropLines/>
        <c:marker val="1"/>
        <c:smooth val="0"/>
        <c:axId val="128038016"/>
        <c:axId val="128039552"/>
      </c:lineChart>
      <c:catAx>
        <c:axId val="128038016"/>
        <c:scaling>
          <c:orientation val="minMax"/>
        </c:scaling>
        <c:delete val="0"/>
        <c:axPos val="b"/>
        <c:majorTickMark val="none"/>
        <c:minorTickMark val="none"/>
        <c:tickLblPos val="nextTo"/>
        <c:crossAx val="128039552"/>
        <c:crosses val="autoZero"/>
        <c:auto val="1"/>
        <c:lblAlgn val="ctr"/>
        <c:lblOffset val="100"/>
        <c:noMultiLvlLbl val="0"/>
      </c:catAx>
      <c:valAx>
        <c:axId val="128039552"/>
        <c:scaling>
          <c:orientation val="minMax"/>
          <c:min val="6.0000000000000001E-3"/>
        </c:scaling>
        <c:delete val="0"/>
        <c:axPos val="l"/>
        <c:majorGridlines/>
        <c:title>
          <c:tx>
            <c:rich>
              <a:bodyPr/>
              <a:lstStyle/>
              <a:p>
                <a:pPr>
                  <a:defRPr/>
                </a:pPr>
                <a:r>
                  <a:rPr lang="en-US"/>
                  <a:t>v deležu BDP kohezijske regije</a:t>
                </a:r>
              </a:p>
            </c:rich>
          </c:tx>
          <c:overlay val="0"/>
        </c:title>
        <c:numFmt formatCode="0.0%" sourceLinked="1"/>
        <c:majorTickMark val="out"/>
        <c:minorTickMark val="none"/>
        <c:tickLblPos val="nextTo"/>
        <c:crossAx val="12803801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31873147639499"/>
          <c:y val="2.2263749289403299E-2"/>
          <c:w val="0.51713663409874799"/>
          <c:h val="0.86802738367381505"/>
        </c:manualLayout>
      </c:layout>
      <c:barChart>
        <c:barDir val="col"/>
        <c:grouping val="stacked"/>
        <c:varyColors val="0"/>
        <c:ser>
          <c:idx val="0"/>
          <c:order val="0"/>
          <c:tx>
            <c:strRef>
              <c:f>'L004 dodeljene pomoči po letih '!$C$35</c:f>
              <c:strCache>
                <c:ptCount val="1"/>
                <c:pt idx="0">
                  <c:v>Pomoč za prilagoditev in preseganje standarov Unije za varstvo okolja</c:v>
                </c:pt>
              </c:strCache>
            </c:strRef>
          </c:tx>
          <c:spPr>
            <a:solidFill>
              <a:srgbClr val="00B0F0"/>
            </a:solidFill>
            <a:ln>
              <a:solidFill>
                <a:sysClr val="windowText" lastClr="000000"/>
              </a:solidFill>
            </a:ln>
          </c:spPr>
          <c:invertIfNegative val="0"/>
          <c:cat>
            <c:numRef>
              <c:f>'L004 dodeljene pomoči po letih '!$D$34:$M$34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'L004 dodeljene pomoči po letih '!$D$35:$M$35</c:f>
              <c:numCache>
                <c:formatCode>#,##0.00</c:formatCode>
                <c:ptCount val="10"/>
                <c:pt idx="0">
                  <c:v>25.997447129999991</c:v>
                </c:pt>
                <c:pt idx="1">
                  <c:v>2.8034302200000001</c:v>
                </c:pt>
                <c:pt idx="2">
                  <c:v>8.4006299999999992E-3</c:v>
                </c:pt>
                <c:pt idx="3">
                  <c:v>0</c:v>
                </c:pt>
                <c:pt idx="4">
                  <c:v>0</c:v>
                </c:pt>
                <c:pt idx="5">
                  <c:v>0</c:v>
                </c:pt>
                <c:pt idx="6">
                  <c:v>0</c:v>
                </c:pt>
                <c:pt idx="7">
                  <c:v>0</c:v>
                </c:pt>
                <c:pt idx="8">
                  <c:v>0</c:v>
                </c:pt>
                <c:pt idx="9">
                  <c:v>0</c:v>
                </c:pt>
              </c:numCache>
            </c:numRef>
          </c:val>
        </c:ser>
        <c:ser>
          <c:idx val="1"/>
          <c:order val="1"/>
          <c:tx>
            <c:strRef>
              <c:f>'L004 dodeljene pomoči po letih '!$C$36</c:f>
              <c:strCache>
                <c:ptCount val="1"/>
                <c:pt idx="0">
                  <c:v>Pomoč za naložbe v sanacijo onesnaženih območij</c:v>
                </c:pt>
              </c:strCache>
            </c:strRef>
          </c:tx>
          <c:invertIfNegative val="0"/>
          <c:cat>
            <c:numRef>
              <c:f>'L004 dodeljene pomoči po letih '!$D$34:$M$34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'L004 dodeljene pomoči po letih '!$D$36:$M$36</c:f>
            </c:numRef>
          </c:val>
        </c:ser>
        <c:ser>
          <c:idx val="2"/>
          <c:order val="2"/>
          <c:tx>
            <c:strRef>
              <c:f>'L004 dodeljene pomoči po letih '!$C$37</c:f>
              <c:strCache>
                <c:ptCount val="1"/>
                <c:pt idx="0">
                  <c:v>Pomoč za nakup transportnih vozil, ki presegajo standarde skupnosti za varstvo okolja</c:v>
                </c:pt>
              </c:strCache>
            </c:strRef>
          </c:tx>
          <c:spPr>
            <a:solidFill>
              <a:srgbClr val="FFFF00"/>
            </a:solidFill>
            <a:ln>
              <a:solidFill>
                <a:sysClr val="windowText" lastClr="000000"/>
              </a:solidFill>
            </a:ln>
          </c:spPr>
          <c:invertIfNegative val="0"/>
          <c:cat>
            <c:numRef>
              <c:f>'L004 dodeljene pomoči po letih '!$D$34:$M$34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'L004 dodeljene pomoči po letih '!$D$37:$M$37</c:f>
              <c:numCache>
                <c:formatCode>#,##0.00</c:formatCode>
                <c:ptCount val="10"/>
                <c:pt idx="1">
                  <c:v>4</c:v>
                </c:pt>
                <c:pt idx="2">
                  <c:v>0</c:v>
                </c:pt>
                <c:pt idx="3">
                  <c:v>0.08</c:v>
                </c:pt>
                <c:pt idx="4">
                  <c:v>0.186</c:v>
                </c:pt>
                <c:pt idx="5">
                  <c:v>2.56935</c:v>
                </c:pt>
                <c:pt idx="6">
                  <c:v>1.5539000000000001</c:v>
                </c:pt>
                <c:pt idx="7">
                  <c:v>0.542404</c:v>
                </c:pt>
                <c:pt idx="8">
                  <c:v>0.51271659000000003</c:v>
                </c:pt>
                <c:pt idx="9">
                  <c:v>1.1808474499999999</c:v>
                </c:pt>
              </c:numCache>
            </c:numRef>
          </c:val>
        </c:ser>
        <c:ser>
          <c:idx val="3"/>
          <c:order val="3"/>
          <c:tx>
            <c:strRef>
              <c:f>'L004 dodeljene pomoči po letih '!$C$38</c:f>
              <c:strCache>
                <c:ptCount val="1"/>
                <c:pt idx="0">
                  <c:v>Znižanje okoljskih davkov</c:v>
                </c:pt>
              </c:strCache>
            </c:strRef>
          </c:tx>
          <c:spPr>
            <a:solidFill>
              <a:schemeClr val="accent5">
                <a:lumMod val="75000"/>
              </a:schemeClr>
            </a:solidFill>
            <a:ln>
              <a:solidFill>
                <a:sysClr val="windowText" lastClr="000000"/>
              </a:solidFill>
            </a:ln>
          </c:spPr>
          <c:invertIfNegative val="0"/>
          <c:cat>
            <c:numRef>
              <c:f>'L004 dodeljene pomoči po letih '!$D$34:$M$34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'L004 dodeljene pomoči po letih '!$D$38:$M$38</c:f>
              <c:numCache>
                <c:formatCode>#,##0.00</c:formatCode>
                <c:ptCount val="10"/>
                <c:pt idx="1">
                  <c:v>0</c:v>
                </c:pt>
                <c:pt idx="2">
                  <c:v>0</c:v>
                </c:pt>
                <c:pt idx="3">
                  <c:v>0</c:v>
                </c:pt>
                <c:pt idx="4">
                  <c:v>0</c:v>
                </c:pt>
                <c:pt idx="5">
                  <c:v>12.63764194</c:v>
                </c:pt>
                <c:pt idx="6">
                  <c:v>24.13723559</c:v>
                </c:pt>
                <c:pt idx="7">
                  <c:v>34.203755310000012</c:v>
                </c:pt>
                <c:pt idx="8">
                  <c:v>45.803101890000001</c:v>
                </c:pt>
                <c:pt idx="9">
                  <c:v>38.487058320000003</c:v>
                </c:pt>
              </c:numCache>
            </c:numRef>
          </c:val>
        </c:ser>
        <c:ser>
          <c:idx val="4"/>
          <c:order val="4"/>
          <c:tx>
            <c:strRef>
              <c:f>'L004 dodeljene pomoči po letih '!$C$39</c:f>
              <c:strCache>
                <c:ptCount val="1"/>
                <c:pt idx="0">
                  <c:v>Pomoč za proizvodnjo elektrike iz OVE in SPTE</c:v>
                </c:pt>
              </c:strCache>
            </c:strRef>
          </c:tx>
          <c:spPr>
            <a:solidFill>
              <a:schemeClr val="accent4">
                <a:lumMod val="75000"/>
              </a:schemeClr>
            </a:solidFill>
            <a:ln>
              <a:solidFill>
                <a:sysClr val="windowText" lastClr="000000"/>
              </a:solidFill>
            </a:ln>
          </c:spPr>
          <c:invertIfNegative val="0"/>
          <c:cat>
            <c:numRef>
              <c:f>'L004 dodeljene pomoči po letih '!$D$34:$M$34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'L004 dodeljene pomoči po letih '!$D$39:$M$39</c:f>
              <c:numCache>
                <c:formatCode>#,##0.00</c:formatCode>
                <c:ptCount val="10"/>
                <c:pt idx="1">
                  <c:v>20.005261480000001</c:v>
                </c:pt>
                <c:pt idx="2">
                  <c:v>46.179446069999997</c:v>
                </c:pt>
                <c:pt idx="3">
                  <c:v>67.650308549999863</c:v>
                </c:pt>
                <c:pt idx="4">
                  <c:v>89.204013180000004</c:v>
                </c:pt>
                <c:pt idx="5">
                  <c:v>115.14103494</c:v>
                </c:pt>
                <c:pt idx="6">
                  <c:v>131.58470918</c:v>
                </c:pt>
                <c:pt idx="7">
                  <c:v>135.10936458</c:v>
                </c:pt>
                <c:pt idx="8">
                  <c:v>130.24126716999999</c:v>
                </c:pt>
                <c:pt idx="9">
                  <c:v>140.63238448000001</c:v>
                </c:pt>
              </c:numCache>
            </c:numRef>
          </c:val>
        </c:ser>
        <c:ser>
          <c:idx val="5"/>
          <c:order val="5"/>
          <c:tx>
            <c:strRef>
              <c:f>'L004 dodeljene pomoči po letih '!$C$40</c:f>
              <c:strCache>
                <c:ptCount val="1"/>
                <c:pt idx="0">
                  <c:v>Pomoč za naložbe v energetsko učinkovito daljinsko ogrevanje in hlajenje</c:v>
                </c:pt>
              </c:strCache>
            </c:strRef>
          </c:tx>
          <c:spPr>
            <a:solidFill>
              <a:schemeClr val="accent6">
                <a:lumMod val="75000"/>
              </a:schemeClr>
            </a:solidFill>
            <a:ln>
              <a:solidFill>
                <a:sysClr val="windowText" lastClr="000000"/>
              </a:solidFill>
            </a:ln>
          </c:spPr>
          <c:invertIfNegative val="0"/>
          <c:cat>
            <c:numRef>
              <c:f>'L004 dodeljene pomoči po letih '!$D$34:$M$34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'L004 dodeljene pomoči po letih '!$D$40:$M$40</c:f>
              <c:numCache>
                <c:formatCode>#,##0.00</c:formatCode>
                <c:ptCount val="10"/>
                <c:pt idx="1">
                  <c:v>0</c:v>
                </c:pt>
                <c:pt idx="2">
                  <c:v>0</c:v>
                </c:pt>
                <c:pt idx="3">
                  <c:v>0</c:v>
                </c:pt>
                <c:pt idx="4">
                  <c:v>0</c:v>
                </c:pt>
                <c:pt idx="5">
                  <c:v>0</c:v>
                </c:pt>
                <c:pt idx="6">
                  <c:v>0</c:v>
                </c:pt>
                <c:pt idx="7">
                  <c:v>0</c:v>
                </c:pt>
                <c:pt idx="8">
                  <c:v>0</c:v>
                </c:pt>
                <c:pt idx="9">
                  <c:v>2.2614233399999999</c:v>
                </c:pt>
              </c:numCache>
            </c:numRef>
          </c:val>
        </c:ser>
        <c:dLbls>
          <c:showLegendKey val="0"/>
          <c:showVal val="0"/>
          <c:showCatName val="0"/>
          <c:showSerName val="0"/>
          <c:showPercent val="0"/>
          <c:showBubbleSize val="0"/>
        </c:dLbls>
        <c:gapWidth val="150"/>
        <c:overlap val="100"/>
        <c:axId val="128111360"/>
        <c:axId val="128112896"/>
      </c:barChart>
      <c:lineChart>
        <c:grouping val="standard"/>
        <c:varyColors val="0"/>
        <c:ser>
          <c:idx val="6"/>
          <c:order val="6"/>
          <c:tx>
            <c:strRef>
              <c:f>'L004 dodeljene pomoči po letih '!$C$41</c:f>
              <c:strCache>
                <c:ptCount val="1"/>
                <c:pt idx="0">
                  <c:v>v % vseh pomoči</c:v>
                </c:pt>
              </c:strCache>
            </c:strRef>
          </c:tx>
          <c:spPr>
            <a:ln>
              <a:solidFill>
                <a:srgbClr val="C00000"/>
              </a:solidFill>
              <a:prstDash val="sysDash"/>
            </a:ln>
          </c:spPr>
          <c:marker>
            <c:symbol val="none"/>
          </c:marker>
          <c:val>
            <c:numRef>
              <c:f>'L004 dodeljene pomoči po letih '!$D$41:$M$41</c:f>
              <c:numCache>
                <c:formatCode>0.0%</c:formatCode>
                <c:ptCount val="10"/>
                <c:pt idx="0">
                  <c:v>8.0191967109816895E-2</c:v>
                </c:pt>
                <c:pt idx="1">
                  <c:v>6.4209355468415996E-2</c:v>
                </c:pt>
                <c:pt idx="2">
                  <c:v>0.112275225444674</c:v>
                </c:pt>
                <c:pt idx="3">
                  <c:v>0.131413079863229</c:v>
                </c:pt>
                <c:pt idx="4">
                  <c:v>0.164773902507072</c:v>
                </c:pt>
                <c:pt idx="5">
                  <c:v>0.22476424028248701</c:v>
                </c:pt>
                <c:pt idx="6">
                  <c:v>0.28959328019780101</c:v>
                </c:pt>
                <c:pt idx="7">
                  <c:v>0.30697761758555497</c:v>
                </c:pt>
                <c:pt idx="8">
                  <c:v>0.470780943054665</c:v>
                </c:pt>
                <c:pt idx="9">
                  <c:v>0.42736316277986902</c:v>
                </c:pt>
              </c:numCache>
            </c:numRef>
          </c:val>
          <c:smooth val="0"/>
        </c:ser>
        <c:dLbls>
          <c:showLegendKey val="0"/>
          <c:showVal val="0"/>
          <c:showCatName val="0"/>
          <c:showSerName val="0"/>
          <c:showPercent val="0"/>
          <c:showBubbleSize val="0"/>
        </c:dLbls>
        <c:marker val="1"/>
        <c:smooth val="0"/>
        <c:axId val="128116608"/>
        <c:axId val="128115072"/>
      </c:lineChart>
      <c:catAx>
        <c:axId val="128111360"/>
        <c:scaling>
          <c:orientation val="minMax"/>
        </c:scaling>
        <c:delete val="0"/>
        <c:axPos val="b"/>
        <c:numFmt formatCode="General" sourceLinked="1"/>
        <c:majorTickMark val="out"/>
        <c:minorTickMark val="none"/>
        <c:tickLblPos val="nextTo"/>
        <c:txPr>
          <a:bodyPr/>
          <a:lstStyle/>
          <a:p>
            <a:pPr>
              <a:defRPr sz="950" baseline="0"/>
            </a:pPr>
            <a:endParaRPr lang="sl-SI"/>
          </a:p>
        </c:txPr>
        <c:crossAx val="128112896"/>
        <c:crosses val="autoZero"/>
        <c:auto val="1"/>
        <c:lblAlgn val="ctr"/>
        <c:lblOffset val="100"/>
        <c:noMultiLvlLbl val="0"/>
      </c:catAx>
      <c:valAx>
        <c:axId val="128112896"/>
        <c:scaling>
          <c:orientation val="minMax"/>
        </c:scaling>
        <c:delete val="0"/>
        <c:axPos val="l"/>
        <c:majorGridlines/>
        <c:title>
          <c:tx>
            <c:rich>
              <a:bodyPr rot="-5400000" vert="horz"/>
              <a:lstStyle/>
              <a:p>
                <a:pPr>
                  <a:defRPr/>
                </a:pPr>
                <a:r>
                  <a:rPr lang="sl-SI"/>
                  <a:t>v mio EUR</a:t>
                </a:r>
              </a:p>
              <a:p>
                <a:pPr>
                  <a:defRPr/>
                </a:pPr>
                <a:endParaRPr lang="sl-SI"/>
              </a:p>
            </c:rich>
          </c:tx>
          <c:overlay val="0"/>
        </c:title>
        <c:numFmt formatCode="#,##0.00" sourceLinked="1"/>
        <c:majorTickMark val="out"/>
        <c:minorTickMark val="none"/>
        <c:tickLblPos val="nextTo"/>
        <c:txPr>
          <a:bodyPr/>
          <a:lstStyle/>
          <a:p>
            <a:pPr>
              <a:defRPr sz="950" baseline="0"/>
            </a:pPr>
            <a:endParaRPr lang="sl-SI"/>
          </a:p>
        </c:txPr>
        <c:crossAx val="128111360"/>
        <c:crosses val="autoZero"/>
        <c:crossBetween val="between"/>
      </c:valAx>
      <c:valAx>
        <c:axId val="128115072"/>
        <c:scaling>
          <c:orientation val="minMax"/>
        </c:scaling>
        <c:delete val="0"/>
        <c:axPos val="r"/>
        <c:numFmt formatCode="0.0%" sourceLinked="1"/>
        <c:majorTickMark val="out"/>
        <c:minorTickMark val="none"/>
        <c:tickLblPos val="nextTo"/>
        <c:txPr>
          <a:bodyPr/>
          <a:lstStyle/>
          <a:p>
            <a:pPr>
              <a:defRPr sz="950" baseline="0"/>
            </a:pPr>
            <a:endParaRPr lang="sl-SI"/>
          </a:p>
        </c:txPr>
        <c:crossAx val="128116608"/>
        <c:crosses val="max"/>
        <c:crossBetween val="between"/>
      </c:valAx>
      <c:catAx>
        <c:axId val="128116608"/>
        <c:scaling>
          <c:orientation val="minMax"/>
        </c:scaling>
        <c:delete val="1"/>
        <c:axPos val="b"/>
        <c:majorTickMark val="out"/>
        <c:minorTickMark val="none"/>
        <c:tickLblPos val="nextTo"/>
        <c:crossAx val="128115072"/>
        <c:crosses val="autoZero"/>
        <c:auto val="1"/>
        <c:lblAlgn val="ctr"/>
        <c:lblOffset val="100"/>
        <c:noMultiLvlLbl val="0"/>
      </c:catAx>
    </c:plotArea>
    <c:legend>
      <c:legendPos val="r"/>
      <c:layout>
        <c:manualLayout>
          <c:xMode val="edge"/>
          <c:yMode val="edge"/>
          <c:x val="0.68437478528534701"/>
          <c:y val="1.92012288786482E-2"/>
          <c:w val="0.313531547192965"/>
          <c:h val="0.97846136168462805"/>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78964435001201"/>
          <c:y val="0.22742782152231"/>
          <c:w val="0.40097991223319301"/>
          <c:h val="0.68583894490564201"/>
        </c:manualLayout>
      </c:layout>
      <c:pieChart>
        <c:varyColors val="1"/>
        <c:ser>
          <c:idx val="0"/>
          <c:order val="0"/>
          <c:dPt>
            <c:idx val="0"/>
            <c:bubble3D val="0"/>
            <c:spPr>
              <a:solidFill>
                <a:srgbClr val="00B0F0"/>
              </a:solidFill>
            </c:spPr>
          </c:dPt>
          <c:dPt>
            <c:idx val="3"/>
            <c:bubble3D val="0"/>
            <c:spPr>
              <a:solidFill>
                <a:srgbClr val="00B050"/>
              </a:solidFill>
            </c:spPr>
          </c:dPt>
          <c:dPt>
            <c:idx val="4"/>
            <c:bubble3D val="0"/>
            <c:spPr>
              <a:solidFill>
                <a:srgbClr val="FF0000"/>
              </a:solidFill>
            </c:spPr>
          </c:dPt>
          <c:dPt>
            <c:idx val="5"/>
            <c:bubble3D val="0"/>
            <c:spPr>
              <a:solidFill>
                <a:srgbClr val="FFFF00"/>
              </a:solidFill>
            </c:spPr>
          </c:dPt>
          <c:dLbls>
            <c:dLbl>
              <c:idx val="0"/>
              <c:layout>
                <c:manualLayout>
                  <c:x val="-0.170123613020595"/>
                  <c:y val="-1.70489558370421E-2"/>
                </c:manualLayout>
              </c:layout>
              <c:showLegendKey val="0"/>
              <c:showVal val="0"/>
              <c:showCatName val="1"/>
              <c:showSerName val="0"/>
              <c:showPercent val="1"/>
              <c:showBubbleSize val="0"/>
            </c:dLbl>
            <c:dLbl>
              <c:idx val="3"/>
              <c:layout>
                <c:manualLayout>
                  <c:x val="-7.0135330305933996E-2"/>
                  <c:y val="0.11602729912384099"/>
                </c:manualLayout>
              </c:layout>
              <c:tx>
                <c:rich>
                  <a:bodyPr/>
                  <a:lstStyle/>
                  <a:p>
                    <a:r>
                      <a:rPr lang="en-US"/>
                      <a:t>Oprostitev plačila okoljske dajatve za onesnaževanje s CO2
12,3%</a:t>
                    </a:r>
                  </a:p>
                </c:rich>
              </c:tx>
              <c:showLegendKey val="0"/>
              <c:showVal val="0"/>
              <c:showCatName val="1"/>
              <c:showSerName val="0"/>
              <c:showPercent val="1"/>
              <c:showBubbleSize val="0"/>
            </c:dLbl>
            <c:dLbl>
              <c:idx val="4"/>
              <c:layout>
                <c:manualLayout>
                  <c:x val="-1.02868359493185E-2"/>
                  <c:y val="-2.03944579043004E-2"/>
                </c:manualLayout>
              </c:layout>
              <c:showLegendKey val="0"/>
              <c:showVal val="0"/>
              <c:showCatName val="1"/>
              <c:showSerName val="0"/>
              <c:showPercent val="1"/>
              <c:showBubbleSize val="0"/>
            </c:dLbl>
            <c:dLbl>
              <c:idx val="5"/>
              <c:layout>
                <c:manualLayout>
                  <c:x val="0.20901993612901501"/>
                  <c:y val="2.2435897435897401E-2"/>
                </c:manualLayout>
              </c:layout>
              <c:showLegendKey val="0"/>
              <c:showVal val="0"/>
              <c:showCatName val="1"/>
              <c:showSerName val="0"/>
              <c:showPercent val="1"/>
              <c:showBubbleSize val="0"/>
            </c:dLbl>
            <c:numFmt formatCode="0.0%" sourceLinked="0"/>
            <c:txPr>
              <a:bodyPr/>
              <a:lstStyle/>
              <a:p>
                <a:pPr>
                  <a:defRPr sz="950" baseline="0"/>
                </a:pPr>
                <a:endParaRPr lang="sl-SI"/>
              </a:p>
            </c:txPr>
            <c:showLegendKey val="0"/>
            <c:showVal val="0"/>
            <c:showCatName val="1"/>
            <c:showSerName val="0"/>
            <c:showPercent val="1"/>
            <c:showBubbleSize val="0"/>
            <c:showLeaderLines val="1"/>
          </c:dLbls>
          <c:cat>
            <c:strRef>
              <c:f>'[L004 dodeljene pomoči po letih po kategorijah - izbirno.xls]sheme združeno 2015-2017'!$E$51:$E$56</c:f>
              <c:strCache>
                <c:ptCount val="6"/>
                <c:pt idx="0">
                  <c:v>Podpora električni energiji, proizvedeni iz OVE in SPTE ter podpora elektro-intenzivnim podjetjem</c:v>
                </c:pt>
                <c:pt idx="3">
                  <c:v>Oprostitev plačila okoljske dajatve za onesnaževanje zraka s CO2</c:v>
                </c:pt>
                <c:pt idx="4">
                  <c:v>Nakup okolju prijaznih prevoznih sredstev</c:v>
                </c:pt>
                <c:pt idx="5">
                  <c:v>Spodbujanje učinkovite rabe energije, daljinskega ogrevanja in OVE</c:v>
                </c:pt>
              </c:strCache>
            </c:strRef>
          </c:cat>
          <c:val>
            <c:numRef>
              <c:f>'[L004 dodeljene pomoči po letih po kategorijah - izbirno.xls]sheme združeno 2015-2017'!$P$51:$P$56</c:f>
              <c:numCache>
                <c:formatCode>General</c:formatCode>
                <c:ptCount val="6"/>
                <c:pt idx="0" formatCode="#,##0.00">
                  <c:v>459.19943197999999</c:v>
                </c:pt>
                <c:pt idx="3" formatCode="#,##0.00">
                  <c:v>65.277499770000006</c:v>
                </c:pt>
                <c:pt idx="4" formatCode="#,##0.00">
                  <c:v>2.235968039999999</c:v>
                </c:pt>
                <c:pt idx="5" formatCode="#,##0.00">
                  <c:v>2.2614233399999999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93341621771"/>
          <c:y val="4.2258680060535597E-2"/>
          <c:w val="0.61555559615372901"/>
          <c:h val="0.82860051616110697"/>
        </c:manualLayout>
      </c:layout>
      <c:barChart>
        <c:barDir val="col"/>
        <c:grouping val="percentStacked"/>
        <c:varyColors val="0"/>
        <c:ser>
          <c:idx val="0"/>
          <c:order val="0"/>
          <c:tx>
            <c:strRef>
              <c:f>'Varstvo okolja Instrumenti'!$A$2</c:f>
              <c:strCache>
                <c:ptCount val="1"/>
                <c:pt idx="0">
                  <c:v>Subvencije</c:v>
                </c:pt>
              </c:strCache>
            </c:strRef>
          </c:tx>
          <c:spPr>
            <a:solidFill>
              <a:srgbClr val="0070C0"/>
            </a:solidFill>
            <a:ln>
              <a:solidFill>
                <a:sysClr val="windowText" lastClr="000000"/>
              </a:solidFill>
            </a:ln>
          </c:spPr>
          <c:invertIfNegative val="0"/>
          <c:cat>
            <c:numRef>
              <c:f>'Varstvo okolja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'Varstvo okolja Instrumenti'!$B$2:$K$2</c:f>
              <c:numCache>
                <c:formatCode>#,##0.00</c:formatCode>
                <c:ptCount val="10"/>
                <c:pt idx="0">
                  <c:v>25750029.629999999</c:v>
                </c:pt>
                <c:pt idx="1">
                  <c:v>27783394.280000001</c:v>
                </c:pt>
                <c:pt idx="2">
                  <c:v>47345143.07</c:v>
                </c:pt>
                <c:pt idx="3">
                  <c:v>69022308.549999997</c:v>
                </c:pt>
                <c:pt idx="4">
                  <c:v>89390013.180000007</c:v>
                </c:pt>
                <c:pt idx="5">
                  <c:v>117710384.94</c:v>
                </c:pt>
                <c:pt idx="6">
                  <c:v>133138609.18000001</c:v>
                </c:pt>
                <c:pt idx="7">
                  <c:v>135651768.58000001</c:v>
                </c:pt>
                <c:pt idx="8">
                  <c:v>130753983.76000001</c:v>
                </c:pt>
                <c:pt idx="9">
                  <c:v>144074655.27000001</c:v>
                </c:pt>
              </c:numCache>
            </c:numRef>
          </c:val>
        </c:ser>
        <c:ser>
          <c:idx val="1"/>
          <c:order val="1"/>
          <c:tx>
            <c:strRef>
              <c:f>'Varstvo okolja Instrumenti'!$A$3</c:f>
              <c:strCache>
                <c:ptCount val="1"/>
                <c:pt idx="0">
                  <c:v>Davčne oprostitve, izjeme in olajšave</c:v>
                </c:pt>
              </c:strCache>
            </c:strRef>
          </c:tx>
          <c:spPr>
            <a:solidFill>
              <a:srgbClr val="00B050"/>
            </a:solidFill>
            <a:ln>
              <a:solidFill>
                <a:sysClr val="windowText" lastClr="000000"/>
              </a:solidFill>
            </a:ln>
          </c:spPr>
          <c:invertIfNegative val="0"/>
          <c:cat>
            <c:numRef>
              <c:f>'Varstvo okolja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'Varstvo okolja Instrumenti'!$B$3:$K$3</c:f>
              <c:numCache>
                <c:formatCode>#,##0.00</c:formatCode>
                <c:ptCount val="10"/>
                <c:pt idx="0">
                  <c:v>383418.8</c:v>
                </c:pt>
                <c:pt idx="1">
                  <c:v>233886.42</c:v>
                </c:pt>
                <c:pt idx="2">
                  <c:v>8400.6299999999901</c:v>
                </c:pt>
                <c:pt idx="5">
                  <c:v>12637641.939999999</c:v>
                </c:pt>
                <c:pt idx="6">
                  <c:v>24137235.59</c:v>
                </c:pt>
                <c:pt idx="7">
                  <c:v>34203755.310000002</c:v>
                </c:pt>
                <c:pt idx="8">
                  <c:v>45803101.890000001</c:v>
                </c:pt>
                <c:pt idx="9">
                  <c:v>38487058.32</c:v>
                </c:pt>
              </c:numCache>
            </c:numRef>
          </c:val>
        </c:ser>
        <c:dLbls>
          <c:showLegendKey val="0"/>
          <c:showVal val="0"/>
          <c:showCatName val="0"/>
          <c:showSerName val="0"/>
          <c:showPercent val="0"/>
          <c:showBubbleSize val="0"/>
        </c:dLbls>
        <c:gapWidth val="150"/>
        <c:overlap val="100"/>
        <c:axId val="128235776"/>
        <c:axId val="128237568"/>
      </c:barChart>
      <c:catAx>
        <c:axId val="128235776"/>
        <c:scaling>
          <c:orientation val="minMax"/>
        </c:scaling>
        <c:delete val="0"/>
        <c:axPos val="b"/>
        <c:numFmt formatCode="General" sourceLinked="1"/>
        <c:majorTickMark val="out"/>
        <c:minorTickMark val="none"/>
        <c:tickLblPos val="nextTo"/>
        <c:txPr>
          <a:bodyPr/>
          <a:lstStyle/>
          <a:p>
            <a:pPr>
              <a:defRPr sz="950" baseline="0"/>
            </a:pPr>
            <a:endParaRPr lang="sl-SI"/>
          </a:p>
        </c:txPr>
        <c:crossAx val="128237568"/>
        <c:crosses val="autoZero"/>
        <c:auto val="1"/>
        <c:lblAlgn val="ctr"/>
        <c:lblOffset val="100"/>
        <c:noMultiLvlLbl val="0"/>
      </c:catAx>
      <c:valAx>
        <c:axId val="128237568"/>
        <c:scaling>
          <c:orientation val="minMax"/>
        </c:scaling>
        <c:delete val="0"/>
        <c:axPos val="l"/>
        <c:majorGridlines/>
        <c:numFmt formatCode="0%" sourceLinked="1"/>
        <c:majorTickMark val="out"/>
        <c:minorTickMark val="none"/>
        <c:tickLblPos val="nextTo"/>
        <c:txPr>
          <a:bodyPr/>
          <a:lstStyle/>
          <a:p>
            <a:pPr>
              <a:defRPr sz="950" baseline="0"/>
            </a:pPr>
            <a:endParaRPr lang="sl-SI"/>
          </a:p>
        </c:txPr>
        <c:crossAx val="128235776"/>
        <c:crosses val="autoZero"/>
        <c:crossBetween val="between"/>
      </c:valAx>
    </c:plotArea>
    <c:legend>
      <c:legendPos val="r"/>
      <c:layout>
        <c:manualLayout>
          <c:xMode val="edge"/>
          <c:yMode val="edge"/>
          <c:x val="0.72418108409302695"/>
          <c:y val="0.35995437896168297"/>
          <c:w val="0.26035101180797898"/>
          <c:h val="0.28009124207663399"/>
        </c:manualLayout>
      </c:layout>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29888625033001"/>
          <c:y val="4.6532058492688398E-2"/>
          <c:w val="0.54527628490883095"/>
          <c:h val="0.85164715896999399"/>
        </c:manualLayout>
      </c:layout>
      <c:barChart>
        <c:barDir val="col"/>
        <c:grouping val="stacked"/>
        <c:varyColors val="0"/>
        <c:ser>
          <c:idx val="0"/>
          <c:order val="0"/>
          <c:tx>
            <c:strRef>
              <c:f>'Zaposlovanje po namenih'!$B$13</c:f>
              <c:strCache>
                <c:ptCount val="1"/>
                <c:pt idx="0">
                  <c:v>Pomoč za zaposlovanje prikrajšanih delavcev v obliki subvencij plač</c:v>
                </c:pt>
              </c:strCache>
            </c:strRef>
          </c:tx>
          <c:spPr>
            <a:solidFill>
              <a:schemeClr val="accent3">
                <a:lumMod val="75000"/>
              </a:schemeClr>
            </a:solidFill>
            <a:ln>
              <a:solidFill>
                <a:schemeClr val="tx1"/>
              </a:solidFill>
            </a:ln>
          </c:spPr>
          <c:invertIfNegative val="0"/>
          <c:cat>
            <c:numRef>
              <c:f>'Zaposlovanje po namenih'!$C$12:$L$12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'Zaposlovanje po namenih'!$C$13:$L$13</c:f>
              <c:numCache>
                <c:formatCode>0.00</c:formatCode>
                <c:ptCount val="10"/>
                <c:pt idx="0">
                  <c:v>2.0008635699999999</c:v>
                </c:pt>
                <c:pt idx="1">
                  <c:v>12.46526515</c:v>
                </c:pt>
                <c:pt idx="2">
                  <c:v>17.346210209999999</c:v>
                </c:pt>
                <c:pt idx="3">
                  <c:v>13.40563362</c:v>
                </c:pt>
                <c:pt idx="4">
                  <c:v>7.9669109900000006</c:v>
                </c:pt>
                <c:pt idx="5">
                  <c:v>16.357612150000001</c:v>
                </c:pt>
                <c:pt idx="6">
                  <c:v>19.078062079999999</c:v>
                </c:pt>
                <c:pt idx="7">
                  <c:v>0.81806166999999996</c:v>
                </c:pt>
                <c:pt idx="8">
                  <c:v>0.71279042999999997</c:v>
                </c:pt>
                <c:pt idx="9">
                  <c:v>1.1879807600000001</c:v>
                </c:pt>
              </c:numCache>
            </c:numRef>
          </c:val>
        </c:ser>
        <c:ser>
          <c:idx val="1"/>
          <c:order val="1"/>
          <c:tx>
            <c:strRef>
              <c:f>'Zaposlovanje po namenih'!$B$15</c:f>
              <c:strCache>
                <c:ptCount val="1"/>
                <c:pt idx="0">
                  <c:v>Pomoč za zaposlitev invalidnih delavcev v obliki subvencij plač</c:v>
                </c:pt>
              </c:strCache>
            </c:strRef>
          </c:tx>
          <c:spPr>
            <a:solidFill>
              <a:schemeClr val="tx2"/>
            </a:solidFill>
            <a:ln>
              <a:solidFill>
                <a:schemeClr val="tx1"/>
              </a:solidFill>
            </a:ln>
          </c:spPr>
          <c:invertIfNegative val="0"/>
          <c:cat>
            <c:numRef>
              <c:f>'Zaposlovanje po namenih'!$C$12:$L$12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'Zaposlovanje po namenih'!$C$15:$L$15</c:f>
              <c:numCache>
                <c:formatCode>General</c:formatCode>
                <c:ptCount val="10"/>
                <c:pt idx="4" formatCode="0.00">
                  <c:v>61.05125322</c:v>
                </c:pt>
                <c:pt idx="5" formatCode="0.00">
                  <c:v>69.715624430000005</c:v>
                </c:pt>
                <c:pt idx="6" formatCode="0.00">
                  <c:v>73.978942769999946</c:v>
                </c:pt>
                <c:pt idx="7" formatCode="0.00">
                  <c:v>74.719716180000006</c:v>
                </c:pt>
                <c:pt idx="8" formatCode="0.00">
                  <c:v>72.501247910000004</c:v>
                </c:pt>
                <c:pt idx="9" formatCode="0.00">
                  <c:v>77.643809939999983</c:v>
                </c:pt>
              </c:numCache>
            </c:numRef>
          </c:val>
        </c:ser>
        <c:ser>
          <c:idx val="2"/>
          <c:order val="2"/>
          <c:tx>
            <c:strRef>
              <c:f>'Zaposlovanje po namenih'!$B$16</c:f>
              <c:strCache>
                <c:ptCount val="1"/>
                <c:pt idx="0">
                  <c:v>Nadomestilo dodatnih stroškov zaradi zaposlovanja invalidnih delavcev</c:v>
                </c:pt>
              </c:strCache>
            </c:strRef>
          </c:tx>
          <c:spPr>
            <a:solidFill>
              <a:srgbClr val="0070C0"/>
            </a:solidFill>
            <a:ln>
              <a:solidFill>
                <a:schemeClr val="tx1"/>
              </a:solidFill>
            </a:ln>
          </c:spPr>
          <c:invertIfNegative val="0"/>
          <c:cat>
            <c:numRef>
              <c:f>'Zaposlovanje po namenih'!$C$12:$L$12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'Zaposlovanje po namenih'!$C$16:$L$16</c:f>
              <c:numCache>
                <c:formatCode>General</c:formatCode>
                <c:ptCount val="10"/>
                <c:pt idx="4" formatCode="0.00">
                  <c:v>10.075362699999999</c:v>
                </c:pt>
                <c:pt idx="5" formatCode="0.00">
                  <c:v>11.171175460000001</c:v>
                </c:pt>
                <c:pt idx="6" formatCode="0.00">
                  <c:v>16.74554844999998</c:v>
                </c:pt>
                <c:pt idx="7" formatCode="0.00">
                  <c:v>18.23264619999998</c:v>
                </c:pt>
                <c:pt idx="8" formatCode="0.00">
                  <c:v>16.595043839999949</c:v>
                </c:pt>
                <c:pt idx="9" formatCode="0.00">
                  <c:v>19.642608450000001</c:v>
                </c:pt>
              </c:numCache>
            </c:numRef>
          </c:val>
        </c:ser>
        <c:dLbls>
          <c:showLegendKey val="0"/>
          <c:showVal val="0"/>
          <c:showCatName val="0"/>
          <c:showSerName val="0"/>
          <c:showPercent val="0"/>
          <c:showBubbleSize val="0"/>
        </c:dLbls>
        <c:gapWidth val="150"/>
        <c:overlap val="100"/>
        <c:axId val="128274432"/>
        <c:axId val="128275968"/>
      </c:barChart>
      <c:lineChart>
        <c:grouping val="standard"/>
        <c:varyColors val="0"/>
        <c:ser>
          <c:idx val="3"/>
          <c:order val="3"/>
          <c:tx>
            <c:strRef>
              <c:f>'Zaposlovanje po namenih'!$B$17</c:f>
              <c:strCache>
                <c:ptCount val="1"/>
                <c:pt idx="0">
                  <c:v>v % vseh pomoči</c:v>
                </c:pt>
              </c:strCache>
            </c:strRef>
          </c:tx>
          <c:spPr>
            <a:ln>
              <a:solidFill>
                <a:srgbClr val="C00000"/>
              </a:solidFill>
              <a:prstDash val="sysDash"/>
            </a:ln>
          </c:spPr>
          <c:marker>
            <c:symbol val="none"/>
          </c:marker>
          <c:val>
            <c:numRef>
              <c:f>'Zaposlovanje po namenih'!$C$17:$L$17</c:f>
              <c:numCache>
                <c:formatCode>0.0%</c:formatCode>
                <c:ptCount val="10"/>
                <c:pt idx="0">
                  <c:v>6.2649082944032002E-3</c:v>
                </c:pt>
                <c:pt idx="1">
                  <c:v>2.8567606171158801E-2</c:v>
                </c:pt>
                <c:pt idx="2">
                  <c:v>4.1127854639070198E-2</c:v>
                </c:pt>
                <c:pt idx="3">
                  <c:v>2.55236981289481E-2</c:v>
                </c:pt>
                <c:pt idx="4">
                  <c:v>0.14579424063587401</c:v>
                </c:pt>
                <c:pt idx="5">
                  <c:v>0.167682372468972</c:v>
                </c:pt>
                <c:pt idx="6">
                  <c:v>0.202180326106291</c:v>
                </c:pt>
                <c:pt idx="7">
                  <c:v>0.169470033800596</c:v>
                </c:pt>
                <c:pt idx="8">
                  <c:v>0.239471580808653</c:v>
                </c:pt>
                <c:pt idx="9">
                  <c:v>0.23052111993265401</c:v>
                </c:pt>
              </c:numCache>
            </c:numRef>
          </c:val>
          <c:smooth val="0"/>
        </c:ser>
        <c:dLbls>
          <c:showLegendKey val="0"/>
          <c:showVal val="0"/>
          <c:showCatName val="0"/>
          <c:showSerName val="0"/>
          <c:showPercent val="0"/>
          <c:showBubbleSize val="0"/>
        </c:dLbls>
        <c:marker val="1"/>
        <c:smooth val="0"/>
        <c:axId val="128283776"/>
        <c:axId val="128277888"/>
      </c:lineChart>
      <c:catAx>
        <c:axId val="128274432"/>
        <c:scaling>
          <c:orientation val="minMax"/>
        </c:scaling>
        <c:delete val="0"/>
        <c:axPos val="b"/>
        <c:numFmt formatCode="General" sourceLinked="1"/>
        <c:majorTickMark val="out"/>
        <c:minorTickMark val="none"/>
        <c:tickLblPos val="nextTo"/>
        <c:txPr>
          <a:bodyPr/>
          <a:lstStyle/>
          <a:p>
            <a:pPr>
              <a:defRPr sz="950" baseline="0"/>
            </a:pPr>
            <a:endParaRPr lang="sl-SI"/>
          </a:p>
        </c:txPr>
        <c:crossAx val="128275968"/>
        <c:crosses val="autoZero"/>
        <c:auto val="1"/>
        <c:lblAlgn val="ctr"/>
        <c:lblOffset val="100"/>
        <c:noMultiLvlLbl val="0"/>
      </c:catAx>
      <c:valAx>
        <c:axId val="128275968"/>
        <c:scaling>
          <c:orientation val="minMax"/>
        </c:scaling>
        <c:delete val="0"/>
        <c:axPos val="l"/>
        <c:majorGridlines/>
        <c:title>
          <c:tx>
            <c:rich>
              <a:bodyPr rot="-5400000" vert="horz"/>
              <a:lstStyle/>
              <a:p>
                <a:pPr>
                  <a:defRPr/>
                </a:pPr>
                <a:r>
                  <a:rPr lang="en-US"/>
                  <a:t>v mio EUR</a:t>
                </a:r>
              </a:p>
            </c:rich>
          </c:tx>
          <c:overlay val="0"/>
        </c:title>
        <c:numFmt formatCode="0.00" sourceLinked="1"/>
        <c:majorTickMark val="out"/>
        <c:minorTickMark val="none"/>
        <c:tickLblPos val="nextTo"/>
        <c:txPr>
          <a:bodyPr/>
          <a:lstStyle/>
          <a:p>
            <a:pPr>
              <a:defRPr sz="950" baseline="0"/>
            </a:pPr>
            <a:endParaRPr lang="sl-SI"/>
          </a:p>
        </c:txPr>
        <c:crossAx val="128274432"/>
        <c:crosses val="autoZero"/>
        <c:crossBetween val="between"/>
      </c:valAx>
      <c:valAx>
        <c:axId val="128277888"/>
        <c:scaling>
          <c:orientation val="minMax"/>
        </c:scaling>
        <c:delete val="0"/>
        <c:axPos val="r"/>
        <c:numFmt formatCode="0.0%" sourceLinked="1"/>
        <c:majorTickMark val="out"/>
        <c:minorTickMark val="none"/>
        <c:tickLblPos val="nextTo"/>
        <c:txPr>
          <a:bodyPr/>
          <a:lstStyle/>
          <a:p>
            <a:pPr>
              <a:defRPr sz="950" baseline="0"/>
            </a:pPr>
            <a:endParaRPr lang="sl-SI"/>
          </a:p>
        </c:txPr>
        <c:crossAx val="128283776"/>
        <c:crosses val="max"/>
        <c:crossBetween val="between"/>
      </c:valAx>
      <c:catAx>
        <c:axId val="128283776"/>
        <c:scaling>
          <c:orientation val="minMax"/>
        </c:scaling>
        <c:delete val="1"/>
        <c:axPos val="b"/>
        <c:majorTickMark val="out"/>
        <c:minorTickMark val="none"/>
        <c:tickLblPos val="nextTo"/>
        <c:crossAx val="128277888"/>
        <c:crosses val="autoZero"/>
        <c:auto val="1"/>
        <c:lblAlgn val="ctr"/>
        <c:lblOffset val="100"/>
        <c:noMultiLvlLbl val="0"/>
      </c:catAx>
    </c:plotArea>
    <c:legend>
      <c:legendPos val="r"/>
      <c:layout>
        <c:manualLayout>
          <c:xMode val="edge"/>
          <c:yMode val="edge"/>
          <c:x val="0.69649852796178302"/>
          <c:y val="6.8247565365804605E-2"/>
          <c:w val="0.291048167590162"/>
          <c:h val="0.83617206660642796"/>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579496592777"/>
          <c:y val="6.5628104179285301E-2"/>
          <c:w val="0.51988086304290204"/>
          <c:h val="0.83629517464163095"/>
        </c:manualLayout>
      </c:layout>
      <c:barChart>
        <c:barDir val="col"/>
        <c:grouping val="percentStacked"/>
        <c:varyColors val="0"/>
        <c:ser>
          <c:idx val="0"/>
          <c:order val="0"/>
          <c:tx>
            <c:strRef>
              <c:f>'zaposlovanje po instrumentih_br'!$D$20</c:f>
              <c:strCache>
                <c:ptCount val="1"/>
                <c:pt idx="0">
                  <c:v>Subvencije</c:v>
                </c:pt>
              </c:strCache>
            </c:strRef>
          </c:tx>
          <c:spPr>
            <a:solidFill>
              <a:srgbClr val="0070C0"/>
            </a:solidFill>
            <a:ln>
              <a:solidFill>
                <a:sysClr val="windowText" lastClr="000000"/>
              </a:solidFill>
            </a:ln>
          </c:spPr>
          <c:invertIfNegative val="0"/>
          <c:cat>
            <c:numRef>
              <c:f>'zaposlovanje po instrumentih_br'!$E$19:$N$19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'zaposlovanje po instrumentih_br'!$E$20:$N$20</c:f>
              <c:numCache>
                <c:formatCode>#,##0.00</c:formatCode>
                <c:ptCount val="10"/>
                <c:pt idx="0">
                  <c:v>2031021.66</c:v>
                </c:pt>
                <c:pt idx="1">
                  <c:v>12465265.15</c:v>
                </c:pt>
                <c:pt idx="2">
                  <c:v>17346210.210000001</c:v>
                </c:pt>
                <c:pt idx="3">
                  <c:v>13148276.390000001</c:v>
                </c:pt>
                <c:pt idx="4">
                  <c:v>20786750.41</c:v>
                </c:pt>
                <c:pt idx="5">
                  <c:v>35558690.18</c:v>
                </c:pt>
                <c:pt idx="6">
                  <c:v>38257609.490000002</c:v>
                </c:pt>
                <c:pt idx="7">
                  <c:v>16812016.050000001</c:v>
                </c:pt>
                <c:pt idx="8">
                  <c:v>16243360.800000001</c:v>
                </c:pt>
                <c:pt idx="9">
                  <c:v>17643735.379999999</c:v>
                </c:pt>
              </c:numCache>
            </c:numRef>
          </c:val>
        </c:ser>
        <c:ser>
          <c:idx val="1"/>
          <c:order val="1"/>
          <c:tx>
            <c:strRef>
              <c:f>'zaposlovanje po instrumentih_br'!$D$21</c:f>
              <c:strCache>
                <c:ptCount val="1"/>
                <c:pt idx="0">
                  <c:v>Znižanje prispevkov za socialno varnost</c:v>
                </c:pt>
              </c:strCache>
            </c:strRef>
          </c:tx>
          <c:spPr>
            <a:solidFill>
              <a:srgbClr val="00B050"/>
            </a:solidFill>
            <a:ln>
              <a:solidFill>
                <a:sysClr val="windowText" lastClr="000000"/>
              </a:solidFill>
            </a:ln>
          </c:spPr>
          <c:invertIfNegative val="0"/>
          <c:cat>
            <c:numRef>
              <c:f>'zaposlovanje po instrumentih_br'!$E$19:$N$19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'zaposlovanje po instrumentih_br'!$E$21:$N$21</c:f>
              <c:numCache>
                <c:formatCode>General</c:formatCode>
                <c:ptCount val="10"/>
                <c:pt idx="3" formatCode="#,##0.00">
                  <c:v>93851.97</c:v>
                </c:pt>
                <c:pt idx="4" formatCode="#,##0.00">
                  <c:v>58133034.659999996</c:v>
                </c:pt>
                <c:pt idx="5" formatCode="#,##0.00">
                  <c:v>61468401.560000002</c:v>
                </c:pt>
                <c:pt idx="6" formatCode="#,##0.00">
                  <c:v>71451030.200000003</c:v>
                </c:pt>
                <c:pt idx="7" formatCode="#,##0.00">
                  <c:v>72221182.620000005</c:v>
                </c:pt>
                <c:pt idx="8" formatCode="#,##0.00">
                  <c:v>73252443.810000002</c:v>
                </c:pt>
                <c:pt idx="9" formatCode="#,##0.00">
                  <c:v>80611308.489999995</c:v>
                </c:pt>
              </c:numCache>
            </c:numRef>
          </c:val>
        </c:ser>
        <c:ser>
          <c:idx val="2"/>
          <c:order val="2"/>
          <c:tx>
            <c:strRef>
              <c:f>'zaposlovanje po instrumentih_br'!$D$22</c:f>
              <c:strCache>
                <c:ptCount val="1"/>
                <c:pt idx="0">
                  <c:v>Davčne oprostitve, izjeme in olajšave</c:v>
                </c:pt>
              </c:strCache>
            </c:strRef>
          </c:tx>
          <c:spPr>
            <a:solidFill>
              <a:srgbClr val="FF0000"/>
            </a:solidFill>
            <a:ln>
              <a:solidFill>
                <a:schemeClr val="tx1"/>
              </a:solidFill>
            </a:ln>
          </c:spPr>
          <c:invertIfNegative val="0"/>
          <c:cat>
            <c:numRef>
              <c:f>'zaposlovanje po instrumentih_br'!$E$19:$N$19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'zaposlovanje po instrumentih_br'!$E$22:$N$22</c:f>
              <c:numCache>
                <c:formatCode>General</c:formatCode>
                <c:ptCount val="10"/>
                <c:pt idx="3" formatCode="#,##0.00">
                  <c:v>163725.68</c:v>
                </c:pt>
                <c:pt idx="4" formatCode="#,##0.00">
                  <c:v>173741.84</c:v>
                </c:pt>
                <c:pt idx="5" formatCode="#,##0.00">
                  <c:v>217320.3</c:v>
                </c:pt>
                <c:pt idx="6" formatCode="#,##0.00">
                  <c:v>93913.61</c:v>
                </c:pt>
                <c:pt idx="7" formatCode="#,##0.00">
                  <c:v>191041.21</c:v>
                </c:pt>
                <c:pt idx="8" formatCode="#,##0.00">
                  <c:v>313277.57</c:v>
                </c:pt>
                <c:pt idx="9" formatCode="#,##0.00">
                  <c:v>219355.28</c:v>
                </c:pt>
              </c:numCache>
            </c:numRef>
          </c:val>
        </c:ser>
        <c:dLbls>
          <c:showLegendKey val="0"/>
          <c:showVal val="0"/>
          <c:showCatName val="0"/>
          <c:showSerName val="0"/>
          <c:showPercent val="0"/>
          <c:showBubbleSize val="0"/>
        </c:dLbls>
        <c:gapWidth val="150"/>
        <c:overlap val="100"/>
        <c:axId val="128317312"/>
        <c:axId val="128318848"/>
      </c:barChart>
      <c:catAx>
        <c:axId val="128317312"/>
        <c:scaling>
          <c:orientation val="minMax"/>
        </c:scaling>
        <c:delete val="0"/>
        <c:axPos val="b"/>
        <c:numFmt formatCode="General" sourceLinked="1"/>
        <c:majorTickMark val="out"/>
        <c:minorTickMark val="none"/>
        <c:tickLblPos val="nextTo"/>
        <c:crossAx val="128318848"/>
        <c:crosses val="autoZero"/>
        <c:auto val="1"/>
        <c:lblAlgn val="ctr"/>
        <c:lblOffset val="100"/>
        <c:noMultiLvlLbl val="0"/>
      </c:catAx>
      <c:valAx>
        <c:axId val="128318848"/>
        <c:scaling>
          <c:orientation val="minMax"/>
        </c:scaling>
        <c:delete val="0"/>
        <c:axPos val="l"/>
        <c:majorGridlines/>
        <c:numFmt formatCode="0%" sourceLinked="1"/>
        <c:majorTickMark val="out"/>
        <c:minorTickMark val="none"/>
        <c:tickLblPos val="nextTo"/>
        <c:crossAx val="128317312"/>
        <c:crosses val="autoZero"/>
        <c:crossBetween val="between"/>
        <c:dispUnits>
          <c:builtInUnit val="millions"/>
          <c:dispUnitsLbl>
            <c:tx>
              <c:rich>
                <a:bodyPr/>
                <a:lstStyle/>
                <a:p>
                  <a:pPr>
                    <a:defRPr/>
                  </a:pPr>
                  <a:r>
                    <a:rPr lang="en-US"/>
                    <a:t>v mio EUR</a:t>
                  </a:r>
                </a:p>
              </c:rich>
            </c:tx>
          </c:dispUnitsLbl>
        </c:dispUnits>
      </c:valAx>
    </c:plotArea>
    <c:legend>
      <c:legendPos val="r"/>
      <c:layout>
        <c:manualLayout>
          <c:xMode val="edge"/>
          <c:yMode val="edge"/>
          <c:x val="0.70072374488039602"/>
          <c:y val="0.26712325779222201"/>
          <c:w val="0.29927625511960398"/>
          <c:h val="0.40108185922743"/>
        </c:manualLayout>
      </c:layout>
      <c:overlay val="0"/>
      <c:txPr>
        <a:bodyPr/>
        <a:lstStyle/>
        <a:p>
          <a:pPr>
            <a:defRPr baseline="0"/>
          </a:pPr>
          <a:endParaRPr lang="sl-SI"/>
        </a:p>
      </c:txPr>
    </c:legend>
    <c:plotVisOnly val="1"/>
    <c:dispBlanksAs val="gap"/>
    <c:showDLblsOverMax val="0"/>
  </c:chart>
  <c:spPr>
    <a:ln>
      <a:noFill/>
    </a:ln>
  </c:spPr>
  <c:txPr>
    <a:bodyPr/>
    <a:lstStyle/>
    <a:p>
      <a:pPr>
        <a:defRPr sz="950" baseline="0"/>
      </a:pPr>
      <a:endParaRPr lang="sl-SI"/>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984272799233"/>
          <c:y val="6.8129037595228994E-2"/>
          <c:w val="0.53047327417406198"/>
          <c:h val="0.82410524257533702"/>
        </c:manualLayout>
      </c:layout>
      <c:barChart>
        <c:barDir val="col"/>
        <c:grouping val="stacked"/>
        <c:varyColors val="0"/>
        <c:ser>
          <c:idx val="0"/>
          <c:order val="0"/>
          <c:tx>
            <c:strRef>
              <c:f>'RRI po namenih 2018-2017'!$B$58</c:f>
              <c:strCache>
                <c:ptCount val="1"/>
                <c:pt idx="0">
                  <c:v>Temeljne raziskave</c:v>
                </c:pt>
              </c:strCache>
            </c:strRef>
          </c:tx>
          <c:spPr>
            <a:solidFill>
              <a:srgbClr val="00B050"/>
            </a:solidFill>
            <a:ln>
              <a:solidFill>
                <a:schemeClr val="tx1"/>
              </a:solidFill>
            </a:ln>
          </c:spPr>
          <c:invertIfNegative val="0"/>
          <c:cat>
            <c:numRef>
              <c:f>'RRI po namenih 2018-2017'!$F$57:$O$57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namenih 2018-2017'!$C$58:$O$58</c:f>
              <c:numCache>
                <c:formatCode>#,##0.00</c:formatCode>
                <c:ptCount val="10"/>
                <c:pt idx="0">
                  <c:v>15.01</c:v>
                </c:pt>
                <c:pt idx="1">
                  <c:v>14.65</c:v>
                </c:pt>
                <c:pt idx="2">
                  <c:v>20.36</c:v>
                </c:pt>
                <c:pt idx="3">
                  <c:v>25.31</c:v>
                </c:pt>
                <c:pt idx="4">
                  <c:v>25.93</c:v>
                </c:pt>
                <c:pt idx="5">
                  <c:v>20.350000000000001</c:v>
                </c:pt>
                <c:pt idx="6">
                  <c:v>16.399999999999999</c:v>
                </c:pt>
                <c:pt idx="7">
                  <c:v>8.44</c:v>
                </c:pt>
                <c:pt idx="8">
                  <c:v>8.33</c:v>
                </c:pt>
                <c:pt idx="9">
                  <c:v>6.71</c:v>
                </c:pt>
              </c:numCache>
            </c:numRef>
          </c:val>
        </c:ser>
        <c:ser>
          <c:idx val="1"/>
          <c:order val="1"/>
          <c:tx>
            <c:strRef>
              <c:f>'RRI po namenih 2018-2017'!$B$59</c:f>
              <c:strCache>
                <c:ptCount val="1"/>
                <c:pt idx="0">
                  <c:v>Industrijske raziskave</c:v>
                </c:pt>
              </c:strCache>
            </c:strRef>
          </c:tx>
          <c:spPr>
            <a:solidFill>
              <a:srgbClr val="7030A0"/>
            </a:solidFill>
            <a:ln>
              <a:solidFill>
                <a:schemeClr val="tx1"/>
              </a:solidFill>
            </a:ln>
          </c:spPr>
          <c:invertIfNegative val="0"/>
          <c:cat>
            <c:numRef>
              <c:f>'RRI po namenih 2018-2017'!$F$57:$O$57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namenih 2018-2017'!$C$59:$O$59</c:f>
              <c:numCache>
                <c:formatCode>#,##0.00</c:formatCode>
                <c:ptCount val="10"/>
                <c:pt idx="0">
                  <c:v>2.71</c:v>
                </c:pt>
                <c:pt idx="1">
                  <c:v>38.65</c:v>
                </c:pt>
                <c:pt idx="2">
                  <c:v>62.13</c:v>
                </c:pt>
                <c:pt idx="3">
                  <c:v>35.39</c:v>
                </c:pt>
                <c:pt idx="4">
                  <c:v>30.6</c:v>
                </c:pt>
                <c:pt idx="5">
                  <c:v>37.32</c:v>
                </c:pt>
                <c:pt idx="6">
                  <c:v>27.18</c:v>
                </c:pt>
                <c:pt idx="7">
                  <c:v>11.22</c:v>
                </c:pt>
                <c:pt idx="8">
                  <c:v>1.5</c:v>
                </c:pt>
                <c:pt idx="9">
                  <c:v>18.420000000000002</c:v>
                </c:pt>
              </c:numCache>
            </c:numRef>
          </c:val>
        </c:ser>
        <c:ser>
          <c:idx val="2"/>
          <c:order val="2"/>
          <c:tx>
            <c:strRef>
              <c:f>'RRI po namenih 2018-2017'!$B$60</c:f>
              <c:strCache>
                <c:ptCount val="1"/>
                <c:pt idx="0">
                  <c:v>Eksperimentalni razvoj</c:v>
                </c:pt>
              </c:strCache>
            </c:strRef>
          </c:tx>
          <c:spPr>
            <a:solidFill>
              <a:schemeClr val="accent6">
                <a:lumMod val="75000"/>
              </a:schemeClr>
            </a:solidFill>
            <a:ln>
              <a:solidFill>
                <a:schemeClr val="tx1"/>
              </a:solidFill>
            </a:ln>
          </c:spPr>
          <c:invertIfNegative val="0"/>
          <c:cat>
            <c:numRef>
              <c:f>'RRI po namenih 2018-2017'!$F$57:$O$57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namenih 2018-2017'!$C$60:$O$60</c:f>
              <c:numCache>
                <c:formatCode>#,##0.00</c:formatCode>
                <c:ptCount val="10"/>
                <c:pt idx="0">
                  <c:v>3.88</c:v>
                </c:pt>
                <c:pt idx="1">
                  <c:v>13.2</c:v>
                </c:pt>
                <c:pt idx="2">
                  <c:v>12.13</c:v>
                </c:pt>
                <c:pt idx="3">
                  <c:v>12.07</c:v>
                </c:pt>
                <c:pt idx="4">
                  <c:v>25.81</c:v>
                </c:pt>
                <c:pt idx="5">
                  <c:v>13.2</c:v>
                </c:pt>
                <c:pt idx="6">
                  <c:v>3.45</c:v>
                </c:pt>
                <c:pt idx="7">
                  <c:v>0.83</c:v>
                </c:pt>
                <c:pt idx="8">
                  <c:v>0.82</c:v>
                </c:pt>
                <c:pt idx="9">
                  <c:v>8.4600000000000026</c:v>
                </c:pt>
              </c:numCache>
            </c:numRef>
          </c:val>
        </c:ser>
        <c:ser>
          <c:idx val="3"/>
          <c:order val="3"/>
          <c:tx>
            <c:strRef>
              <c:f>'RRI po namenih 2018-2017'!$B$61</c:f>
              <c:strCache>
                <c:ptCount val="1"/>
                <c:pt idx="0">
                  <c:v>Študije o tehnični izvedljivosti</c:v>
                </c:pt>
              </c:strCache>
            </c:strRef>
          </c:tx>
          <c:spPr>
            <a:solidFill>
              <a:schemeClr val="tx1"/>
            </a:solidFill>
          </c:spPr>
          <c:invertIfNegative val="0"/>
          <c:cat>
            <c:numRef>
              <c:f>'RRI po namenih 2018-2017'!$F$57:$O$57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namenih 2018-2017'!$C$61:$O$61</c:f>
            </c:numRef>
          </c:val>
        </c:ser>
        <c:ser>
          <c:idx val="4"/>
          <c:order val="4"/>
          <c:tx>
            <c:strRef>
              <c:f>'RRI po namenih 2018-2017'!$B$62</c:f>
              <c:strCache>
                <c:ptCount val="1"/>
                <c:pt idx="0">
                  <c:v>Pomoč za inovacijske grozde</c:v>
                </c:pt>
              </c:strCache>
            </c:strRef>
          </c:tx>
          <c:spPr>
            <a:solidFill>
              <a:srgbClr val="C00000"/>
            </a:solidFill>
          </c:spPr>
          <c:invertIfNegative val="0"/>
          <c:cat>
            <c:numRef>
              <c:f>'RRI po namenih 2018-2017'!$F$57:$O$57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namenih 2018-2017'!$C$62:$O$62</c:f>
            </c:numRef>
          </c:val>
        </c:ser>
        <c:ser>
          <c:idx val="5"/>
          <c:order val="5"/>
          <c:tx>
            <c:strRef>
              <c:f>'RRI po namenih 2018-2017'!$B$63</c:f>
              <c:strCache>
                <c:ptCount val="1"/>
                <c:pt idx="0">
                  <c:v>Drugo</c:v>
                </c:pt>
              </c:strCache>
            </c:strRef>
          </c:tx>
          <c:invertIfNegative val="0"/>
          <c:cat>
            <c:numRef>
              <c:f>'RRI po namenih 2018-2017'!$F$57:$O$57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namenih 2018-2017'!$C$63:$O$63</c:f>
            </c:numRef>
          </c:val>
        </c:ser>
        <c:dLbls>
          <c:showLegendKey val="0"/>
          <c:showVal val="0"/>
          <c:showCatName val="0"/>
          <c:showSerName val="0"/>
          <c:showPercent val="0"/>
          <c:showBubbleSize val="0"/>
        </c:dLbls>
        <c:gapWidth val="150"/>
        <c:overlap val="100"/>
        <c:axId val="87480192"/>
        <c:axId val="87481728"/>
      </c:barChart>
      <c:lineChart>
        <c:grouping val="standard"/>
        <c:varyColors val="0"/>
        <c:ser>
          <c:idx val="6"/>
          <c:order val="6"/>
          <c:tx>
            <c:strRef>
              <c:f>'RRI po namenih 2018-2017'!$B$65</c:f>
              <c:strCache>
                <c:ptCount val="1"/>
                <c:pt idx="0">
                  <c:v>v % vseh pomoči</c:v>
                </c:pt>
              </c:strCache>
            </c:strRef>
          </c:tx>
          <c:spPr>
            <a:ln>
              <a:solidFill>
                <a:srgbClr val="C00000"/>
              </a:solidFill>
              <a:prstDash val="sysDash"/>
            </a:ln>
          </c:spPr>
          <c:marker>
            <c:symbol val="none"/>
          </c:marker>
          <c:val>
            <c:numRef>
              <c:f>'RRI po namenih 2018-2017'!$C$65:$O$65</c:f>
              <c:numCache>
                <c:formatCode>0.0%</c:formatCode>
                <c:ptCount val="10"/>
                <c:pt idx="0">
                  <c:v>6.7000000000000004E-2</c:v>
                </c:pt>
                <c:pt idx="1">
                  <c:v>0.154</c:v>
                </c:pt>
                <c:pt idx="2">
                  <c:v>0.22500000000000001</c:v>
                </c:pt>
                <c:pt idx="3">
                  <c:v>0.13900000000000001</c:v>
                </c:pt>
                <c:pt idx="4">
                  <c:v>0.152</c:v>
                </c:pt>
                <c:pt idx="5">
                  <c:v>0.122</c:v>
                </c:pt>
                <c:pt idx="6">
                  <c:v>8.6999999999999994E-2</c:v>
                </c:pt>
                <c:pt idx="7">
                  <c:v>3.6999999999999998E-2</c:v>
                </c:pt>
                <c:pt idx="8">
                  <c:v>2.8000000000000001E-2</c:v>
                </c:pt>
                <c:pt idx="9">
                  <c:v>8.1000000000000003E-2</c:v>
                </c:pt>
              </c:numCache>
            </c:numRef>
          </c:val>
          <c:smooth val="0"/>
        </c:ser>
        <c:dLbls>
          <c:showLegendKey val="0"/>
          <c:showVal val="0"/>
          <c:showCatName val="0"/>
          <c:showSerName val="0"/>
          <c:showPercent val="0"/>
          <c:showBubbleSize val="0"/>
        </c:dLbls>
        <c:marker val="1"/>
        <c:smooth val="0"/>
        <c:axId val="87485440"/>
        <c:axId val="87483904"/>
      </c:lineChart>
      <c:catAx>
        <c:axId val="87480192"/>
        <c:scaling>
          <c:orientation val="minMax"/>
        </c:scaling>
        <c:delete val="0"/>
        <c:axPos val="b"/>
        <c:numFmt formatCode="General" sourceLinked="1"/>
        <c:majorTickMark val="out"/>
        <c:minorTickMark val="none"/>
        <c:tickLblPos val="nextTo"/>
        <c:txPr>
          <a:bodyPr/>
          <a:lstStyle/>
          <a:p>
            <a:pPr>
              <a:defRPr sz="950" baseline="0"/>
            </a:pPr>
            <a:endParaRPr lang="sl-SI"/>
          </a:p>
        </c:txPr>
        <c:crossAx val="87481728"/>
        <c:crosses val="autoZero"/>
        <c:auto val="1"/>
        <c:lblAlgn val="ctr"/>
        <c:lblOffset val="100"/>
        <c:noMultiLvlLbl val="0"/>
      </c:catAx>
      <c:valAx>
        <c:axId val="87481728"/>
        <c:scaling>
          <c:orientation val="minMax"/>
        </c:scaling>
        <c:delete val="0"/>
        <c:axPos val="l"/>
        <c:majorGridlines/>
        <c:title>
          <c:tx>
            <c:rich>
              <a:bodyPr rot="-5400000" vert="horz"/>
              <a:lstStyle/>
              <a:p>
                <a:pPr>
                  <a:defRPr/>
                </a:pPr>
                <a:r>
                  <a:rPr lang="sl-SI"/>
                  <a:t>v mio EUR</a:t>
                </a:r>
              </a:p>
              <a:p>
                <a:pPr>
                  <a:defRPr/>
                </a:pPr>
                <a:endParaRPr lang="sl-SI"/>
              </a:p>
            </c:rich>
          </c:tx>
          <c:overlay val="0"/>
        </c:title>
        <c:numFmt formatCode="#,##0.00" sourceLinked="1"/>
        <c:majorTickMark val="out"/>
        <c:minorTickMark val="none"/>
        <c:tickLblPos val="nextTo"/>
        <c:txPr>
          <a:bodyPr/>
          <a:lstStyle/>
          <a:p>
            <a:pPr>
              <a:defRPr sz="950" baseline="0"/>
            </a:pPr>
            <a:endParaRPr lang="sl-SI"/>
          </a:p>
        </c:txPr>
        <c:crossAx val="87480192"/>
        <c:crosses val="autoZero"/>
        <c:crossBetween val="between"/>
      </c:valAx>
      <c:valAx>
        <c:axId val="87483904"/>
        <c:scaling>
          <c:orientation val="minMax"/>
        </c:scaling>
        <c:delete val="0"/>
        <c:axPos val="r"/>
        <c:numFmt formatCode="0.0%" sourceLinked="1"/>
        <c:majorTickMark val="out"/>
        <c:minorTickMark val="none"/>
        <c:tickLblPos val="nextTo"/>
        <c:txPr>
          <a:bodyPr/>
          <a:lstStyle/>
          <a:p>
            <a:pPr>
              <a:defRPr sz="950" baseline="0"/>
            </a:pPr>
            <a:endParaRPr lang="sl-SI"/>
          </a:p>
        </c:txPr>
        <c:crossAx val="87485440"/>
        <c:crosses val="max"/>
        <c:crossBetween val="between"/>
      </c:valAx>
      <c:catAx>
        <c:axId val="87485440"/>
        <c:scaling>
          <c:orientation val="minMax"/>
        </c:scaling>
        <c:delete val="1"/>
        <c:axPos val="b"/>
        <c:majorTickMark val="out"/>
        <c:minorTickMark val="none"/>
        <c:tickLblPos val="nextTo"/>
        <c:crossAx val="87483904"/>
        <c:crosses val="autoZero"/>
        <c:auto val="1"/>
        <c:lblAlgn val="ctr"/>
        <c:lblOffset val="100"/>
        <c:noMultiLvlLbl val="0"/>
      </c:catAx>
    </c:plotArea>
    <c:legend>
      <c:legendPos val="r"/>
      <c:layout>
        <c:manualLayout>
          <c:xMode val="edge"/>
          <c:yMode val="edge"/>
          <c:x val="0.69761158327431305"/>
          <c:y val="0.138958691484319"/>
          <c:w val="0.28549695176991802"/>
          <c:h val="0.60150547219333494"/>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550024893704E-2"/>
          <c:y val="6.2460033404915301E-2"/>
          <c:w val="0.459779333138913"/>
          <c:h val="0.85073627160241305"/>
        </c:manualLayout>
      </c:layout>
      <c:barChart>
        <c:barDir val="col"/>
        <c:grouping val="stacked"/>
        <c:varyColors val="0"/>
        <c:ser>
          <c:idx val="0"/>
          <c:order val="0"/>
          <c:tx>
            <c:strRef>
              <c:f>'RRI glavne sheme 2015 2017 GRAF'!$E$46</c:f>
              <c:strCache>
                <c:ptCount val="1"/>
                <c:pt idx="0">
                  <c:v>Raziskovalni projekti temeljnega raziskovanja ARRS</c:v>
                </c:pt>
              </c:strCache>
            </c:strRef>
          </c:tx>
          <c:spPr>
            <a:solidFill>
              <a:srgbClr val="0070C0"/>
            </a:solidFill>
          </c:spPr>
          <c:invertIfNegative val="0"/>
          <c:cat>
            <c:numRef>
              <c:f>'RRI glavne sheme 2015 2017 GRAF'!$F$2:$H$2</c:f>
              <c:numCache>
                <c:formatCode>General</c:formatCode>
                <c:ptCount val="3"/>
                <c:pt idx="0">
                  <c:v>2015</c:v>
                </c:pt>
                <c:pt idx="1">
                  <c:v>2016</c:v>
                </c:pt>
                <c:pt idx="2">
                  <c:v>2017</c:v>
                </c:pt>
              </c:numCache>
            </c:numRef>
          </c:cat>
          <c:val>
            <c:numRef>
              <c:f>'RRI glavne sheme 2015 2017 GRAF'!$F$46:$H$46</c:f>
              <c:numCache>
                <c:formatCode>#,##0.00</c:formatCode>
                <c:ptCount val="3"/>
                <c:pt idx="0">
                  <c:v>7651494.2199999997</c:v>
                </c:pt>
                <c:pt idx="1">
                  <c:v>8195227.0099999998</c:v>
                </c:pt>
                <c:pt idx="2">
                  <c:v>6661628.9000000004</c:v>
                </c:pt>
              </c:numCache>
            </c:numRef>
          </c:val>
        </c:ser>
        <c:ser>
          <c:idx val="1"/>
          <c:order val="1"/>
          <c:tx>
            <c:strRef>
              <c:f>'RRI glavne sheme 2015 2017 GRAF'!$E$47</c:f>
              <c:strCache>
                <c:ptCount val="1"/>
                <c:pt idx="0">
                  <c:v>Programi MGRT za spodbujanje tehnološkega razvoja in inovacij</c:v>
                </c:pt>
              </c:strCache>
            </c:strRef>
          </c:tx>
          <c:spPr>
            <a:solidFill>
              <a:schemeClr val="accent6">
                <a:lumMod val="75000"/>
              </a:schemeClr>
            </a:solidFill>
          </c:spPr>
          <c:invertIfNegative val="0"/>
          <c:cat>
            <c:numRef>
              <c:f>'RRI glavne sheme 2015 2017 GRAF'!$F$2:$H$2</c:f>
              <c:numCache>
                <c:formatCode>General</c:formatCode>
                <c:ptCount val="3"/>
                <c:pt idx="0">
                  <c:v>2015</c:v>
                </c:pt>
                <c:pt idx="1">
                  <c:v>2016</c:v>
                </c:pt>
                <c:pt idx="2">
                  <c:v>2017</c:v>
                </c:pt>
              </c:numCache>
            </c:numRef>
          </c:cat>
          <c:val>
            <c:numRef>
              <c:f>'RRI glavne sheme 2015 2017 GRAF'!$F$47:$H$47</c:f>
              <c:numCache>
                <c:formatCode>#,##0.00</c:formatCode>
                <c:ptCount val="3"/>
                <c:pt idx="0">
                  <c:v>10992522.390000001</c:v>
                </c:pt>
                <c:pt idx="1">
                  <c:v>1561152.75</c:v>
                </c:pt>
                <c:pt idx="2">
                  <c:v>9569770.1400000006</c:v>
                </c:pt>
              </c:numCache>
            </c:numRef>
          </c:val>
        </c:ser>
        <c:ser>
          <c:idx val="2"/>
          <c:order val="2"/>
          <c:tx>
            <c:strRef>
              <c:f>'RRI glavne sheme 2015 2017 GRAF'!$E$48</c:f>
              <c:strCache>
                <c:ptCount val="1"/>
                <c:pt idx="0">
                  <c:v>Program MIZŠ za spodbujanje RRI, vključno raziskovalni vavčer</c:v>
                </c:pt>
              </c:strCache>
            </c:strRef>
          </c:tx>
          <c:spPr>
            <a:solidFill>
              <a:schemeClr val="accent4">
                <a:lumMod val="75000"/>
              </a:schemeClr>
            </a:solidFill>
          </c:spPr>
          <c:invertIfNegative val="0"/>
          <c:cat>
            <c:numRef>
              <c:f>'RRI glavne sheme 2015 2017 GRAF'!$F$2:$H$2</c:f>
              <c:numCache>
                <c:formatCode>General</c:formatCode>
                <c:ptCount val="3"/>
                <c:pt idx="0">
                  <c:v>2015</c:v>
                </c:pt>
                <c:pt idx="1">
                  <c:v>2016</c:v>
                </c:pt>
                <c:pt idx="2">
                  <c:v>2017</c:v>
                </c:pt>
              </c:numCache>
            </c:numRef>
          </c:cat>
          <c:val>
            <c:numRef>
              <c:f>'RRI glavne sheme 2015 2017 GRAF'!$F$48:$H$48</c:f>
              <c:numCache>
                <c:formatCode>General</c:formatCode>
                <c:ptCount val="3"/>
                <c:pt idx="0" formatCode="#,##0.00">
                  <c:v>947196.24</c:v>
                </c:pt>
                <c:pt idx="2" formatCode="#,##0.00">
                  <c:v>18122379.600000001</c:v>
                </c:pt>
              </c:numCache>
            </c:numRef>
          </c:val>
        </c:ser>
        <c:ser>
          <c:idx val="3"/>
          <c:order val="3"/>
          <c:tx>
            <c:strRef>
              <c:f>'RRI glavne sheme 2015 2017 GRAF'!$E$49</c:f>
              <c:strCache>
                <c:ptCount val="1"/>
                <c:pt idx="0">
                  <c:v>Programi SID banke za spodbujanje tehnološko-razvojnih projektov ter inovacijske dejavnosti MSP</c:v>
                </c:pt>
              </c:strCache>
            </c:strRef>
          </c:tx>
          <c:spPr>
            <a:solidFill>
              <a:srgbClr val="00B050"/>
            </a:solidFill>
          </c:spPr>
          <c:invertIfNegative val="0"/>
          <c:cat>
            <c:numRef>
              <c:f>'RRI glavne sheme 2015 2017 GRAF'!$F$2:$H$2</c:f>
              <c:numCache>
                <c:formatCode>General</c:formatCode>
                <c:ptCount val="3"/>
                <c:pt idx="0">
                  <c:v>2015</c:v>
                </c:pt>
                <c:pt idx="1">
                  <c:v>2016</c:v>
                </c:pt>
                <c:pt idx="2">
                  <c:v>2017</c:v>
                </c:pt>
              </c:numCache>
            </c:numRef>
          </c:cat>
          <c:val>
            <c:numRef>
              <c:f>'RRI glavne sheme 2015 2017 GRAF'!$F$49:$H$49</c:f>
              <c:numCache>
                <c:formatCode>#,##0.00</c:formatCode>
                <c:ptCount val="3"/>
                <c:pt idx="0">
                  <c:v>616243.13</c:v>
                </c:pt>
                <c:pt idx="1">
                  <c:v>816952.36</c:v>
                </c:pt>
              </c:numCache>
            </c:numRef>
          </c:val>
        </c:ser>
        <c:ser>
          <c:idx val="4"/>
          <c:order val="4"/>
          <c:tx>
            <c:strRef>
              <c:f>'RRI glavne sheme 2015 2017 GRAF'!$E$50</c:f>
              <c:strCache>
                <c:ptCount val="1"/>
                <c:pt idx="0">
                  <c:v>Davčna olajšava za raziskave in razvoj</c:v>
                </c:pt>
              </c:strCache>
            </c:strRef>
          </c:tx>
          <c:spPr>
            <a:solidFill>
              <a:srgbClr val="FF0000"/>
            </a:solidFill>
          </c:spPr>
          <c:invertIfNegative val="0"/>
          <c:cat>
            <c:numRef>
              <c:f>'RRI glavne sheme 2015 2017 GRAF'!$F$2:$H$2</c:f>
              <c:numCache>
                <c:formatCode>General</c:formatCode>
                <c:ptCount val="3"/>
                <c:pt idx="0">
                  <c:v>2015</c:v>
                </c:pt>
                <c:pt idx="1">
                  <c:v>2016</c:v>
                </c:pt>
                <c:pt idx="2">
                  <c:v>2017</c:v>
                </c:pt>
              </c:numCache>
            </c:numRef>
          </c:cat>
          <c:val>
            <c:numRef>
              <c:f>'RRI glavne sheme 2015 2017 GRAF'!$F$50:$H$50</c:f>
              <c:numCache>
                <c:formatCode>#,##0.00</c:formatCode>
                <c:ptCount val="3"/>
                <c:pt idx="0">
                  <c:v>290415.77</c:v>
                </c:pt>
                <c:pt idx="1">
                  <c:v>73636.37</c:v>
                </c:pt>
                <c:pt idx="2">
                  <c:v>48610.5</c:v>
                </c:pt>
              </c:numCache>
            </c:numRef>
          </c:val>
        </c:ser>
        <c:dLbls>
          <c:showLegendKey val="0"/>
          <c:showVal val="0"/>
          <c:showCatName val="0"/>
          <c:showSerName val="0"/>
          <c:showPercent val="0"/>
          <c:showBubbleSize val="0"/>
        </c:dLbls>
        <c:gapWidth val="150"/>
        <c:overlap val="100"/>
        <c:axId val="129394944"/>
        <c:axId val="129404928"/>
      </c:barChart>
      <c:catAx>
        <c:axId val="129394944"/>
        <c:scaling>
          <c:orientation val="minMax"/>
        </c:scaling>
        <c:delete val="0"/>
        <c:axPos val="b"/>
        <c:numFmt formatCode="General" sourceLinked="1"/>
        <c:majorTickMark val="out"/>
        <c:minorTickMark val="none"/>
        <c:tickLblPos val="nextTo"/>
        <c:txPr>
          <a:bodyPr/>
          <a:lstStyle/>
          <a:p>
            <a:pPr>
              <a:defRPr sz="960" baseline="0"/>
            </a:pPr>
            <a:endParaRPr lang="sl-SI"/>
          </a:p>
        </c:txPr>
        <c:crossAx val="129404928"/>
        <c:crosses val="autoZero"/>
        <c:auto val="1"/>
        <c:lblAlgn val="ctr"/>
        <c:lblOffset val="100"/>
        <c:noMultiLvlLbl val="0"/>
      </c:catAx>
      <c:valAx>
        <c:axId val="129404928"/>
        <c:scaling>
          <c:orientation val="minMax"/>
          <c:max val="35000000"/>
          <c:min val="0"/>
        </c:scaling>
        <c:delete val="0"/>
        <c:axPos val="l"/>
        <c:majorGridlines/>
        <c:numFmt formatCode="#,##0.00" sourceLinked="1"/>
        <c:majorTickMark val="out"/>
        <c:minorTickMark val="none"/>
        <c:tickLblPos val="nextTo"/>
        <c:txPr>
          <a:bodyPr/>
          <a:lstStyle/>
          <a:p>
            <a:pPr>
              <a:defRPr sz="960" baseline="0"/>
            </a:pPr>
            <a:endParaRPr lang="sl-SI"/>
          </a:p>
        </c:txPr>
        <c:crossAx val="129394944"/>
        <c:crosses val="autoZero"/>
        <c:crossBetween val="between"/>
        <c:dispUnits>
          <c:builtInUnit val="millions"/>
          <c:dispUnitsLbl>
            <c:tx>
              <c:rich>
                <a:bodyPr/>
                <a:lstStyle/>
                <a:p>
                  <a:pPr>
                    <a:defRPr/>
                  </a:pPr>
                  <a:r>
                    <a:rPr lang="en-US"/>
                    <a:t>v mio EUR</a:t>
                  </a:r>
                </a:p>
              </c:rich>
            </c:tx>
          </c:dispUnitsLbl>
        </c:dispUnits>
      </c:valAx>
    </c:plotArea>
    <c:legend>
      <c:legendPos val="r"/>
      <c:layout>
        <c:manualLayout>
          <c:xMode val="edge"/>
          <c:yMode val="edge"/>
          <c:x val="0.653773051753474"/>
          <c:y val="3.27341067091046E-2"/>
          <c:w val="0.33573126986276097"/>
          <c:h val="0.94387843287881701"/>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12048884514406E-2"/>
          <c:y val="4.1204694066420897E-2"/>
          <c:w val="0.54363477532175997"/>
          <c:h val="0.855596771501828"/>
        </c:manualLayout>
      </c:layout>
      <c:barChart>
        <c:barDir val="col"/>
        <c:grouping val="percentStacked"/>
        <c:varyColors val="0"/>
        <c:ser>
          <c:idx val="0"/>
          <c:order val="0"/>
          <c:tx>
            <c:strRef>
              <c:f>'RRI po instrumentih 2008 - 2017'!$C$4</c:f>
              <c:strCache>
                <c:ptCount val="1"/>
                <c:pt idx="0">
                  <c:v>Subvencije</c:v>
                </c:pt>
              </c:strCache>
            </c:strRef>
          </c:tx>
          <c:spPr>
            <a:solidFill>
              <a:srgbClr val="0070C0"/>
            </a:solidFill>
            <a:ln>
              <a:solidFill>
                <a:schemeClr val="tx1"/>
              </a:solidFill>
            </a:ln>
          </c:spPr>
          <c:invertIfNegative val="0"/>
          <c:cat>
            <c:numRef>
              <c:f>'RRI po instrumentih 2008 - 2017'!$D$3:$M$3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instrumentih 2008 - 2017'!$D$4:$M$4</c:f>
              <c:numCache>
                <c:formatCode>#,##0.00</c:formatCode>
                <c:ptCount val="10"/>
                <c:pt idx="0">
                  <c:v>20293571.219999999</c:v>
                </c:pt>
                <c:pt idx="1">
                  <c:v>64071046.439999998</c:v>
                </c:pt>
                <c:pt idx="2">
                  <c:v>92700814.870000005</c:v>
                </c:pt>
                <c:pt idx="3">
                  <c:v>70811262.829999998</c:v>
                </c:pt>
                <c:pt idx="4">
                  <c:v>72628293.540000007</c:v>
                </c:pt>
                <c:pt idx="5">
                  <c:v>68630733.900000006</c:v>
                </c:pt>
                <c:pt idx="6">
                  <c:v>46288974.189999998</c:v>
                </c:pt>
                <c:pt idx="7">
                  <c:v>19702986.27</c:v>
                </c:pt>
                <c:pt idx="8">
                  <c:v>9756379.7599999998</c:v>
                </c:pt>
                <c:pt idx="9">
                  <c:v>34353778.640000001</c:v>
                </c:pt>
              </c:numCache>
            </c:numRef>
          </c:val>
        </c:ser>
        <c:ser>
          <c:idx val="1"/>
          <c:order val="1"/>
          <c:tx>
            <c:strRef>
              <c:f>'RRI po instrumentih 2008 - 2017'!$C$5</c:f>
              <c:strCache>
                <c:ptCount val="1"/>
                <c:pt idx="0">
                  <c:v>Davčne oprostitve, izjeme in olajšave</c:v>
                </c:pt>
              </c:strCache>
            </c:strRef>
          </c:tx>
          <c:spPr>
            <a:solidFill>
              <a:srgbClr val="00B050"/>
            </a:solidFill>
            <a:ln>
              <a:solidFill>
                <a:schemeClr val="tx1"/>
              </a:solidFill>
            </a:ln>
          </c:spPr>
          <c:invertIfNegative val="0"/>
          <c:cat>
            <c:numRef>
              <c:f>'RRI po instrumentih 2008 - 2017'!$D$3:$M$3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instrumentih 2008 - 2017'!$D$5:$M$5</c:f>
              <c:numCache>
                <c:formatCode>#,##0.00</c:formatCode>
                <c:ptCount val="10"/>
                <c:pt idx="0">
                  <c:v>1314589.43</c:v>
                </c:pt>
                <c:pt idx="1">
                  <c:v>3015936.03</c:v>
                </c:pt>
                <c:pt idx="2">
                  <c:v>2124119.86</c:v>
                </c:pt>
                <c:pt idx="3">
                  <c:v>2363735.19</c:v>
                </c:pt>
                <c:pt idx="4">
                  <c:v>2841219.77</c:v>
                </c:pt>
                <c:pt idx="5">
                  <c:v>557625.91</c:v>
                </c:pt>
                <c:pt idx="6">
                  <c:v>730233.43</c:v>
                </c:pt>
                <c:pt idx="7">
                  <c:v>290415.77</c:v>
                </c:pt>
                <c:pt idx="8">
                  <c:v>73636.37</c:v>
                </c:pt>
                <c:pt idx="9">
                  <c:v>48610.5</c:v>
                </c:pt>
              </c:numCache>
            </c:numRef>
          </c:val>
        </c:ser>
        <c:ser>
          <c:idx val="2"/>
          <c:order val="2"/>
          <c:tx>
            <c:strRef>
              <c:f>'RRI po instrumentih 2008 - 2017'!$C$6</c:f>
              <c:strCache>
                <c:ptCount val="1"/>
                <c:pt idx="0">
                  <c:v>Ugodna posojila</c:v>
                </c:pt>
              </c:strCache>
            </c:strRef>
          </c:tx>
          <c:spPr>
            <a:solidFill>
              <a:srgbClr val="FFC000"/>
            </a:solidFill>
            <a:ln>
              <a:solidFill>
                <a:schemeClr val="tx1"/>
              </a:solidFill>
            </a:ln>
          </c:spPr>
          <c:invertIfNegative val="0"/>
          <c:cat>
            <c:numRef>
              <c:f>'RRI po instrumentih 2008 - 2017'!$D$3:$M$3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'RRI po instrumentih 2008 - 2017'!$D$6:$M$6</c:f>
              <c:numCache>
                <c:formatCode>General</c:formatCode>
                <c:ptCount val="10"/>
                <c:pt idx="4" formatCode="#,##0.00">
                  <c:v>6960413.4000000004</c:v>
                </c:pt>
                <c:pt idx="5" formatCode="#,##0.00">
                  <c:v>1719420.49</c:v>
                </c:pt>
                <c:pt idx="6" formatCode="#,##0.00">
                  <c:v>8948.73</c:v>
                </c:pt>
                <c:pt idx="7" formatCode="#,##0.00">
                  <c:v>616243.13</c:v>
                </c:pt>
                <c:pt idx="8" formatCode="#,##0.00">
                  <c:v>816952.36</c:v>
                </c:pt>
              </c:numCache>
            </c:numRef>
          </c:val>
        </c:ser>
        <c:dLbls>
          <c:showLegendKey val="0"/>
          <c:showVal val="0"/>
          <c:showCatName val="0"/>
          <c:showSerName val="0"/>
          <c:showPercent val="0"/>
          <c:showBubbleSize val="0"/>
        </c:dLbls>
        <c:gapWidth val="150"/>
        <c:overlap val="100"/>
        <c:axId val="129422848"/>
        <c:axId val="129424384"/>
      </c:barChart>
      <c:catAx>
        <c:axId val="129422848"/>
        <c:scaling>
          <c:orientation val="minMax"/>
        </c:scaling>
        <c:delete val="0"/>
        <c:axPos val="b"/>
        <c:numFmt formatCode="General" sourceLinked="1"/>
        <c:majorTickMark val="out"/>
        <c:minorTickMark val="none"/>
        <c:tickLblPos val="nextTo"/>
        <c:txPr>
          <a:bodyPr/>
          <a:lstStyle/>
          <a:p>
            <a:pPr>
              <a:defRPr sz="950" baseline="0"/>
            </a:pPr>
            <a:endParaRPr lang="sl-SI"/>
          </a:p>
        </c:txPr>
        <c:crossAx val="129424384"/>
        <c:crosses val="autoZero"/>
        <c:auto val="1"/>
        <c:lblAlgn val="ctr"/>
        <c:lblOffset val="100"/>
        <c:noMultiLvlLbl val="0"/>
      </c:catAx>
      <c:valAx>
        <c:axId val="129424384"/>
        <c:scaling>
          <c:orientation val="minMax"/>
        </c:scaling>
        <c:delete val="0"/>
        <c:axPos val="l"/>
        <c:majorGridlines/>
        <c:numFmt formatCode="0%" sourceLinked="1"/>
        <c:majorTickMark val="out"/>
        <c:minorTickMark val="none"/>
        <c:tickLblPos val="nextTo"/>
        <c:txPr>
          <a:bodyPr/>
          <a:lstStyle/>
          <a:p>
            <a:pPr>
              <a:defRPr sz="950" baseline="0"/>
            </a:pPr>
            <a:endParaRPr lang="sl-SI"/>
          </a:p>
        </c:txPr>
        <c:crossAx val="129422848"/>
        <c:crosses val="autoZero"/>
        <c:crossBetween val="between"/>
        <c:dispUnits>
          <c:builtInUnit val="millions"/>
          <c:dispUnitsLbl>
            <c:tx>
              <c:rich>
                <a:bodyPr/>
                <a:lstStyle/>
                <a:p>
                  <a:pPr>
                    <a:defRPr/>
                  </a:pPr>
                  <a:r>
                    <a:rPr lang="en-US"/>
                    <a:t>v mio EUR</a:t>
                  </a:r>
                </a:p>
              </c:rich>
            </c:tx>
          </c:dispUnitsLbl>
        </c:dispUnits>
      </c:valAx>
    </c:plotArea>
    <c:legend>
      <c:legendPos val="r"/>
      <c:layout>
        <c:manualLayout>
          <c:xMode val="edge"/>
          <c:yMode val="edge"/>
          <c:x val="0.6953125"/>
          <c:y val="0.29051509186351698"/>
          <c:w val="0.2890625"/>
          <c:h val="0.41896981627296598"/>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696170426883199E-2"/>
          <c:y val="4.1884409971141699E-2"/>
          <c:w val="0.78867583261936802"/>
          <c:h val="0.53328828299447595"/>
        </c:manualLayout>
      </c:layout>
      <c:barChart>
        <c:barDir val="col"/>
        <c:grouping val="clustered"/>
        <c:varyColors val="0"/>
        <c:ser>
          <c:idx val="0"/>
          <c:order val="0"/>
          <c:tx>
            <c:v>2015</c:v>
          </c:tx>
          <c:spPr>
            <a:solidFill>
              <a:schemeClr val="accent2">
                <a:lumMod val="60000"/>
                <a:lumOff val="40000"/>
              </a:schemeClr>
            </a:solidFill>
          </c:spPr>
          <c:invertIfNegative val="0"/>
          <c:cat>
            <c:strRef>
              <c:f>('Kategorije - spremembe GRAF'!$B$4:$B$12;'Kategorije - spremembe GRAF'!$B$17)</c:f>
              <c:strCache>
                <c:ptCount val="10"/>
                <c:pt idx="0">
                  <c:v>Varstvo okolja</c:v>
                </c:pt>
                <c:pt idx="1">
                  <c:v>Zaposlovanje</c:v>
                </c:pt>
                <c:pt idx="2">
                  <c:v>Transport (kopenski)</c:v>
                </c:pt>
                <c:pt idx="3">
                  <c:v>Raziskave in razvoj ter inovacije</c:v>
                </c:pt>
                <c:pt idx="4">
                  <c:v>Regionalne pomoči</c:v>
                </c:pt>
                <c:pt idx="5">
                  <c:v>Premogovništvo</c:v>
                </c:pt>
                <c:pt idx="6">
                  <c:v>Kmetijstvo</c:v>
                </c:pt>
                <c:pt idx="7">
                  <c:v>Kultura</c:v>
                </c:pt>
                <c:pt idx="8">
                  <c:v>MSP in tvegani kapital</c:v>
                </c:pt>
                <c:pt idx="9">
                  <c:v>Reševanje in prestrukturiranje</c:v>
                </c:pt>
              </c:strCache>
            </c:strRef>
          </c:cat>
          <c:val>
            <c:numRef>
              <c:f>('Kategorije - spremembe GRAF'!$J$4:$J$12;'Kategorije - spremembe GRAF'!$J$17)</c:f>
              <c:numCache>
                <c:formatCode>#,##0.00</c:formatCode>
                <c:ptCount val="10"/>
                <c:pt idx="0">
                  <c:v>169.86</c:v>
                </c:pt>
                <c:pt idx="1">
                  <c:v>93.77</c:v>
                </c:pt>
                <c:pt idx="2">
                  <c:v>52.65</c:v>
                </c:pt>
                <c:pt idx="3">
                  <c:v>20.61</c:v>
                </c:pt>
                <c:pt idx="4">
                  <c:v>28.42</c:v>
                </c:pt>
                <c:pt idx="5">
                  <c:v>4.84</c:v>
                </c:pt>
                <c:pt idx="6">
                  <c:v>61.79</c:v>
                </c:pt>
                <c:pt idx="7">
                  <c:v>9.8800000000000008</c:v>
                </c:pt>
                <c:pt idx="8">
                  <c:v>5.72</c:v>
                </c:pt>
                <c:pt idx="9">
                  <c:v>102.94</c:v>
                </c:pt>
              </c:numCache>
            </c:numRef>
          </c:val>
        </c:ser>
        <c:ser>
          <c:idx val="1"/>
          <c:order val="1"/>
          <c:tx>
            <c:v>2016</c:v>
          </c:tx>
          <c:spPr>
            <a:solidFill>
              <a:srgbClr val="0070C0"/>
            </a:solidFill>
          </c:spPr>
          <c:invertIfNegative val="0"/>
          <c:cat>
            <c:strRef>
              <c:f>('Kategorije - spremembe GRAF'!$B$4:$B$12;'Kategorije - spremembe GRAF'!$B$17)</c:f>
              <c:strCache>
                <c:ptCount val="10"/>
                <c:pt idx="0">
                  <c:v>Varstvo okolja</c:v>
                </c:pt>
                <c:pt idx="1">
                  <c:v>Zaposlovanje</c:v>
                </c:pt>
                <c:pt idx="2">
                  <c:v>Transport (kopenski)</c:v>
                </c:pt>
                <c:pt idx="3">
                  <c:v>Raziskave in razvoj ter inovacije</c:v>
                </c:pt>
                <c:pt idx="4">
                  <c:v>Regionalne pomoči</c:v>
                </c:pt>
                <c:pt idx="5">
                  <c:v>Premogovništvo</c:v>
                </c:pt>
                <c:pt idx="6">
                  <c:v>Kmetijstvo</c:v>
                </c:pt>
                <c:pt idx="7">
                  <c:v>Kultura</c:v>
                </c:pt>
                <c:pt idx="8">
                  <c:v>MSP in tvegani kapital</c:v>
                </c:pt>
                <c:pt idx="9">
                  <c:v>Reševanje in prestrukturiranje</c:v>
                </c:pt>
              </c:strCache>
            </c:strRef>
          </c:cat>
          <c:val>
            <c:numRef>
              <c:f>('Kategorije - spremembe GRAF'!$K$4:$K$12;'Kategorije - spremembe GRAF'!$K$17)</c:f>
              <c:numCache>
                <c:formatCode>#,##0.00</c:formatCode>
                <c:ptCount val="10"/>
                <c:pt idx="0">
                  <c:v>176.56</c:v>
                </c:pt>
                <c:pt idx="1">
                  <c:v>89.81</c:v>
                </c:pt>
                <c:pt idx="2">
                  <c:v>43.1</c:v>
                </c:pt>
                <c:pt idx="3">
                  <c:v>10.65</c:v>
                </c:pt>
                <c:pt idx="4">
                  <c:v>21.96</c:v>
                </c:pt>
                <c:pt idx="5">
                  <c:v>12.47</c:v>
                </c:pt>
                <c:pt idx="6">
                  <c:v>5.53</c:v>
                </c:pt>
                <c:pt idx="7">
                  <c:v>10.31</c:v>
                </c:pt>
                <c:pt idx="8">
                  <c:v>2.77</c:v>
                </c:pt>
                <c:pt idx="9">
                  <c:v>1.3</c:v>
                </c:pt>
              </c:numCache>
            </c:numRef>
          </c:val>
        </c:ser>
        <c:ser>
          <c:idx val="2"/>
          <c:order val="2"/>
          <c:tx>
            <c:v>2017</c:v>
          </c:tx>
          <c:spPr>
            <a:solidFill>
              <a:srgbClr val="7030A0"/>
            </a:solidFill>
          </c:spPr>
          <c:invertIfNegative val="0"/>
          <c:cat>
            <c:strRef>
              <c:f>('Kategorije - spremembe GRAF'!$B$4:$B$12;'Kategorije - spremembe GRAF'!$B$17)</c:f>
              <c:strCache>
                <c:ptCount val="10"/>
                <c:pt idx="0">
                  <c:v>Varstvo okolja</c:v>
                </c:pt>
                <c:pt idx="1">
                  <c:v>Zaposlovanje</c:v>
                </c:pt>
                <c:pt idx="2">
                  <c:v>Transport (kopenski)</c:v>
                </c:pt>
                <c:pt idx="3">
                  <c:v>Raziskave in razvoj ter inovacije</c:v>
                </c:pt>
                <c:pt idx="4">
                  <c:v>Regionalne pomoči</c:v>
                </c:pt>
                <c:pt idx="5">
                  <c:v>Premogovništvo</c:v>
                </c:pt>
                <c:pt idx="6">
                  <c:v>Kmetijstvo</c:v>
                </c:pt>
                <c:pt idx="7">
                  <c:v>Kultura</c:v>
                </c:pt>
                <c:pt idx="8">
                  <c:v>MSP in tvegani kapital</c:v>
                </c:pt>
                <c:pt idx="9">
                  <c:v>Reševanje in prestrukturiranje</c:v>
                </c:pt>
              </c:strCache>
            </c:strRef>
          </c:cat>
          <c:val>
            <c:numRef>
              <c:f>('Kategorije - spremembe GRAF'!$L$4:$L$12;'Kategorije - spremembe GRAF'!$L$17)</c:f>
              <c:numCache>
                <c:formatCode>#,##0.00</c:formatCode>
                <c:ptCount val="10"/>
                <c:pt idx="0">
                  <c:v>182.56</c:v>
                </c:pt>
                <c:pt idx="1">
                  <c:v>98.47</c:v>
                </c:pt>
                <c:pt idx="2">
                  <c:v>45.66</c:v>
                </c:pt>
                <c:pt idx="3">
                  <c:v>34.4</c:v>
                </c:pt>
                <c:pt idx="4">
                  <c:v>20.97</c:v>
                </c:pt>
                <c:pt idx="5">
                  <c:v>15.75</c:v>
                </c:pt>
                <c:pt idx="6">
                  <c:v>13.94</c:v>
                </c:pt>
                <c:pt idx="7">
                  <c:v>10.34</c:v>
                </c:pt>
                <c:pt idx="8">
                  <c:v>3.73</c:v>
                </c:pt>
                <c:pt idx="9">
                  <c:v>0.05</c:v>
                </c:pt>
              </c:numCache>
            </c:numRef>
          </c:val>
        </c:ser>
        <c:dLbls>
          <c:showLegendKey val="0"/>
          <c:showVal val="0"/>
          <c:showCatName val="0"/>
          <c:showSerName val="0"/>
          <c:showPercent val="0"/>
          <c:showBubbleSize val="0"/>
        </c:dLbls>
        <c:gapWidth val="150"/>
        <c:axId val="36594048"/>
        <c:axId val="36595584"/>
      </c:barChart>
      <c:catAx>
        <c:axId val="36594048"/>
        <c:scaling>
          <c:orientation val="minMax"/>
        </c:scaling>
        <c:delete val="0"/>
        <c:axPos val="b"/>
        <c:majorTickMark val="out"/>
        <c:minorTickMark val="none"/>
        <c:tickLblPos val="nextTo"/>
        <c:txPr>
          <a:bodyPr/>
          <a:lstStyle/>
          <a:p>
            <a:pPr>
              <a:defRPr sz="900" baseline="0"/>
            </a:pPr>
            <a:endParaRPr lang="sl-SI"/>
          </a:p>
        </c:txPr>
        <c:crossAx val="36595584"/>
        <c:crosses val="autoZero"/>
        <c:auto val="1"/>
        <c:lblAlgn val="ctr"/>
        <c:lblOffset val="100"/>
        <c:noMultiLvlLbl val="0"/>
      </c:catAx>
      <c:valAx>
        <c:axId val="36595584"/>
        <c:scaling>
          <c:orientation val="minMax"/>
        </c:scaling>
        <c:delete val="0"/>
        <c:axPos val="l"/>
        <c:majorGridlines/>
        <c:numFmt formatCode="#,##0.00" sourceLinked="1"/>
        <c:majorTickMark val="out"/>
        <c:minorTickMark val="none"/>
        <c:tickLblPos val="nextTo"/>
        <c:crossAx val="36594048"/>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09906284598"/>
          <c:y val="4.2566066228022899E-2"/>
          <c:w val="0.56190931077514295"/>
          <c:h val="0.83201704239024898"/>
        </c:manualLayout>
      </c:layout>
      <c:barChart>
        <c:barDir val="col"/>
        <c:grouping val="clustered"/>
        <c:varyColors val="0"/>
        <c:ser>
          <c:idx val="0"/>
          <c:order val="0"/>
          <c:tx>
            <c:strRef>
              <c:f>'Kategorije za grafe'!$B$49</c:f>
              <c:strCache>
                <c:ptCount val="1"/>
                <c:pt idx="0">
                  <c:v>v mio EUR</c:v>
                </c:pt>
              </c:strCache>
            </c:strRef>
          </c:tx>
          <c:spPr>
            <a:solidFill>
              <a:schemeClr val="accent4"/>
            </a:solidFill>
          </c:spPr>
          <c:invertIfNegative val="0"/>
          <c:cat>
            <c:numRef>
              <c:f>'Kategorije za grafe'!$C$26:$L$26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za grafe'!$C$49:$L$49</c:f>
              <c:numCache>
                <c:formatCode>0.00</c:formatCode>
                <c:ptCount val="10"/>
                <c:pt idx="0">
                  <c:v>79.55</c:v>
                </c:pt>
                <c:pt idx="1">
                  <c:v>92.84</c:v>
                </c:pt>
                <c:pt idx="2">
                  <c:v>82.5</c:v>
                </c:pt>
                <c:pt idx="3">
                  <c:v>127.35</c:v>
                </c:pt>
                <c:pt idx="4">
                  <c:v>91.09</c:v>
                </c:pt>
                <c:pt idx="5">
                  <c:v>47.56</c:v>
                </c:pt>
                <c:pt idx="6">
                  <c:v>66.819999999999993</c:v>
                </c:pt>
                <c:pt idx="7">
                  <c:v>28.42</c:v>
                </c:pt>
                <c:pt idx="8">
                  <c:v>21.96</c:v>
                </c:pt>
                <c:pt idx="9">
                  <c:v>20.97</c:v>
                </c:pt>
              </c:numCache>
            </c:numRef>
          </c:val>
        </c:ser>
        <c:dLbls>
          <c:showLegendKey val="0"/>
          <c:showVal val="0"/>
          <c:showCatName val="0"/>
          <c:showSerName val="0"/>
          <c:showPercent val="0"/>
          <c:showBubbleSize val="0"/>
        </c:dLbls>
        <c:gapWidth val="150"/>
        <c:axId val="129508096"/>
        <c:axId val="129509632"/>
      </c:barChart>
      <c:lineChart>
        <c:grouping val="standard"/>
        <c:varyColors val="0"/>
        <c:ser>
          <c:idx val="1"/>
          <c:order val="1"/>
          <c:tx>
            <c:strRef>
              <c:f>'Kategorije za grafe'!$B$50</c:f>
              <c:strCache>
                <c:ptCount val="1"/>
                <c:pt idx="0">
                  <c:v>v % vseh pomoči</c:v>
                </c:pt>
              </c:strCache>
            </c:strRef>
          </c:tx>
          <c:spPr>
            <a:ln>
              <a:prstDash val="sysDash"/>
            </a:ln>
          </c:spPr>
          <c:marker>
            <c:symbol val="none"/>
          </c:marker>
          <c:val>
            <c:numRef>
              <c:f>'Kategorije za grafe'!$C$50:$L$50</c:f>
              <c:numCache>
                <c:formatCode>0.0%</c:formatCode>
                <c:ptCount val="10"/>
                <c:pt idx="0">
                  <c:v>0.24538079521268399</c:v>
                </c:pt>
                <c:pt idx="1">
                  <c:v>0.21276985836732801</c:v>
                </c:pt>
                <c:pt idx="2">
                  <c:v>0.19560887708649499</c:v>
                </c:pt>
                <c:pt idx="3">
                  <c:v>0.242465205719399</c:v>
                </c:pt>
                <c:pt idx="4">
                  <c:v>0.16790783410138299</c:v>
                </c:pt>
                <c:pt idx="5">
                  <c:v>8.2009897746279703E-2</c:v>
                </c:pt>
                <c:pt idx="6">
                  <c:v>0.12303669741663401</c:v>
                </c:pt>
                <c:pt idx="7">
                  <c:v>5.1362683438155102E-2</c:v>
                </c:pt>
                <c:pt idx="8">
                  <c:v>5.8555315574753998E-2</c:v>
                </c:pt>
                <c:pt idx="9">
                  <c:v>4.9089376843485202E-2</c:v>
                </c:pt>
              </c:numCache>
            </c:numRef>
          </c:val>
          <c:smooth val="0"/>
        </c:ser>
        <c:dLbls>
          <c:showLegendKey val="0"/>
          <c:showVal val="0"/>
          <c:showCatName val="0"/>
          <c:showSerName val="0"/>
          <c:showPercent val="0"/>
          <c:showBubbleSize val="0"/>
        </c:dLbls>
        <c:marker val="1"/>
        <c:smooth val="0"/>
        <c:axId val="129525632"/>
        <c:axId val="129524096"/>
      </c:lineChart>
      <c:catAx>
        <c:axId val="129508096"/>
        <c:scaling>
          <c:orientation val="minMax"/>
        </c:scaling>
        <c:delete val="0"/>
        <c:axPos val="b"/>
        <c:numFmt formatCode="General" sourceLinked="1"/>
        <c:majorTickMark val="out"/>
        <c:minorTickMark val="none"/>
        <c:tickLblPos val="nextTo"/>
        <c:txPr>
          <a:bodyPr/>
          <a:lstStyle/>
          <a:p>
            <a:pPr>
              <a:defRPr sz="950" baseline="0"/>
            </a:pPr>
            <a:endParaRPr lang="sl-SI"/>
          </a:p>
        </c:txPr>
        <c:crossAx val="129509632"/>
        <c:crosses val="autoZero"/>
        <c:auto val="1"/>
        <c:lblAlgn val="ctr"/>
        <c:lblOffset val="100"/>
        <c:noMultiLvlLbl val="0"/>
      </c:catAx>
      <c:valAx>
        <c:axId val="129509632"/>
        <c:scaling>
          <c:orientation val="minMax"/>
        </c:scaling>
        <c:delete val="0"/>
        <c:axPos val="l"/>
        <c:majorGridlines/>
        <c:title>
          <c:tx>
            <c:rich>
              <a:bodyPr rot="-5400000" vert="horz"/>
              <a:lstStyle/>
              <a:p>
                <a:pPr>
                  <a:defRPr/>
                </a:pPr>
                <a:r>
                  <a:rPr lang="sl-SI"/>
                  <a:t>v mio EUR</a:t>
                </a:r>
              </a:p>
              <a:p>
                <a:pPr>
                  <a:defRPr/>
                </a:pPr>
                <a:endParaRPr lang="sl-SI"/>
              </a:p>
            </c:rich>
          </c:tx>
          <c:overlay val="0"/>
        </c:title>
        <c:numFmt formatCode="0.00" sourceLinked="1"/>
        <c:majorTickMark val="out"/>
        <c:minorTickMark val="none"/>
        <c:tickLblPos val="nextTo"/>
        <c:txPr>
          <a:bodyPr/>
          <a:lstStyle/>
          <a:p>
            <a:pPr>
              <a:defRPr sz="950" baseline="0"/>
            </a:pPr>
            <a:endParaRPr lang="sl-SI"/>
          </a:p>
        </c:txPr>
        <c:crossAx val="129508096"/>
        <c:crosses val="autoZero"/>
        <c:crossBetween val="between"/>
      </c:valAx>
      <c:valAx>
        <c:axId val="129524096"/>
        <c:scaling>
          <c:orientation val="minMax"/>
        </c:scaling>
        <c:delete val="0"/>
        <c:axPos val="r"/>
        <c:numFmt formatCode="0.0%" sourceLinked="1"/>
        <c:majorTickMark val="out"/>
        <c:minorTickMark val="none"/>
        <c:tickLblPos val="nextTo"/>
        <c:txPr>
          <a:bodyPr/>
          <a:lstStyle/>
          <a:p>
            <a:pPr>
              <a:defRPr sz="950" baseline="0"/>
            </a:pPr>
            <a:endParaRPr lang="sl-SI"/>
          </a:p>
        </c:txPr>
        <c:crossAx val="129525632"/>
        <c:crosses val="max"/>
        <c:crossBetween val="between"/>
      </c:valAx>
      <c:catAx>
        <c:axId val="129525632"/>
        <c:scaling>
          <c:orientation val="minMax"/>
        </c:scaling>
        <c:delete val="1"/>
        <c:axPos val="b"/>
        <c:majorTickMark val="out"/>
        <c:minorTickMark val="none"/>
        <c:tickLblPos val="nextTo"/>
        <c:crossAx val="129524096"/>
        <c:crosses val="autoZero"/>
        <c:auto val="1"/>
        <c:lblAlgn val="ctr"/>
        <c:lblOffset val="100"/>
        <c:noMultiLvlLbl val="0"/>
      </c:catAx>
    </c:plotArea>
    <c:legend>
      <c:legendPos val="r"/>
      <c:layout>
        <c:manualLayout>
          <c:xMode val="edge"/>
          <c:yMode val="edge"/>
          <c:x val="0.73655251368473695"/>
          <c:y val="0.29040951471024301"/>
          <c:w val="0.24819181087637501"/>
          <c:h val="0.29365795802721301"/>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27596550431201"/>
          <c:y val="5.7327315792843003E-2"/>
          <c:w val="0.448200224971879"/>
          <c:h val="0.84083669419371398"/>
        </c:manualLayout>
      </c:layout>
      <c:barChart>
        <c:barDir val="col"/>
        <c:grouping val="stacked"/>
        <c:varyColors val="0"/>
        <c:ser>
          <c:idx val="0"/>
          <c:order val="0"/>
          <c:tx>
            <c:strRef>
              <c:f>'Regionalne pomoči_sheme 2008-20'!$C$69</c:f>
              <c:strCache>
                <c:ptCount val="1"/>
                <c:pt idx="0">
                  <c:v>Spudbujanje podjetništva in konkurenčnosti 2007-2013</c:v>
                </c:pt>
              </c:strCache>
            </c:strRef>
          </c:tx>
          <c:spPr>
            <a:solidFill>
              <a:srgbClr val="FFC000"/>
            </a:solidFill>
          </c:spPr>
          <c:invertIfNegative val="0"/>
          <c:cat>
            <c:numRef>
              <c:f>'Regionalne pomoči_sheme 2008-20'!$L$68:$N$68</c:f>
              <c:numCache>
                <c:formatCode>General</c:formatCode>
                <c:ptCount val="3"/>
                <c:pt idx="0">
                  <c:v>2015</c:v>
                </c:pt>
                <c:pt idx="1">
                  <c:v>2016</c:v>
                </c:pt>
                <c:pt idx="2">
                  <c:v>2017</c:v>
                </c:pt>
              </c:numCache>
            </c:numRef>
          </c:cat>
          <c:val>
            <c:numRef>
              <c:f>'Regionalne pomoči_sheme 2008-20'!$L$69:$N$69</c:f>
              <c:numCache>
                <c:formatCode>#,##0.00</c:formatCode>
                <c:ptCount val="3"/>
                <c:pt idx="0">
                  <c:v>5.7957631699999999</c:v>
                </c:pt>
                <c:pt idx="1">
                  <c:v>0</c:v>
                </c:pt>
                <c:pt idx="2">
                  <c:v>0</c:v>
                </c:pt>
              </c:numCache>
            </c:numRef>
          </c:val>
        </c:ser>
        <c:ser>
          <c:idx val="1"/>
          <c:order val="1"/>
          <c:tx>
            <c:strRef>
              <c:f>'Regionalne pomoči_sheme 2008-20'!$C$70</c:f>
              <c:strCache>
                <c:ptCount val="1"/>
                <c:pt idx="0">
                  <c:v>Spodbujanje razvoja turističnih zmogljivosti</c:v>
                </c:pt>
              </c:strCache>
            </c:strRef>
          </c:tx>
          <c:invertIfNegative val="0"/>
          <c:cat>
            <c:numRef>
              <c:f>'Regionalne pomoči_sheme 2008-20'!$L$68:$N$68</c:f>
              <c:numCache>
                <c:formatCode>General</c:formatCode>
                <c:ptCount val="3"/>
                <c:pt idx="0">
                  <c:v>2015</c:v>
                </c:pt>
                <c:pt idx="1">
                  <c:v>2016</c:v>
                </c:pt>
                <c:pt idx="2">
                  <c:v>2017</c:v>
                </c:pt>
              </c:numCache>
            </c:numRef>
          </c:cat>
          <c:val>
            <c:numRef>
              <c:f>'Regionalne pomoči_sheme 2008-20'!$L$70:$N$70</c:f>
              <c:numCache>
                <c:formatCode>#,##0.00</c:formatCode>
                <c:ptCount val="3"/>
                <c:pt idx="0">
                  <c:v>0</c:v>
                </c:pt>
                <c:pt idx="1">
                  <c:v>0</c:v>
                </c:pt>
                <c:pt idx="2">
                  <c:v>0</c:v>
                </c:pt>
              </c:numCache>
            </c:numRef>
          </c:val>
        </c:ser>
        <c:ser>
          <c:idx val="2"/>
          <c:order val="2"/>
          <c:tx>
            <c:strRef>
              <c:f>'Regionalne pomoči_sheme 2008-20'!$C$71</c:f>
              <c:strCache>
                <c:ptCount val="1"/>
                <c:pt idx="0">
                  <c:v>Spodbude za tuje neposredne investicije</c:v>
                </c:pt>
              </c:strCache>
            </c:strRef>
          </c:tx>
          <c:spPr>
            <a:solidFill>
              <a:schemeClr val="accent3">
                <a:lumMod val="75000"/>
              </a:schemeClr>
            </a:solidFill>
          </c:spPr>
          <c:invertIfNegative val="0"/>
          <c:cat>
            <c:numRef>
              <c:f>'Regionalne pomoči_sheme 2008-20'!$L$68:$N$68</c:f>
              <c:numCache>
                <c:formatCode>General</c:formatCode>
                <c:ptCount val="3"/>
                <c:pt idx="0">
                  <c:v>2015</c:v>
                </c:pt>
                <c:pt idx="1">
                  <c:v>2016</c:v>
                </c:pt>
                <c:pt idx="2">
                  <c:v>2017</c:v>
                </c:pt>
              </c:numCache>
            </c:numRef>
          </c:cat>
          <c:val>
            <c:numRef>
              <c:f>'Regionalne pomoči_sheme 2008-20'!$L$71:$N$71</c:f>
              <c:numCache>
                <c:formatCode>#,##0.00</c:formatCode>
                <c:ptCount val="3"/>
                <c:pt idx="0">
                  <c:v>10.299184</c:v>
                </c:pt>
                <c:pt idx="1">
                  <c:v>10.438552</c:v>
                </c:pt>
                <c:pt idx="2">
                  <c:v>6.7454799999999997</c:v>
                </c:pt>
              </c:numCache>
            </c:numRef>
          </c:val>
        </c:ser>
        <c:ser>
          <c:idx val="3"/>
          <c:order val="3"/>
          <c:tx>
            <c:strRef>
              <c:f>'Regionalne pomoči_sheme 2008-20'!$C$72</c:f>
              <c:strCache>
                <c:ptCount val="1"/>
                <c:pt idx="0">
                  <c:v>Regionalna shema državnih pomoči, vključno pomoč Pomurski regiji</c:v>
                </c:pt>
              </c:strCache>
            </c:strRef>
          </c:tx>
          <c:spPr>
            <a:solidFill>
              <a:schemeClr val="accent6">
                <a:lumMod val="75000"/>
              </a:schemeClr>
            </a:solidFill>
          </c:spPr>
          <c:invertIfNegative val="0"/>
          <c:cat>
            <c:numRef>
              <c:f>'Regionalne pomoči_sheme 2008-20'!$L$68:$N$68</c:f>
              <c:numCache>
                <c:formatCode>General</c:formatCode>
                <c:ptCount val="3"/>
                <c:pt idx="0">
                  <c:v>2015</c:v>
                </c:pt>
                <c:pt idx="1">
                  <c:v>2016</c:v>
                </c:pt>
                <c:pt idx="2">
                  <c:v>2017</c:v>
                </c:pt>
              </c:numCache>
            </c:numRef>
          </c:cat>
          <c:val>
            <c:numRef>
              <c:f>'Regionalne pomoči_sheme 2008-20'!$L$72:$N$72</c:f>
              <c:numCache>
                <c:formatCode>#,##0.00</c:formatCode>
                <c:ptCount val="3"/>
                <c:pt idx="0">
                  <c:v>9.8201426000000023</c:v>
                </c:pt>
                <c:pt idx="1">
                  <c:v>10.760606709999999</c:v>
                </c:pt>
                <c:pt idx="2">
                  <c:v>14.14749233</c:v>
                </c:pt>
              </c:numCache>
            </c:numRef>
          </c:val>
        </c:ser>
        <c:ser>
          <c:idx val="4"/>
          <c:order val="4"/>
          <c:tx>
            <c:strRef>
              <c:f>'Regionalne pomoči_sheme 2008-20'!$C$73</c:f>
              <c:strCache>
                <c:ptCount val="1"/>
                <c:pt idx="0">
                  <c:v>Spodbujanje učinkovite rabe energije in rabe obnovljivih virov</c:v>
                </c:pt>
              </c:strCache>
            </c:strRef>
          </c:tx>
          <c:spPr>
            <a:solidFill>
              <a:srgbClr val="0070C0"/>
            </a:solidFill>
          </c:spPr>
          <c:invertIfNegative val="0"/>
          <c:cat>
            <c:numRef>
              <c:f>'Regionalne pomoči_sheme 2008-20'!$L$68:$N$68</c:f>
              <c:numCache>
                <c:formatCode>General</c:formatCode>
                <c:ptCount val="3"/>
                <c:pt idx="0">
                  <c:v>2015</c:v>
                </c:pt>
                <c:pt idx="1">
                  <c:v>2016</c:v>
                </c:pt>
                <c:pt idx="2">
                  <c:v>2017</c:v>
                </c:pt>
              </c:numCache>
            </c:numRef>
          </c:cat>
          <c:val>
            <c:numRef>
              <c:f>'Regionalne pomoči_sheme 2008-20'!$L$73:$N$73</c:f>
              <c:numCache>
                <c:formatCode>#,##0.00</c:formatCode>
                <c:ptCount val="3"/>
                <c:pt idx="0">
                  <c:v>1.14186075</c:v>
                </c:pt>
                <c:pt idx="1">
                  <c:v>0.13820014</c:v>
                </c:pt>
                <c:pt idx="2">
                  <c:v>0</c:v>
                </c:pt>
              </c:numCache>
            </c:numRef>
          </c:val>
        </c:ser>
        <c:ser>
          <c:idx val="5"/>
          <c:order val="5"/>
          <c:tx>
            <c:strRef>
              <c:f>'Regionalne pomoči_sheme 2008-20'!$C$74</c:f>
              <c:strCache>
                <c:ptCount val="1"/>
                <c:pt idx="0">
                  <c:v>Program SID banke za tehnološko-razvojne projekte</c:v>
                </c:pt>
              </c:strCache>
            </c:strRef>
          </c:tx>
          <c:spPr>
            <a:solidFill>
              <a:srgbClr val="FF0000"/>
            </a:solidFill>
          </c:spPr>
          <c:invertIfNegative val="0"/>
          <c:cat>
            <c:numRef>
              <c:f>'Regionalne pomoči_sheme 2008-20'!$L$68:$N$68</c:f>
              <c:numCache>
                <c:formatCode>General</c:formatCode>
                <c:ptCount val="3"/>
                <c:pt idx="0">
                  <c:v>2015</c:v>
                </c:pt>
                <c:pt idx="1">
                  <c:v>2016</c:v>
                </c:pt>
                <c:pt idx="2">
                  <c:v>2017</c:v>
                </c:pt>
              </c:numCache>
            </c:numRef>
          </c:cat>
          <c:val>
            <c:numRef>
              <c:f>'Regionalne pomoči_sheme 2008-20'!$L$74:$N$74</c:f>
              <c:numCache>
                <c:formatCode>#,##0.00</c:formatCode>
                <c:ptCount val="3"/>
                <c:pt idx="0">
                  <c:v>1.3647358199999999</c:v>
                </c:pt>
                <c:pt idx="1">
                  <c:v>0.59081660000000003</c:v>
                </c:pt>
                <c:pt idx="2">
                  <c:v>4.1081819999999998E-2</c:v>
                </c:pt>
              </c:numCache>
            </c:numRef>
          </c:val>
        </c:ser>
        <c:dLbls>
          <c:showLegendKey val="0"/>
          <c:showVal val="0"/>
          <c:showCatName val="0"/>
          <c:showSerName val="0"/>
          <c:showPercent val="0"/>
          <c:showBubbleSize val="0"/>
        </c:dLbls>
        <c:gapWidth val="150"/>
        <c:overlap val="100"/>
        <c:axId val="129562496"/>
        <c:axId val="129564032"/>
      </c:barChart>
      <c:catAx>
        <c:axId val="129562496"/>
        <c:scaling>
          <c:orientation val="minMax"/>
        </c:scaling>
        <c:delete val="0"/>
        <c:axPos val="b"/>
        <c:numFmt formatCode="General" sourceLinked="1"/>
        <c:majorTickMark val="out"/>
        <c:minorTickMark val="none"/>
        <c:tickLblPos val="nextTo"/>
        <c:crossAx val="129564032"/>
        <c:crosses val="autoZero"/>
        <c:auto val="1"/>
        <c:lblAlgn val="ctr"/>
        <c:lblOffset val="100"/>
        <c:noMultiLvlLbl val="0"/>
      </c:catAx>
      <c:valAx>
        <c:axId val="129564032"/>
        <c:scaling>
          <c:orientation val="minMax"/>
        </c:scaling>
        <c:delete val="0"/>
        <c:axPos val="l"/>
        <c:majorGridlines/>
        <c:title>
          <c:tx>
            <c:rich>
              <a:bodyPr rot="-5400000" vert="horz"/>
              <a:lstStyle/>
              <a:p>
                <a:pPr>
                  <a:defRPr/>
                </a:pPr>
                <a:r>
                  <a:rPr lang="en-US"/>
                  <a:t>v mio EUR</a:t>
                </a:r>
              </a:p>
            </c:rich>
          </c:tx>
          <c:overlay val="0"/>
        </c:title>
        <c:numFmt formatCode="#,##0.00" sourceLinked="1"/>
        <c:majorTickMark val="out"/>
        <c:minorTickMark val="none"/>
        <c:tickLblPos val="nextTo"/>
        <c:crossAx val="129562496"/>
        <c:crosses val="autoZero"/>
        <c:crossBetween val="between"/>
      </c:valAx>
    </c:plotArea>
    <c:legend>
      <c:legendPos val="r"/>
      <c:legendEntry>
        <c:idx val="4"/>
        <c:delete val="1"/>
      </c:legendEntry>
      <c:layout>
        <c:manualLayout>
          <c:xMode val="edge"/>
          <c:yMode val="edge"/>
          <c:x val="0.67324390701162395"/>
          <c:y val="5.9423852506241603E-2"/>
          <c:w val="0.31624915635545597"/>
          <c:h val="0.86895685295435598"/>
        </c:manualLayout>
      </c:layout>
      <c:overlay val="0"/>
      <c:txPr>
        <a:bodyPr/>
        <a:lstStyle/>
        <a:p>
          <a:pPr>
            <a:defRPr sz="920" baseline="0"/>
          </a:pPr>
          <a:endParaRPr lang="sl-SI"/>
        </a:p>
      </c:txPr>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45772101932601"/>
          <c:y val="5.5187048267393402E-2"/>
          <c:w val="0.51437678581814095"/>
          <c:h val="0.83046940328817798"/>
        </c:manualLayout>
      </c:layout>
      <c:barChart>
        <c:barDir val="col"/>
        <c:grouping val="percentStacked"/>
        <c:varyColors val="0"/>
        <c:ser>
          <c:idx val="0"/>
          <c:order val="0"/>
          <c:tx>
            <c:strRef>
              <c:f>'Regionalne instrumenti'!$A$3</c:f>
              <c:strCache>
                <c:ptCount val="1"/>
                <c:pt idx="0">
                  <c:v>Subvencije, Sub. obr. mere</c:v>
                </c:pt>
              </c:strCache>
            </c:strRef>
          </c:tx>
          <c:spPr>
            <a:solidFill>
              <a:srgbClr val="0070C0"/>
            </a:solidFill>
            <a:ln>
              <a:solidFill>
                <a:sysClr val="windowText" lastClr="000000"/>
              </a:solidFill>
            </a:ln>
          </c:spPr>
          <c:invertIfNegative val="0"/>
          <c:cat>
            <c:numRef>
              <c:f>'Regionalne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'Regionalne instrumenti'!$B$3:$K$3</c:f>
              <c:numCache>
                <c:formatCode>#,##0.00</c:formatCode>
                <c:ptCount val="10"/>
                <c:pt idx="0">
                  <c:v>76413755.109999999</c:v>
                </c:pt>
                <c:pt idx="1">
                  <c:v>88590305.709999993</c:v>
                </c:pt>
                <c:pt idx="2">
                  <c:v>81918363.189999998</c:v>
                </c:pt>
                <c:pt idx="3">
                  <c:v>125167226.44</c:v>
                </c:pt>
                <c:pt idx="4">
                  <c:v>81127304.420000002</c:v>
                </c:pt>
                <c:pt idx="5">
                  <c:v>45252027.259999998</c:v>
                </c:pt>
                <c:pt idx="6">
                  <c:v>63982948.719999999</c:v>
                </c:pt>
                <c:pt idx="7">
                  <c:v>23540499.52</c:v>
                </c:pt>
                <c:pt idx="8">
                  <c:v>17566391.780000001</c:v>
                </c:pt>
                <c:pt idx="9">
                  <c:v>17179124.629999999</c:v>
                </c:pt>
              </c:numCache>
            </c:numRef>
          </c:val>
        </c:ser>
        <c:ser>
          <c:idx val="1"/>
          <c:order val="1"/>
          <c:tx>
            <c:strRef>
              <c:f>'Regionalne instrumenti'!$A$4</c:f>
              <c:strCache>
                <c:ptCount val="1"/>
                <c:pt idx="0">
                  <c:v>Davčne oprostitve, izjeme in olajšave</c:v>
                </c:pt>
              </c:strCache>
            </c:strRef>
          </c:tx>
          <c:spPr>
            <a:solidFill>
              <a:srgbClr val="00B050"/>
            </a:solidFill>
            <a:ln>
              <a:solidFill>
                <a:sysClr val="windowText" lastClr="000000"/>
              </a:solidFill>
            </a:ln>
          </c:spPr>
          <c:invertIfNegative val="0"/>
          <c:cat>
            <c:numRef>
              <c:f>'Regionalne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'Regionalne instrumenti'!$B$4:$K$4</c:f>
              <c:numCache>
                <c:formatCode>#,##0.00</c:formatCode>
                <c:ptCount val="10"/>
                <c:pt idx="0">
                  <c:v>2977245.91</c:v>
                </c:pt>
                <c:pt idx="1">
                  <c:v>4253255.91</c:v>
                </c:pt>
                <c:pt idx="3">
                  <c:v>1948466.27</c:v>
                </c:pt>
                <c:pt idx="4">
                  <c:v>1811997.41</c:v>
                </c:pt>
                <c:pt idx="5">
                  <c:v>2047567.65</c:v>
                </c:pt>
                <c:pt idx="6">
                  <c:v>2630936.67</c:v>
                </c:pt>
                <c:pt idx="7">
                  <c:v>3505912.91</c:v>
                </c:pt>
                <c:pt idx="8">
                  <c:v>3770404</c:v>
                </c:pt>
                <c:pt idx="9">
                  <c:v>3412195.08</c:v>
                </c:pt>
              </c:numCache>
            </c:numRef>
          </c:val>
        </c:ser>
        <c:ser>
          <c:idx val="2"/>
          <c:order val="2"/>
          <c:tx>
            <c:strRef>
              <c:f>'Regionalne instrumenti'!$A$5</c:f>
              <c:strCache>
                <c:ptCount val="1"/>
                <c:pt idx="0">
                  <c:v>Ugodna posojila</c:v>
                </c:pt>
              </c:strCache>
            </c:strRef>
          </c:tx>
          <c:spPr>
            <a:solidFill>
              <a:srgbClr val="FFFF00"/>
            </a:solidFill>
            <a:ln>
              <a:solidFill>
                <a:sysClr val="windowText" lastClr="000000"/>
              </a:solidFill>
            </a:ln>
          </c:spPr>
          <c:invertIfNegative val="0"/>
          <c:cat>
            <c:numRef>
              <c:f>'Regionalne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'Regionalne instrumenti'!$B$5:$K$5</c:f>
              <c:numCache>
                <c:formatCode>General</c:formatCode>
                <c:ptCount val="10"/>
                <c:pt idx="0" formatCode="#,##0.00">
                  <c:v>156928.81</c:v>
                </c:pt>
                <c:pt idx="2" formatCode="#,##0.00">
                  <c:v>579299.64</c:v>
                </c:pt>
                <c:pt idx="3" formatCode="#,##0.00">
                  <c:v>220297.4</c:v>
                </c:pt>
                <c:pt idx="4" formatCode="#,##0.00">
                  <c:v>8095950.2300000004</c:v>
                </c:pt>
                <c:pt idx="5" formatCode="#,##0.00">
                  <c:v>255752.85</c:v>
                </c:pt>
                <c:pt idx="6" formatCode="#,##0.00">
                  <c:v>203854.87</c:v>
                </c:pt>
                <c:pt idx="7" formatCode="#,##0.00">
                  <c:v>1375273.91</c:v>
                </c:pt>
                <c:pt idx="8" formatCode="#,##0.00">
                  <c:v>590816.6</c:v>
                </c:pt>
                <c:pt idx="9" formatCode="#,##0.00">
                  <c:v>342734.44</c:v>
                </c:pt>
              </c:numCache>
            </c:numRef>
          </c:val>
        </c:ser>
        <c:ser>
          <c:idx val="3"/>
          <c:order val="3"/>
          <c:tx>
            <c:strRef>
              <c:f>'Regionalne instrumenti'!$A$6</c:f>
              <c:strCache>
                <c:ptCount val="1"/>
                <c:pt idx="0">
                  <c:v>Garancije</c:v>
                </c:pt>
              </c:strCache>
            </c:strRef>
          </c:tx>
          <c:spPr>
            <a:solidFill>
              <a:srgbClr val="C00000"/>
            </a:solidFill>
          </c:spPr>
          <c:invertIfNegative val="0"/>
          <c:cat>
            <c:numRef>
              <c:f>'Regionalne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'Regionalne instrumenti'!$B$6:$K$6</c:f>
              <c:numCache>
                <c:formatCode>General</c:formatCode>
                <c:ptCount val="10"/>
                <c:pt idx="2" formatCode="#,##0.00">
                  <c:v>5285</c:v>
                </c:pt>
                <c:pt idx="3" formatCode="#,##0.00">
                  <c:v>9359</c:v>
                </c:pt>
                <c:pt idx="4" formatCode="#,##0.00">
                  <c:v>53520</c:v>
                </c:pt>
                <c:pt idx="7" formatCode="#,##0.00">
                  <c:v>2608</c:v>
                </c:pt>
                <c:pt idx="8" formatCode="#,##0.00">
                  <c:v>31251.01</c:v>
                </c:pt>
                <c:pt idx="9" formatCode="#,##0.00">
                  <c:v>33644</c:v>
                </c:pt>
              </c:numCache>
            </c:numRef>
          </c:val>
        </c:ser>
        <c:dLbls>
          <c:showLegendKey val="0"/>
          <c:showVal val="0"/>
          <c:showCatName val="0"/>
          <c:showSerName val="0"/>
          <c:showPercent val="0"/>
          <c:showBubbleSize val="0"/>
        </c:dLbls>
        <c:gapWidth val="150"/>
        <c:overlap val="100"/>
        <c:axId val="87574784"/>
        <c:axId val="87592960"/>
      </c:barChart>
      <c:catAx>
        <c:axId val="87574784"/>
        <c:scaling>
          <c:orientation val="minMax"/>
        </c:scaling>
        <c:delete val="0"/>
        <c:axPos val="b"/>
        <c:numFmt formatCode="General" sourceLinked="1"/>
        <c:majorTickMark val="out"/>
        <c:minorTickMark val="none"/>
        <c:tickLblPos val="nextTo"/>
        <c:txPr>
          <a:bodyPr/>
          <a:lstStyle/>
          <a:p>
            <a:pPr>
              <a:defRPr sz="950" baseline="0"/>
            </a:pPr>
            <a:endParaRPr lang="sl-SI"/>
          </a:p>
        </c:txPr>
        <c:crossAx val="87592960"/>
        <c:crosses val="autoZero"/>
        <c:auto val="1"/>
        <c:lblAlgn val="ctr"/>
        <c:lblOffset val="100"/>
        <c:noMultiLvlLbl val="0"/>
      </c:catAx>
      <c:valAx>
        <c:axId val="87592960"/>
        <c:scaling>
          <c:orientation val="minMax"/>
        </c:scaling>
        <c:delete val="0"/>
        <c:axPos val="l"/>
        <c:majorGridlines/>
        <c:title>
          <c:tx>
            <c:rich>
              <a:bodyPr rot="-5400000" vert="horz"/>
              <a:lstStyle/>
              <a:p>
                <a:pPr>
                  <a:defRPr/>
                </a:pPr>
                <a:r>
                  <a:rPr lang="en-US"/>
                  <a:t>v mio EUR</a:t>
                </a:r>
              </a:p>
            </c:rich>
          </c:tx>
          <c:overlay val="0"/>
        </c:title>
        <c:numFmt formatCode="0%" sourceLinked="1"/>
        <c:majorTickMark val="out"/>
        <c:minorTickMark val="none"/>
        <c:tickLblPos val="nextTo"/>
        <c:txPr>
          <a:bodyPr/>
          <a:lstStyle/>
          <a:p>
            <a:pPr>
              <a:defRPr sz="950" baseline="0"/>
            </a:pPr>
            <a:endParaRPr lang="sl-SI"/>
          </a:p>
        </c:txPr>
        <c:crossAx val="87574784"/>
        <c:crosses val="autoZero"/>
        <c:crossBetween val="between"/>
        <c:dispUnits>
          <c:builtInUnit val="millions"/>
        </c:dispUnits>
      </c:valAx>
    </c:plotArea>
    <c:legend>
      <c:legendPos val="r"/>
      <c:layout>
        <c:manualLayout>
          <c:xMode val="edge"/>
          <c:yMode val="edge"/>
          <c:x val="0.70219166671357003"/>
          <c:y val="7.1203014447641405E-2"/>
          <c:w val="0.29780833328643103"/>
          <c:h val="0.81334623484158097"/>
        </c:manualLayout>
      </c:layout>
      <c:overlay val="0"/>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169777388938"/>
          <c:y val="3.1513609545324943E-2"/>
          <c:w val="0.50351591619079317"/>
          <c:h val="0.86766974462454027"/>
        </c:manualLayout>
      </c:layout>
      <c:barChart>
        <c:barDir val="col"/>
        <c:grouping val="stacked"/>
        <c:varyColors val="0"/>
        <c:ser>
          <c:idx val="0"/>
          <c:order val="0"/>
          <c:tx>
            <c:strRef>
              <c:f>'MSP nameni GRAF'!$B$16</c:f>
              <c:strCache>
                <c:ptCount val="1"/>
                <c:pt idx="0">
                  <c:v>Tvegani kapital in dostop do finančnih sredstev za MSP</c:v>
                </c:pt>
              </c:strCache>
            </c:strRef>
          </c:tx>
          <c:spPr>
            <a:solidFill>
              <a:schemeClr val="accent6">
                <a:lumMod val="75000"/>
              </a:schemeClr>
            </a:solidFill>
            <a:ln>
              <a:solidFill>
                <a:sysClr val="windowText" lastClr="000000"/>
              </a:solidFill>
            </a:ln>
          </c:spPr>
          <c:invertIfNegative val="0"/>
          <c:cat>
            <c:numRef>
              <c:f>'MSP nameni GRAF'!$C$3:$L$3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nameni GRAF'!$C$16:$L$16</c:f>
              <c:numCache>
                <c:formatCode>0.00</c:formatCode>
                <c:ptCount val="10"/>
                <c:pt idx="0">
                  <c:v>0</c:v>
                </c:pt>
                <c:pt idx="1">
                  <c:v>0</c:v>
                </c:pt>
                <c:pt idx="2">
                  <c:v>0.64</c:v>
                </c:pt>
                <c:pt idx="3">
                  <c:v>2.04</c:v>
                </c:pt>
                <c:pt idx="4">
                  <c:v>2.89</c:v>
                </c:pt>
                <c:pt idx="5">
                  <c:v>2.16</c:v>
                </c:pt>
                <c:pt idx="6">
                  <c:v>3.92</c:v>
                </c:pt>
                <c:pt idx="7">
                  <c:v>5.37</c:v>
                </c:pt>
                <c:pt idx="8">
                  <c:v>1.46</c:v>
                </c:pt>
                <c:pt idx="9">
                  <c:v>0.9</c:v>
                </c:pt>
              </c:numCache>
            </c:numRef>
          </c:val>
        </c:ser>
        <c:ser>
          <c:idx val="1"/>
          <c:order val="1"/>
          <c:tx>
            <c:strRef>
              <c:f>'MSP nameni GRAF'!$B$17</c:f>
              <c:strCache>
                <c:ptCount val="1"/>
                <c:pt idx="0">
                  <c:v>Pomoč za svetovanje za MSP</c:v>
                </c:pt>
              </c:strCache>
            </c:strRef>
          </c:tx>
          <c:spPr>
            <a:solidFill>
              <a:srgbClr val="0070C0"/>
            </a:solidFill>
            <a:ln>
              <a:solidFill>
                <a:sysClr val="windowText" lastClr="000000"/>
              </a:solidFill>
            </a:ln>
          </c:spPr>
          <c:invertIfNegative val="0"/>
          <c:cat>
            <c:numRef>
              <c:f>'MSP nameni GRAF'!$C$3:$L$3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nameni GRAF'!$C$17:$L$17</c:f>
              <c:numCache>
                <c:formatCode>0.00</c:formatCode>
                <c:ptCount val="10"/>
                <c:pt idx="0">
                  <c:v>1.93</c:v>
                </c:pt>
                <c:pt idx="1">
                  <c:v>1.1499999999999999</c:v>
                </c:pt>
                <c:pt idx="2">
                  <c:v>0.8</c:v>
                </c:pt>
                <c:pt idx="3">
                  <c:v>0.82</c:v>
                </c:pt>
                <c:pt idx="4">
                  <c:v>0.1</c:v>
                </c:pt>
                <c:pt idx="5">
                  <c:v>0.13</c:v>
                </c:pt>
                <c:pt idx="6">
                  <c:v>0.41</c:v>
                </c:pt>
                <c:pt idx="7">
                  <c:v>0.17</c:v>
                </c:pt>
                <c:pt idx="8">
                  <c:v>0.24</c:v>
                </c:pt>
                <c:pt idx="9">
                  <c:v>2.21</c:v>
                </c:pt>
              </c:numCache>
            </c:numRef>
          </c:val>
        </c:ser>
        <c:ser>
          <c:idx val="2"/>
          <c:order val="2"/>
          <c:tx>
            <c:strRef>
              <c:f>'MSP nameni GRAF'!$B$18</c:f>
              <c:strCache>
                <c:ptCount val="1"/>
                <c:pt idx="0">
                  <c:v>Pomoč za naložbe in zaposlovanje</c:v>
                </c:pt>
              </c:strCache>
            </c:strRef>
          </c:tx>
          <c:spPr>
            <a:solidFill>
              <a:srgbClr val="00B050"/>
            </a:solidFill>
            <a:ln>
              <a:solidFill>
                <a:sysClr val="windowText" lastClr="000000"/>
              </a:solidFill>
            </a:ln>
          </c:spPr>
          <c:invertIfNegative val="0"/>
          <c:cat>
            <c:numRef>
              <c:f>'MSP nameni GRAF'!$C$3:$L$3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nameni GRAF'!$C$18:$L$18</c:f>
              <c:numCache>
                <c:formatCode>0.00</c:formatCode>
                <c:ptCount val="10"/>
                <c:pt idx="0">
                  <c:v>0.28000000000000003</c:v>
                </c:pt>
                <c:pt idx="1">
                  <c:v>0.56000000000000005</c:v>
                </c:pt>
                <c:pt idx="2">
                  <c:v>0.03</c:v>
                </c:pt>
                <c:pt idx="3">
                  <c:v>0.2</c:v>
                </c:pt>
                <c:pt idx="4">
                  <c:v>0.01</c:v>
                </c:pt>
                <c:pt idx="5">
                  <c:v>0</c:v>
                </c:pt>
                <c:pt idx="6">
                  <c:v>0</c:v>
                </c:pt>
                <c:pt idx="7">
                  <c:v>0.17</c:v>
                </c:pt>
                <c:pt idx="8">
                  <c:v>1.07</c:v>
                </c:pt>
                <c:pt idx="9">
                  <c:v>0.62</c:v>
                </c:pt>
              </c:numCache>
            </c:numRef>
          </c:val>
        </c:ser>
        <c:ser>
          <c:idx val="3"/>
          <c:order val="3"/>
          <c:tx>
            <c:strRef>
              <c:f>'MSP nameni GRAF'!$B$19</c:f>
              <c:strCache>
                <c:ptCount val="1"/>
                <c:pt idx="0">
                  <c:v>Pomoč za stroške sodelovanja MSP v ETS programih</c:v>
                </c:pt>
              </c:strCache>
            </c:strRef>
          </c:tx>
          <c:spPr>
            <a:solidFill>
              <a:srgbClr val="FFFF00"/>
            </a:solidFill>
            <a:ln>
              <a:solidFill>
                <a:sysClr val="windowText" lastClr="000000"/>
              </a:solidFill>
            </a:ln>
          </c:spPr>
          <c:invertIfNegative val="0"/>
          <c:cat>
            <c:numRef>
              <c:f>'MSP nameni GRAF'!$C$3:$L$3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nameni GRAF'!$C$19:$L$19</c:f>
              <c:numCache>
                <c:formatCode>0.00</c:formatCode>
                <c:ptCount val="10"/>
                <c:pt idx="0">
                  <c:v>0</c:v>
                </c:pt>
                <c:pt idx="1">
                  <c:v>0</c:v>
                </c:pt>
                <c:pt idx="2">
                  <c:v>0</c:v>
                </c:pt>
                <c:pt idx="3">
                  <c:v>0</c:v>
                </c:pt>
                <c:pt idx="4">
                  <c:v>0</c:v>
                </c:pt>
                <c:pt idx="5">
                  <c:v>0</c:v>
                </c:pt>
                <c:pt idx="6">
                  <c:v>0</c:v>
                </c:pt>
                <c:pt idx="7">
                  <c:v>0</c:v>
                </c:pt>
                <c:pt idx="8">
                  <c:v>4.9294999999999999E-2</c:v>
                </c:pt>
                <c:pt idx="9">
                  <c:v>5.0338399999999998E-2</c:v>
                </c:pt>
              </c:numCache>
            </c:numRef>
          </c:val>
        </c:ser>
        <c:dLbls>
          <c:showLegendKey val="0"/>
          <c:showVal val="0"/>
          <c:showCatName val="0"/>
          <c:showSerName val="0"/>
          <c:showPercent val="0"/>
          <c:showBubbleSize val="0"/>
        </c:dLbls>
        <c:gapWidth val="150"/>
        <c:overlap val="100"/>
        <c:axId val="129626880"/>
        <c:axId val="129628416"/>
      </c:barChart>
      <c:lineChart>
        <c:grouping val="standard"/>
        <c:varyColors val="0"/>
        <c:ser>
          <c:idx val="4"/>
          <c:order val="4"/>
          <c:tx>
            <c:strRef>
              <c:f>'MSP nameni GRAF'!$B$20</c:f>
              <c:strCache>
                <c:ptCount val="1"/>
                <c:pt idx="0">
                  <c:v>v % vseh pomoči</c:v>
                </c:pt>
              </c:strCache>
            </c:strRef>
          </c:tx>
          <c:spPr>
            <a:ln>
              <a:solidFill>
                <a:srgbClr val="FF0000"/>
              </a:solidFill>
              <a:prstDash val="sysDash"/>
            </a:ln>
          </c:spPr>
          <c:marker>
            <c:symbol val="none"/>
          </c:marker>
          <c:val>
            <c:numRef>
              <c:f>'MSP nameni GRAF'!$C$20:$L$20</c:f>
              <c:numCache>
                <c:formatCode>0.0%</c:formatCode>
                <c:ptCount val="10"/>
                <c:pt idx="0">
                  <c:v>6.8201922569477201E-3</c:v>
                </c:pt>
                <c:pt idx="1">
                  <c:v>3.9077786158789396E-3</c:v>
                </c:pt>
                <c:pt idx="2">
                  <c:v>3.4967826892312701E-3</c:v>
                </c:pt>
                <c:pt idx="3">
                  <c:v>5.8243012767192097E-3</c:v>
                </c:pt>
                <c:pt idx="4">
                  <c:v>5.5245417776322199E-3</c:v>
                </c:pt>
                <c:pt idx="5">
                  <c:v>3.9548630254910497E-3</c:v>
                </c:pt>
                <c:pt idx="6">
                  <c:v>7.9677982288002096E-3</c:v>
                </c:pt>
                <c:pt idx="7">
                  <c:v>1.0336018273390099E-2</c:v>
                </c:pt>
                <c:pt idx="8">
                  <c:v>7.3983190510777197E-3</c:v>
                </c:pt>
                <c:pt idx="9">
                  <c:v>8.7450749415261594E-3</c:v>
                </c:pt>
              </c:numCache>
            </c:numRef>
          </c:val>
          <c:smooth val="0"/>
        </c:ser>
        <c:dLbls>
          <c:showLegendKey val="0"/>
          <c:showVal val="0"/>
          <c:showCatName val="0"/>
          <c:showSerName val="0"/>
          <c:showPercent val="0"/>
          <c:showBubbleSize val="0"/>
        </c:dLbls>
        <c:marker val="1"/>
        <c:smooth val="0"/>
        <c:axId val="129845120"/>
        <c:axId val="129843584"/>
      </c:lineChart>
      <c:catAx>
        <c:axId val="129626880"/>
        <c:scaling>
          <c:orientation val="minMax"/>
        </c:scaling>
        <c:delete val="0"/>
        <c:axPos val="b"/>
        <c:numFmt formatCode="General" sourceLinked="1"/>
        <c:majorTickMark val="out"/>
        <c:minorTickMark val="none"/>
        <c:tickLblPos val="nextTo"/>
        <c:txPr>
          <a:bodyPr/>
          <a:lstStyle/>
          <a:p>
            <a:pPr>
              <a:defRPr sz="950" baseline="0"/>
            </a:pPr>
            <a:endParaRPr lang="sl-SI"/>
          </a:p>
        </c:txPr>
        <c:crossAx val="129628416"/>
        <c:crosses val="autoZero"/>
        <c:auto val="1"/>
        <c:lblAlgn val="ctr"/>
        <c:lblOffset val="100"/>
        <c:noMultiLvlLbl val="0"/>
      </c:catAx>
      <c:valAx>
        <c:axId val="129628416"/>
        <c:scaling>
          <c:orientation val="minMax"/>
        </c:scaling>
        <c:delete val="0"/>
        <c:axPos val="l"/>
        <c:majorGridlines/>
        <c:title>
          <c:tx>
            <c:rich>
              <a:bodyPr rot="-5400000" vert="horz"/>
              <a:lstStyle/>
              <a:p>
                <a:pPr>
                  <a:defRPr/>
                </a:pPr>
                <a:r>
                  <a:rPr lang="en-US"/>
                  <a:t>v mio EUR</a:t>
                </a:r>
              </a:p>
            </c:rich>
          </c:tx>
          <c:overlay val="0"/>
        </c:title>
        <c:numFmt formatCode="0.00" sourceLinked="1"/>
        <c:majorTickMark val="out"/>
        <c:minorTickMark val="none"/>
        <c:tickLblPos val="nextTo"/>
        <c:txPr>
          <a:bodyPr/>
          <a:lstStyle/>
          <a:p>
            <a:pPr>
              <a:defRPr sz="960" baseline="0"/>
            </a:pPr>
            <a:endParaRPr lang="sl-SI"/>
          </a:p>
        </c:txPr>
        <c:crossAx val="129626880"/>
        <c:crosses val="autoZero"/>
        <c:crossBetween val="between"/>
      </c:valAx>
      <c:valAx>
        <c:axId val="129843584"/>
        <c:scaling>
          <c:orientation val="minMax"/>
        </c:scaling>
        <c:delete val="0"/>
        <c:axPos val="r"/>
        <c:numFmt formatCode="0.0%" sourceLinked="1"/>
        <c:majorTickMark val="out"/>
        <c:minorTickMark val="none"/>
        <c:tickLblPos val="nextTo"/>
        <c:txPr>
          <a:bodyPr/>
          <a:lstStyle/>
          <a:p>
            <a:pPr>
              <a:defRPr sz="960" baseline="0"/>
            </a:pPr>
            <a:endParaRPr lang="sl-SI"/>
          </a:p>
        </c:txPr>
        <c:crossAx val="129845120"/>
        <c:crosses val="max"/>
        <c:crossBetween val="between"/>
        <c:majorUnit val="2E-3"/>
      </c:valAx>
      <c:catAx>
        <c:axId val="129845120"/>
        <c:scaling>
          <c:orientation val="minMax"/>
        </c:scaling>
        <c:delete val="1"/>
        <c:axPos val="b"/>
        <c:majorTickMark val="out"/>
        <c:minorTickMark val="none"/>
        <c:tickLblPos val="nextTo"/>
        <c:crossAx val="129843584"/>
        <c:crosses val="autoZero"/>
        <c:auto val="1"/>
        <c:lblAlgn val="ctr"/>
        <c:lblOffset val="100"/>
        <c:noMultiLvlLbl val="0"/>
      </c:catAx>
    </c:plotArea>
    <c:legend>
      <c:legendPos val="r"/>
      <c:layout>
        <c:manualLayout>
          <c:xMode val="edge"/>
          <c:yMode val="edge"/>
          <c:x val="0.690917107583774"/>
          <c:y val="5.5463426920119803E-2"/>
          <c:w val="0.29585537918871202"/>
          <c:h val="0.91011658580556198"/>
        </c:manualLayout>
      </c:layout>
      <c:overlay val="0"/>
    </c:legend>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452821994373004E-2"/>
          <c:y val="2.7941939949814001E-2"/>
          <c:w val="0.64130516059593301"/>
          <c:h val="0.88448955899743298"/>
        </c:manualLayout>
      </c:layout>
      <c:barChart>
        <c:barDir val="col"/>
        <c:grouping val="percentStacked"/>
        <c:varyColors val="0"/>
        <c:ser>
          <c:idx val="0"/>
          <c:order val="0"/>
          <c:tx>
            <c:strRef>
              <c:f>'MSP Insstrumenti GRAF'!$B$12</c:f>
              <c:strCache>
                <c:ptCount val="1"/>
                <c:pt idx="0">
                  <c:v>Subvencije</c:v>
                </c:pt>
              </c:strCache>
            </c:strRef>
          </c:tx>
          <c:spPr>
            <a:solidFill>
              <a:srgbClr val="0070C0"/>
            </a:solidFill>
          </c:spPr>
          <c:invertIfNegative val="0"/>
          <c:dLbls>
            <c:dLbl>
              <c:idx val="9"/>
              <c:showLegendKey val="0"/>
              <c:showVal val="1"/>
              <c:showCatName val="0"/>
              <c:showSerName val="0"/>
              <c:showPercent val="0"/>
              <c:showBubbleSize val="0"/>
            </c:dLbl>
            <c:showLegendKey val="0"/>
            <c:showVal val="0"/>
            <c:showCatName val="0"/>
            <c:showSerName val="0"/>
            <c:showPercent val="0"/>
            <c:showBubbleSize val="0"/>
          </c:dLbls>
          <c:cat>
            <c:numRef>
              <c:f>'MSP Insstrumenti GRAF'!$C$11:$L$11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Insstrumenti GRAF'!$C$12:$L$12</c:f>
              <c:numCache>
                <c:formatCode>0%</c:formatCode>
                <c:ptCount val="10"/>
                <c:pt idx="0">
                  <c:v>0.96795476168975902</c:v>
                </c:pt>
                <c:pt idx="1">
                  <c:v>1.005330747412001</c:v>
                </c:pt>
                <c:pt idx="2">
                  <c:v>0.54959798992930498</c:v>
                </c:pt>
                <c:pt idx="3">
                  <c:v>0.32644131195186299</c:v>
                </c:pt>
                <c:pt idx="4">
                  <c:v>3.4360229165845399E-2</c:v>
                </c:pt>
                <c:pt idx="5">
                  <c:v>5.8697151357592799E-2</c:v>
                </c:pt>
                <c:pt idx="6">
                  <c:v>9.3617321590247896E-2</c:v>
                </c:pt>
                <c:pt idx="7">
                  <c:v>3.0139021641379899E-2</c:v>
                </c:pt>
                <c:pt idx="8">
                  <c:v>8.6506371942871793E-2</c:v>
                </c:pt>
                <c:pt idx="9">
                  <c:v>0.59285463120812798</c:v>
                </c:pt>
              </c:numCache>
            </c:numRef>
          </c:val>
        </c:ser>
        <c:ser>
          <c:idx val="1"/>
          <c:order val="1"/>
          <c:tx>
            <c:strRef>
              <c:f>'MSP Insstrumenti GRAF'!$B$13</c:f>
              <c:strCache>
                <c:ptCount val="1"/>
                <c:pt idx="0">
                  <c:v>Ugodna posojila</c:v>
                </c:pt>
              </c:strCache>
            </c:strRef>
          </c:tx>
          <c:spPr>
            <a:solidFill>
              <a:srgbClr val="FFC000"/>
            </a:solidFill>
          </c:spPr>
          <c:invertIfNegative val="0"/>
          <c:dLbls>
            <c:dLbl>
              <c:idx val="9"/>
              <c:showLegendKey val="0"/>
              <c:showVal val="1"/>
              <c:showCatName val="0"/>
              <c:showSerName val="0"/>
              <c:showPercent val="0"/>
              <c:showBubbleSize val="0"/>
            </c:dLbl>
            <c:showLegendKey val="0"/>
            <c:showVal val="0"/>
            <c:showCatName val="0"/>
            <c:showSerName val="0"/>
            <c:showPercent val="0"/>
            <c:showBubbleSize val="0"/>
          </c:dLbls>
          <c:cat>
            <c:numRef>
              <c:f>'MSP Insstrumenti GRAF'!$C$11:$L$11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Insstrumenti GRAF'!$C$13:$L$13</c:f>
              <c:numCache>
                <c:formatCode>0%</c:formatCode>
                <c:ptCount val="10"/>
                <c:pt idx="0">
                  <c:v>5.6326453470572904E-3</c:v>
                </c:pt>
                <c:pt idx="1">
                  <c:v>0</c:v>
                </c:pt>
                <c:pt idx="2">
                  <c:v>0</c:v>
                </c:pt>
                <c:pt idx="3">
                  <c:v>3.0882211338931198E-4</c:v>
                </c:pt>
                <c:pt idx="4">
                  <c:v>0</c:v>
                </c:pt>
                <c:pt idx="5">
                  <c:v>0</c:v>
                </c:pt>
                <c:pt idx="6">
                  <c:v>0</c:v>
                </c:pt>
                <c:pt idx="7">
                  <c:v>3.0492637907826001E-2</c:v>
                </c:pt>
                <c:pt idx="8">
                  <c:v>0.38589158634528498</c:v>
                </c:pt>
                <c:pt idx="9">
                  <c:v>0.164903181857775</c:v>
                </c:pt>
              </c:numCache>
            </c:numRef>
          </c:val>
        </c:ser>
        <c:ser>
          <c:idx val="2"/>
          <c:order val="2"/>
          <c:tx>
            <c:strRef>
              <c:f>'MSP Insstrumenti GRAF'!$B$14</c:f>
              <c:strCache>
                <c:ptCount val="1"/>
                <c:pt idx="0">
                  <c:v>Garancije</c:v>
                </c:pt>
              </c:strCache>
            </c:strRef>
          </c:tx>
          <c:spPr>
            <a:solidFill>
              <a:srgbClr val="7030A0"/>
            </a:solidFill>
          </c:spPr>
          <c:invertIfNegative val="0"/>
          <c:cat>
            <c:numRef>
              <c:f>'MSP Insstrumenti GRAF'!$C$11:$L$11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Insstrumenti GRAF'!$C$14:$L$14</c:f>
              <c:numCache>
                <c:formatCode>0%</c:formatCode>
                <c:ptCount val="10"/>
                <c:pt idx="0">
                  <c:v>2.6412592963184201E-2</c:v>
                </c:pt>
                <c:pt idx="1">
                  <c:v>1.6880614123083199E-2</c:v>
                </c:pt>
                <c:pt idx="2">
                  <c:v>1.49111501397668E-2</c:v>
                </c:pt>
                <c:pt idx="3">
                  <c:v>5.4669640623531404E-3</c:v>
                </c:pt>
                <c:pt idx="4">
                  <c:v>2.6560643994376302E-3</c:v>
                </c:pt>
                <c:pt idx="5">
                  <c:v>0</c:v>
                </c:pt>
                <c:pt idx="6">
                  <c:v>0</c:v>
                </c:pt>
                <c:pt idx="7">
                  <c:v>0</c:v>
                </c:pt>
                <c:pt idx="8">
                  <c:v>0</c:v>
                </c:pt>
                <c:pt idx="9">
                  <c:v>0</c:v>
                </c:pt>
              </c:numCache>
            </c:numRef>
          </c:val>
        </c:ser>
        <c:ser>
          <c:idx val="3"/>
          <c:order val="3"/>
          <c:tx>
            <c:strRef>
              <c:f>'MSP Insstrumenti GRAF'!$B$15</c:f>
              <c:strCache>
                <c:ptCount val="1"/>
                <c:pt idx="0">
                  <c:v>Kapitalske naložbe</c:v>
                </c:pt>
              </c:strCache>
            </c:strRef>
          </c:tx>
          <c:spPr>
            <a:solidFill>
              <a:srgbClr val="C00000"/>
            </a:solidFill>
          </c:spPr>
          <c:invertIfNegative val="0"/>
          <c:dLbls>
            <c:dLbl>
              <c:idx val="9"/>
              <c:showLegendKey val="0"/>
              <c:showVal val="1"/>
              <c:showCatName val="0"/>
              <c:showSerName val="0"/>
              <c:showPercent val="0"/>
              <c:showBubbleSize val="0"/>
            </c:dLbl>
            <c:showLegendKey val="0"/>
            <c:showVal val="0"/>
            <c:showCatName val="0"/>
            <c:showSerName val="0"/>
            <c:showPercent val="0"/>
            <c:showBubbleSize val="0"/>
          </c:dLbls>
          <c:cat>
            <c:numRef>
              <c:f>'MSP Insstrumenti GRAF'!$C$11:$L$11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'MSP Insstrumenti GRAF'!$C$15:$L$15</c:f>
              <c:numCache>
                <c:formatCode>0%</c:formatCode>
                <c:ptCount val="10"/>
                <c:pt idx="0">
                  <c:v>0</c:v>
                </c:pt>
                <c:pt idx="1">
                  <c:v>0</c:v>
                </c:pt>
                <c:pt idx="2">
                  <c:v>0.43549085993092801</c:v>
                </c:pt>
                <c:pt idx="3">
                  <c:v>0.66778230692759999</c:v>
                </c:pt>
                <c:pt idx="4">
                  <c:v>0.96294199902895194</c:v>
                </c:pt>
                <c:pt idx="5">
                  <c:v>0.94130284864240699</c:v>
                </c:pt>
                <c:pt idx="6">
                  <c:v>0.90638267840975195</c:v>
                </c:pt>
                <c:pt idx="7">
                  <c:v>0.93936834045079398</c:v>
                </c:pt>
                <c:pt idx="8">
                  <c:v>0.527602041711843</c:v>
                </c:pt>
                <c:pt idx="9">
                  <c:v>0.24224218693409699</c:v>
                </c:pt>
              </c:numCache>
            </c:numRef>
          </c:val>
        </c:ser>
        <c:dLbls>
          <c:showLegendKey val="0"/>
          <c:showVal val="0"/>
          <c:showCatName val="0"/>
          <c:showSerName val="0"/>
          <c:showPercent val="0"/>
          <c:showBubbleSize val="0"/>
        </c:dLbls>
        <c:gapWidth val="150"/>
        <c:overlap val="100"/>
        <c:axId val="129877504"/>
        <c:axId val="129879040"/>
      </c:barChart>
      <c:catAx>
        <c:axId val="129877504"/>
        <c:scaling>
          <c:orientation val="minMax"/>
        </c:scaling>
        <c:delete val="0"/>
        <c:axPos val="b"/>
        <c:numFmt formatCode="General" sourceLinked="1"/>
        <c:majorTickMark val="out"/>
        <c:minorTickMark val="none"/>
        <c:tickLblPos val="nextTo"/>
        <c:txPr>
          <a:bodyPr/>
          <a:lstStyle/>
          <a:p>
            <a:pPr>
              <a:defRPr sz="950" baseline="0"/>
            </a:pPr>
            <a:endParaRPr lang="sl-SI"/>
          </a:p>
        </c:txPr>
        <c:crossAx val="129879040"/>
        <c:crosses val="autoZero"/>
        <c:auto val="1"/>
        <c:lblAlgn val="ctr"/>
        <c:lblOffset val="100"/>
        <c:noMultiLvlLbl val="0"/>
      </c:catAx>
      <c:valAx>
        <c:axId val="129879040"/>
        <c:scaling>
          <c:orientation val="minMax"/>
        </c:scaling>
        <c:delete val="0"/>
        <c:axPos val="l"/>
        <c:majorGridlines/>
        <c:numFmt formatCode="0%" sourceLinked="1"/>
        <c:majorTickMark val="out"/>
        <c:minorTickMark val="none"/>
        <c:tickLblPos val="nextTo"/>
        <c:crossAx val="1298775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852145745689"/>
          <c:y val="2.5294416731939901E-2"/>
          <c:w val="0.49324885488925801"/>
          <c:h val="0.86324669167662904"/>
        </c:manualLayout>
      </c:layout>
      <c:barChart>
        <c:barDir val="col"/>
        <c:grouping val="stacked"/>
        <c:varyColors val="0"/>
        <c:ser>
          <c:idx val="0"/>
          <c:order val="0"/>
          <c:tx>
            <c:strRef>
              <c:f>'Kultura Nameni'!$B$17</c:f>
              <c:strCache>
                <c:ptCount val="1"/>
                <c:pt idx="0">
                  <c:v>Pomoč za avdiovizualna dela</c:v>
                </c:pt>
              </c:strCache>
            </c:strRef>
          </c:tx>
          <c:spPr>
            <a:solidFill>
              <a:srgbClr val="7030A0"/>
            </a:solidFill>
            <a:ln>
              <a:solidFill>
                <a:schemeClr val="tx1"/>
              </a:solidFill>
            </a:ln>
          </c:spPr>
          <c:invertIfNegative val="0"/>
          <c:cat>
            <c:numRef>
              <c:f>'Kultura Nameni'!$C$3:$L$3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'Kultura Nameni'!$C$17:$L$17</c:f>
              <c:numCache>
                <c:formatCode>#,##0.00</c:formatCode>
                <c:ptCount val="10"/>
                <c:pt idx="0">
                  <c:v>8.8851370000000003</c:v>
                </c:pt>
                <c:pt idx="1">
                  <c:v>10.699980310000001</c:v>
                </c:pt>
                <c:pt idx="2">
                  <c:v>10.30247885</c:v>
                </c:pt>
                <c:pt idx="3">
                  <c:v>8.9195413499999994</c:v>
                </c:pt>
                <c:pt idx="4">
                  <c:v>6.9844279599999952</c:v>
                </c:pt>
                <c:pt idx="5">
                  <c:v>6.5018564100000003</c:v>
                </c:pt>
                <c:pt idx="6">
                  <c:v>4.9559817000000006</c:v>
                </c:pt>
                <c:pt idx="7">
                  <c:v>6.3666113599999949</c:v>
                </c:pt>
                <c:pt idx="8">
                  <c:v>6.5517044999999996</c:v>
                </c:pt>
                <c:pt idx="9">
                  <c:v>6.4769946900000006</c:v>
                </c:pt>
              </c:numCache>
            </c:numRef>
          </c:val>
        </c:ser>
        <c:ser>
          <c:idx val="1"/>
          <c:order val="1"/>
          <c:tx>
            <c:strRef>
              <c:f>'Kultura Nameni'!$B$18</c:f>
              <c:strCache>
                <c:ptCount val="1"/>
                <c:pt idx="0">
                  <c:v>Spodbjanje kulturne dejavnosti</c:v>
                </c:pt>
              </c:strCache>
            </c:strRef>
          </c:tx>
          <c:spPr>
            <a:solidFill>
              <a:schemeClr val="accent6">
                <a:lumMod val="75000"/>
              </a:schemeClr>
            </a:solidFill>
            <a:ln>
              <a:solidFill>
                <a:schemeClr val="tx1"/>
              </a:solidFill>
            </a:ln>
          </c:spPr>
          <c:invertIfNegative val="0"/>
          <c:cat>
            <c:numRef>
              <c:f>'Kultura Nameni'!$C$3:$L$3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'Kultura Nameni'!$C$18:$L$18</c:f>
              <c:numCache>
                <c:formatCode>#,##0.00</c:formatCode>
                <c:ptCount val="10"/>
                <c:pt idx="0">
                  <c:v>4.9987751999999999</c:v>
                </c:pt>
                <c:pt idx="1">
                  <c:v>5.4849124800000002</c:v>
                </c:pt>
                <c:pt idx="2">
                  <c:v>5.47859608</c:v>
                </c:pt>
                <c:pt idx="3">
                  <c:v>5.157510879999986</c:v>
                </c:pt>
                <c:pt idx="4">
                  <c:v>3.9104290099999992</c:v>
                </c:pt>
                <c:pt idx="5">
                  <c:v>4.0454560099999952</c:v>
                </c:pt>
                <c:pt idx="6">
                  <c:v>3.5039977000000002</c:v>
                </c:pt>
                <c:pt idx="7">
                  <c:v>3.5172289999999991</c:v>
                </c:pt>
                <c:pt idx="8">
                  <c:v>3.7600465999999999</c:v>
                </c:pt>
                <c:pt idx="9">
                  <c:v>3.8591690899999991</c:v>
                </c:pt>
              </c:numCache>
            </c:numRef>
          </c:val>
        </c:ser>
        <c:dLbls>
          <c:showLegendKey val="0"/>
          <c:showVal val="0"/>
          <c:showCatName val="0"/>
          <c:showSerName val="0"/>
          <c:showPercent val="0"/>
          <c:showBubbleSize val="0"/>
        </c:dLbls>
        <c:gapWidth val="150"/>
        <c:overlap val="100"/>
        <c:axId val="127100032"/>
        <c:axId val="127101568"/>
      </c:barChart>
      <c:lineChart>
        <c:grouping val="standard"/>
        <c:varyColors val="0"/>
        <c:ser>
          <c:idx val="2"/>
          <c:order val="2"/>
          <c:tx>
            <c:strRef>
              <c:f>'Kultura Nameni'!$B$19</c:f>
              <c:strCache>
                <c:ptCount val="1"/>
                <c:pt idx="0">
                  <c:v>v % vseh pomoči</c:v>
                </c:pt>
              </c:strCache>
            </c:strRef>
          </c:tx>
          <c:spPr>
            <a:ln>
              <a:solidFill>
                <a:srgbClr val="C00000"/>
              </a:solidFill>
              <a:prstDash val="sysDash"/>
            </a:ln>
          </c:spPr>
          <c:marker>
            <c:symbol val="none"/>
          </c:marker>
          <c:val>
            <c:numRef>
              <c:f>'Kultura Nameni'!$C$19:$L$19</c:f>
              <c:numCache>
                <c:formatCode>0.0%</c:formatCode>
                <c:ptCount val="10"/>
                <c:pt idx="0">
                  <c:v>4.2826444647835901E-2</c:v>
                </c:pt>
                <c:pt idx="1">
                  <c:v>3.7092162708399899E-2</c:v>
                </c:pt>
                <c:pt idx="2">
                  <c:v>3.7416919771625201E-2</c:v>
                </c:pt>
                <c:pt idx="3">
                  <c:v>2.68016070137637E-2</c:v>
                </c:pt>
                <c:pt idx="4">
                  <c:v>2.0082647225796901E-2</c:v>
                </c:pt>
                <c:pt idx="5">
                  <c:v>1.81871465172679E-2</c:v>
                </c:pt>
                <c:pt idx="6">
                  <c:v>1.5577428234034499E-2</c:v>
                </c:pt>
                <c:pt idx="7">
                  <c:v>1.7862932548921299E-2</c:v>
                </c:pt>
                <c:pt idx="8">
                  <c:v>2.74957863601493E-2</c:v>
                </c:pt>
                <c:pt idx="9">
                  <c:v>2.4196177594782899E-2</c:v>
                </c:pt>
              </c:numCache>
            </c:numRef>
          </c:val>
          <c:smooth val="0"/>
        </c:ser>
        <c:dLbls>
          <c:showLegendKey val="0"/>
          <c:showVal val="0"/>
          <c:showCatName val="0"/>
          <c:showSerName val="0"/>
          <c:showPercent val="0"/>
          <c:showBubbleSize val="0"/>
        </c:dLbls>
        <c:marker val="1"/>
        <c:smooth val="0"/>
        <c:axId val="127113472"/>
        <c:axId val="127111936"/>
      </c:lineChart>
      <c:catAx>
        <c:axId val="127100032"/>
        <c:scaling>
          <c:orientation val="minMax"/>
        </c:scaling>
        <c:delete val="0"/>
        <c:axPos val="b"/>
        <c:numFmt formatCode="General" sourceLinked="1"/>
        <c:majorTickMark val="out"/>
        <c:minorTickMark val="none"/>
        <c:tickLblPos val="nextTo"/>
        <c:txPr>
          <a:bodyPr/>
          <a:lstStyle/>
          <a:p>
            <a:pPr>
              <a:defRPr sz="940" baseline="0"/>
            </a:pPr>
            <a:endParaRPr lang="sl-SI"/>
          </a:p>
        </c:txPr>
        <c:crossAx val="127101568"/>
        <c:crosses val="autoZero"/>
        <c:auto val="1"/>
        <c:lblAlgn val="ctr"/>
        <c:lblOffset val="100"/>
        <c:noMultiLvlLbl val="0"/>
      </c:catAx>
      <c:valAx>
        <c:axId val="127101568"/>
        <c:scaling>
          <c:orientation val="minMax"/>
        </c:scaling>
        <c:delete val="0"/>
        <c:axPos val="l"/>
        <c:majorGridlines/>
        <c:title>
          <c:tx>
            <c:rich>
              <a:bodyPr rot="-5400000" vert="horz"/>
              <a:lstStyle/>
              <a:p>
                <a:pPr>
                  <a:defRPr/>
                </a:pPr>
                <a:r>
                  <a:rPr lang="sl-SI"/>
                  <a:t>v mio EUR</a:t>
                </a:r>
              </a:p>
              <a:p>
                <a:pPr>
                  <a:defRPr/>
                </a:pPr>
                <a:endParaRPr lang="sl-SI"/>
              </a:p>
            </c:rich>
          </c:tx>
          <c:overlay val="0"/>
        </c:title>
        <c:numFmt formatCode="#,##0.00" sourceLinked="1"/>
        <c:majorTickMark val="out"/>
        <c:minorTickMark val="none"/>
        <c:tickLblPos val="nextTo"/>
        <c:txPr>
          <a:bodyPr/>
          <a:lstStyle/>
          <a:p>
            <a:pPr>
              <a:defRPr sz="950" baseline="0"/>
            </a:pPr>
            <a:endParaRPr lang="sl-SI"/>
          </a:p>
        </c:txPr>
        <c:crossAx val="127100032"/>
        <c:crosses val="autoZero"/>
        <c:crossBetween val="between"/>
      </c:valAx>
      <c:valAx>
        <c:axId val="127111936"/>
        <c:scaling>
          <c:orientation val="minMax"/>
        </c:scaling>
        <c:delete val="0"/>
        <c:axPos val="r"/>
        <c:numFmt formatCode="0.0%" sourceLinked="1"/>
        <c:majorTickMark val="out"/>
        <c:minorTickMark val="none"/>
        <c:tickLblPos val="nextTo"/>
        <c:txPr>
          <a:bodyPr/>
          <a:lstStyle/>
          <a:p>
            <a:pPr>
              <a:defRPr sz="950" baseline="0"/>
            </a:pPr>
            <a:endParaRPr lang="sl-SI"/>
          </a:p>
        </c:txPr>
        <c:crossAx val="127113472"/>
        <c:crosses val="max"/>
        <c:crossBetween val="between"/>
      </c:valAx>
      <c:catAx>
        <c:axId val="127113472"/>
        <c:scaling>
          <c:orientation val="minMax"/>
        </c:scaling>
        <c:delete val="1"/>
        <c:axPos val="b"/>
        <c:majorTickMark val="out"/>
        <c:minorTickMark val="none"/>
        <c:tickLblPos val="nextTo"/>
        <c:crossAx val="127111936"/>
        <c:crosses val="autoZero"/>
        <c:auto val="1"/>
        <c:lblAlgn val="ctr"/>
        <c:lblOffset val="100"/>
        <c:noMultiLvlLbl val="0"/>
      </c:catAx>
    </c:plotArea>
    <c:legend>
      <c:legendPos val="r"/>
      <c:layout>
        <c:manualLayout>
          <c:xMode val="edge"/>
          <c:yMode val="edge"/>
          <c:x val="0.71218638905583098"/>
          <c:y val="0.17455522451585401"/>
          <c:w val="0.27240529280541098"/>
          <c:h val="0.55179045186919196"/>
        </c:manualLayout>
      </c:layout>
      <c:overlay val="0"/>
    </c:legend>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68993524806502"/>
          <c:y val="2.3179633709221301E-2"/>
          <c:w val="0.44789968603851299"/>
          <c:h val="0.90507540107782403"/>
        </c:manualLayout>
      </c:layout>
      <c:pieChart>
        <c:varyColors val="1"/>
        <c:ser>
          <c:idx val="0"/>
          <c:order val="0"/>
          <c:dLbls>
            <c:dLbl>
              <c:idx val="1"/>
              <c:layout>
                <c:manualLayout>
                  <c:x val="-3.1488659122123099E-2"/>
                  <c:y val="-9.2480433903465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('Kultura Nameni 2015-2017 GRAF'!$D$22:$D$24;'Kultura Nameni 2015-2017 GRAF'!$D$26)</c:f>
              <c:strCache>
                <c:ptCount val="4"/>
                <c:pt idx="0">
                  <c:v>Filmska dejavnost</c:v>
                </c:pt>
                <c:pt idx="1">
                  <c:v>Ustvarjanje medijskih programov</c:v>
                </c:pt>
                <c:pt idx="2">
                  <c:v>Projekti za AV medije</c:v>
                </c:pt>
                <c:pt idx="3">
                  <c:v>Založniška dejavnost</c:v>
                </c:pt>
              </c:strCache>
            </c:strRef>
          </c:cat>
          <c:val>
            <c:numRef>
              <c:f>('Kultura Nameni 2015-2017 GRAF'!$I$22:$I$24;'Kultura Nameni 2015-2017 GRAF'!$I$26)</c:f>
              <c:numCache>
                <c:formatCode>#,##0.00</c:formatCode>
                <c:ptCount val="4"/>
                <c:pt idx="0">
                  <c:v>11864797.550000001</c:v>
                </c:pt>
                <c:pt idx="1">
                  <c:v>5750695</c:v>
                </c:pt>
                <c:pt idx="2">
                  <c:v>1849818</c:v>
                </c:pt>
                <c:pt idx="3">
                  <c:v>11066444.689999999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143151025041"/>
          <c:y val="5.1440329218106998E-2"/>
          <c:w val="0.57327605164219397"/>
          <c:h val="0.82446007906419105"/>
        </c:manualLayout>
      </c:layout>
      <c:barChart>
        <c:barDir val="col"/>
        <c:grouping val="stacked"/>
        <c:varyColors val="0"/>
        <c:ser>
          <c:idx val="0"/>
          <c:order val="0"/>
          <c:tx>
            <c:strRef>
              <c:f>Sheet1!$B$3</c:f>
              <c:strCache>
                <c:ptCount val="1"/>
                <c:pt idx="0">
                  <c:v>v mio EUR</c:v>
                </c:pt>
              </c:strCache>
            </c:strRef>
          </c:tx>
          <c:invertIfNegative val="0"/>
          <c:dLbls>
            <c:dLbl>
              <c:idx val="4"/>
              <c:showLegendKey val="0"/>
              <c:showVal val="1"/>
              <c:showCatName val="0"/>
              <c:showSerName val="0"/>
              <c:showPercent val="0"/>
              <c:showBubbleSize val="0"/>
            </c:dLbl>
            <c:dLbl>
              <c:idx val="9"/>
              <c:showLegendKey val="0"/>
              <c:showVal val="1"/>
              <c:showCatName val="0"/>
              <c:showSerName val="0"/>
              <c:showPercent val="0"/>
              <c:showBubbleSize val="0"/>
            </c:dLbl>
            <c:showLegendKey val="0"/>
            <c:showVal val="0"/>
            <c:showCatName val="0"/>
            <c:showSerName val="0"/>
            <c:showPercent val="0"/>
            <c:showBubbleSize val="0"/>
          </c:dLbls>
          <c:cat>
            <c:numRef>
              <c:f>Sheet1!$C$2:$L$2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Sheet1!$C$3:$L$3</c:f>
              <c:numCache>
                <c:formatCode>0.00</c:formatCode>
                <c:ptCount val="10"/>
                <c:pt idx="0">
                  <c:v>0.75</c:v>
                </c:pt>
                <c:pt idx="1">
                  <c:v>0.28000000000000003</c:v>
                </c:pt>
                <c:pt idx="2">
                  <c:v>0.62</c:v>
                </c:pt>
                <c:pt idx="3">
                  <c:v>0.09</c:v>
                </c:pt>
                <c:pt idx="4">
                  <c:v>4.28</c:v>
                </c:pt>
                <c:pt idx="5">
                  <c:v>2.83</c:v>
                </c:pt>
                <c:pt idx="6">
                  <c:v>1.98</c:v>
                </c:pt>
                <c:pt idx="7">
                  <c:v>0.67</c:v>
                </c:pt>
                <c:pt idx="8">
                  <c:v>0.1</c:v>
                </c:pt>
                <c:pt idx="9">
                  <c:v>0.69</c:v>
                </c:pt>
              </c:numCache>
            </c:numRef>
          </c:val>
        </c:ser>
        <c:dLbls>
          <c:showLegendKey val="0"/>
          <c:showVal val="0"/>
          <c:showCatName val="0"/>
          <c:showSerName val="0"/>
          <c:showPercent val="0"/>
          <c:showBubbleSize val="0"/>
        </c:dLbls>
        <c:gapWidth val="150"/>
        <c:overlap val="100"/>
        <c:axId val="129933312"/>
        <c:axId val="129934848"/>
      </c:barChart>
      <c:lineChart>
        <c:grouping val="standard"/>
        <c:varyColors val="0"/>
        <c:ser>
          <c:idx val="1"/>
          <c:order val="1"/>
          <c:tx>
            <c:strRef>
              <c:f>Sheet1!$B$4</c:f>
              <c:strCache>
                <c:ptCount val="1"/>
                <c:pt idx="0">
                  <c:v>v % vseh pomoči</c:v>
                </c:pt>
              </c:strCache>
            </c:strRef>
          </c:tx>
          <c:spPr>
            <a:ln>
              <a:prstDash val="sysDash"/>
            </a:ln>
          </c:spPr>
          <c:marker>
            <c:symbol val="none"/>
          </c:marker>
          <c:dLbls>
            <c:dLbl>
              <c:idx val="4"/>
              <c:showLegendKey val="0"/>
              <c:showVal val="1"/>
              <c:showCatName val="0"/>
              <c:showSerName val="0"/>
              <c:showPercent val="0"/>
              <c:showBubbleSize val="0"/>
            </c:dLbl>
            <c:dLbl>
              <c:idx val="9"/>
              <c:showLegendKey val="0"/>
              <c:showVal val="1"/>
              <c:showCatName val="0"/>
              <c:showSerName val="0"/>
              <c:showPercent val="0"/>
              <c:showBubbleSize val="0"/>
            </c:dLbl>
            <c:numFmt formatCode="0.0%" sourceLinked="0"/>
            <c:showLegendKey val="0"/>
            <c:showVal val="0"/>
            <c:showCatName val="0"/>
            <c:showSerName val="0"/>
            <c:showPercent val="0"/>
            <c:showBubbleSize val="0"/>
          </c:dLbls>
          <c:val>
            <c:numRef>
              <c:f>Sheet1!$C$4:$L$4</c:f>
              <c:numCache>
                <c:formatCode>0.00%</c:formatCode>
                <c:ptCount val="10"/>
                <c:pt idx="0">
                  <c:v>2.3134581572534598E-3</c:v>
                </c:pt>
                <c:pt idx="1">
                  <c:v>6.4170142549388096E-4</c:v>
                </c:pt>
                <c:pt idx="2">
                  <c:v>1.47003034901366E-3</c:v>
                </c:pt>
                <c:pt idx="3">
                  <c:v>1.71353502275194E-4</c:v>
                </c:pt>
                <c:pt idx="4">
                  <c:v>7.88940092165899E-3</c:v>
                </c:pt>
                <c:pt idx="5">
                  <c:v>4.8798992981911602E-3</c:v>
                </c:pt>
                <c:pt idx="6">
                  <c:v>3.64580456277965E-3</c:v>
                </c:pt>
                <c:pt idx="7">
                  <c:v>1.21087255114581E-3</c:v>
                </c:pt>
                <c:pt idx="8">
                  <c:v>2.6664533503986302E-4</c:v>
                </c:pt>
                <c:pt idx="9">
                  <c:v>1.6152441593707599E-3</c:v>
                </c:pt>
              </c:numCache>
            </c:numRef>
          </c:val>
          <c:smooth val="0"/>
        </c:ser>
        <c:dLbls>
          <c:showLegendKey val="0"/>
          <c:showVal val="0"/>
          <c:showCatName val="0"/>
          <c:showSerName val="0"/>
          <c:showPercent val="0"/>
          <c:showBubbleSize val="0"/>
        </c:dLbls>
        <c:marker val="1"/>
        <c:smooth val="0"/>
        <c:axId val="129942656"/>
        <c:axId val="129936768"/>
      </c:lineChart>
      <c:catAx>
        <c:axId val="129933312"/>
        <c:scaling>
          <c:orientation val="minMax"/>
        </c:scaling>
        <c:delete val="0"/>
        <c:axPos val="b"/>
        <c:numFmt formatCode="General" sourceLinked="1"/>
        <c:majorTickMark val="out"/>
        <c:minorTickMark val="none"/>
        <c:tickLblPos val="nextTo"/>
        <c:txPr>
          <a:bodyPr/>
          <a:lstStyle/>
          <a:p>
            <a:pPr>
              <a:defRPr sz="950" baseline="0"/>
            </a:pPr>
            <a:endParaRPr lang="sl-SI"/>
          </a:p>
        </c:txPr>
        <c:crossAx val="129934848"/>
        <c:crosses val="autoZero"/>
        <c:auto val="1"/>
        <c:lblAlgn val="ctr"/>
        <c:lblOffset val="100"/>
        <c:noMultiLvlLbl val="0"/>
      </c:catAx>
      <c:valAx>
        <c:axId val="129934848"/>
        <c:scaling>
          <c:orientation val="minMax"/>
        </c:scaling>
        <c:delete val="0"/>
        <c:axPos val="l"/>
        <c:majorGridlines/>
        <c:title>
          <c:tx>
            <c:rich>
              <a:bodyPr rot="-5400000" vert="horz"/>
              <a:lstStyle/>
              <a:p>
                <a:pPr>
                  <a:defRPr/>
                </a:pPr>
                <a:r>
                  <a:rPr lang="sl-SI"/>
                  <a:t>v mio EUR</a:t>
                </a:r>
              </a:p>
            </c:rich>
          </c:tx>
          <c:overlay val="0"/>
        </c:title>
        <c:numFmt formatCode="0.00" sourceLinked="1"/>
        <c:majorTickMark val="out"/>
        <c:minorTickMark val="none"/>
        <c:tickLblPos val="nextTo"/>
        <c:txPr>
          <a:bodyPr/>
          <a:lstStyle/>
          <a:p>
            <a:pPr>
              <a:defRPr sz="950" baseline="0"/>
            </a:pPr>
            <a:endParaRPr lang="sl-SI"/>
          </a:p>
        </c:txPr>
        <c:crossAx val="129933312"/>
        <c:crosses val="autoZero"/>
        <c:crossBetween val="between"/>
      </c:valAx>
      <c:valAx>
        <c:axId val="129936768"/>
        <c:scaling>
          <c:orientation val="minMax"/>
        </c:scaling>
        <c:delete val="0"/>
        <c:axPos val="r"/>
        <c:numFmt formatCode="0.00%" sourceLinked="1"/>
        <c:majorTickMark val="out"/>
        <c:minorTickMark val="none"/>
        <c:tickLblPos val="nextTo"/>
        <c:txPr>
          <a:bodyPr/>
          <a:lstStyle/>
          <a:p>
            <a:pPr>
              <a:defRPr sz="950" baseline="0"/>
            </a:pPr>
            <a:endParaRPr lang="sl-SI"/>
          </a:p>
        </c:txPr>
        <c:crossAx val="129942656"/>
        <c:crosses val="max"/>
        <c:crossBetween val="between"/>
      </c:valAx>
      <c:catAx>
        <c:axId val="129942656"/>
        <c:scaling>
          <c:orientation val="minMax"/>
        </c:scaling>
        <c:delete val="1"/>
        <c:axPos val="b"/>
        <c:majorTickMark val="out"/>
        <c:minorTickMark val="none"/>
        <c:tickLblPos val="nextTo"/>
        <c:crossAx val="129936768"/>
        <c:crosses val="autoZero"/>
        <c:auto val="1"/>
        <c:lblAlgn val="ctr"/>
        <c:lblOffset val="100"/>
        <c:noMultiLvlLbl val="0"/>
      </c:catAx>
    </c:plotArea>
    <c:legend>
      <c:legendPos val="r"/>
      <c:overlay val="0"/>
    </c:legend>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791723937079"/>
          <c:y val="7.7940024288008794E-2"/>
          <c:w val="0.48393764717164101"/>
          <c:h val="0.79755683524634002"/>
        </c:manualLayout>
      </c:layout>
      <c:barChart>
        <c:barDir val="col"/>
        <c:grouping val="stacked"/>
        <c:varyColors val="0"/>
        <c:ser>
          <c:idx val="0"/>
          <c:order val="0"/>
          <c:tx>
            <c:strRef>
              <c:f>Transport!$B$12</c:f>
              <c:strCache>
                <c:ptCount val="1"/>
                <c:pt idx="0">
                  <c:v>Transport kopenski</c:v>
                </c:pt>
              </c:strCache>
            </c:strRef>
          </c:tx>
          <c:spPr>
            <a:solidFill>
              <a:schemeClr val="accent6">
                <a:lumMod val="50000"/>
              </a:schemeClr>
            </a:solidFill>
            <a:ln>
              <a:solidFill>
                <a:schemeClr val="tx1"/>
              </a:solidFill>
            </a:ln>
          </c:spPr>
          <c:invertIfNegative val="0"/>
          <c:cat>
            <c:numRef>
              <c:f>Transport!$C$11:$L$11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Transport!$C$12:$L$12</c:f>
              <c:numCache>
                <c:formatCode>#,##0.00</c:formatCode>
                <c:ptCount val="10"/>
                <c:pt idx="0">
                  <c:v>42.304789999999997</c:v>
                </c:pt>
                <c:pt idx="1">
                  <c:v>38.990589870000001</c:v>
                </c:pt>
                <c:pt idx="2">
                  <c:v>44.91010515</c:v>
                </c:pt>
                <c:pt idx="3">
                  <c:v>48.291503579999997</c:v>
                </c:pt>
                <c:pt idx="4">
                  <c:v>54.79670325</c:v>
                </c:pt>
                <c:pt idx="5">
                  <c:v>55.791499039999998</c:v>
                </c:pt>
                <c:pt idx="6">
                  <c:v>51.560246880000001</c:v>
                </c:pt>
                <c:pt idx="7">
                  <c:v>52.652492189999997</c:v>
                </c:pt>
                <c:pt idx="8">
                  <c:v>43.101325369999998</c:v>
                </c:pt>
                <c:pt idx="9">
                  <c:v>45.662099980000001</c:v>
                </c:pt>
              </c:numCache>
            </c:numRef>
          </c:val>
        </c:ser>
        <c:ser>
          <c:idx val="1"/>
          <c:order val="1"/>
          <c:tx>
            <c:strRef>
              <c:f>Transport!$B$13</c:f>
              <c:strCache>
                <c:ptCount val="1"/>
                <c:pt idx="0">
                  <c:v>Transport morski</c:v>
                </c:pt>
              </c:strCache>
            </c:strRef>
          </c:tx>
          <c:spPr>
            <a:solidFill>
              <a:schemeClr val="accent5">
                <a:lumMod val="75000"/>
              </a:schemeClr>
            </a:solidFill>
            <a:ln>
              <a:solidFill>
                <a:schemeClr val="tx1"/>
              </a:solidFill>
            </a:ln>
          </c:spPr>
          <c:invertIfNegative val="0"/>
          <c:cat>
            <c:numRef>
              <c:f>Transport!$C$11:$L$11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Transport!$C$13:$L$13</c:f>
              <c:numCache>
                <c:formatCode>#,##0.00</c:formatCode>
                <c:ptCount val="10"/>
                <c:pt idx="1">
                  <c:v>10.38733985</c:v>
                </c:pt>
                <c:pt idx="2">
                  <c:v>5.4388965199999966</c:v>
                </c:pt>
                <c:pt idx="3">
                  <c:v>6.4930289999999999</c:v>
                </c:pt>
                <c:pt idx="4">
                  <c:v>1.137084</c:v>
                </c:pt>
                <c:pt idx="6">
                  <c:v>5.1130420000000003E-2</c:v>
                </c:pt>
              </c:numCache>
            </c:numRef>
          </c:val>
        </c:ser>
        <c:ser>
          <c:idx val="2"/>
          <c:order val="2"/>
          <c:tx>
            <c:strRef>
              <c:f>Transport!$B$14</c:f>
              <c:strCache>
                <c:ptCount val="1"/>
                <c:pt idx="0">
                  <c:v>Transport zračni</c:v>
                </c:pt>
              </c:strCache>
            </c:strRef>
          </c:tx>
          <c:spPr>
            <a:solidFill>
              <a:srgbClr val="FFFF00"/>
            </a:solidFill>
            <a:ln>
              <a:solidFill>
                <a:schemeClr val="tx1"/>
              </a:solidFill>
            </a:ln>
          </c:spPr>
          <c:invertIfNegative val="0"/>
          <c:cat>
            <c:numRef>
              <c:f>Transport!$C$11:$L$11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Transport!$C$14:$L$14</c:f>
              <c:numCache>
                <c:formatCode>General</c:formatCode>
                <c:ptCount val="10"/>
                <c:pt idx="9" formatCode="#,##0.00">
                  <c:v>0.60538800000000004</c:v>
                </c:pt>
              </c:numCache>
            </c:numRef>
          </c:val>
        </c:ser>
        <c:dLbls>
          <c:showLegendKey val="0"/>
          <c:showVal val="0"/>
          <c:showCatName val="0"/>
          <c:showSerName val="0"/>
          <c:showPercent val="0"/>
          <c:showBubbleSize val="0"/>
        </c:dLbls>
        <c:gapWidth val="150"/>
        <c:overlap val="100"/>
        <c:axId val="130105344"/>
        <c:axId val="130106880"/>
      </c:barChart>
      <c:lineChart>
        <c:grouping val="standard"/>
        <c:varyColors val="0"/>
        <c:ser>
          <c:idx val="3"/>
          <c:order val="3"/>
          <c:tx>
            <c:strRef>
              <c:f>Transport!$B$16</c:f>
              <c:strCache>
                <c:ptCount val="1"/>
                <c:pt idx="0">
                  <c:v>v % vseh pomoči</c:v>
                </c:pt>
              </c:strCache>
            </c:strRef>
          </c:tx>
          <c:spPr>
            <a:ln>
              <a:solidFill>
                <a:srgbClr val="C00000"/>
              </a:solidFill>
              <a:prstDash val="sysDash"/>
            </a:ln>
          </c:spPr>
          <c:marker>
            <c:symbol val="none"/>
          </c:marker>
          <c:val>
            <c:numRef>
              <c:f>Transport!$C$16:$L$16</c:f>
              <c:numCache>
                <c:formatCode>0.0%</c:formatCode>
                <c:ptCount val="10"/>
                <c:pt idx="0">
                  <c:v>0.130493748532443</c:v>
                </c:pt>
                <c:pt idx="1">
                  <c:v>0.113163196515568</c:v>
                </c:pt>
                <c:pt idx="2">
                  <c:v>0.11937745460459601</c:v>
                </c:pt>
                <c:pt idx="3">
                  <c:v>0.104305467412611</c:v>
                </c:pt>
                <c:pt idx="4">
                  <c:v>0.10310355798498599</c:v>
                </c:pt>
                <c:pt idx="5">
                  <c:v>9.6203480759176396E-2</c:v>
                </c:pt>
                <c:pt idx="6">
                  <c:v>9.5032444872197697E-2</c:v>
                </c:pt>
                <c:pt idx="7">
                  <c:v>9.5158145241691694E-2</c:v>
                </c:pt>
                <c:pt idx="8">
                  <c:v>0.114927602763104</c:v>
                </c:pt>
                <c:pt idx="9">
                  <c:v>0.108313573758566</c:v>
                </c:pt>
              </c:numCache>
            </c:numRef>
          </c:val>
          <c:smooth val="0"/>
        </c:ser>
        <c:dLbls>
          <c:showLegendKey val="0"/>
          <c:showVal val="0"/>
          <c:showCatName val="0"/>
          <c:showSerName val="0"/>
          <c:showPercent val="0"/>
          <c:showBubbleSize val="0"/>
        </c:dLbls>
        <c:marker val="1"/>
        <c:smooth val="0"/>
        <c:axId val="130114688"/>
        <c:axId val="130108800"/>
      </c:lineChart>
      <c:catAx>
        <c:axId val="130105344"/>
        <c:scaling>
          <c:orientation val="minMax"/>
        </c:scaling>
        <c:delete val="0"/>
        <c:axPos val="b"/>
        <c:numFmt formatCode="General" sourceLinked="1"/>
        <c:majorTickMark val="out"/>
        <c:minorTickMark val="none"/>
        <c:tickLblPos val="nextTo"/>
        <c:txPr>
          <a:bodyPr/>
          <a:lstStyle/>
          <a:p>
            <a:pPr>
              <a:defRPr sz="950" baseline="0"/>
            </a:pPr>
            <a:endParaRPr lang="sl-SI"/>
          </a:p>
        </c:txPr>
        <c:crossAx val="130106880"/>
        <c:crosses val="autoZero"/>
        <c:auto val="1"/>
        <c:lblAlgn val="ctr"/>
        <c:lblOffset val="100"/>
        <c:noMultiLvlLbl val="0"/>
      </c:catAx>
      <c:valAx>
        <c:axId val="130106880"/>
        <c:scaling>
          <c:orientation val="minMax"/>
        </c:scaling>
        <c:delete val="0"/>
        <c:axPos val="l"/>
        <c:majorGridlines/>
        <c:title>
          <c:tx>
            <c:rich>
              <a:bodyPr rot="-5400000" vert="horz"/>
              <a:lstStyle/>
              <a:p>
                <a:pPr>
                  <a:defRPr/>
                </a:pPr>
                <a:r>
                  <a:rPr lang="sl-SI"/>
                  <a:t>v mio EUR</a:t>
                </a:r>
              </a:p>
            </c:rich>
          </c:tx>
          <c:overlay val="0"/>
        </c:title>
        <c:numFmt formatCode="#,##0.00" sourceLinked="1"/>
        <c:majorTickMark val="out"/>
        <c:minorTickMark val="none"/>
        <c:tickLblPos val="nextTo"/>
        <c:txPr>
          <a:bodyPr/>
          <a:lstStyle/>
          <a:p>
            <a:pPr>
              <a:defRPr sz="950" baseline="0"/>
            </a:pPr>
            <a:endParaRPr lang="sl-SI"/>
          </a:p>
        </c:txPr>
        <c:crossAx val="130105344"/>
        <c:crosses val="autoZero"/>
        <c:crossBetween val="between"/>
      </c:valAx>
      <c:valAx>
        <c:axId val="130108800"/>
        <c:scaling>
          <c:orientation val="minMax"/>
        </c:scaling>
        <c:delete val="0"/>
        <c:axPos val="r"/>
        <c:numFmt formatCode="0.0%" sourceLinked="1"/>
        <c:majorTickMark val="out"/>
        <c:minorTickMark val="none"/>
        <c:tickLblPos val="nextTo"/>
        <c:txPr>
          <a:bodyPr/>
          <a:lstStyle/>
          <a:p>
            <a:pPr>
              <a:defRPr sz="950" baseline="0"/>
            </a:pPr>
            <a:endParaRPr lang="sl-SI"/>
          </a:p>
        </c:txPr>
        <c:crossAx val="130114688"/>
        <c:crosses val="max"/>
        <c:crossBetween val="between"/>
      </c:valAx>
      <c:catAx>
        <c:axId val="130114688"/>
        <c:scaling>
          <c:orientation val="minMax"/>
        </c:scaling>
        <c:delete val="1"/>
        <c:axPos val="b"/>
        <c:majorTickMark val="out"/>
        <c:minorTickMark val="none"/>
        <c:tickLblPos val="nextTo"/>
        <c:crossAx val="130108800"/>
        <c:crosses val="autoZero"/>
        <c:auto val="1"/>
        <c:lblAlgn val="ctr"/>
        <c:lblOffset val="100"/>
        <c:noMultiLvlLbl val="0"/>
      </c:catAx>
    </c:plotArea>
    <c:legend>
      <c:legendPos val="r"/>
      <c:layout>
        <c:manualLayout>
          <c:xMode val="edge"/>
          <c:yMode val="edge"/>
          <c:x val="0.713859084596834"/>
          <c:y val="0.306171993206732"/>
          <c:w val="0.25055280034041699"/>
          <c:h val="0.411621992846749"/>
        </c:manualLayout>
      </c:layout>
      <c:overlay val="0"/>
    </c:legend>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77678558337"/>
          <c:y val="5.2718517022979E-2"/>
          <c:w val="0.53683218169157398"/>
          <c:h val="0.83782443861183997"/>
        </c:manualLayout>
      </c:layout>
      <c:barChart>
        <c:barDir val="col"/>
        <c:grouping val="stacked"/>
        <c:varyColors val="0"/>
        <c:ser>
          <c:idx val="0"/>
          <c:order val="0"/>
          <c:tx>
            <c:strRef>
              <c:f>Sheet1!$B$3</c:f>
              <c:strCache>
                <c:ptCount val="1"/>
                <c:pt idx="0">
                  <c:v>v mio EUR</c:v>
                </c:pt>
              </c:strCache>
            </c:strRef>
          </c:tx>
          <c:spPr>
            <a:solidFill>
              <a:schemeClr val="bg2">
                <a:lumMod val="50000"/>
              </a:schemeClr>
            </a:solidFill>
          </c:spPr>
          <c:invertIfNegative val="0"/>
          <c:cat>
            <c:numRef>
              <c:f>Sheet1!$C$2:$L$2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Sheet1!$C$3:$M$3</c:f>
              <c:numCache>
                <c:formatCode>0.00</c:formatCode>
                <c:ptCount val="10"/>
                <c:pt idx="0">
                  <c:v>17.46</c:v>
                </c:pt>
                <c:pt idx="1">
                  <c:v>16.440000000000001</c:v>
                </c:pt>
                <c:pt idx="2">
                  <c:v>11.65</c:v>
                </c:pt>
                <c:pt idx="3">
                  <c:v>10.89</c:v>
                </c:pt>
                <c:pt idx="4">
                  <c:v>6.6199999999999957</c:v>
                </c:pt>
                <c:pt idx="5">
                  <c:v>4.6899999999999986</c:v>
                </c:pt>
                <c:pt idx="6">
                  <c:v>8.7800000000000011</c:v>
                </c:pt>
                <c:pt idx="7">
                  <c:v>4.84</c:v>
                </c:pt>
                <c:pt idx="8">
                  <c:v>12.47</c:v>
                </c:pt>
                <c:pt idx="9">
                  <c:v>15.75</c:v>
                </c:pt>
              </c:numCache>
            </c:numRef>
          </c:val>
        </c:ser>
        <c:dLbls>
          <c:showLegendKey val="0"/>
          <c:showVal val="0"/>
          <c:showCatName val="0"/>
          <c:showSerName val="0"/>
          <c:showPercent val="0"/>
          <c:showBubbleSize val="0"/>
        </c:dLbls>
        <c:gapWidth val="150"/>
        <c:overlap val="100"/>
        <c:axId val="130124416"/>
        <c:axId val="130138496"/>
      </c:barChart>
      <c:lineChart>
        <c:grouping val="standard"/>
        <c:varyColors val="0"/>
        <c:ser>
          <c:idx val="1"/>
          <c:order val="1"/>
          <c:tx>
            <c:strRef>
              <c:f>Sheet1!$B$4</c:f>
              <c:strCache>
                <c:ptCount val="1"/>
                <c:pt idx="0">
                  <c:v>% vseh pomoči</c:v>
                </c:pt>
              </c:strCache>
            </c:strRef>
          </c:tx>
          <c:spPr>
            <a:ln>
              <a:solidFill>
                <a:srgbClr val="C00000"/>
              </a:solidFill>
              <a:prstDash val="sysDash"/>
            </a:ln>
          </c:spPr>
          <c:marker>
            <c:symbol val="none"/>
          </c:marker>
          <c:val>
            <c:numRef>
              <c:f>Sheet1!$C$4:$M$4</c:f>
              <c:numCache>
                <c:formatCode>0.0%</c:formatCode>
                <c:ptCount val="10"/>
                <c:pt idx="0">
                  <c:v>5.3857305900860603E-2</c:v>
                </c:pt>
                <c:pt idx="1">
                  <c:v>3.7677040839712198E-2</c:v>
                </c:pt>
                <c:pt idx="2">
                  <c:v>2.7622344461305001E-2</c:v>
                </c:pt>
                <c:pt idx="3">
                  <c:v>2.0733773775298399E-2</c:v>
                </c:pt>
                <c:pt idx="4">
                  <c:v>1.22027649769585E-2</c:v>
                </c:pt>
                <c:pt idx="5">
                  <c:v>8.0871829358715695E-3</c:v>
                </c:pt>
                <c:pt idx="6">
                  <c:v>1.61667495258613E-2</c:v>
                </c:pt>
                <c:pt idx="7">
                  <c:v>8.7471987276801794E-3</c:v>
                </c:pt>
                <c:pt idx="8">
                  <c:v>3.3250673279471003E-2</c:v>
                </c:pt>
                <c:pt idx="9">
                  <c:v>3.6869703637810801E-2</c:v>
                </c:pt>
              </c:numCache>
            </c:numRef>
          </c:val>
          <c:smooth val="0"/>
        </c:ser>
        <c:dLbls>
          <c:showLegendKey val="0"/>
          <c:showVal val="0"/>
          <c:showCatName val="0"/>
          <c:showSerName val="0"/>
          <c:showPercent val="0"/>
          <c:showBubbleSize val="0"/>
        </c:dLbls>
        <c:marker val="1"/>
        <c:smooth val="0"/>
        <c:axId val="130150400"/>
        <c:axId val="130140416"/>
      </c:lineChart>
      <c:catAx>
        <c:axId val="130124416"/>
        <c:scaling>
          <c:orientation val="minMax"/>
        </c:scaling>
        <c:delete val="0"/>
        <c:axPos val="b"/>
        <c:numFmt formatCode="General" sourceLinked="1"/>
        <c:majorTickMark val="out"/>
        <c:minorTickMark val="none"/>
        <c:tickLblPos val="nextTo"/>
        <c:txPr>
          <a:bodyPr/>
          <a:lstStyle/>
          <a:p>
            <a:pPr>
              <a:defRPr sz="950" baseline="0"/>
            </a:pPr>
            <a:endParaRPr lang="sl-SI"/>
          </a:p>
        </c:txPr>
        <c:crossAx val="130138496"/>
        <c:crosses val="autoZero"/>
        <c:auto val="1"/>
        <c:lblAlgn val="ctr"/>
        <c:lblOffset val="100"/>
        <c:noMultiLvlLbl val="0"/>
      </c:catAx>
      <c:valAx>
        <c:axId val="130138496"/>
        <c:scaling>
          <c:orientation val="minMax"/>
          <c:max val="18"/>
          <c:min val="0"/>
        </c:scaling>
        <c:delete val="0"/>
        <c:axPos val="l"/>
        <c:majorGridlines/>
        <c:title>
          <c:tx>
            <c:rich>
              <a:bodyPr rot="-5400000" vert="horz"/>
              <a:lstStyle/>
              <a:p>
                <a:pPr>
                  <a:defRPr/>
                </a:pPr>
                <a:r>
                  <a:rPr lang="sl-SI"/>
                  <a:t>v mio EUR</a:t>
                </a:r>
              </a:p>
            </c:rich>
          </c:tx>
          <c:overlay val="0"/>
        </c:title>
        <c:numFmt formatCode="0.00" sourceLinked="1"/>
        <c:majorTickMark val="out"/>
        <c:minorTickMark val="none"/>
        <c:tickLblPos val="nextTo"/>
        <c:txPr>
          <a:bodyPr/>
          <a:lstStyle/>
          <a:p>
            <a:pPr>
              <a:defRPr sz="950" baseline="0"/>
            </a:pPr>
            <a:endParaRPr lang="sl-SI"/>
          </a:p>
        </c:txPr>
        <c:crossAx val="130124416"/>
        <c:crosses val="autoZero"/>
        <c:crossBetween val="between"/>
      </c:valAx>
      <c:valAx>
        <c:axId val="130140416"/>
        <c:scaling>
          <c:orientation val="minMax"/>
        </c:scaling>
        <c:delete val="0"/>
        <c:axPos val="r"/>
        <c:numFmt formatCode="0.0%" sourceLinked="1"/>
        <c:majorTickMark val="out"/>
        <c:minorTickMark val="none"/>
        <c:tickLblPos val="nextTo"/>
        <c:txPr>
          <a:bodyPr/>
          <a:lstStyle/>
          <a:p>
            <a:pPr>
              <a:defRPr sz="950" baseline="0"/>
            </a:pPr>
            <a:endParaRPr lang="sl-SI"/>
          </a:p>
        </c:txPr>
        <c:crossAx val="130150400"/>
        <c:crosses val="max"/>
        <c:crossBetween val="between"/>
      </c:valAx>
      <c:catAx>
        <c:axId val="130150400"/>
        <c:scaling>
          <c:orientation val="minMax"/>
        </c:scaling>
        <c:delete val="1"/>
        <c:axPos val="b"/>
        <c:majorTickMark val="out"/>
        <c:minorTickMark val="none"/>
        <c:tickLblPos val="nextTo"/>
        <c:crossAx val="130140416"/>
        <c:crosses val="autoZero"/>
        <c:auto val="1"/>
        <c:lblAlgn val="ctr"/>
        <c:lblOffset val="100"/>
        <c:noMultiLvlLbl val="0"/>
      </c:cat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874272803528E-2"/>
          <c:y val="4.3437087969637599E-2"/>
          <c:w val="0.53225708255540205"/>
          <c:h val="0.81160339112540503"/>
        </c:manualLayout>
      </c:layout>
      <c:areaChart>
        <c:grouping val="stacked"/>
        <c:varyColors val="0"/>
        <c:ser>
          <c:idx val="0"/>
          <c:order val="0"/>
          <c:tx>
            <c:strRef>
              <c:f>'Kategorije 2008 - 2017'!$B$31</c:f>
              <c:strCache>
                <c:ptCount val="1"/>
                <c:pt idx="0">
                  <c:v>Varstvo okolja</c:v>
                </c:pt>
              </c:strCache>
            </c:strRef>
          </c:tx>
          <c:spPr>
            <a:solidFill>
              <a:srgbClr val="0070C0"/>
            </a:solidFill>
            <a:ln>
              <a:noFill/>
            </a:ln>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2008 - 2017'!$C$31:$L$31</c:f>
              <c:numCache>
                <c:formatCode>#,##0.00</c:formatCode>
                <c:ptCount val="10"/>
                <c:pt idx="0">
                  <c:v>26.14</c:v>
                </c:pt>
                <c:pt idx="1">
                  <c:v>28.02</c:v>
                </c:pt>
                <c:pt idx="2">
                  <c:v>47.35</c:v>
                </c:pt>
                <c:pt idx="3">
                  <c:v>69.02</c:v>
                </c:pt>
                <c:pt idx="4">
                  <c:v>89.39</c:v>
                </c:pt>
                <c:pt idx="5">
                  <c:v>130.35</c:v>
                </c:pt>
                <c:pt idx="6">
                  <c:v>157.28</c:v>
                </c:pt>
                <c:pt idx="7">
                  <c:v>169.86</c:v>
                </c:pt>
                <c:pt idx="8">
                  <c:v>176.56</c:v>
                </c:pt>
                <c:pt idx="9">
                  <c:v>182.56</c:v>
                </c:pt>
              </c:numCache>
            </c:numRef>
          </c:val>
        </c:ser>
        <c:ser>
          <c:idx val="1"/>
          <c:order val="1"/>
          <c:tx>
            <c:strRef>
              <c:f>'Kategorije 2008 - 2017'!$B$32</c:f>
              <c:strCache>
                <c:ptCount val="1"/>
                <c:pt idx="0">
                  <c:v>Zaposlovanje</c:v>
                </c:pt>
              </c:strCache>
            </c:strRef>
          </c:tx>
          <c:spPr>
            <a:solidFill>
              <a:srgbClr val="FF9933"/>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2008 - 2017'!$C$32:$L$32</c:f>
              <c:numCache>
                <c:formatCode>#,##0.00</c:formatCode>
                <c:ptCount val="10"/>
                <c:pt idx="0">
                  <c:v>2.0299999999999998</c:v>
                </c:pt>
                <c:pt idx="1">
                  <c:v>12.47</c:v>
                </c:pt>
                <c:pt idx="2">
                  <c:v>17.350000000000001</c:v>
                </c:pt>
                <c:pt idx="3">
                  <c:v>13.41</c:v>
                </c:pt>
                <c:pt idx="4">
                  <c:v>79.09</c:v>
                </c:pt>
                <c:pt idx="5">
                  <c:v>97.24</c:v>
                </c:pt>
                <c:pt idx="6">
                  <c:v>109.8</c:v>
                </c:pt>
                <c:pt idx="7">
                  <c:v>93.77</c:v>
                </c:pt>
                <c:pt idx="8">
                  <c:v>89.81</c:v>
                </c:pt>
                <c:pt idx="9">
                  <c:v>98.47</c:v>
                </c:pt>
              </c:numCache>
            </c:numRef>
          </c:val>
        </c:ser>
        <c:ser>
          <c:idx val="2"/>
          <c:order val="2"/>
          <c:tx>
            <c:strRef>
              <c:f>'Kategorije 2008 - 2017'!$B$33</c:f>
              <c:strCache>
                <c:ptCount val="1"/>
                <c:pt idx="0">
                  <c:v>Raziskave in razvoj ter inovacije</c:v>
                </c:pt>
              </c:strCache>
            </c:strRef>
          </c:tx>
          <c:spPr>
            <a:solidFill>
              <a:srgbClr val="C00000"/>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2008 - 2017'!$C$33:$L$33</c:f>
              <c:numCache>
                <c:formatCode>#,##0.00</c:formatCode>
                <c:ptCount val="10"/>
                <c:pt idx="0">
                  <c:v>21.61</c:v>
                </c:pt>
                <c:pt idx="1">
                  <c:v>67.09</c:v>
                </c:pt>
                <c:pt idx="2">
                  <c:v>94.82</c:v>
                </c:pt>
                <c:pt idx="3">
                  <c:v>73.169999999999973</c:v>
                </c:pt>
                <c:pt idx="4">
                  <c:v>82.43</c:v>
                </c:pt>
                <c:pt idx="5">
                  <c:v>70.91</c:v>
                </c:pt>
                <c:pt idx="6">
                  <c:v>47.03</c:v>
                </c:pt>
                <c:pt idx="7">
                  <c:v>20.61</c:v>
                </c:pt>
                <c:pt idx="8">
                  <c:v>10.65</c:v>
                </c:pt>
                <c:pt idx="9">
                  <c:v>34.4</c:v>
                </c:pt>
              </c:numCache>
            </c:numRef>
          </c:val>
        </c:ser>
        <c:ser>
          <c:idx val="3"/>
          <c:order val="3"/>
          <c:tx>
            <c:strRef>
              <c:f>'Kategorije 2008 - 2017'!$B$34</c:f>
              <c:strCache>
                <c:ptCount val="1"/>
                <c:pt idx="0">
                  <c:v>Regionalne pomoči</c:v>
                </c:pt>
              </c:strCache>
            </c:strRef>
          </c:tx>
          <c:spPr>
            <a:solidFill>
              <a:srgbClr val="7030A0"/>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2008 - 2017'!$C$34:$L$34</c:f>
              <c:numCache>
                <c:formatCode>#,##0.00</c:formatCode>
                <c:ptCount val="10"/>
                <c:pt idx="0">
                  <c:v>79.55</c:v>
                </c:pt>
                <c:pt idx="1">
                  <c:v>92.84</c:v>
                </c:pt>
                <c:pt idx="2">
                  <c:v>82.5</c:v>
                </c:pt>
                <c:pt idx="3">
                  <c:v>127.35</c:v>
                </c:pt>
                <c:pt idx="4">
                  <c:v>91.09</c:v>
                </c:pt>
                <c:pt idx="5">
                  <c:v>47.56</c:v>
                </c:pt>
                <c:pt idx="6">
                  <c:v>66.819999999999993</c:v>
                </c:pt>
                <c:pt idx="7">
                  <c:v>28.42</c:v>
                </c:pt>
                <c:pt idx="8">
                  <c:v>21.96</c:v>
                </c:pt>
                <c:pt idx="9">
                  <c:v>20.97</c:v>
                </c:pt>
              </c:numCache>
            </c:numRef>
          </c:val>
        </c:ser>
        <c:ser>
          <c:idx val="4"/>
          <c:order val="4"/>
          <c:tx>
            <c:strRef>
              <c:f>'Kategorije 2008 - 2017'!$B$35</c:f>
              <c:strCache>
                <c:ptCount val="1"/>
                <c:pt idx="0">
                  <c:v>Kultura</c:v>
                </c:pt>
              </c:strCache>
            </c:strRef>
          </c:tx>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2008 - 2017'!$C$35:$L$35</c:f>
              <c:numCache>
                <c:formatCode>#,##0.00</c:formatCode>
                <c:ptCount val="10"/>
                <c:pt idx="0">
                  <c:v>13.88</c:v>
                </c:pt>
                <c:pt idx="1">
                  <c:v>16.18</c:v>
                </c:pt>
                <c:pt idx="2">
                  <c:v>15.78</c:v>
                </c:pt>
                <c:pt idx="3">
                  <c:v>14.08</c:v>
                </c:pt>
                <c:pt idx="4">
                  <c:v>10.89</c:v>
                </c:pt>
                <c:pt idx="5">
                  <c:v>10.55</c:v>
                </c:pt>
                <c:pt idx="6">
                  <c:v>8.4600000000000026</c:v>
                </c:pt>
                <c:pt idx="7">
                  <c:v>9.8800000000000008</c:v>
                </c:pt>
                <c:pt idx="8">
                  <c:v>10.31</c:v>
                </c:pt>
                <c:pt idx="9">
                  <c:v>10.34</c:v>
                </c:pt>
              </c:numCache>
            </c:numRef>
          </c:val>
        </c:ser>
        <c:ser>
          <c:idx val="5"/>
          <c:order val="5"/>
          <c:tx>
            <c:strRef>
              <c:f>'Kategorije 2008 - 2017'!$B$36</c:f>
              <c:strCache>
                <c:ptCount val="1"/>
                <c:pt idx="0">
                  <c:v>MSP in tvegani kapital</c:v>
                </c:pt>
              </c:strCache>
            </c:strRef>
          </c:tx>
          <c:spPr>
            <a:solidFill>
              <a:srgbClr val="FFFF00"/>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2008 - 2017'!$C$36:$L$36</c:f>
              <c:numCache>
                <c:formatCode>#,##0.00</c:formatCode>
                <c:ptCount val="10"/>
                <c:pt idx="0">
                  <c:v>2.21</c:v>
                </c:pt>
                <c:pt idx="1">
                  <c:v>1.71</c:v>
                </c:pt>
                <c:pt idx="2">
                  <c:v>1.47</c:v>
                </c:pt>
                <c:pt idx="3">
                  <c:v>3.06</c:v>
                </c:pt>
                <c:pt idx="4">
                  <c:v>3</c:v>
                </c:pt>
                <c:pt idx="5">
                  <c:v>2.29</c:v>
                </c:pt>
                <c:pt idx="6">
                  <c:v>4.33</c:v>
                </c:pt>
                <c:pt idx="7">
                  <c:v>5.72</c:v>
                </c:pt>
                <c:pt idx="8">
                  <c:v>2.77</c:v>
                </c:pt>
                <c:pt idx="9">
                  <c:v>3.73</c:v>
                </c:pt>
              </c:numCache>
            </c:numRef>
          </c:val>
        </c:ser>
        <c:ser>
          <c:idx val="6"/>
          <c:order val="6"/>
          <c:tx>
            <c:strRef>
              <c:f>'Kategorije 2008 - 2017'!$B$41</c:f>
              <c:strCache>
                <c:ptCount val="1"/>
                <c:pt idx="0">
                  <c:v>Transport (kopenski)</c:v>
                </c:pt>
              </c:strCache>
            </c:strRef>
          </c:tx>
          <c:spPr>
            <a:solidFill>
              <a:schemeClr val="bg2">
                <a:lumMod val="50000"/>
              </a:schemeClr>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2008 - 2017'!$C$41:$L$41</c:f>
              <c:numCache>
                <c:formatCode>#,##0.00</c:formatCode>
                <c:ptCount val="10"/>
                <c:pt idx="0">
                  <c:v>42.3</c:v>
                </c:pt>
                <c:pt idx="1">
                  <c:v>38.99</c:v>
                </c:pt>
                <c:pt idx="2">
                  <c:v>44.91</c:v>
                </c:pt>
                <c:pt idx="3">
                  <c:v>48.29</c:v>
                </c:pt>
                <c:pt idx="4">
                  <c:v>54.8</c:v>
                </c:pt>
                <c:pt idx="5">
                  <c:v>55.79</c:v>
                </c:pt>
                <c:pt idx="6">
                  <c:v>51.56</c:v>
                </c:pt>
                <c:pt idx="7">
                  <c:v>52.65</c:v>
                </c:pt>
                <c:pt idx="8">
                  <c:v>43.1</c:v>
                </c:pt>
                <c:pt idx="9">
                  <c:v>45.66</c:v>
                </c:pt>
              </c:numCache>
            </c:numRef>
          </c:val>
        </c:ser>
        <c:ser>
          <c:idx val="7"/>
          <c:order val="7"/>
          <c:tx>
            <c:strRef>
              <c:f>'Kategorije 2008 - 2017'!$B$42</c:f>
              <c:strCache>
                <c:ptCount val="1"/>
                <c:pt idx="0">
                  <c:v>Premogovništvo</c:v>
                </c:pt>
              </c:strCache>
            </c:strRef>
          </c:tx>
          <c:spPr>
            <a:solidFill>
              <a:schemeClr val="bg2">
                <a:lumMod val="25000"/>
              </a:schemeClr>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2008 - 2017'!$C$42:$L$42</c:f>
              <c:numCache>
                <c:formatCode>#,##0.00</c:formatCode>
                <c:ptCount val="10"/>
                <c:pt idx="0">
                  <c:v>17.46</c:v>
                </c:pt>
                <c:pt idx="1">
                  <c:v>16.440000000000001</c:v>
                </c:pt>
                <c:pt idx="2">
                  <c:v>11.65</c:v>
                </c:pt>
                <c:pt idx="3">
                  <c:v>10.89</c:v>
                </c:pt>
                <c:pt idx="4">
                  <c:v>6.6199999999999957</c:v>
                </c:pt>
                <c:pt idx="5">
                  <c:v>4.6899999999999986</c:v>
                </c:pt>
                <c:pt idx="6">
                  <c:v>8.7800000000000011</c:v>
                </c:pt>
                <c:pt idx="7">
                  <c:v>4.84</c:v>
                </c:pt>
                <c:pt idx="8">
                  <c:v>12.47</c:v>
                </c:pt>
                <c:pt idx="9">
                  <c:v>15.75</c:v>
                </c:pt>
              </c:numCache>
            </c:numRef>
          </c:val>
        </c:ser>
        <c:ser>
          <c:idx val="8"/>
          <c:order val="8"/>
          <c:tx>
            <c:strRef>
              <c:f>'Kategorije 2008 - 2017'!$B$43</c:f>
              <c:strCache>
                <c:ptCount val="1"/>
                <c:pt idx="0">
                  <c:v>Reševanje in prestrukturiranje</c:v>
                </c:pt>
              </c:strCache>
            </c:strRef>
          </c:tx>
          <c:spPr>
            <a:solidFill>
              <a:srgbClr val="FF66CC"/>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2008 - 2017'!$C$43:$L$43</c:f>
              <c:numCache>
                <c:formatCode>#,##0.00</c:formatCode>
                <c:ptCount val="10"/>
                <c:pt idx="0">
                  <c:v>1.3</c:v>
                </c:pt>
                <c:pt idx="1">
                  <c:v>3.02</c:v>
                </c:pt>
                <c:pt idx="2">
                  <c:v>2.65</c:v>
                </c:pt>
                <c:pt idx="3">
                  <c:v>52.53</c:v>
                </c:pt>
                <c:pt idx="4">
                  <c:v>0.84</c:v>
                </c:pt>
                <c:pt idx="5">
                  <c:v>42.64</c:v>
                </c:pt>
                <c:pt idx="6">
                  <c:v>1.46</c:v>
                </c:pt>
                <c:pt idx="7">
                  <c:v>102.94</c:v>
                </c:pt>
                <c:pt idx="8">
                  <c:v>1.3</c:v>
                </c:pt>
                <c:pt idx="9">
                  <c:v>0.05</c:v>
                </c:pt>
              </c:numCache>
            </c:numRef>
          </c:val>
        </c:ser>
        <c:ser>
          <c:idx val="9"/>
          <c:order val="9"/>
          <c:tx>
            <c:strRef>
              <c:f>'Kategorije 2008 - 2017'!$B$49</c:f>
              <c:strCache>
                <c:ptCount val="1"/>
                <c:pt idx="0">
                  <c:v>Kmetijstvo in ribištvo</c:v>
                </c:pt>
              </c:strCache>
            </c:strRef>
          </c:tx>
          <c:spPr>
            <a:solidFill>
              <a:srgbClr val="00B050"/>
            </a:solidFill>
          </c:spPr>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2008 - 2017'!$C$49:$L$49</c:f>
              <c:numCache>
                <c:formatCode>#,##0.00</c:formatCode>
                <c:ptCount val="10"/>
                <c:pt idx="0">
                  <c:v>108.84</c:v>
                </c:pt>
                <c:pt idx="1">
                  <c:v>103.79</c:v>
                </c:pt>
                <c:pt idx="2">
                  <c:v>96.169999999999973</c:v>
                </c:pt>
                <c:pt idx="3">
                  <c:v>92.47</c:v>
                </c:pt>
                <c:pt idx="4">
                  <c:v>90.23</c:v>
                </c:pt>
                <c:pt idx="5">
                  <c:v>99.34</c:v>
                </c:pt>
                <c:pt idx="6">
                  <c:v>85.55</c:v>
                </c:pt>
                <c:pt idx="7">
                  <c:v>62.38</c:v>
                </c:pt>
                <c:pt idx="8">
                  <c:v>5.99</c:v>
                </c:pt>
                <c:pt idx="9">
                  <c:v>13.94</c:v>
                </c:pt>
              </c:numCache>
            </c:numRef>
          </c:val>
        </c:ser>
        <c:dLbls>
          <c:showLegendKey val="0"/>
          <c:showVal val="0"/>
          <c:showCatName val="0"/>
          <c:showSerName val="0"/>
          <c:showPercent val="0"/>
          <c:showBubbleSize val="0"/>
        </c:dLbls>
        <c:axId val="36772480"/>
        <c:axId val="36778368"/>
      </c:areaChart>
      <c:catAx>
        <c:axId val="36772480"/>
        <c:scaling>
          <c:orientation val="minMax"/>
        </c:scaling>
        <c:delete val="0"/>
        <c:axPos val="b"/>
        <c:minorGridlines/>
        <c:numFmt formatCode="General" sourceLinked="1"/>
        <c:majorTickMark val="out"/>
        <c:minorTickMark val="none"/>
        <c:tickLblPos val="nextTo"/>
        <c:crossAx val="36778368"/>
        <c:crosses val="autoZero"/>
        <c:auto val="1"/>
        <c:lblAlgn val="ctr"/>
        <c:lblOffset val="100"/>
        <c:noMultiLvlLbl val="0"/>
      </c:catAx>
      <c:valAx>
        <c:axId val="36778368"/>
        <c:scaling>
          <c:orientation val="minMax"/>
        </c:scaling>
        <c:delete val="0"/>
        <c:axPos val="l"/>
        <c:majorGridlines/>
        <c:numFmt formatCode="#,##0.00" sourceLinked="1"/>
        <c:majorTickMark val="out"/>
        <c:minorTickMark val="none"/>
        <c:tickLblPos val="nextTo"/>
        <c:crossAx val="36772480"/>
        <c:crossesAt val="1"/>
        <c:crossBetween val="midCat"/>
      </c:valAx>
    </c:plotArea>
    <c:legend>
      <c:legendPos val="r"/>
      <c:layout>
        <c:manualLayout>
          <c:xMode val="edge"/>
          <c:yMode val="edge"/>
          <c:x val="0.66979578941521201"/>
          <c:y val="9.6752222395244405E-2"/>
          <c:w val="0.31066888650486801"/>
          <c:h val="0.755343082114736"/>
        </c:manualLayout>
      </c:layout>
      <c:overlay val="0"/>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058284381119002E-2"/>
          <c:y val="7.2859744990892497E-2"/>
          <c:w val="0.499623310975017"/>
          <c:h val="0.81728160004589601"/>
        </c:manualLayout>
      </c:layout>
      <c:barChart>
        <c:barDir val="col"/>
        <c:grouping val="stacked"/>
        <c:varyColors val="0"/>
        <c:ser>
          <c:idx val="0"/>
          <c:order val="0"/>
          <c:tx>
            <c:strRef>
              <c:f>Sheet1!$B$4</c:f>
              <c:strCache>
                <c:ptCount val="1"/>
                <c:pt idx="0">
                  <c:v>Pomoči za reševanje</c:v>
                </c:pt>
              </c:strCache>
            </c:strRef>
          </c:tx>
          <c:invertIfNegative val="0"/>
          <c:cat>
            <c:numRef>
              <c:f>Sheet1!$C$3:$L$3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Sheet1!$C$4:$L$4</c:f>
              <c:numCache>
                <c:formatCode>0.00</c:formatCode>
                <c:ptCount val="10"/>
                <c:pt idx="0">
                  <c:v>0</c:v>
                </c:pt>
                <c:pt idx="1">
                  <c:v>1.45</c:v>
                </c:pt>
                <c:pt idx="2">
                  <c:v>1.25</c:v>
                </c:pt>
                <c:pt idx="4">
                  <c:v>0.3</c:v>
                </c:pt>
                <c:pt idx="5">
                  <c:v>42.09</c:v>
                </c:pt>
                <c:pt idx="6">
                  <c:v>0.5</c:v>
                </c:pt>
                <c:pt idx="9">
                  <c:v>0.05</c:v>
                </c:pt>
              </c:numCache>
            </c:numRef>
          </c:val>
        </c:ser>
        <c:ser>
          <c:idx val="1"/>
          <c:order val="1"/>
          <c:tx>
            <c:strRef>
              <c:f>Sheet1!$B$5</c:f>
              <c:strCache>
                <c:ptCount val="1"/>
                <c:pt idx="0">
                  <c:v>Prestrukturiranje</c:v>
                </c:pt>
              </c:strCache>
            </c:strRef>
          </c:tx>
          <c:invertIfNegative val="0"/>
          <c:cat>
            <c:numRef>
              <c:f>Sheet1!$C$3:$L$3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Sheet1!$C$5:$L$5</c:f>
              <c:numCache>
                <c:formatCode>0.00</c:formatCode>
                <c:ptCount val="10"/>
                <c:pt idx="0">
                  <c:v>1.3</c:v>
                </c:pt>
                <c:pt idx="1">
                  <c:v>1.57</c:v>
                </c:pt>
                <c:pt idx="2">
                  <c:v>1.4</c:v>
                </c:pt>
                <c:pt idx="3">
                  <c:v>52.53</c:v>
                </c:pt>
                <c:pt idx="4">
                  <c:v>0.54</c:v>
                </c:pt>
                <c:pt idx="5">
                  <c:v>0.55000000000000004</c:v>
                </c:pt>
                <c:pt idx="6">
                  <c:v>0.96</c:v>
                </c:pt>
                <c:pt idx="7">
                  <c:v>102.94</c:v>
                </c:pt>
                <c:pt idx="8">
                  <c:v>1.3</c:v>
                </c:pt>
              </c:numCache>
            </c:numRef>
          </c:val>
        </c:ser>
        <c:dLbls>
          <c:showLegendKey val="0"/>
          <c:showVal val="0"/>
          <c:showCatName val="0"/>
          <c:showSerName val="0"/>
          <c:showPercent val="0"/>
          <c:showBubbleSize val="0"/>
        </c:dLbls>
        <c:gapWidth val="150"/>
        <c:overlap val="100"/>
        <c:axId val="129993728"/>
        <c:axId val="129995520"/>
      </c:barChart>
      <c:lineChart>
        <c:grouping val="standard"/>
        <c:varyColors val="0"/>
        <c:ser>
          <c:idx val="2"/>
          <c:order val="2"/>
          <c:tx>
            <c:strRef>
              <c:f>Sheet1!$B$6</c:f>
              <c:strCache>
                <c:ptCount val="1"/>
                <c:pt idx="0">
                  <c:v>Pomoči za reševanje v % vseh pomoči</c:v>
                </c:pt>
              </c:strCache>
            </c:strRef>
          </c:tx>
          <c:spPr>
            <a:ln>
              <a:solidFill>
                <a:srgbClr val="0070C0"/>
              </a:solidFill>
              <a:prstDash val="sysDash"/>
            </a:ln>
          </c:spPr>
          <c:marker>
            <c:symbol val="none"/>
          </c:marker>
          <c:val>
            <c:numRef>
              <c:f>Sheet1!$C$6:$L$6</c:f>
              <c:numCache>
                <c:formatCode>0.0%</c:formatCode>
                <c:ptCount val="10"/>
                <c:pt idx="0">
                  <c:v>0</c:v>
                </c:pt>
                <c:pt idx="1">
                  <c:v>3.32309666773617E-3</c:v>
                </c:pt>
                <c:pt idx="2">
                  <c:v>2.9637708649468898E-3</c:v>
                </c:pt>
                <c:pt idx="3">
                  <c:v>0</c:v>
                </c:pt>
                <c:pt idx="4">
                  <c:v>5.5299539170506902E-4</c:v>
                </c:pt>
                <c:pt idx="5">
                  <c:v>7.2577724897832499E-2</c:v>
                </c:pt>
                <c:pt idx="6">
                  <c:v>9.2065771787364905E-4</c:v>
                </c:pt>
                <c:pt idx="7">
                  <c:v>0</c:v>
                </c:pt>
                <c:pt idx="8">
                  <c:v>0</c:v>
                </c:pt>
                <c:pt idx="9">
                  <c:v>1.1704667821527201E-4</c:v>
                </c:pt>
              </c:numCache>
            </c:numRef>
          </c:val>
          <c:smooth val="0"/>
        </c:ser>
        <c:ser>
          <c:idx val="3"/>
          <c:order val="3"/>
          <c:tx>
            <c:strRef>
              <c:f>Sheet1!$B$7</c:f>
              <c:strCache>
                <c:ptCount val="1"/>
                <c:pt idx="0">
                  <c:v>Prestrkturiranje, v % vseh pomoči</c:v>
                </c:pt>
              </c:strCache>
            </c:strRef>
          </c:tx>
          <c:spPr>
            <a:ln>
              <a:solidFill>
                <a:srgbClr val="C00000"/>
              </a:solidFill>
              <a:prstDash val="sysDash"/>
            </a:ln>
          </c:spPr>
          <c:marker>
            <c:symbol val="none"/>
          </c:marker>
          <c:val>
            <c:numRef>
              <c:f>Sheet1!$C$7:$L$7</c:f>
              <c:numCache>
                <c:formatCode>0.0%</c:formatCode>
                <c:ptCount val="10"/>
                <c:pt idx="0">
                  <c:v>4.0099941392393399E-3</c:v>
                </c:pt>
                <c:pt idx="1">
                  <c:v>3.5981115643764E-3</c:v>
                </c:pt>
                <c:pt idx="2">
                  <c:v>3.3194233687405201E-3</c:v>
                </c:pt>
                <c:pt idx="3">
                  <c:v>0.100013327494621</c:v>
                </c:pt>
                <c:pt idx="4">
                  <c:v>9.9539170506912503E-4</c:v>
                </c:pt>
                <c:pt idx="5">
                  <c:v>9.4839032297001403E-4</c:v>
                </c:pt>
                <c:pt idx="6">
                  <c:v>1.7676628183174101E-3</c:v>
                </c:pt>
                <c:pt idx="7">
                  <c:v>0.186040627485</c:v>
                </c:pt>
                <c:pt idx="8">
                  <c:v>3.4663893555182202E-3</c:v>
                </c:pt>
                <c:pt idx="9">
                  <c:v>0</c:v>
                </c:pt>
              </c:numCache>
            </c:numRef>
          </c:val>
          <c:smooth val="0"/>
        </c:ser>
        <c:dLbls>
          <c:showLegendKey val="0"/>
          <c:showVal val="0"/>
          <c:showCatName val="0"/>
          <c:showSerName val="0"/>
          <c:showPercent val="0"/>
          <c:showBubbleSize val="0"/>
        </c:dLbls>
        <c:marker val="1"/>
        <c:smooth val="0"/>
        <c:axId val="129998848"/>
        <c:axId val="129997056"/>
      </c:lineChart>
      <c:catAx>
        <c:axId val="129993728"/>
        <c:scaling>
          <c:orientation val="minMax"/>
        </c:scaling>
        <c:delete val="0"/>
        <c:axPos val="b"/>
        <c:numFmt formatCode="General" sourceLinked="1"/>
        <c:majorTickMark val="out"/>
        <c:minorTickMark val="none"/>
        <c:tickLblPos val="nextTo"/>
        <c:txPr>
          <a:bodyPr/>
          <a:lstStyle/>
          <a:p>
            <a:pPr>
              <a:defRPr sz="950" baseline="0"/>
            </a:pPr>
            <a:endParaRPr lang="sl-SI"/>
          </a:p>
        </c:txPr>
        <c:crossAx val="129995520"/>
        <c:crosses val="autoZero"/>
        <c:auto val="1"/>
        <c:lblAlgn val="ctr"/>
        <c:lblOffset val="100"/>
        <c:noMultiLvlLbl val="0"/>
      </c:catAx>
      <c:valAx>
        <c:axId val="129995520"/>
        <c:scaling>
          <c:orientation val="minMax"/>
        </c:scaling>
        <c:delete val="0"/>
        <c:axPos val="l"/>
        <c:majorGridlines/>
        <c:numFmt formatCode="0.00" sourceLinked="1"/>
        <c:majorTickMark val="out"/>
        <c:minorTickMark val="none"/>
        <c:tickLblPos val="nextTo"/>
        <c:txPr>
          <a:bodyPr/>
          <a:lstStyle/>
          <a:p>
            <a:pPr>
              <a:defRPr sz="950" baseline="0"/>
            </a:pPr>
            <a:endParaRPr lang="sl-SI"/>
          </a:p>
        </c:txPr>
        <c:crossAx val="129993728"/>
        <c:crosses val="autoZero"/>
        <c:crossBetween val="between"/>
      </c:valAx>
      <c:valAx>
        <c:axId val="129997056"/>
        <c:scaling>
          <c:orientation val="minMax"/>
        </c:scaling>
        <c:delete val="0"/>
        <c:axPos val="r"/>
        <c:numFmt formatCode="0.0%" sourceLinked="1"/>
        <c:majorTickMark val="out"/>
        <c:minorTickMark val="none"/>
        <c:tickLblPos val="nextTo"/>
        <c:txPr>
          <a:bodyPr/>
          <a:lstStyle/>
          <a:p>
            <a:pPr>
              <a:defRPr sz="950" baseline="0"/>
            </a:pPr>
            <a:endParaRPr lang="sl-SI"/>
          </a:p>
        </c:txPr>
        <c:crossAx val="129998848"/>
        <c:crosses val="max"/>
        <c:crossBetween val="between"/>
      </c:valAx>
      <c:catAx>
        <c:axId val="129998848"/>
        <c:scaling>
          <c:orientation val="minMax"/>
        </c:scaling>
        <c:delete val="1"/>
        <c:axPos val="b"/>
        <c:majorTickMark val="out"/>
        <c:minorTickMark val="none"/>
        <c:tickLblPos val="nextTo"/>
        <c:crossAx val="129997056"/>
        <c:crosses val="autoZero"/>
        <c:auto val="1"/>
        <c:lblAlgn val="ctr"/>
        <c:lblOffset val="100"/>
        <c:noMultiLvlLbl val="0"/>
      </c:catAx>
    </c:plotArea>
    <c:legend>
      <c:legendPos val="r"/>
      <c:overlay val="0"/>
    </c:legend>
    <c:plotVisOnly val="1"/>
    <c:dispBlanksAs val="gap"/>
    <c:showDLblsOverMax val="0"/>
  </c:chart>
  <c:spPr>
    <a:noFill/>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91425377383399"/>
          <c:y val="4.7866004246774597E-2"/>
          <c:w val="0.51098716827063295"/>
          <c:h val="0.79239416586183897"/>
        </c:manualLayout>
      </c:layout>
      <c:barChart>
        <c:barDir val="col"/>
        <c:grouping val="stacked"/>
        <c:varyColors val="0"/>
        <c:ser>
          <c:idx val="0"/>
          <c:order val="0"/>
          <c:tx>
            <c:strRef>
              <c:f>'RR Instrumenti'!$A$2</c:f>
              <c:strCache>
                <c:ptCount val="1"/>
                <c:pt idx="0">
                  <c:v>Subvencije</c:v>
                </c:pt>
              </c:strCache>
            </c:strRef>
          </c:tx>
          <c:spPr>
            <a:solidFill>
              <a:schemeClr val="tx2"/>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Instrumenti'!$B$2:$K$2</c:f>
              <c:numCache>
                <c:formatCode>#,##0.00</c:formatCode>
                <c:ptCount val="10"/>
                <c:pt idx="0">
                  <c:v>988806</c:v>
                </c:pt>
                <c:pt idx="1">
                  <c:v>1020648.21</c:v>
                </c:pt>
                <c:pt idx="2">
                  <c:v>1250994.73</c:v>
                </c:pt>
                <c:pt idx="3">
                  <c:v>1352856.08</c:v>
                </c:pt>
                <c:pt idx="4">
                  <c:v>538446.4</c:v>
                </c:pt>
                <c:pt idx="5">
                  <c:v>332170</c:v>
                </c:pt>
                <c:pt idx="6">
                  <c:v>228989.05</c:v>
                </c:pt>
              </c:numCache>
            </c:numRef>
          </c:val>
        </c:ser>
        <c:ser>
          <c:idx val="1"/>
          <c:order val="1"/>
          <c:tx>
            <c:strRef>
              <c:f>'RR Instrumenti'!$A$3</c:f>
              <c:strCache>
                <c:ptCount val="1"/>
                <c:pt idx="0">
                  <c:v>Subv. obrestne mere</c:v>
                </c:pt>
              </c:strCache>
            </c:strRef>
          </c:tx>
          <c:spPr>
            <a:solidFill>
              <a:srgbClr val="0070C0"/>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Instrumenti'!$B$3:$K$3</c:f>
              <c:numCache>
                <c:formatCode>General</c:formatCode>
                <c:ptCount val="10"/>
                <c:pt idx="7" formatCode="#,##0.00">
                  <c:v>16600000</c:v>
                </c:pt>
              </c:numCache>
            </c:numRef>
          </c:val>
        </c:ser>
        <c:ser>
          <c:idx val="2"/>
          <c:order val="2"/>
          <c:tx>
            <c:strRef>
              <c:f>'RR Instrumenti'!$A$4</c:f>
              <c:strCache>
                <c:ptCount val="1"/>
                <c:pt idx="0">
                  <c:v>Odpis posojila - prisilna poravnava</c:v>
                </c:pt>
              </c:strCache>
            </c:strRef>
          </c:tx>
          <c:spPr>
            <a:solidFill>
              <a:schemeClr val="accent5">
                <a:lumMod val="60000"/>
                <a:lumOff val="40000"/>
              </a:schemeClr>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Instrumenti'!$B$4:$K$4</c:f>
              <c:numCache>
                <c:formatCode>General</c:formatCode>
                <c:ptCount val="10"/>
                <c:pt idx="7" formatCode="#,##0.00">
                  <c:v>27523404.960000001</c:v>
                </c:pt>
              </c:numCache>
            </c:numRef>
          </c:val>
        </c:ser>
        <c:ser>
          <c:idx val="3"/>
          <c:order val="3"/>
          <c:tx>
            <c:strRef>
              <c:f>'RR Instrumenti'!$A$5</c:f>
              <c:strCache>
                <c:ptCount val="1"/>
                <c:pt idx="0">
                  <c:v>Ugodna posojila</c:v>
                </c:pt>
              </c:strCache>
            </c:strRef>
          </c:tx>
          <c:spPr>
            <a:solidFill>
              <a:schemeClr val="accent3">
                <a:lumMod val="75000"/>
              </a:schemeClr>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Instrumenti'!$B$5:$K$5</c:f>
              <c:numCache>
                <c:formatCode>#,##0.00</c:formatCode>
                <c:ptCount val="10"/>
                <c:pt idx="0">
                  <c:v>309571</c:v>
                </c:pt>
                <c:pt idx="1">
                  <c:v>2004067</c:v>
                </c:pt>
                <c:pt idx="2">
                  <c:v>1397021</c:v>
                </c:pt>
                <c:pt idx="3">
                  <c:v>1070973.96</c:v>
                </c:pt>
                <c:pt idx="4">
                  <c:v>300000</c:v>
                </c:pt>
                <c:pt idx="5">
                  <c:v>2201667</c:v>
                </c:pt>
                <c:pt idx="6">
                  <c:v>1234190</c:v>
                </c:pt>
                <c:pt idx="7">
                  <c:v>7464339.5800000001</c:v>
                </c:pt>
                <c:pt idx="8">
                  <c:v>800000</c:v>
                </c:pt>
                <c:pt idx="9">
                  <c:v>54369</c:v>
                </c:pt>
              </c:numCache>
            </c:numRef>
          </c:val>
        </c:ser>
        <c:ser>
          <c:idx val="4"/>
          <c:order val="4"/>
          <c:tx>
            <c:strRef>
              <c:f>'RR Instrumenti'!#REF!</c:f>
              <c:strCache>
                <c:ptCount val="1"/>
                <c:pt idx="0">
                  <c:v>#REF!</c:v>
                </c:pt>
              </c:strCache>
            </c:strRef>
          </c:tx>
          <c:spPr>
            <a:solidFill>
              <a:schemeClr val="accent6"/>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Instrumenti'!#REF!</c:f>
              <c:numCache>
                <c:formatCode>General</c:formatCode>
                <c:ptCount val="1"/>
                <c:pt idx="0">
                  <c:v>1</c:v>
                </c:pt>
              </c:numCache>
            </c:numRef>
          </c:val>
        </c:ser>
        <c:ser>
          <c:idx val="5"/>
          <c:order val="5"/>
          <c:tx>
            <c:strRef>
              <c:f>'RR Instrumenti'!$A$6</c:f>
              <c:strCache>
                <c:ptCount val="1"/>
                <c:pt idx="0">
                  <c:v>Garancije</c:v>
                </c:pt>
              </c:strCache>
            </c:strRef>
          </c:tx>
          <c:spPr>
            <a:solidFill>
              <a:schemeClr val="accent4"/>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Instrumenti'!$B$6:$K$6</c:f>
              <c:numCache>
                <c:formatCode>General</c:formatCode>
                <c:ptCount val="10"/>
                <c:pt idx="3" formatCode="#,##0.00">
                  <c:v>102532</c:v>
                </c:pt>
                <c:pt idx="5" formatCode="#,##0.00">
                  <c:v>40100000</c:v>
                </c:pt>
                <c:pt idx="8" formatCode="#,##0.00">
                  <c:v>500000</c:v>
                </c:pt>
              </c:numCache>
            </c:numRef>
          </c:val>
        </c:ser>
        <c:ser>
          <c:idx val="6"/>
          <c:order val="6"/>
          <c:tx>
            <c:strRef>
              <c:f>'RR Instrumenti'!$A$7</c:f>
              <c:strCache>
                <c:ptCount val="1"/>
                <c:pt idx="0">
                  <c:v>Kapitalske naložbe in konverzija dolga v lastniške deleže</c:v>
                </c:pt>
              </c:strCache>
            </c:strRef>
          </c:tx>
          <c:spPr>
            <a:solidFill>
              <a:srgbClr val="C00000"/>
            </a:solidFill>
          </c:spPr>
          <c:invertIfNegative val="0"/>
          <c:cat>
            <c:numRef>
              <c:f>'RR Instrumenti'!$B$1:$K$1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'RR Instrumenti'!$B$7:$K$7</c:f>
              <c:numCache>
                <c:formatCode>General</c:formatCode>
                <c:ptCount val="10"/>
                <c:pt idx="3" formatCode="#,##0.00">
                  <c:v>50000000</c:v>
                </c:pt>
                <c:pt idx="7" formatCode="#,##0.00">
                  <c:v>51355917.200000003</c:v>
                </c:pt>
              </c:numCache>
            </c:numRef>
          </c:val>
        </c:ser>
        <c:dLbls>
          <c:showLegendKey val="0"/>
          <c:showVal val="0"/>
          <c:showCatName val="0"/>
          <c:showSerName val="0"/>
          <c:showPercent val="0"/>
          <c:showBubbleSize val="0"/>
        </c:dLbls>
        <c:gapWidth val="150"/>
        <c:overlap val="100"/>
        <c:axId val="130774144"/>
        <c:axId val="130775680"/>
      </c:barChart>
      <c:catAx>
        <c:axId val="130774144"/>
        <c:scaling>
          <c:orientation val="minMax"/>
        </c:scaling>
        <c:delete val="0"/>
        <c:axPos val="b"/>
        <c:numFmt formatCode="General" sourceLinked="1"/>
        <c:majorTickMark val="out"/>
        <c:minorTickMark val="none"/>
        <c:tickLblPos val="nextTo"/>
        <c:crossAx val="130775680"/>
        <c:crosses val="autoZero"/>
        <c:auto val="1"/>
        <c:lblAlgn val="ctr"/>
        <c:lblOffset val="100"/>
        <c:noMultiLvlLbl val="0"/>
      </c:catAx>
      <c:valAx>
        <c:axId val="130775680"/>
        <c:scaling>
          <c:orientation val="minMax"/>
          <c:max val="110000000"/>
        </c:scaling>
        <c:delete val="0"/>
        <c:axPos val="l"/>
        <c:majorGridlines/>
        <c:numFmt formatCode="#,##0.00" sourceLinked="1"/>
        <c:majorTickMark val="out"/>
        <c:minorTickMark val="none"/>
        <c:tickLblPos val="nextTo"/>
        <c:crossAx val="130774144"/>
        <c:crosses val="autoZero"/>
        <c:crossBetween val="between"/>
        <c:majorUnit val="10000000"/>
        <c:dispUnits>
          <c:builtInUnit val="millions"/>
          <c:dispUnitsLbl>
            <c:tx>
              <c:rich>
                <a:bodyPr/>
                <a:lstStyle/>
                <a:p>
                  <a:pPr>
                    <a:defRPr/>
                  </a:pPr>
                  <a:r>
                    <a:rPr lang="en-US"/>
                    <a:t>v mio EUR</a:t>
                  </a:r>
                </a:p>
              </c:rich>
            </c:tx>
          </c:dispUnitsLbl>
        </c:dispUnits>
      </c:valAx>
    </c:plotArea>
    <c:legend>
      <c:legendPos val="r"/>
      <c:legendEntry>
        <c:idx val="2"/>
        <c:delete val="1"/>
      </c:legendEntry>
      <c:overlay val="0"/>
    </c:legend>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03196250680199"/>
          <c:y val="3.7986892742701603E-2"/>
          <c:w val="0.600848536350989"/>
          <c:h val="0.80485183917227698"/>
        </c:manualLayout>
      </c:layout>
      <c:barChart>
        <c:barDir val="col"/>
        <c:grouping val="clustered"/>
        <c:varyColors val="0"/>
        <c:ser>
          <c:idx val="0"/>
          <c:order val="0"/>
          <c:tx>
            <c:strRef>
              <c:f>'Naravne nesreče 2008-2017'!$B$4</c:f>
              <c:strCache>
                <c:ptCount val="1"/>
                <c:pt idx="0">
                  <c:v>v mio EUR</c:v>
                </c:pt>
              </c:strCache>
            </c:strRef>
          </c:tx>
          <c:spPr>
            <a:solidFill>
              <a:schemeClr val="bg2">
                <a:lumMod val="50000"/>
              </a:schemeClr>
            </a:solidFill>
          </c:spPr>
          <c:invertIfNegative val="0"/>
          <c:dLbls>
            <c:dLbl>
              <c:idx val="5"/>
              <c:showLegendKey val="0"/>
              <c:showVal val="1"/>
              <c:showCatName val="0"/>
              <c:showSerName val="0"/>
              <c:showPercent val="0"/>
              <c:showBubbleSize val="0"/>
            </c:dLbl>
            <c:showLegendKey val="0"/>
            <c:showVal val="0"/>
            <c:showCatName val="0"/>
            <c:showSerName val="0"/>
            <c:showPercent val="0"/>
            <c:showBubbleSize val="0"/>
          </c:dLbls>
          <c:cat>
            <c:numRef>
              <c:f>'Naravne nesreče 2008-2017'!$C$3:$L$3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'Naravne nesreče 2008-2017'!$C$4:$L$4</c:f>
              <c:numCache>
                <c:formatCode>#,##0.00</c:formatCode>
                <c:ptCount val="10"/>
                <c:pt idx="0">
                  <c:v>8.11</c:v>
                </c:pt>
                <c:pt idx="1">
                  <c:v>0</c:v>
                </c:pt>
                <c:pt idx="2">
                  <c:v>1.04</c:v>
                </c:pt>
                <c:pt idx="3">
                  <c:v>7.48</c:v>
                </c:pt>
                <c:pt idx="4">
                  <c:v>4.6499999999999977</c:v>
                </c:pt>
                <c:pt idx="5">
                  <c:v>10.45</c:v>
                </c:pt>
                <c:pt idx="6">
                  <c:v>0</c:v>
                </c:pt>
                <c:pt idx="7">
                  <c:v>1.57</c:v>
                </c:pt>
                <c:pt idx="8">
                  <c:v>0</c:v>
                </c:pt>
                <c:pt idx="9">
                  <c:v>0</c:v>
                </c:pt>
              </c:numCache>
            </c:numRef>
          </c:val>
        </c:ser>
        <c:dLbls>
          <c:showLegendKey val="0"/>
          <c:showVal val="0"/>
          <c:showCatName val="0"/>
          <c:showSerName val="0"/>
          <c:showPercent val="0"/>
          <c:showBubbleSize val="0"/>
        </c:dLbls>
        <c:gapWidth val="150"/>
        <c:axId val="130808448"/>
        <c:axId val="131207552"/>
      </c:barChart>
      <c:lineChart>
        <c:grouping val="standard"/>
        <c:varyColors val="0"/>
        <c:ser>
          <c:idx val="1"/>
          <c:order val="1"/>
          <c:tx>
            <c:strRef>
              <c:f>'Naravne nesreče 2008-2017'!$B$5</c:f>
              <c:strCache>
                <c:ptCount val="1"/>
                <c:pt idx="0">
                  <c:v>v % vseh pomoči</c:v>
                </c:pt>
              </c:strCache>
            </c:strRef>
          </c:tx>
          <c:spPr>
            <a:ln>
              <a:prstDash val="sysDash"/>
            </a:ln>
          </c:spPr>
          <c:marker>
            <c:symbol val="none"/>
          </c:marker>
          <c:dLbls>
            <c:dLbl>
              <c:idx val="0"/>
              <c:showLegendKey val="0"/>
              <c:showVal val="1"/>
              <c:showCatName val="0"/>
              <c:showSerName val="0"/>
              <c:showPercent val="0"/>
              <c:showBubbleSize val="0"/>
            </c:dLbl>
            <c:showLegendKey val="0"/>
            <c:showVal val="0"/>
            <c:showCatName val="0"/>
            <c:showSerName val="0"/>
            <c:showPercent val="0"/>
            <c:showBubbleSize val="0"/>
          </c:dLbls>
          <c:val>
            <c:numRef>
              <c:f>'Naravne nesreče 2008-2017'!$C$5:$L$5</c:f>
              <c:numCache>
                <c:formatCode>0.0%</c:formatCode>
                <c:ptCount val="10"/>
                <c:pt idx="0">
                  <c:v>2.50161942071008E-2</c:v>
                </c:pt>
                <c:pt idx="1">
                  <c:v>0</c:v>
                </c:pt>
                <c:pt idx="2">
                  <c:v>2.46585735963581E-3</c:v>
                </c:pt>
                <c:pt idx="3">
                  <c:v>1.4241379966871699E-2</c:v>
                </c:pt>
                <c:pt idx="4">
                  <c:v>8.5714285714285701E-3</c:v>
                </c:pt>
                <c:pt idx="5">
                  <c:v>1.8019416136430301E-2</c:v>
                </c:pt>
                <c:pt idx="6">
                  <c:v>0</c:v>
                </c:pt>
                <c:pt idx="7">
                  <c:v>2.83741776910287E-3</c:v>
                </c:pt>
                <c:pt idx="8">
                  <c:v>0</c:v>
                </c:pt>
                <c:pt idx="9">
                  <c:v>0</c:v>
                </c:pt>
              </c:numCache>
            </c:numRef>
          </c:val>
          <c:smooth val="0"/>
        </c:ser>
        <c:dLbls>
          <c:showLegendKey val="0"/>
          <c:showVal val="0"/>
          <c:showCatName val="0"/>
          <c:showSerName val="0"/>
          <c:showPercent val="0"/>
          <c:showBubbleSize val="0"/>
        </c:dLbls>
        <c:marker val="1"/>
        <c:smooth val="0"/>
        <c:axId val="131219456"/>
        <c:axId val="131209472"/>
      </c:lineChart>
      <c:catAx>
        <c:axId val="130808448"/>
        <c:scaling>
          <c:orientation val="minMax"/>
        </c:scaling>
        <c:delete val="0"/>
        <c:axPos val="b"/>
        <c:numFmt formatCode="General" sourceLinked="1"/>
        <c:majorTickMark val="out"/>
        <c:minorTickMark val="none"/>
        <c:tickLblPos val="nextTo"/>
        <c:crossAx val="131207552"/>
        <c:crosses val="autoZero"/>
        <c:auto val="1"/>
        <c:lblAlgn val="ctr"/>
        <c:lblOffset val="100"/>
        <c:noMultiLvlLbl val="0"/>
      </c:catAx>
      <c:valAx>
        <c:axId val="131207552"/>
        <c:scaling>
          <c:orientation val="minMax"/>
        </c:scaling>
        <c:delete val="0"/>
        <c:axPos val="l"/>
        <c:majorGridlines/>
        <c:title>
          <c:tx>
            <c:rich>
              <a:bodyPr rot="-5400000" vert="horz"/>
              <a:lstStyle/>
              <a:p>
                <a:pPr>
                  <a:defRPr/>
                </a:pPr>
                <a:r>
                  <a:rPr lang="sl-SI"/>
                  <a:t>v mio EUR</a:t>
                </a:r>
              </a:p>
            </c:rich>
          </c:tx>
          <c:overlay val="0"/>
        </c:title>
        <c:numFmt formatCode="#,##0.00" sourceLinked="1"/>
        <c:majorTickMark val="out"/>
        <c:minorTickMark val="none"/>
        <c:tickLblPos val="nextTo"/>
        <c:txPr>
          <a:bodyPr/>
          <a:lstStyle/>
          <a:p>
            <a:pPr>
              <a:defRPr sz="950" baseline="0"/>
            </a:pPr>
            <a:endParaRPr lang="sl-SI"/>
          </a:p>
        </c:txPr>
        <c:crossAx val="130808448"/>
        <c:crosses val="autoZero"/>
        <c:crossBetween val="between"/>
      </c:valAx>
      <c:valAx>
        <c:axId val="131209472"/>
        <c:scaling>
          <c:orientation val="minMax"/>
        </c:scaling>
        <c:delete val="0"/>
        <c:axPos val="r"/>
        <c:numFmt formatCode="0.0%" sourceLinked="1"/>
        <c:majorTickMark val="out"/>
        <c:minorTickMark val="none"/>
        <c:tickLblPos val="nextTo"/>
        <c:txPr>
          <a:bodyPr/>
          <a:lstStyle/>
          <a:p>
            <a:pPr>
              <a:defRPr sz="950" baseline="0"/>
            </a:pPr>
            <a:endParaRPr lang="sl-SI"/>
          </a:p>
        </c:txPr>
        <c:crossAx val="131219456"/>
        <c:crosses val="max"/>
        <c:crossBetween val="between"/>
      </c:valAx>
      <c:catAx>
        <c:axId val="131219456"/>
        <c:scaling>
          <c:orientation val="minMax"/>
        </c:scaling>
        <c:delete val="1"/>
        <c:axPos val="b"/>
        <c:majorTickMark val="out"/>
        <c:minorTickMark val="none"/>
        <c:tickLblPos val="nextTo"/>
        <c:crossAx val="131209472"/>
        <c:crosses val="autoZero"/>
        <c:auto val="1"/>
        <c:lblAlgn val="ctr"/>
        <c:lblOffset val="100"/>
        <c:noMultiLvlLbl val="0"/>
      </c:catAx>
    </c:plotArea>
    <c:legend>
      <c:legendPos val="r"/>
      <c:layout>
        <c:manualLayout>
          <c:xMode val="edge"/>
          <c:yMode val="edge"/>
          <c:x val="0.77724094795168097"/>
          <c:y val="0.28315803355462899"/>
          <c:w val="0.208139169007383"/>
          <c:h val="0.29071007668159099"/>
        </c:manualLayout>
      </c:layout>
      <c:overlay val="0"/>
    </c:legend>
    <c:plotVisOnly val="1"/>
    <c:dispBlanksAs val="gap"/>
    <c:showDLblsOverMax val="0"/>
  </c:chart>
  <c:spPr>
    <a:ln>
      <a:noFill/>
    </a:ln>
  </c:spPr>
  <c:txPr>
    <a:bodyPr/>
    <a:lstStyle/>
    <a:p>
      <a:pPr>
        <a:defRPr sz="940" baseline="0"/>
      </a:pPr>
      <a:endParaRPr lang="sl-SI"/>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39536664356"/>
          <c:y val="5.8074104373316997E-2"/>
          <c:w val="0.52039380425672799"/>
          <c:h val="0.83662148332254205"/>
        </c:manualLayout>
      </c:layout>
      <c:barChart>
        <c:barDir val="col"/>
        <c:grouping val="stacked"/>
        <c:varyColors val="0"/>
        <c:ser>
          <c:idx val="0"/>
          <c:order val="0"/>
          <c:tx>
            <c:strRef>
              <c:f>'Kmetijstvo 2008_2017'!$B$12</c:f>
              <c:strCache>
                <c:ptCount val="1"/>
                <c:pt idx="0">
                  <c:v>Kmetijstvo, vmio EUR</c:v>
                </c:pt>
              </c:strCache>
            </c:strRef>
          </c:tx>
          <c:spPr>
            <a:solidFill>
              <a:srgbClr val="00B050"/>
            </a:solidFill>
          </c:spPr>
          <c:invertIfNegative val="0"/>
          <c:cat>
            <c:numRef>
              <c:f>'Kmetijstvo 2008_2017'!$C$3:$L$3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'Kmetijstvo 2008_2017'!$C$12:$L$12</c:f>
              <c:numCache>
                <c:formatCode>#,##0.00</c:formatCode>
                <c:ptCount val="10"/>
                <c:pt idx="0">
                  <c:v>108.72516158000001</c:v>
                </c:pt>
                <c:pt idx="1">
                  <c:v>103.79091711</c:v>
                </c:pt>
                <c:pt idx="2">
                  <c:v>96.017068340000023</c:v>
                </c:pt>
                <c:pt idx="3">
                  <c:v>92.251116620000005</c:v>
                </c:pt>
                <c:pt idx="4">
                  <c:v>89.295299310000004</c:v>
                </c:pt>
                <c:pt idx="5">
                  <c:v>98.545666089999997</c:v>
                </c:pt>
                <c:pt idx="6">
                  <c:v>84.505048649999978</c:v>
                </c:pt>
                <c:pt idx="7">
                  <c:v>61.791847500000003</c:v>
                </c:pt>
                <c:pt idx="8">
                  <c:v>5.5269646900000007</c:v>
                </c:pt>
                <c:pt idx="9">
                  <c:v>13.935634050000001</c:v>
                </c:pt>
              </c:numCache>
            </c:numRef>
          </c:val>
        </c:ser>
        <c:ser>
          <c:idx val="1"/>
          <c:order val="1"/>
          <c:tx>
            <c:strRef>
              <c:f>'Kmetijstvo 2008_2017'!$B$13</c:f>
              <c:strCache>
                <c:ptCount val="1"/>
                <c:pt idx="0">
                  <c:v>Ribištvo, v mio EUR</c:v>
                </c:pt>
              </c:strCache>
            </c:strRef>
          </c:tx>
          <c:spPr>
            <a:solidFill>
              <a:srgbClr val="0070C0"/>
            </a:solidFill>
          </c:spPr>
          <c:invertIfNegative val="0"/>
          <c:cat>
            <c:numRef>
              <c:f>'Kmetijstvo 2008_2017'!$C$3:$L$3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'Kmetijstvo 2008_2017'!$C$13:$L$13</c:f>
              <c:numCache>
                <c:formatCode>#,##0.00</c:formatCode>
                <c:ptCount val="10"/>
                <c:pt idx="0">
                  <c:v>0.11697188</c:v>
                </c:pt>
                <c:pt idx="1">
                  <c:v>0</c:v>
                </c:pt>
                <c:pt idx="2">
                  <c:v>0.15467275999999999</c:v>
                </c:pt>
                <c:pt idx="3">
                  <c:v>0.22009654000000001</c:v>
                </c:pt>
                <c:pt idx="4">
                  <c:v>0.93356594000000004</c:v>
                </c:pt>
                <c:pt idx="5">
                  <c:v>0.79323672999999995</c:v>
                </c:pt>
                <c:pt idx="6">
                  <c:v>1.0410734100000001</c:v>
                </c:pt>
                <c:pt idx="7">
                  <c:v>0.58589455000000001</c:v>
                </c:pt>
                <c:pt idx="8">
                  <c:v>0.46578726999999998</c:v>
                </c:pt>
                <c:pt idx="9">
                  <c:v>0</c:v>
                </c:pt>
              </c:numCache>
            </c:numRef>
          </c:val>
        </c:ser>
        <c:dLbls>
          <c:showLegendKey val="0"/>
          <c:showVal val="0"/>
          <c:showCatName val="0"/>
          <c:showSerName val="0"/>
          <c:showPercent val="0"/>
          <c:showBubbleSize val="0"/>
        </c:dLbls>
        <c:gapWidth val="150"/>
        <c:overlap val="100"/>
        <c:axId val="131241856"/>
        <c:axId val="131243392"/>
      </c:barChart>
      <c:lineChart>
        <c:grouping val="standard"/>
        <c:varyColors val="0"/>
        <c:ser>
          <c:idx val="2"/>
          <c:order val="2"/>
          <c:tx>
            <c:strRef>
              <c:f>'Kmetijstvo 2008_2017'!$B$14</c:f>
              <c:strCache>
                <c:ptCount val="1"/>
                <c:pt idx="0">
                  <c:v>Kmetijstvo in ribištvo, v % vseh pomoči</c:v>
                </c:pt>
              </c:strCache>
            </c:strRef>
          </c:tx>
          <c:spPr>
            <a:ln>
              <a:solidFill>
                <a:srgbClr val="C00000"/>
              </a:solidFill>
              <a:prstDash val="sysDash"/>
            </a:ln>
          </c:spPr>
          <c:marker>
            <c:symbol val="none"/>
          </c:marker>
          <c:val>
            <c:numRef>
              <c:f>'Kmetijstvo 2008_2017'!$C$14:$L$14</c:f>
              <c:numCache>
                <c:formatCode>0.0%</c:formatCode>
                <c:ptCount val="10"/>
                <c:pt idx="0">
                  <c:v>0.33573545675238797</c:v>
                </c:pt>
                <c:pt idx="1">
                  <c:v>0.23786562166644801</c:v>
                </c:pt>
                <c:pt idx="2">
                  <c:v>0.228023143987201</c:v>
                </c:pt>
                <c:pt idx="3">
                  <c:v>0.17605796119151701</c:v>
                </c:pt>
                <c:pt idx="4">
                  <c:v>0.166320170644674</c:v>
                </c:pt>
                <c:pt idx="5">
                  <c:v>0.17129398547312399</c:v>
                </c:pt>
                <c:pt idx="6">
                  <c:v>0.15751676382209701</c:v>
                </c:pt>
                <c:pt idx="7">
                  <c:v>0.112734459300106</c:v>
                </c:pt>
                <c:pt idx="8">
                  <c:v>1.5979383715102099E-2</c:v>
                </c:pt>
                <c:pt idx="9">
                  <c:v>3.2622265237529299E-2</c:v>
                </c:pt>
              </c:numCache>
            </c:numRef>
          </c:val>
          <c:smooth val="0"/>
        </c:ser>
        <c:dLbls>
          <c:showLegendKey val="0"/>
          <c:showVal val="0"/>
          <c:showCatName val="0"/>
          <c:showSerName val="0"/>
          <c:showPercent val="0"/>
          <c:showBubbleSize val="0"/>
        </c:dLbls>
        <c:marker val="1"/>
        <c:smooth val="0"/>
        <c:axId val="131251200"/>
        <c:axId val="131249664"/>
      </c:lineChart>
      <c:catAx>
        <c:axId val="131241856"/>
        <c:scaling>
          <c:orientation val="minMax"/>
        </c:scaling>
        <c:delete val="0"/>
        <c:axPos val="b"/>
        <c:numFmt formatCode="General" sourceLinked="1"/>
        <c:majorTickMark val="out"/>
        <c:minorTickMark val="none"/>
        <c:tickLblPos val="nextTo"/>
        <c:txPr>
          <a:bodyPr/>
          <a:lstStyle/>
          <a:p>
            <a:pPr>
              <a:defRPr sz="950" baseline="0"/>
            </a:pPr>
            <a:endParaRPr lang="sl-SI"/>
          </a:p>
        </c:txPr>
        <c:crossAx val="131243392"/>
        <c:crosses val="autoZero"/>
        <c:auto val="1"/>
        <c:lblAlgn val="ctr"/>
        <c:lblOffset val="100"/>
        <c:noMultiLvlLbl val="0"/>
      </c:catAx>
      <c:valAx>
        <c:axId val="131243392"/>
        <c:scaling>
          <c:orientation val="minMax"/>
        </c:scaling>
        <c:delete val="0"/>
        <c:axPos val="l"/>
        <c:majorGridlines/>
        <c:title>
          <c:tx>
            <c:rich>
              <a:bodyPr rot="-5400000" vert="horz"/>
              <a:lstStyle/>
              <a:p>
                <a:pPr>
                  <a:defRPr/>
                </a:pPr>
                <a:r>
                  <a:rPr lang="sl-SI"/>
                  <a:t>v mio EUR</a:t>
                </a:r>
              </a:p>
            </c:rich>
          </c:tx>
          <c:overlay val="0"/>
        </c:title>
        <c:numFmt formatCode="#,##0.00" sourceLinked="1"/>
        <c:majorTickMark val="out"/>
        <c:minorTickMark val="none"/>
        <c:tickLblPos val="nextTo"/>
        <c:txPr>
          <a:bodyPr/>
          <a:lstStyle/>
          <a:p>
            <a:pPr>
              <a:defRPr sz="950" baseline="0"/>
            </a:pPr>
            <a:endParaRPr lang="sl-SI"/>
          </a:p>
        </c:txPr>
        <c:crossAx val="131241856"/>
        <c:crosses val="autoZero"/>
        <c:crossBetween val="between"/>
      </c:valAx>
      <c:valAx>
        <c:axId val="131249664"/>
        <c:scaling>
          <c:orientation val="minMax"/>
        </c:scaling>
        <c:delete val="0"/>
        <c:axPos val="r"/>
        <c:numFmt formatCode="0.0%" sourceLinked="1"/>
        <c:majorTickMark val="out"/>
        <c:minorTickMark val="none"/>
        <c:tickLblPos val="nextTo"/>
        <c:txPr>
          <a:bodyPr/>
          <a:lstStyle/>
          <a:p>
            <a:pPr>
              <a:defRPr sz="950" baseline="0"/>
            </a:pPr>
            <a:endParaRPr lang="sl-SI"/>
          </a:p>
        </c:txPr>
        <c:crossAx val="131251200"/>
        <c:crosses val="max"/>
        <c:crossBetween val="between"/>
      </c:valAx>
      <c:catAx>
        <c:axId val="131251200"/>
        <c:scaling>
          <c:orientation val="minMax"/>
        </c:scaling>
        <c:delete val="1"/>
        <c:axPos val="b"/>
        <c:majorTickMark val="out"/>
        <c:minorTickMark val="none"/>
        <c:tickLblPos val="nextTo"/>
        <c:crossAx val="131249664"/>
        <c:crosses val="autoZero"/>
        <c:auto val="1"/>
        <c:lblAlgn val="ctr"/>
        <c:lblOffset val="100"/>
        <c:noMultiLvlLbl val="0"/>
      </c:catAx>
    </c:plotArea>
    <c:legend>
      <c:legendPos val="r"/>
      <c:layout>
        <c:manualLayout>
          <c:xMode val="edge"/>
          <c:yMode val="edge"/>
          <c:x val="0.72789015696296799"/>
          <c:y val="0.140069876736612"/>
          <c:w val="0.258373600146237"/>
          <c:h val="0.64668858473842605"/>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82187246418497"/>
          <c:y val="0.31012796655164598"/>
          <c:w val="0.417323883116475"/>
          <c:h val="0.675453095302742"/>
        </c:manualLayout>
      </c:layout>
      <c:pieChart>
        <c:varyColors val="1"/>
        <c:ser>
          <c:idx val="0"/>
          <c:order val="0"/>
          <c:spPr>
            <a:ln>
              <a:solidFill>
                <a:schemeClr val="bg1"/>
              </a:solidFill>
            </a:ln>
          </c:spPr>
          <c:dPt>
            <c:idx val="0"/>
            <c:bubble3D val="0"/>
            <c:spPr>
              <a:solidFill>
                <a:schemeClr val="accent2"/>
              </a:solidFill>
              <a:ln>
                <a:solidFill>
                  <a:schemeClr val="bg1"/>
                </a:solidFill>
              </a:ln>
            </c:spPr>
          </c:dPt>
          <c:dPt>
            <c:idx val="1"/>
            <c:bubble3D val="0"/>
            <c:spPr>
              <a:solidFill>
                <a:srgbClr val="FFC000"/>
              </a:solidFill>
              <a:ln>
                <a:solidFill>
                  <a:schemeClr val="bg1"/>
                </a:solidFill>
              </a:ln>
            </c:spPr>
          </c:dPt>
          <c:dLbls>
            <c:dLbl>
              <c:idx val="0"/>
              <c:layout>
                <c:manualLayout>
                  <c:x val="-0.135563262925468"/>
                  <c:y val="0.19531359485041699"/>
                </c:manualLayout>
              </c:layout>
              <c:showLegendKey val="0"/>
              <c:showVal val="0"/>
              <c:showCatName val="1"/>
              <c:showSerName val="0"/>
              <c:showPercent val="1"/>
              <c:showBubbleSize val="0"/>
            </c:dLbl>
            <c:dLbl>
              <c:idx val="1"/>
              <c:layout>
                <c:manualLayout>
                  <c:x val="-0.150265098241499"/>
                  <c:y val="-0.107950218143695"/>
                </c:manualLayout>
              </c:layout>
              <c:showLegendKey val="0"/>
              <c:showVal val="0"/>
              <c:showCatName val="1"/>
              <c:showSerName val="0"/>
              <c:showPercent val="1"/>
              <c:showBubbleSize val="0"/>
            </c:dLbl>
            <c:dLbl>
              <c:idx val="2"/>
              <c:layout>
                <c:manualLayout>
                  <c:x val="8.9177220902942694E-2"/>
                  <c:y val="-1.8794313606726801E-3"/>
                </c:manualLayout>
              </c:layout>
              <c:showLegendKey val="0"/>
              <c:showVal val="0"/>
              <c:showCatName val="1"/>
              <c:showSerName val="0"/>
              <c:showPercent val="1"/>
              <c:showBubbleSize val="0"/>
            </c:dLbl>
            <c:dLbl>
              <c:idx val="3"/>
              <c:layout>
                <c:manualLayout>
                  <c:x val="0.12943431413178599"/>
                  <c:y val="1.1542652260492E-3"/>
                </c:manualLayout>
              </c:layout>
              <c:showLegendKey val="0"/>
              <c:showVal val="0"/>
              <c:showCatName val="1"/>
              <c:showSerName val="0"/>
              <c:showPercent val="1"/>
              <c:showBubbleSize val="0"/>
            </c:dLbl>
            <c:dLbl>
              <c:idx val="4"/>
              <c:layout>
                <c:manualLayout>
                  <c:x val="-0.15754925507864301"/>
                  <c:y val="0.18681885293509501"/>
                </c:manualLayout>
              </c:layout>
              <c:showLegendKey val="0"/>
              <c:showVal val="0"/>
              <c:showCatName val="1"/>
              <c:showSerName val="0"/>
              <c:showPercent val="1"/>
              <c:showBubbleSize val="0"/>
            </c:dLbl>
            <c:dLbl>
              <c:idx val="5"/>
              <c:layout>
                <c:manualLayout>
                  <c:x val="-0.19452515377310001"/>
                  <c:y val="7.90465681461371E-2"/>
                </c:manualLayout>
              </c:layout>
              <c:showLegendKey val="0"/>
              <c:showVal val="0"/>
              <c:showCatName val="1"/>
              <c:showSerName val="0"/>
              <c:showPercent val="1"/>
              <c:showBubbleSize val="0"/>
            </c:dLbl>
            <c:dLbl>
              <c:idx val="6"/>
              <c:layout>
                <c:manualLayout>
                  <c:x val="-0.169656381168066"/>
                  <c:y val="-0.11129570549371"/>
                </c:manualLayout>
              </c:layout>
              <c:showLegendKey val="0"/>
              <c:showVal val="0"/>
              <c:showCatName val="1"/>
              <c:showSerName val="0"/>
              <c:showPercent val="1"/>
              <c:showBubbleSize val="0"/>
            </c:dLbl>
            <c:dLbl>
              <c:idx val="7"/>
              <c:layout>
                <c:manualLayout>
                  <c:x val="1.3523905856877801E-2"/>
                  <c:y val="-0.119325484524214"/>
                </c:manualLayout>
              </c:layout>
              <c:showLegendKey val="0"/>
              <c:showVal val="0"/>
              <c:showCatName val="1"/>
              <c:showSerName val="0"/>
              <c:showPercent val="1"/>
              <c:showBubbleSize val="0"/>
            </c:dLbl>
            <c:dLbl>
              <c:idx val="8"/>
              <c:layout>
                <c:manualLayout>
                  <c:x val="0.123648986286354"/>
                  <c:y val="-0.16298773220952201"/>
                </c:manualLayout>
              </c:layout>
              <c:showLegendKey val="0"/>
              <c:showVal val="0"/>
              <c:showCatName val="1"/>
              <c:showSerName val="0"/>
              <c:showPercent val="1"/>
              <c:showBubbleSize val="0"/>
            </c:dLbl>
            <c:dLbl>
              <c:idx val="9"/>
              <c:layout>
                <c:manualLayout>
                  <c:x val="0.21357521282062"/>
                  <c:y val="5.5576537095759E-2"/>
                </c:manualLayout>
              </c:layout>
              <c:showLegendKey val="0"/>
              <c:showVal val="0"/>
              <c:showCatName val="1"/>
              <c:showSerName val="0"/>
              <c:showPercent val="1"/>
              <c:showBubbleSize val="0"/>
            </c:dLbl>
            <c:dLbl>
              <c:idx val="10"/>
              <c:layout>
                <c:manualLayout>
                  <c:x val="1.36055361500865E-2"/>
                  <c:y val="0.102156363890097"/>
                </c:manualLayout>
              </c:layout>
              <c:showLegendKey val="0"/>
              <c:showVal val="0"/>
              <c:showCatName val="1"/>
              <c:showSerName val="0"/>
              <c:showPercent val="1"/>
              <c:showBubbleSize val="0"/>
            </c:dLbl>
            <c:txPr>
              <a:bodyPr/>
              <a:lstStyle/>
              <a:p>
                <a:pPr>
                  <a:defRPr sz="920" baseline="0"/>
                </a:pPr>
                <a:endParaRPr lang="sl-SI"/>
              </a:p>
            </c:txPr>
            <c:showLegendKey val="0"/>
            <c:showVal val="0"/>
            <c:showCatName val="1"/>
            <c:showSerName val="0"/>
            <c:showPercent val="1"/>
            <c:showBubbleSize val="0"/>
            <c:showLeaderLines val="1"/>
          </c:dLbls>
          <c:cat>
            <c:strRef>
              <c:f>'Kmetijstvo _ Nameni največji 17'!$B$4:$B$14</c:f>
              <c:strCache>
                <c:ptCount val="11"/>
                <c:pt idx="0">
                  <c:v>Investicije v kmetijska gospodarstva</c:v>
                </c:pt>
                <c:pt idx="1">
                  <c:v>Pomoči za zaravovanje v primeru naravnih nesreč ali izrednih dogodkov</c:v>
                </c:pt>
                <c:pt idx="2">
                  <c:v>Nadomestilo škode, ki so jo povzročile naravne nesreče ali izredni dogodki</c:v>
                </c:pt>
                <c:pt idx="3">
                  <c:v>Pomoč za naložbe, predelavo in trženje gozdarskih proizvodov</c:v>
                </c:pt>
                <c:pt idx="4">
                  <c:v>Pomoč za preprečevanje in odpravo škode v gozdovih</c:v>
                </c:pt>
                <c:pt idx="5">
                  <c:v>Pomoč za dejavnosti informiranja in promocijske dejavnosti - sheme kakovosti</c:v>
                </c:pt>
                <c:pt idx="6">
                  <c:v>Pomoč za naložbe v infrastrukturo - gozdarski sektor</c:v>
                </c:pt>
                <c:pt idx="7">
                  <c:v>Pomoči za tehnično podporo v kmetijskem sektorju</c:v>
                </c:pt>
                <c:pt idx="8">
                  <c:v>Pomoči za varstvo okolja</c:v>
                </c:pt>
                <c:pt idx="9">
                  <c:v>Pomoč za naložbe - predelava kmetijskih v nekmetijske proizvode</c:v>
                </c:pt>
                <c:pt idx="10">
                  <c:v>Ostalo</c:v>
                </c:pt>
              </c:strCache>
            </c:strRef>
          </c:cat>
          <c:val>
            <c:numRef>
              <c:f>'Kmetijstvo _ Nameni največji 17'!$E$4:$E$14</c:f>
              <c:numCache>
                <c:formatCode>#,##0.00</c:formatCode>
                <c:ptCount val="11"/>
                <c:pt idx="0">
                  <c:v>3411692.19</c:v>
                </c:pt>
                <c:pt idx="1">
                  <c:v>2386374.5099999998</c:v>
                </c:pt>
                <c:pt idx="2">
                  <c:v>3487332.24</c:v>
                </c:pt>
                <c:pt idx="3">
                  <c:v>2238106.52</c:v>
                </c:pt>
                <c:pt idx="4">
                  <c:v>660894.11</c:v>
                </c:pt>
                <c:pt idx="5">
                  <c:v>581260.76999999944</c:v>
                </c:pt>
                <c:pt idx="6">
                  <c:v>291638.13</c:v>
                </c:pt>
                <c:pt idx="7">
                  <c:v>246103.64</c:v>
                </c:pt>
                <c:pt idx="8">
                  <c:v>219267.26</c:v>
                </c:pt>
                <c:pt idx="9">
                  <c:v>201834.96</c:v>
                </c:pt>
                <c:pt idx="10">
                  <c:v>211129.72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199912510936"/>
          <c:y val="7.03686908246417E-2"/>
          <c:w val="0.52396610145954003"/>
          <c:h val="0.82549582617962203"/>
        </c:manualLayout>
      </c:layout>
      <c:barChart>
        <c:barDir val="col"/>
        <c:grouping val="clustered"/>
        <c:varyColors val="0"/>
        <c:ser>
          <c:idx val="0"/>
          <c:order val="0"/>
          <c:tx>
            <c:strRef>
              <c:f>'De minimis 2008_2017 NOVO'!$B$47</c:f>
              <c:strCache>
                <c:ptCount val="1"/>
                <c:pt idx="0">
                  <c:v>De minimis pomoči v EUR</c:v>
                </c:pt>
              </c:strCache>
            </c:strRef>
          </c:tx>
          <c:spPr>
            <a:solidFill>
              <a:schemeClr val="accent5">
                <a:lumMod val="75000"/>
              </a:schemeClr>
            </a:solidFill>
          </c:spPr>
          <c:invertIfNegative val="0"/>
          <c:dLbls>
            <c:dLbl>
              <c:idx val="5"/>
              <c:dLblPos val="ctr"/>
              <c:showLegendKey val="0"/>
              <c:showVal val="1"/>
              <c:showCatName val="0"/>
              <c:showSerName val="0"/>
              <c:showPercent val="0"/>
              <c:showBubbleSize val="0"/>
            </c:dLbl>
            <c:dLbl>
              <c:idx val="9"/>
              <c:dLblPos val="ctr"/>
              <c:showLegendKey val="0"/>
              <c:showVal val="1"/>
              <c:showCatName val="0"/>
              <c:showSerName val="0"/>
              <c:showPercent val="0"/>
              <c:showBubbleSize val="0"/>
            </c:dLbl>
            <c:txPr>
              <a:bodyPr/>
              <a:lstStyle/>
              <a:p>
                <a:pPr>
                  <a:defRPr sz="950" baseline="0"/>
                </a:pPr>
                <a:endParaRPr lang="sl-SI"/>
              </a:p>
            </c:txPr>
            <c:dLblPos val="ctr"/>
            <c:showLegendKey val="0"/>
            <c:showVal val="0"/>
            <c:showCatName val="0"/>
            <c:showSerName val="0"/>
            <c:showPercent val="0"/>
            <c:showBubbleSize val="0"/>
          </c:dLbls>
          <c:cat>
            <c:numRef>
              <c:f>'De minimis 2008_2017 NOVO'!$C$27:$L$27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'De minimis 2008_2017 NOVO'!$C$47:$L$47</c:f>
              <c:numCache>
                <c:formatCode>#,##0.00</c:formatCode>
                <c:ptCount val="10"/>
                <c:pt idx="0">
                  <c:v>28.719727129999999</c:v>
                </c:pt>
                <c:pt idx="1">
                  <c:v>84.93830054999998</c:v>
                </c:pt>
                <c:pt idx="2">
                  <c:v>63.700944790000001</c:v>
                </c:pt>
                <c:pt idx="3">
                  <c:v>65.513796929999998</c:v>
                </c:pt>
                <c:pt idx="4">
                  <c:v>66.193163080000005</c:v>
                </c:pt>
                <c:pt idx="5">
                  <c:v>101.85634062</c:v>
                </c:pt>
                <c:pt idx="6">
                  <c:v>37.000223929999997</c:v>
                </c:pt>
                <c:pt idx="7">
                  <c:v>33.688415310000003</c:v>
                </c:pt>
                <c:pt idx="8">
                  <c:v>84.729234860000005</c:v>
                </c:pt>
                <c:pt idx="9">
                  <c:v>82.632667840000011</c:v>
                </c:pt>
              </c:numCache>
            </c:numRef>
          </c:val>
        </c:ser>
        <c:dLbls>
          <c:showLegendKey val="0"/>
          <c:showVal val="0"/>
          <c:showCatName val="0"/>
          <c:showSerName val="0"/>
          <c:showPercent val="0"/>
          <c:showBubbleSize val="0"/>
        </c:dLbls>
        <c:gapWidth val="150"/>
        <c:axId val="131331584"/>
        <c:axId val="131333120"/>
      </c:barChart>
      <c:lineChart>
        <c:grouping val="standard"/>
        <c:varyColors val="0"/>
        <c:ser>
          <c:idx val="1"/>
          <c:order val="1"/>
          <c:tx>
            <c:strRef>
              <c:f>'De minimis 2008_2017 NOVO'!$B$50</c:f>
              <c:strCache>
                <c:ptCount val="1"/>
                <c:pt idx="0">
                  <c:v>de minimis pomoči kot % vseh pomoči (državne in de minimis skupaj)</c:v>
                </c:pt>
              </c:strCache>
            </c:strRef>
          </c:tx>
          <c:spPr>
            <a:ln>
              <a:prstDash val="sysDash"/>
            </a:ln>
          </c:spPr>
          <c:marker>
            <c:symbol val="none"/>
          </c:marker>
          <c:dLbls>
            <c:dLbl>
              <c:idx val="9"/>
              <c:layout>
                <c:manualLayout>
                  <c:x val="-3.9292730844793698E-2"/>
                  <c:y val="-5.3763440860214999E-2"/>
                </c:manualLayout>
              </c:layout>
              <c:showLegendKey val="0"/>
              <c:showVal val="1"/>
              <c:showCatName val="0"/>
              <c:showSerName val="0"/>
              <c:showPercent val="0"/>
              <c:showBubbleSize val="0"/>
            </c:dLbl>
            <c:txPr>
              <a:bodyPr/>
              <a:lstStyle/>
              <a:p>
                <a:pPr>
                  <a:defRPr sz="950" baseline="0"/>
                </a:pPr>
                <a:endParaRPr lang="sl-SI"/>
              </a:p>
            </c:txPr>
            <c:showLegendKey val="0"/>
            <c:showVal val="0"/>
            <c:showCatName val="0"/>
            <c:showSerName val="0"/>
            <c:showPercent val="0"/>
            <c:showBubbleSize val="0"/>
          </c:dLbls>
          <c:val>
            <c:numRef>
              <c:f>'De minimis 2008_2017 NOVO'!$C$50:$L$50</c:f>
              <c:numCache>
                <c:formatCode>0.0%</c:formatCode>
                <c:ptCount val="10"/>
                <c:pt idx="0">
                  <c:v>8.1379811669006805E-2</c:v>
                </c:pt>
                <c:pt idx="1">
                  <c:v>0.16294232938601499</c:v>
                </c:pt>
                <c:pt idx="2">
                  <c:v>0.131217444932786</c:v>
                </c:pt>
                <c:pt idx="3">
                  <c:v>0.110900524509042</c:v>
                </c:pt>
                <c:pt idx="4">
                  <c:v>0.108746355462679</c:v>
                </c:pt>
                <c:pt idx="5">
                  <c:v>0.149396276445454</c:v>
                </c:pt>
                <c:pt idx="6">
                  <c:v>6.37835674584043E-2</c:v>
                </c:pt>
                <c:pt idx="7">
                  <c:v>5.7390004012479297E-2</c:v>
                </c:pt>
                <c:pt idx="8">
                  <c:v>0.18429044690271601</c:v>
                </c:pt>
                <c:pt idx="9">
                  <c:v>0.162084375404209</c:v>
                </c:pt>
              </c:numCache>
            </c:numRef>
          </c:val>
          <c:smooth val="0"/>
        </c:ser>
        <c:dLbls>
          <c:showLegendKey val="0"/>
          <c:showVal val="0"/>
          <c:showCatName val="0"/>
          <c:showSerName val="0"/>
          <c:showPercent val="0"/>
          <c:showBubbleSize val="0"/>
        </c:dLbls>
        <c:marker val="1"/>
        <c:smooth val="0"/>
        <c:axId val="131418752"/>
        <c:axId val="131417216"/>
      </c:lineChart>
      <c:catAx>
        <c:axId val="131331584"/>
        <c:scaling>
          <c:orientation val="minMax"/>
        </c:scaling>
        <c:delete val="0"/>
        <c:axPos val="b"/>
        <c:numFmt formatCode="General" sourceLinked="1"/>
        <c:majorTickMark val="out"/>
        <c:minorTickMark val="none"/>
        <c:tickLblPos val="nextTo"/>
        <c:txPr>
          <a:bodyPr/>
          <a:lstStyle/>
          <a:p>
            <a:pPr>
              <a:defRPr sz="950" baseline="0"/>
            </a:pPr>
            <a:endParaRPr lang="sl-SI"/>
          </a:p>
        </c:txPr>
        <c:crossAx val="131333120"/>
        <c:crosses val="autoZero"/>
        <c:auto val="1"/>
        <c:lblAlgn val="ctr"/>
        <c:lblOffset val="100"/>
        <c:noMultiLvlLbl val="0"/>
      </c:catAx>
      <c:valAx>
        <c:axId val="131333120"/>
        <c:scaling>
          <c:orientation val="minMax"/>
          <c:max val="110"/>
        </c:scaling>
        <c:delete val="0"/>
        <c:axPos val="l"/>
        <c:majorGridlines/>
        <c:title>
          <c:tx>
            <c:rich>
              <a:bodyPr rot="-5400000" vert="horz"/>
              <a:lstStyle/>
              <a:p>
                <a:pPr>
                  <a:defRPr/>
                </a:pPr>
                <a:r>
                  <a:rPr lang="sl-SI"/>
                  <a:t>v mio EUR</a:t>
                </a:r>
              </a:p>
            </c:rich>
          </c:tx>
          <c:overlay val="0"/>
        </c:title>
        <c:numFmt formatCode="#,##0.00" sourceLinked="1"/>
        <c:majorTickMark val="out"/>
        <c:minorTickMark val="none"/>
        <c:tickLblPos val="nextTo"/>
        <c:txPr>
          <a:bodyPr/>
          <a:lstStyle/>
          <a:p>
            <a:pPr>
              <a:defRPr sz="950" baseline="0"/>
            </a:pPr>
            <a:endParaRPr lang="sl-SI"/>
          </a:p>
        </c:txPr>
        <c:crossAx val="131331584"/>
        <c:crosses val="autoZero"/>
        <c:crossBetween val="between"/>
        <c:majorUnit val="10"/>
        <c:minorUnit val="2"/>
      </c:valAx>
      <c:valAx>
        <c:axId val="131417216"/>
        <c:scaling>
          <c:orientation val="minMax"/>
        </c:scaling>
        <c:delete val="0"/>
        <c:axPos val="r"/>
        <c:numFmt formatCode="0.0%" sourceLinked="1"/>
        <c:majorTickMark val="out"/>
        <c:minorTickMark val="none"/>
        <c:tickLblPos val="nextTo"/>
        <c:txPr>
          <a:bodyPr/>
          <a:lstStyle/>
          <a:p>
            <a:pPr>
              <a:defRPr sz="950" baseline="0"/>
            </a:pPr>
            <a:endParaRPr lang="sl-SI"/>
          </a:p>
        </c:txPr>
        <c:crossAx val="131418752"/>
        <c:crosses val="max"/>
        <c:crossBetween val="between"/>
      </c:valAx>
      <c:catAx>
        <c:axId val="131418752"/>
        <c:scaling>
          <c:orientation val="minMax"/>
        </c:scaling>
        <c:delete val="1"/>
        <c:axPos val="b"/>
        <c:majorTickMark val="out"/>
        <c:minorTickMark val="none"/>
        <c:tickLblPos val="nextTo"/>
        <c:crossAx val="131417216"/>
        <c:crosses val="autoZero"/>
        <c:auto val="1"/>
        <c:lblAlgn val="ctr"/>
        <c:lblOffset val="100"/>
        <c:noMultiLvlLbl val="0"/>
      </c:catAx>
      <c:spPr>
        <a:noFill/>
        <a:ln w="25400">
          <a:noFill/>
        </a:ln>
      </c:spPr>
    </c:plotArea>
    <c:legend>
      <c:legendPos val="r"/>
      <c:layout>
        <c:manualLayout>
          <c:xMode val="edge"/>
          <c:yMode val="edge"/>
          <c:x val="0.73361608286194102"/>
          <c:y val="0.16599757014178901"/>
          <c:w val="0.25261942944754701"/>
          <c:h val="0.52405524208259402"/>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15449361933201"/>
          <c:y val="0.24147485080988901"/>
          <c:w val="0.40795506648326502"/>
          <c:h val="0.75852514919011105"/>
        </c:manualLayout>
      </c:layout>
      <c:pieChart>
        <c:varyColors val="1"/>
        <c:ser>
          <c:idx val="0"/>
          <c:order val="0"/>
          <c:spPr>
            <a:ln>
              <a:solidFill>
                <a:schemeClr val="bg1"/>
              </a:solidFill>
            </a:ln>
          </c:spPr>
          <c:dPt>
            <c:idx val="0"/>
            <c:bubble3D val="0"/>
            <c:spPr>
              <a:solidFill>
                <a:srgbClr val="C00000"/>
              </a:solidFill>
              <a:ln>
                <a:solidFill>
                  <a:schemeClr val="bg1"/>
                </a:solidFill>
              </a:ln>
            </c:spPr>
          </c:dPt>
          <c:dPt>
            <c:idx val="1"/>
            <c:bubble3D val="0"/>
            <c:spPr>
              <a:solidFill>
                <a:srgbClr val="FFFF66"/>
              </a:solidFill>
              <a:ln>
                <a:solidFill>
                  <a:schemeClr val="bg1"/>
                </a:solidFill>
              </a:ln>
            </c:spPr>
          </c:dPt>
          <c:dPt>
            <c:idx val="2"/>
            <c:bubble3D val="0"/>
            <c:spPr>
              <a:solidFill>
                <a:schemeClr val="tx2">
                  <a:lumMod val="60000"/>
                  <a:lumOff val="40000"/>
                </a:schemeClr>
              </a:solidFill>
              <a:ln>
                <a:solidFill>
                  <a:schemeClr val="bg1"/>
                </a:solidFill>
              </a:ln>
            </c:spPr>
          </c:dPt>
          <c:dPt>
            <c:idx val="3"/>
            <c:bubble3D val="0"/>
            <c:spPr>
              <a:solidFill>
                <a:schemeClr val="accent6">
                  <a:lumMod val="75000"/>
                </a:schemeClr>
              </a:solidFill>
              <a:ln>
                <a:solidFill>
                  <a:schemeClr val="bg1"/>
                </a:solidFill>
              </a:ln>
            </c:spPr>
          </c:dPt>
          <c:dPt>
            <c:idx val="4"/>
            <c:bubble3D val="0"/>
            <c:spPr>
              <a:solidFill>
                <a:schemeClr val="accent4"/>
              </a:solidFill>
              <a:ln>
                <a:solidFill>
                  <a:schemeClr val="bg1"/>
                </a:solidFill>
              </a:ln>
            </c:spPr>
          </c:dPt>
          <c:dPt>
            <c:idx val="5"/>
            <c:bubble3D val="0"/>
            <c:spPr>
              <a:solidFill>
                <a:srgbClr val="00B050"/>
              </a:solidFill>
              <a:ln>
                <a:solidFill>
                  <a:schemeClr val="bg1"/>
                </a:solidFill>
              </a:ln>
            </c:spPr>
          </c:dPt>
          <c:dPt>
            <c:idx val="6"/>
            <c:bubble3D val="0"/>
            <c:spPr>
              <a:solidFill>
                <a:srgbClr val="FFC000"/>
              </a:solidFill>
              <a:ln>
                <a:solidFill>
                  <a:schemeClr val="bg1"/>
                </a:solidFill>
              </a:ln>
            </c:spPr>
          </c:dPt>
          <c:dLbls>
            <c:dLbl>
              <c:idx val="4"/>
              <c:layout>
                <c:manualLayout>
                  <c:x val="-3.33791523482245E-2"/>
                  <c:y val="6.6954872166402904E-2"/>
                </c:manualLayout>
              </c:layout>
              <c:showLegendKey val="0"/>
              <c:showVal val="0"/>
              <c:showCatName val="1"/>
              <c:showSerName val="0"/>
              <c:showPercent val="1"/>
              <c:showBubbleSize val="0"/>
            </c:dLbl>
            <c:dLbl>
              <c:idx val="5"/>
              <c:layout>
                <c:manualLayout>
                  <c:x val="-2.30576976846966E-2"/>
                  <c:y val="-4.2522227094494602E-2"/>
                </c:manualLayout>
              </c:layout>
              <c:showLegendKey val="0"/>
              <c:showVal val="0"/>
              <c:showCatName val="1"/>
              <c:showSerName val="0"/>
              <c:showPercent val="1"/>
              <c:showBubbleSize val="0"/>
            </c:dLbl>
            <c:dLbl>
              <c:idx val="7"/>
              <c:layout>
                <c:manualLayout>
                  <c:x val="9.63709175528316E-2"/>
                  <c:y val="2.2152739382153501E-2"/>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'Kategorije NOVO'!$B$49:$B$56</c:f>
              <c:strCache>
                <c:ptCount val="8"/>
                <c:pt idx="0">
                  <c:v>Zaposlovanje</c:v>
                </c:pt>
                <c:pt idx="1">
                  <c:v>MSP in tvegani kapital</c:v>
                </c:pt>
                <c:pt idx="2">
                  <c:v>Kultura</c:v>
                </c:pt>
                <c:pt idx="3">
                  <c:v>RRI</c:v>
                </c:pt>
                <c:pt idx="4">
                  <c:v>Regionalne pomoči</c:v>
                </c:pt>
                <c:pt idx="5">
                  <c:v>Kmetijstvo</c:v>
                </c:pt>
                <c:pt idx="6">
                  <c:v>Usposabljanje</c:v>
                </c:pt>
                <c:pt idx="7">
                  <c:v>Ostalo</c:v>
                </c:pt>
              </c:strCache>
            </c:strRef>
          </c:cat>
          <c:val>
            <c:numRef>
              <c:f>'Kategorije NOVO'!$K$49:$K$56</c:f>
              <c:numCache>
                <c:formatCode>#,##0.00</c:formatCode>
                <c:ptCount val="8"/>
                <c:pt idx="0">
                  <c:v>28.421554233333278</c:v>
                </c:pt>
                <c:pt idx="1">
                  <c:v>20.275174310000001</c:v>
                </c:pt>
                <c:pt idx="2">
                  <c:v>4.7756321599999998</c:v>
                </c:pt>
                <c:pt idx="3">
                  <c:v>6.2668266499999996</c:v>
                </c:pt>
                <c:pt idx="4">
                  <c:v>3.3869494333333292</c:v>
                </c:pt>
                <c:pt idx="5">
                  <c:v>2.0817141766666669</c:v>
                </c:pt>
                <c:pt idx="6">
                  <c:v>1.0936542166666661</c:v>
                </c:pt>
                <c:pt idx="7">
                  <c:v>0.71453075333333305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460357995790997E-2"/>
          <c:y val="2.61855479447183E-2"/>
          <c:w val="0.57339012240587095"/>
          <c:h val="0.87296765749809702"/>
        </c:manualLayout>
      </c:layout>
      <c:barChart>
        <c:barDir val="col"/>
        <c:grouping val="percentStacked"/>
        <c:varyColors val="0"/>
        <c:ser>
          <c:idx val="0"/>
          <c:order val="0"/>
          <c:tx>
            <c:strRef>
              <c:f>'DE minmis po instrum GRAF 08-17'!$B$54</c:f>
              <c:strCache>
                <c:ptCount val="1"/>
                <c:pt idx="0">
                  <c:v>Skupina A2 (Davčne oljašave, znižanje prispevkov)</c:v>
                </c:pt>
              </c:strCache>
            </c:strRef>
          </c:tx>
          <c:spPr>
            <a:solidFill>
              <a:srgbClr val="00B050"/>
            </a:solidFill>
            <a:ln>
              <a:solidFill>
                <a:sysClr val="windowText" lastClr="000000"/>
              </a:solidFill>
            </a:ln>
          </c:spPr>
          <c:invertIfNegative val="0"/>
          <c:dLbls>
            <c:dLbl>
              <c:idx val="9"/>
              <c:layout>
                <c:manualLayout>
                  <c:x val="5.0658561296859202E-2"/>
                  <c:y val="-4.68164794007491E-3"/>
                </c:manualLayout>
              </c:layout>
              <c:showLegendKey val="0"/>
              <c:showVal val="1"/>
              <c:showCatName val="0"/>
              <c:showSerName val="0"/>
              <c:showPercent val="0"/>
              <c:showBubbleSize val="0"/>
            </c:dLbl>
            <c:txPr>
              <a:bodyPr/>
              <a:lstStyle/>
              <a:p>
                <a:pPr>
                  <a:defRPr sz="950" baseline="0"/>
                </a:pPr>
                <a:endParaRPr lang="sl-SI"/>
              </a:p>
            </c:txPr>
            <c:showLegendKey val="0"/>
            <c:showVal val="0"/>
            <c:showCatName val="0"/>
            <c:showSerName val="0"/>
            <c:showPercent val="0"/>
            <c:showBubbleSize val="0"/>
          </c:dLbls>
          <c:cat>
            <c:numRef>
              <c:f>'DE minmis po instrum GRAF 08-17'!$D$53:$M$53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'DE minmis po instrum GRAF 08-17'!$C$54:$M$54</c:f>
              <c:numCache>
                <c:formatCode>0.0%</c:formatCode>
                <c:ptCount val="10"/>
                <c:pt idx="0">
                  <c:v>1.0103359920049499E-2</c:v>
                </c:pt>
                <c:pt idx="1">
                  <c:v>6.8606181925781398E-3</c:v>
                </c:pt>
                <c:pt idx="2">
                  <c:v>8.5067553045942799E-3</c:v>
                </c:pt>
                <c:pt idx="3">
                  <c:v>5.6928130787244199E-3</c:v>
                </c:pt>
                <c:pt idx="4">
                  <c:v>4.9362052634515097E-3</c:v>
                </c:pt>
                <c:pt idx="5">
                  <c:v>3.01171363640926E-3</c:v>
                </c:pt>
                <c:pt idx="6">
                  <c:v>1.0563254988386801E-3</c:v>
                </c:pt>
                <c:pt idx="7">
                  <c:v>3.88139281105295E-2</c:v>
                </c:pt>
                <c:pt idx="8">
                  <c:v>2.30000847099214E-2</c:v>
                </c:pt>
                <c:pt idx="9">
                  <c:v>0.13040321199011901</c:v>
                </c:pt>
              </c:numCache>
            </c:numRef>
          </c:val>
        </c:ser>
        <c:ser>
          <c:idx val="1"/>
          <c:order val="1"/>
          <c:tx>
            <c:strRef>
              <c:f>'DE minmis po instrum GRAF 08-17'!$B$55</c:f>
              <c:strCache>
                <c:ptCount val="1"/>
                <c:pt idx="0">
                  <c:v>Skupina A1 (Nepovratna sredstva)</c:v>
                </c:pt>
              </c:strCache>
            </c:strRef>
          </c:tx>
          <c:spPr>
            <a:solidFill>
              <a:srgbClr val="0070C0"/>
            </a:solidFill>
            <a:ln>
              <a:solidFill>
                <a:sysClr val="windowText" lastClr="000000"/>
              </a:solidFill>
            </a:ln>
          </c:spPr>
          <c:invertIfNegative val="0"/>
          <c:dLbls>
            <c:dLbl>
              <c:idx val="9"/>
              <c:layout>
                <c:manualLayout>
                  <c:x val="4.55927051671733E-2"/>
                  <c:y val="-2.8089887640449399E-2"/>
                </c:manualLayout>
              </c:layout>
              <c:showLegendKey val="0"/>
              <c:showVal val="1"/>
              <c:showCatName val="0"/>
              <c:showSerName val="0"/>
              <c:showPercent val="0"/>
              <c:showBubbleSize val="0"/>
            </c:dLbl>
            <c:txPr>
              <a:bodyPr/>
              <a:lstStyle/>
              <a:p>
                <a:pPr>
                  <a:defRPr sz="950" baseline="0"/>
                </a:pPr>
                <a:endParaRPr lang="sl-SI"/>
              </a:p>
            </c:txPr>
            <c:showLegendKey val="0"/>
            <c:showVal val="0"/>
            <c:showCatName val="0"/>
            <c:showSerName val="0"/>
            <c:showPercent val="0"/>
            <c:showBubbleSize val="0"/>
          </c:dLbls>
          <c:cat>
            <c:numRef>
              <c:f>'DE minmis po instrum GRAF 08-17'!$D$53:$M$53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'DE minmis po instrum GRAF 08-17'!$C$55:$M$55</c:f>
              <c:numCache>
                <c:formatCode>0.0%</c:formatCode>
                <c:ptCount val="10"/>
                <c:pt idx="0">
                  <c:v>0.93778083817051905</c:v>
                </c:pt>
                <c:pt idx="1">
                  <c:v>0.85652767784273698</c:v>
                </c:pt>
                <c:pt idx="2">
                  <c:v>0.84061408800966697</c:v>
                </c:pt>
                <c:pt idx="3">
                  <c:v>0.88951623643896205</c:v>
                </c:pt>
                <c:pt idx="4">
                  <c:v>0.93639427390844698</c:v>
                </c:pt>
                <c:pt idx="5">
                  <c:v>0.95403390518939701</c:v>
                </c:pt>
                <c:pt idx="6">
                  <c:v>0.73885973640916802</c:v>
                </c:pt>
                <c:pt idx="7">
                  <c:v>0.61248417149129497</c:v>
                </c:pt>
                <c:pt idx="8">
                  <c:v>0.74624848846360403</c:v>
                </c:pt>
                <c:pt idx="9">
                  <c:v>0.62600241810720803</c:v>
                </c:pt>
              </c:numCache>
            </c:numRef>
          </c:val>
        </c:ser>
        <c:ser>
          <c:idx val="2"/>
          <c:order val="2"/>
          <c:tx>
            <c:strRef>
              <c:f>'DE minmis po instrum GRAF 08-17'!$B$56</c:f>
              <c:strCache>
                <c:ptCount val="1"/>
                <c:pt idx="0">
                  <c:v>Skupina D (Garancije)</c:v>
                </c:pt>
              </c:strCache>
            </c:strRef>
          </c:tx>
          <c:spPr>
            <a:solidFill>
              <a:srgbClr val="7030A0"/>
            </a:solidFill>
            <a:ln>
              <a:solidFill>
                <a:sysClr val="windowText" lastClr="000000"/>
              </a:solidFill>
            </a:ln>
          </c:spPr>
          <c:invertIfNegative val="0"/>
          <c:dLbls>
            <c:dLbl>
              <c:idx val="9"/>
              <c:layout>
                <c:manualLayout>
                  <c:x val="4.3059777102330297E-2"/>
                  <c:y val="-4.68164794007491E-3"/>
                </c:manualLayout>
              </c:layout>
              <c:showLegendKey val="0"/>
              <c:showVal val="1"/>
              <c:showCatName val="0"/>
              <c:showSerName val="0"/>
              <c:showPercent val="0"/>
              <c:showBubbleSize val="0"/>
            </c:dLbl>
            <c:txPr>
              <a:bodyPr/>
              <a:lstStyle/>
              <a:p>
                <a:pPr>
                  <a:defRPr sz="950" baseline="0"/>
                </a:pPr>
                <a:endParaRPr lang="sl-SI"/>
              </a:p>
            </c:txPr>
            <c:showLegendKey val="0"/>
            <c:showVal val="0"/>
            <c:showCatName val="0"/>
            <c:showSerName val="0"/>
            <c:showPercent val="0"/>
            <c:showBubbleSize val="0"/>
          </c:dLbls>
          <c:cat>
            <c:numRef>
              <c:f>'DE minmis po instrum GRAF 08-17'!$D$53:$M$53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'DE minmis po instrum GRAF 08-17'!$C$56:$M$56</c:f>
              <c:numCache>
                <c:formatCode>0.0%</c:formatCode>
                <c:ptCount val="10"/>
                <c:pt idx="0">
                  <c:v>3.0898935633445899E-2</c:v>
                </c:pt>
                <c:pt idx="1">
                  <c:v>0.100589391884177</c:v>
                </c:pt>
                <c:pt idx="2">
                  <c:v>0.14448850437529001</c:v>
                </c:pt>
                <c:pt idx="3">
                  <c:v>0.10228877525081</c:v>
                </c:pt>
                <c:pt idx="4">
                  <c:v>5.6712225633681002E-2</c:v>
                </c:pt>
                <c:pt idx="5">
                  <c:v>3.1951422760626597E-2</c:v>
                </c:pt>
                <c:pt idx="6">
                  <c:v>0.114830791511915</c:v>
                </c:pt>
                <c:pt idx="7">
                  <c:v>0.23142319988217899</c:v>
                </c:pt>
                <c:pt idx="8">
                  <c:v>0.15264995002079801</c:v>
                </c:pt>
                <c:pt idx="9">
                  <c:v>0.14147974318491899</c:v>
                </c:pt>
              </c:numCache>
            </c:numRef>
          </c:val>
        </c:ser>
        <c:ser>
          <c:idx val="3"/>
          <c:order val="3"/>
          <c:tx>
            <c:strRef>
              <c:f>'DE minmis po instrum GRAF 08-17'!$B$57</c:f>
              <c:strCache>
                <c:ptCount val="1"/>
                <c:pt idx="0">
                  <c:v>Skupina C1 (Ugodna posojila)</c:v>
                </c:pt>
              </c:strCache>
            </c:strRef>
          </c:tx>
          <c:spPr>
            <a:solidFill>
              <a:srgbClr val="FFFF00"/>
            </a:solidFill>
            <a:ln>
              <a:solidFill>
                <a:sysClr val="windowText" lastClr="000000"/>
              </a:solidFill>
            </a:ln>
          </c:spPr>
          <c:invertIfNegative val="0"/>
          <c:dLbls>
            <c:dLbl>
              <c:idx val="9"/>
              <c:layout>
                <c:manualLayout>
                  <c:x val="4.3059777102330297E-2"/>
                  <c:y val="0"/>
                </c:manualLayout>
              </c:layout>
              <c:showLegendKey val="0"/>
              <c:showVal val="1"/>
              <c:showCatName val="0"/>
              <c:showSerName val="0"/>
              <c:showPercent val="0"/>
              <c:showBubbleSize val="0"/>
            </c:dLbl>
            <c:txPr>
              <a:bodyPr/>
              <a:lstStyle/>
              <a:p>
                <a:pPr>
                  <a:defRPr sz="950" baseline="0"/>
                </a:pPr>
                <a:endParaRPr lang="sl-SI"/>
              </a:p>
            </c:txPr>
            <c:showLegendKey val="0"/>
            <c:showVal val="0"/>
            <c:showCatName val="0"/>
            <c:showSerName val="0"/>
            <c:showPercent val="0"/>
            <c:showBubbleSize val="0"/>
          </c:dLbls>
          <c:cat>
            <c:numRef>
              <c:f>'DE minmis po instrum GRAF 08-17'!$D$53:$M$53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'DE minmis po instrum GRAF 08-17'!$C$57:$M$57</c:f>
              <c:numCache>
                <c:formatCode>0.0%</c:formatCode>
                <c:ptCount val="10"/>
                <c:pt idx="0">
                  <c:v>2.1216866275985399E-2</c:v>
                </c:pt>
                <c:pt idx="1">
                  <c:v>3.6022312080506998E-2</c:v>
                </c:pt>
                <c:pt idx="2">
                  <c:v>6.3906523104490399E-3</c:v>
                </c:pt>
                <c:pt idx="3">
                  <c:v>2.50217523150356E-3</c:v>
                </c:pt>
                <c:pt idx="4">
                  <c:v>1.81893407714155E-3</c:v>
                </c:pt>
                <c:pt idx="5">
                  <c:v>1.09875708589932E-2</c:v>
                </c:pt>
                <c:pt idx="6">
                  <c:v>0.145147579651419</c:v>
                </c:pt>
                <c:pt idx="7">
                  <c:v>0.117278700515996</c:v>
                </c:pt>
                <c:pt idx="8">
                  <c:v>7.8101476805676903E-2</c:v>
                </c:pt>
                <c:pt idx="9">
                  <c:v>0.102114626717753</c:v>
                </c:pt>
              </c:numCache>
            </c:numRef>
          </c:val>
        </c:ser>
        <c:dLbls>
          <c:showLegendKey val="0"/>
          <c:showVal val="0"/>
          <c:showCatName val="0"/>
          <c:showSerName val="0"/>
          <c:showPercent val="0"/>
          <c:showBubbleSize val="0"/>
        </c:dLbls>
        <c:gapWidth val="150"/>
        <c:overlap val="100"/>
        <c:axId val="131562880"/>
        <c:axId val="131576960"/>
      </c:barChart>
      <c:catAx>
        <c:axId val="131562880"/>
        <c:scaling>
          <c:orientation val="minMax"/>
        </c:scaling>
        <c:delete val="0"/>
        <c:axPos val="b"/>
        <c:numFmt formatCode="General" sourceLinked="1"/>
        <c:majorTickMark val="out"/>
        <c:minorTickMark val="none"/>
        <c:tickLblPos val="nextTo"/>
        <c:txPr>
          <a:bodyPr/>
          <a:lstStyle/>
          <a:p>
            <a:pPr>
              <a:defRPr sz="950" baseline="0"/>
            </a:pPr>
            <a:endParaRPr lang="sl-SI"/>
          </a:p>
        </c:txPr>
        <c:crossAx val="131576960"/>
        <c:crosses val="autoZero"/>
        <c:auto val="1"/>
        <c:lblAlgn val="ctr"/>
        <c:lblOffset val="100"/>
        <c:noMultiLvlLbl val="0"/>
      </c:catAx>
      <c:valAx>
        <c:axId val="131576960"/>
        <c:scaling>
          <c:orientation val="minMax"/>
        </c:scaling>
        <c:delete val="0"/>
        <c:axPos val="l"/>
        <c:majorGridlines/>
        <c:numFmt formatCode="0%" sourceLinked="1"/>
        <c:majorTickMark val="out"/>
        <c:minorTickMark val="none"/>
        <c:tickLblPos val="nextTo"/>
        <c:txPr>
          <a:bodyPr/>
          <a:lstStyle/>
          <a:p>
            <a:pPr>
              <a:defRPr sz="950" baseline="0"/>
            </a:pPr>
            <a:endParaRPr lang="sl-SI"/>
          </a:p>
        </c:txPr>
        <c:crossAx val="131562880"/>
        <c:crosses val="autoZero"/>
        <c:crossBetween val="between"/>
      </c:valAx>
    </c:plotArea>
    <c:legend>
      <c:legendPos val="r"/>
      <c:layout>
        <c:manualLayout>
          <c:xMode val="edge"/>
          <c:yMode val="edge"/>
          <c:x val="0.732199192922667"/>
          <c:y val="7.5754504264202702E-2"/>
          <c:w val="0.26526783162005702"/>
          <c:h val="0.75908890453733902"/>
        </c:manualLayout>
      </c:layout>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383301287920397E-2"/>
          <c:y val="3.9415234386024303E-2"/>
          <c:w val="0.59307067866516705"/>
          <c:h val="0.82026747664606403"/>
        </c:manualLayout>
      </c:layout>
      <c:barChart>
        <c:barDir val="col"/>
        <c:grouping val="percentStacked"/>
        <c:varyColors val="0"/>
        <c:ser>
          <c:idx val="0"/>
          <c:order val="0"/>
          <c:tx>
            <c:strRef>
              <c:f>'L104 dodeljene pomoči po letih '!$B$282</c:f>
              <c:strCache>
                <c:ptCount val="1"/>
                <c:pt idx="0">
                  <c:v>Državni nivo </c:v>
                </c:pt>
              </c:strCache>
            </c:strRef>
          </c:tx>
          <c:spPr>
            <a:solidFill>
              <a:srgbClr val="002060"/>
            </a:solidFill>
            <a:ln>
              <a:solidFill>
                <a:schemeClr val="bg1"/>
              </a:solidFill>
            </a:ln>
          </c:spPr>
          <c:invertIfNegative val="0"/>
          <c:dLbls>
            <c:dLbl>
              <c:idx val="9"/>
              <c:layout>
                <c:manualLayout>
                  <c:x val="5.1698670605612999E-2"/>
                  <c:y val="-4.5662100456621002E-3"/>
                </c:manualLayout>
              </c:layout>
              <c:showLegendKey val="0"/>
              <c:showVal val="1"/>
              <c:showCatName val="0"/>
              <c:showSerName val="0"/>
              <c:showPercent val="0"/>
              <c:showBubbleSize val="0"/>
            </c:dLbl>
            <c:showLegendKey val="0"/>
            <c:showVal val="0"/>
            <c:showCatName val="0"/>
            <c:showSerName val="0"/>
            <c:showPercent val="0"/>
            <c:showBubbleSize val="0"/>
          </c:dLbls>
          <c:cat>
            <c:numRef>
              <c:f>'L104 dodeljene pomoči po letih '!$C$3:$L$3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'L104 dodeljene pomoči po letih '!$C$282:$M$282</c:f>
              <c:numCache>
                <c:formatCode>0%</c:formatCode>
                <c:ptCount val="10"/>
                <c:pt idx="0">
                  <c:v>0.87911160421947898</c:v>
                </c:pt>
                <c:pt idx="1">
                  <c:v>0.947167635908157</c:v>
                </c:pt>
                <c:pt idx="2">
                  <c:v>0.95165407859879303</c:v>
                </c:pt>
                <c:pt idx="3">
                  <c:v>0.952287872837841</c:v>
                </c:pt>
                <c:pt idx="4">
                  <c:v>0.95937695035437198</c:v>
                </c:pt>
                <c:pt idx="5">
                  <c:v>0.96699015888913797</c:v>
                </c:pt>
                <c:pt idx="6">
                  <c:v>0.89222164364344203</c:v>
                </c:pt>
                <c:pt idx="7" formatCode="0.0%">
                  <c:v>0.85714619949572202</c:v>
                </c:pt>
                <c:pt idx="8" formatCode="0.0%">
                  <c:v>0.93984440909419598</c:v>
                </c:pt>
                <c:pt idx="9" formatCode="0.0%">
                  <c:v>0.921358969376882</c:v>
                </c:pt>
              </c:numCache>
            </c:numRef>
          </c:val>
        </c:ser>
        <c:ser>
          <c:idx val="1"/>
          <c:order val="1"/>
          <c:tx>
            <c:strRef>
              <c:f>'L104 dodeljene pomoči po letih '!$B$283</c:f>
              <c:strCache>
                <c:ptCount val="1"/>
                <c:pt idx="0">
                  <c:v>Lokalni in regionalni nivo</c:v>
                </c:pt>
              </c:strCache>
            </c:strRef>
          </c:tx>
          <c:spPr>
            <a:ln>
              <a:solidFill>
                <a:schemeClr val="bg1"/>
              </a:solidFill>
            </a:ln>
          </c:spPr>
          <c:invertIfNegative val="0"/>
          <c:dLbls>
            <c:dLbl>
              <c:idx val="9"/>
              <c:layout>
                <c:manualLayout>
                  <c:x val="4.6774987690792601E-2"/>
                  <c:y val="9.1324200913242004E-3"/>
                </c:manualLayout>
              </c:layout>
              <c:showLegendKey val="0"/>
              <c:showVal val="1"/>
              <c:showCatName val="0"/>
              <c:showSerName val="0"/>
              <c:showPercent val="0"/>
              <c:showBubbleSize val="0"/>
            </c:dLbl>
            <c:showLegendKey val="0"/>
            <c:showVal val="0"/>
            <c:showCatName val="0"/>
            <c:showSerName val="0"/>
            <c:showPercent val="0"/>
            <c:showBubbleSize val="0"/>
          </c:dLbls>
          <c:cat>
            <c:numRef>
              <c:f>'L104 dodeljene pomoči po letih '!$C$3:$L$3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'L104 dodeljene pomoči po letih '!$C$283:$M$283</c:f>
              <c:numCache>
                <c:formatCode>0%</c:formatCode>
                <c:ptCount val="10"/>
                <c:pt idx="0">
                  <c:v>0.120888395780521</c:v>
                </c:pt>
                <c:pt idx="1">
                  <c:v>5.2729948574418498E-2</c:v>
                </c:pt>
                <c:pt idx="2">
                  <c:v>4.8345921401207498E-2</c:v>
                </c:pt>
                <c:pt idx="3">
                  <c:v>4.7712127162158703E-2</c:v>
                </c:pt>
                <c:pt idx="4">
                  <c:v>4.0623049645628101E-2</c:v>
                </c:pt>
                <c:pt idx="5">
                  <c:v>3.3009841110861603E-2</c:v>
                </c:pt>
                <c:pt idx="6">
                  <c:v>0.107778356356558</c:v>
                </c:pt>
                <c:pt idx="7" formatCode="0.0%">
                  <c:v>0.14285380050427801</c:v>
                </c:pt>
                <c:pt idx="8" formatCode="0.0%">
                  <c:v>6.01555909058046E-2</c:v>
                </c:pt>
                <c:pt idx="9" formatCode="0.0%">
                  <c:v>7.8641030623117406E-2</c:v>
                </c:pt>
              </c:numCache>
            </c:numRef>
          </c:val>
        </c:ser>
        <c:dLbls>
          <c:showLegendKey val="0"/>
          <c:showVal val="0"/>
          <c:showCatName val="0"/>
          <c:showSerName val="0"/>
          <c:showPercent val="0"/>
          <c:showBubbleSize val="0"/>
        </c:dLbls>
        <c:gapWidth val="150"/>
        <c:overlap val="100"/>
        <c:axId val="131603072"/>
        <c:axId val="131608960"/>
      </c:barChart>
      <c:catAx>
        <c:axId val="131603072"/>
        <c:scaling>
          <c:orientation val="minMax"/>
        </c:scaling>
        <c:delete val="0"/>
        <c:axPos val="b"/>
        <c:numFmt formatCode="General" sourceLinked="1"/>
        <c:majorTickMark val="out"/>
        <c:minorTickMark val="none"/>
        <c:tickLblPos val="nextTo"/>
        <c:txPr>
          <a:bodyPr/>
          <a:lstStyle/>
          <a:p>
            <a:pPr>
              <a:defRPr sz="950" baseline="0"/>
            </a:pPr>
            <a:endParaRPr lang="sl-SI"/>
          </a:p>
        </c:txPr>
        <c:crossAx val="131608960"/>
        <c:crosses val="autoZero"/>
        <c:auto val="1"/>
        <c:lblAlgn val="ctr"/>
        <c:lblOffset val="100"/>
        <c:noMultiLvlLbl val="0"/>
      </c:catAx>
      <c:valAx>
        <c:axId val="131608960"/>
        <c:scaling>
          <c:orientation val="minMax"/>
          <c:min val="0"/>
        </c:scaling>
        <c:delete val="0"/>
        <c:axPos val="l"/>
        <c:majorGridlines/>
        <c:numFmt formatCode="0%" sourceLinked="1"/>
        <c:majorTickMark val="out"/>
        <c:minorTickMark val="none"/>
        <c:tickLblPos val="nextTo"/>
        <c:txPr>
          <a:bodyPr/>
          <a:lstStyle/>
          <a:p>
            <a:pPr>
              <a:defRPr sz="950" baseline="0"/>
            </a:pPr>
            <a:endParaRPr lang="sl-SI"/>
          </a:p>
        </c:txPr>
        <c:crossAx val="131603072"/>
        <c:crosses val="autoZero"/>
        <c:crossBetween val="between"/>
      </c:valAx>
    </c:plotArea>
    <c:legend>
      <c:legendPos val="r"/>
      <c:layout>
        <c:manualLayout>
          <c:xMode val="edge"/>
          <c:yMode val="edge"/>
          <c:x val="0.75484207383973601"/>
          <c:y val="0.34878006687520202"/>
          <c:w val="0.231760080949999"/>
          <c:h val="0.30933392555851003"/>
        </c:manualLayout>
      </c:layout>
      <c:overlay val="0"/>
    </c:legend>
    <c:plotVisOnly val="1"/>
    <c:dispBlanksAs val="gap"/>
    <c:showDLblsOverMax val="0"/>
  </c:chart>
  <c:spPr>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8262406505501"/>
          <c:y val="2.9860963325530301E-2"/>
          <c:w val="0.58762933715655497"/>
          <c:h val="0.81238140964086802"/>
        </c:manualLayout>
      </c:layout>
      <c:lineChart>
        <c:grouping val="standard"/>
        <c:varyColors val="0"/>
        <c:ser>
          <c:idx val="0"/>
          <c:order val="0"/>
          <c:tx>
            <c:strRef>
              <c:f>Sheet1!$B$44</c:f>
              <c:strCache>
                <c:ptCount val="1"/>
                <c:pt idx="0">
                  <c:v>MSP</c:v>
                </c:pt>
              </c:strCache>
            </c:strRef>
          </c:tx>
          <c:spPr>
            <a:ln cap="sq"/>
          </c:spPr>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Sheet1!$C$44:$L$44</c:f>
              <c:numCache>
                <c:formatCode>#,##0.00</c:formatCode>
                <c:ptCount val="10"/>
                <c:pt idx="0">
                  <c:v>198210059.84</c:v>
                </c:pt>
                <c:pt idx="1">
                  <c:v>267739448.97</c:v>
                </c:pt>
                <c:pt idx="2">
                  <c:v>264875777.71000001</c:v>
                </c:pt>
                <c:pt idx="3">
                  <c:v>297904923.5</c:v>
                </c:pt>
                <c:pt idx="4">
                  <c:v>324529499.00999999</c:v>
                </c:pt>
                <c:pt idx="5">
                  <c:v>338485342.95999998</c:v>
                </c:pt>
                <c:pt idx="6">
                  <c:v>352534392.76999998</c:v>
                </c:pt>
                <c:pt idx="7">
                  <c:v>261823173.81999999</c:v>
                </c:pt>
                <c:pt idx="8">
                  <c:v>221841491.16</c:v>
                </c:pt>
                <c:pt idx="9">
                  <c:v>271832607.87</c:v>
                </c:pt>
              </c:numCache>
            </c:numRef>
          </c:val>
          <c:smooth val="0"/>
        </c:ser>
        <c:ser>
          <c:idx val="1"/>
          <c:order val="1"/>
          <c:tx>
            <c:strRef>
              <c:f>Sheet1!$B$45</c:f>
              <c:strCache>
                <c:ptCount val="1"/>
                <c:pt idx="0">
                  <c:v>Velika podjeta </c:v>
                </c:pt>
              </c:strCache>
            </c:strRef>
          </c:tx>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Sheet1!$C$45:$L$45</c:f>
              <c:numCache>
                <c:formatCode>#,##0.00</c:formatCode>
                <c:ptCount val="10"/>
                <c:pt idx="0">
                  <c:v>107925692.76000001</c:v>
                </c:pt>
                <c:pt idx="1">
                  <c:v>148279519.78</c:v>
                </c:pt>
                <c:pt idx="2">
                  <c:v>138120396.71000001</c:v>
                </c:pt>
                <c:pt idx="3">
                  <c:v>191251598.27000001</c:v>
                </c:pt>
                <c:pt idx="4">
                  <c:v>181579362.31</c:v>
                </c:pt>
                <c:pt idx="5">
                  <c:v>219784876.63</c:v>
                </c:pt>
                <c:pt idx="6">
                  <c:v>178557882.06</c:v>
                </c:pt>
                <c:pt idx="7">
                  <c:v>281181532.95999998</c:v>
                </c:pt>
                <c:pt idx="8">
                  <c:v>147583334.65000001</c:v>
                </c:pt>
                <c:pt idx="9">
                  <c:v>153372183.37</c:v>
                </c:pt>
              </c:numCache>
            </c:numRef>
          </c:val>
          <c:smooth val="0"/>
        </c:ser>
        <c:dLbls>
          <c:showLegendKey val="0"/>
          <c:showVal val="0"/>
          <c:showCatName val="0"/>
          <c:showSerName val="0"/>
          <c:showPercent val="0"/>
          <c:showBubbleSize val="0"/>
        </c:dLbls>
        <c:dropLines/>
        <c:marker val="1"/>
        <c:smooth val="0"/>
        <c:axId val="131638400"/>
        <c:axId val="131639936"/>
      </c:lineChart>
      <c:catAx>
        <c:axId val="131638400"/>
        <c:scaling>
          <c:orientation val="minMax"/>
        </c:scaling>
        <c:delete val="0"/>
        <c:axPos val="b"/>
        <c:numFmt formatCode="General" sourceLinked="1"/>
        <c:majorTickMark val="none"/>
        <c:minorTickMark val="none"/>
        <c:tickLblPos val="nextTo"/>
        <c:txPr>
          <a:bodyPr/>
          <a:lstStyle/>
          <a:p>
            <a:pPr>
              <a:defRPr sz="940" baseline="0"/>
            </a:pPr>
            <a:endParaRPr lang="sl-SI"/>
          </a:p>
        </c:txPr>
        <c:crossAx val="131639936"/>
        <c:crosses val="autoZero"/>
        <c:auto val="1"/>
        <c:lblAlgn val="ctr"/>
        <c:lblOffset val="100"/>
        <c:noMultiLvlLbl val="0"/>
      </c:catAx>
      <c:valAx>
        <c:axId val="131639936"/>
        <c:scaling>
          <c:orientation val="minMax"/>
        </c:scaling>
        <c:delete val="0"/>
        <c:axPos val="l"/>
        <c:majorGridlines/>
        <c:numFmt formatCode="#,##0.00" sourceLinked="1"/>
        <c:majorTickMark val="out"/>
        <c:minorTickMark val="none"/>
        <c:tickLblPos val="nextTo"/>
        <c:txPr>
          <a:bodyPr/>
          <a:lstStyle/>
          <a:p>
            <a:pPr>
              <a:defRPr sz="940" baseline="0"/>
            </a:pPr>
            <a:endParaRPr lang="sl-SI"/>
          </a:p>
        </c:txPr>
        <c:crossAx val="131638400"/>
        <c:crosses val="autoZero"/>
        <c:crossBetween val="between"/>
        <c:dispUnits>
          <c:builtInUnit val="millions"/>
          <c:dispUnitsLbl>
            <c:tx>
              <c:rich>
                <a:bodyPr/>
                <a:lstStyle/>
                <a:p>
                  <a:pPr>
                    <a:defRPr/>
                  </a:pPr>
                  <a:r>
                    <a:rPr lang="en-US"/>
                    <a:t>v mio EUR</a:t>
                  </a:r>
                </a:p>
              </c:rich>
            </c:tx>
          </c:dispUnitsLbl>
        </c:dispUnits>
      </c:valAx>
    </c:plotArea>
    <c:legend>
      <c:legendPos val="r"/>
      <c:overlay val="0"/>
      <c:txPr>
        <a:bodyPr/>
        <a:lstStyle/>
        <a:p>
          <a:pPr>
            <a:defRPr sz="950" baseline="0"/>
          </a:pPr>
          <a:endParaRPr lang="sl-SI"/>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49429685775197E-2"/>
          <c:y val="3.9401779323039197E-2"/>
          <c:w val="0.65312943049708805"/>
          <c:h val="0.80639226914817497"/>
        </c:manualLayout>
      </c:layout>
      <c:barChart>
        <c:barDir val="col"/>
        <c:grouping val="percentStacked"/>
        <c:varyColors val="0"/>
        <c:ser>
          <c:idx val="0"/>
          <c:order val="0"/>
          <c:tx>
            <c:strRef>
              <c:f>'Skupine +GRAF'!$B$18</c:f>
              <c:strCache>
                <c:ptCount val="1"/>
                <c:pt idx="0">
                  <c:v>HORIZONTALNI CILJI</c:v>
                </c:pt>
              </c:strCache>
            </c:strRef>
          </c:tx>
          <c:invertIfNegative val="0"/>
          <c:dLbls>
            <c:dLbl>
              <c:idx val="9"/>
              <c:layout>
                <c:manualLayout>
                  <c:x val="4.0619446560040601E-2"/>
                  <c:y val="7.2405693315754001E-17"/>
                </c:manualLayout>
              </c:layout>
              <c:dLblPos val="ctr"/>
              <c:showLegendKey val="0"/>
              <c:showVal val="1"/>
              <c:showCatName val="0"/>
              <c:showSerName val="0"/>
              <c:showPercent val="0"/>
              <c:showBubbleSize val="0"/>
            </c:dLbl>
            <c:dLblPos val="ctr"/>
            <c:showLegendKey val="0"/>
            <c:showVal val="0"/>
            <c:showCatName val="0"/>
            <c:showSerName val="0"/>
            <c:showPercent val="0"/>
            <c:showBubbleSize val="0"/>
          </c:dLbls>
          <c:cat>
            <c:numRef>
              <c:f>'Skupine +GRAF'!$C$17:$L$17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'Skupine +GRAF'!$C$18:$L$18</c:f>
              <c:numCache>
                <c:formatCode>0%</c:formatCode>
                <c:ptCount val="10"/>
                <c:pt idx="0">
                  <c:v>0.48</c:v>
                </c:pt>
                <c:pt idx="1">
                  <c:v>0.6</c:v>
                </c:pt>
                <c:pt idx="2">
                  <c:v>0.62</c:v>
                </c:pt>
                <c:pt idx="3">
                  <c:v>0.6</c:v>
                </c:pt>
                <c:pt idx="4">
                  <c:v>0.72</c:v>
                </c:pt>
                <c:pt idx="5">
                  <c:v>0.65</c:v>
                </c:pt>
                <c:pt idx="6">
                  <c:v>0.73</c:v>
                </c:pt>
                <c:pt idx="7">
                  <c:v>0.6</c:v>
                </c:pt>
                <c:pt idx="8">
                  <c:v>0.83</c:v>
                </c:pt>
                <c:pt idx="9">
                  <c:v>0.82</c:v>
                </c:pt>
              </c:numCache>
            </c:numRef>
          </c:val>
        </c:ser>
        <c:ser>
          <c:idx val="1"/>
          <c:order val="1"/>
          <c:tx>
            <c:strRef>
              <c:f>'Skupine +GRAF'!$B$19</c:f>
              <c:strCache>
                <c:ptCount val="1"/>
                <c:pt idx="0">
                  <c:v>POSEBNI SEKTORJI</c:v>
                </c:pt>
              </c:strCache>
            </c:strRef>
          </c:tx>
          <c:invertIfNegative val="0"/>
          <c:dLbls>
            <c:dLbl>
              <c:idx val="7"/>
              <c:showLegendKey val="0"/>
              <c:showVal val="1"/>
              <c:showCatName val="0"/>
              <c:showSerName val="0"/>
              <c:showPercent val="0"/>
              <c:showBubbleSize val="0"/>
            </c:dLbl>
            <c:dLbl>
              <c:idx val="9"/>
              <c:layout>
                <c:manualLayout>
                  <c:x val="3.5542015740035501E-2"/>
                  <c:y val="3.6202846657876803E-17"/>
                </c:manualLayout>
              </c:layout>
              <c:showLegendKey val="0"/>
              <c:showVal val="1"/>
              <c:showCatName val="0"/>
              <c:showSerName val="0"/>
              <c:showPercent val="0"/>
              <c:showBubbleSize val="0"/>
            </c:dLbl>
            <c:showLegendKey val="0"/>
            <c:showVal val="0"/>
            <c:showCatName val="0"/>
            <c:showSerName val="0"/>
            <c:showPercent val="0"/>
            <c:showBubbleSize val="0"/>
          </c:dLbls>
          <c:cat>
            <c:numRef>
              <c:f>'Skupine +GRAF'!$C$17:$L$17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'Skupine +GRAF'!$C$19:$L$19</c:f>
              <c:numCache>
                <c:formatCode>0%</c:formatCode>
                <c:ptCount val="10"/>
                <c:pt idx="0">
                  <c:v>0.19</c:v>
                </c:pt>
                <c:pt idx="1">
                  <c:v>0.16</c:v>
                </c:pt>
                <c:pt idx="2">
                  <c:v>0.15</c:v>
                </c:pt>
                <c:pt idx="3">
                  <c:v>0.23</c:v>
                </c:pt>
                <c:pt idx="4">
                  <c:v>0.12</c:v>
                </c:pt>
                <c:pt idx="5">
                  <c:v>0.18</c:v>
                </c:pt>
                <c:pt idx="6">
                  <c:v>0.11</c:v>
                </c:pt>
                <c:pt idx="7">
                  <c:v>0.28999999999999998</c:v>
                </c:pt>
                <c:pt idx="8">
                  <c:v>0.15</c:v>
                </c:pt>
                <c:pt idx="9">
                  <c:v>0.15</c:v>
                </c:pt>
              </c:numCache>
            </c:numRef>
          </c:val>
        </c:ser>
        <c:ser>
          <c:idx val="2"/>
          <c:order val="2"/>
          <c:tx>
            <c:strRef>
              <c:f>'Skupine +GRAF'!$B$20</c:f>
              <c:strCache>
                <c:ptCount val="1"/>
                <c:pt idx="0">
                  <c:v>KMETIJSTVO</c:v>
                </c:pt>
              </c:strCache>
            </c:strRef>
          </c:tx>
          <c:invertIfNegative val="0"/>
          <c:dLbls>
            <c:dLbl>
              <c:idx val="0"/>
              <c:showLegendKey val="0"/>
              <c:showVal val="1"/>
              <c:showCatName val="0"/>
              <c:showSerName val="0"/>
              <c:showPercent val="0"/>
              <c:showBubbleSize val="0"/>
            </c:dLbl>
            <c:dLbl>
              <c:idx val="9"/>
              <c:layout>
                <c:manualLayout>
                  <c:x val="3.0464584920030499E-2"/>
                  <c:y val="-1.97472353870458E-2"/>
                </c:manualLayout>
              </c:layout>
              <c:showLegendKey val="0"/>
              <c:showVal val="1"/>
              <c:showCatName val="0"/>
              <c:showSerName val="0"/>
              <c:showPercent val="0"/>
              <c:showBubbleSize val="0"/>
            </c:dLbl>
            <c:showLegendKey val="0"/>
            <c:showVal val="0"/>
            <c:showCatName val="0"/>
            <c:showSerName val="0"/>
            <c:showPercent val="0"/>
            <c:showBubbleSize val="0"/>
          </c:dLbls>
          <c:cat>
            <c:numRef>
              <c:f>'Skupine +GRAF'!$C$17:$L$17</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'Skupine +GRAF'!$C$20:$L$20</c:f>
              <c:numCache>
                <c:formatCode>0%</c:formatCode>
                <c:ptCount val="10"/>
                <c:pt idx="0">
                  <c:v>0.34</c:v>
                </c:pt>
                <c:pt idx="1">
                  <c:v>0.24</c:v>
                </c:pt>
                <c:pt idx="2">
                  <c:v>0.23</c:v>
                </c:pt>
                <c:pt idx="3">
                  <c:v>0.18</c:v>
                </c:pt>
                <c:pt idx="4">
                  <c:v>0.17</c:v>
                </c:pt>
                <c:pt idx="5">
                  <c:v>0.17</c:v>
                </c:pt>
                <c:pt idx="6">
                  <c:v>0.16</c:v>
                </c:pt>
                <c:pt idx="7">
                  <c:v>0.11</c:v>
                </c:pt>
                <c:pt idx="8">
                  <c:v>0.02</c:v>
                </c:pt>
                <c:pt idx="9">
                  <c:v>0.03</c:v>
                </c:pt>
              </c:numCache>
            </c:numRef>
          </c:val>
        </c:ser>
        <c:dLbls>
          <c:showLegendKey val="0"/>
          <c:showVal val="0"/>
          <c:showCatName val="0"/>
          <c:showSerName val="0"/>
          <c:showPercent val="0"/>
          <c:showBubbleSize val="0"/>
        </c:dLbls>
        <c:gapWidth val="300"/>
        <c:overlap val="100"/>
        <c:serLines/>
        <c:axId val="36806016"/>
        <c:axId val="36807808"/>
      </c:barChart>
      <c:catAx>
        <c:axId val="36806016"/>
        <c:scaling>
          <c:orientation val="minMax"/>
        </c:scaling>
        <c:delete val="0"/>
        <c:axPos val="b"/>
        <c:numFmt formatCode="General" sourceLinked="1"/>
        <c:majorTickMark val="none"/>
        <c:minorTickMark val="none"/>
        <c:tickLblPos val="nextTo"/>
        <c:crossAx val="36807808"/>
        <c:crosses val="autoZero"/>
        <c:auto val="1"/>
        <c:lblAlgn val="ctr"/>
        <c:lblOffset val="100"/>
        <c:noMultiLvlLbl val="0"/>
      </c:catAx>
      <c:valAx>
        <c:axId val="36807808"/>
        <c:scaling>
          <c:orientation val="minMax"/>
        </c:scaling>
        <c:delete val="0"/>
        <c:axPos val="l"/>
        <c:majorGridlines/>
        <c:numFmt formatCode="0%" sourceLinked="1"/>
        <c:majorTickMark val="out"/>
        <c:minorTickMark val="none"/>
        <c:tickLblPos val="nextTo"/>
        <c:crossAx val="36806016"/>
        <c:crosses val="autoZero"/>
        <c:crossBetween val="between"/>
      </c:valAx>
    </c:plotArea>
    <c:legend>
      <c:legendPos val="r"/>
      <c:layout>
        <c:manualLayout>
          <c:xMode val="edge"/>
          <c:yMode val="edge"/>
          <c:x val="0.768221839306098"/>
          <c:y val="0.16701088593433999"/>
          <c:w val="0.21331094001061501"/>
          <c:h val="0.53847331583552105"/>
        </c:manualLayout>
      </c:layout>
      <c:overlay val="0"/>
    </c:legend>
    <c:plotVisOnly val="1"/>
    <c:dispBlanksAs val="gap"/>
    <c:showDLblsOverMax val="0"/>
  </c:chart>
  <c:spPr>
    <a:noFill/>
    <a:ln>
      <a:noFill/>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Sheet1!$B$32</c:f>
              <c:strCache>
                <c:ptCount val="1"/>
                <c:pt idx="0">
                  <c:v>Mikro enote</c:v>
                </c:pt>
              </c:strCache>
            </c:strRef>
          </c:tx>
          <c:spPr>
            <a:ln>
              <a:solidFill>
                <a:srgbClr val="00B050"/>
              </a:solidFill>
            </a:ln>
          </c:spPr>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Sheet1!$C$32:$L$32</c:f>
              <c:numCache>
                <c:formatCode>#,##0.00</c:formatCode>
                <c:ptCount val="10"/>
                <c:pt idx="0">
                  <c:v>86948843.049999997</c:v>
                </c:pt>
                <c:pt idx="1">
                  <c:v>116980898.86</c:v>
                </c:pt>
                <c:pt idx="2">
                  <c:v>102184539.29000001</c:v>
                </c:pt>
                <c:pt idx="3">
                  <c:v>106121047.98</c:v>
                </c:pt>
                <c:pt idx="4">
                  <c:v>123204217.41</c:v>
                </c:pt>
                <c:pt idx="5">
                  <c:v>142836299.86000001</c:v>
                </c:pt>
                <c:pt idx="6">
                  <c:v>130108129.34999999</c:v>
                </c:pt>
                <c:pt idx="7">
                  <c:v>95645163.680000007</c:v>
                </c:pt>
                <c:pt idx="8">
                  <c:v>80968402.829999998</c:v>
                </c:pt>
                <c:pt idx="9">
                  <c:v>102299672.43000001</c:v>
                </c:pt>
              </c:numCache>
            </c:numRef>
          </c:val>
          <c:smooth val="0"/>
        </c:ser>
        <c:ser>
          <c:idx val="1"/>
          <c:order val="1"/>
          <c:tx>
            <c:strRef>
              <c:f>Sheet1!$B$33</c:f>
              <c:strCache>
                <c:ptCount val="1"/>
                <c:pt idx="0">
                  <c:v>Majhne enote</c:v>
                </c:pt>
              </c:strCache>
            </c:strRef>
          </c:tx>
          <c:spPr>
            <a:ln>
              <a:solidFill>
                <a:srgbClr val="002060"/>
              </a:solidFill>
            </a:ln>
          </c:spPr>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Sheet1!$C$33:$L$33</c:f>
              <c:numCache>
                <c:formatCode>#,##0.00</c:formatCode>
                <c:ptCount val="10"/>
                <c:pt idx="0">
                  <c:v>39213456.460000001</c:v>
                </c:pt>
                <c:pt idx="1">
                  <c:v>56612572.420000002</c:v>
                </c:pt>
                <c:pt idx="2">
                  <c:v>63781807.700000003</c:v>
                </c:pt>
                <c:pt idx="3">
                  <c:v>100317568.18000001</c:v>
                </c:pt>
                <c:pt idx="4">
                  <c:v>109832112.79000001</c:v>
                </c:pt>
                <c:pt idx="5">
                  <c:v>96544939.370000005</c:v>
                </c:pt>
                <c:pt idx="6">
                  <c:v>105786708.16</c:v>
                </c:pt>
                <c:pt idx="7">
                  <c:v>78950124.180000007</c:v>
                </c:pt>
                <c:pt idx="8">
                  <c:v>67066014.049999997</c:v>
                </c:pt>
                <c:pt idx="9">
                  <c:v>79803049.280000001</c:v>
                </c:pt>
              </c:numCache>
            </c:numRef>
          </c:val>
          <c:smooth val="0"/>
        </c:ser>
        <c:ser>
          <c:idx val="2"/>
          <c:order val="2"/>
          <c:tx>
            <c:strRef>
              <c:f>Sheet1!$B$34</c:f>
              <c:strCache>
                <c:ptCount val="1"/>
                <c:pt idx="0">
                  <c:v>Srednje enote</c:v>
                </c:pt>
              </c:strCache>
            </c:strRef>
          </c:tx>
          <c:spPr>
            <a:ln>
              <a:solidFill>
                <a:schemeClr val="accent6">
                  <a:lumMod val="75000"/>
                </a:schemeClr>
              </a:solidFill>
            </a:ln>
          </c:spPr>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Sheet1!$C$34:$L$34</c:f>
              <c:numCache>
                <c:formatCode>#,##0.00</c:formatCode>
                <c:ptCount val="10"/>
                <c:pt idx="0">
                  <c:v>72047760.329999998</c:v>
                </c:pt>
                <c:pt idx="1">
                  <c:v>94145977.689999998</c:v>
                </c:pt>
                <c:pt idx="2">
                  <c:v>98909430.719999999</c:v>
                </c:pt>
                <c:pt idx="3">
                  <c:v>91466307.340000004</c:v>
                </c:pt>
                <c:pt idx="4">
                  <c:v>91493168.810000002</c:v>
                </c:pt>
                <c:pt idx="5">
                  <c:v>99104103.730000004</c:v>
                </c:pt>
                <c:pt idx="6">
                  <c:v>116639555.26000001</c:v>
                </c:pt>
                <c:pt idx="7">
                  <c:v>87227885.959999993</c:v>
                </c:pt>
                <c:pt idx="8">
                  <c:v>73807074.280000001</c:v>
                </c:pt>
                <c:pt idx="9">
                  <c:v>89729886.159999996</c:v>
                </c:pt>
              </c:numCache>
            </c:numRef>
          </c:val>
          <c:smooth val="0"/>
        </c:ser>
        <c:ser>
          <c:idx val="3"/>
          <c:order val="3"/>
          <c:tx>
            <c:strRef>
              <c:f>Sheet1!$B$35</c:f>
              <c:strCache>
                <c:ptCount val="1"/>
                <c:pt idx="0">
                  <c:v>Velike enote</c:v>
                </c:pt>
              </c:strCache>
            </c:strRef>
          </c:tx>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Sheet1!$C$35:$L$35</c:f>
              <c:numCache>
                <c:formatCode>#,##0.00</c:formatCode>
                <c:ptCount val="10"/>
                <c:pt idx="0">
                  <c:v>107925692.76000001</c:v>
                </c:pt>
                <c:pt idx="1">
                  <c:v>148279519.78</c:v>
                </c:pt>
                <c:pt idx="2">
                  <c:v>138120396.71000001</c:v>
                </c:pt>
                <c:pt idx="3">
                  <c:v>191251598.27000001</c:v>
                </c:pt>
                <c:pt idx="4">
                  <c:v>181579362.31</c:v>
                </c:pt>
                <c:pt idx="5">
                  <c:v>219784876.63</c:v>
                </c:pt>
                <c:pt idx="6">
                  <c:v>178557882.06</c:v>
                </c:pt>
                <c:pt idx="7">
                  <c:v>281181532.95999998</c:v>
                </c:pt>
                <c:pt idx="8">
                  <c:v>147583334.65000001</c:v>
                </c:pt>
                <c:pt idx="9">
                  <c:v>153372183.37</c:v>
                </c:pt>
              </c:numCache>
            </c:numRef>
          </c:val>
          <c:smooth val="0"/>
        </c:ser>
        <c:ser>
          <c:idx val="4"/>
          <c:order val="4"/>
          <c:tx>
            <c:strRef>
              <c:f>Sheet1!$B$36</c:f>
              <c:strCache>
                <c:ptCount val="1"/>
                <c:pt idx="0">
                  <c:v>Stečaji</c:v>
                </c:pt>
              </c:strCache>
            </c:strRef>
          </c:tx>
          <c:marker>
            <c:symbol val="none"/>
          </c:marker>
          <c:cat>
            <c:numRef>
              <c:f>Sheet1!$C$31:$L$31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Sheet1!$C$36:$L$36</c:f>
              <c:numCache>
                <c:formatCode>#,##0.00</c:formatCode>
                <c:ptCount val="10"/>
                <c:pt idx="0">
                  <c:v>18054413.41</c:v>
                </c:pt>
                <c:pt idx="1">
                  <c:v>35809467.759999998</c:v>
                </c:pt>
                <c:pt idx="2">
                  <c:v>32661558.25</c:v>
                </c:pt>
                <c:pt idx="3">
                  <c:v>36083123.299999997</c:v>
                </c:pt>
                <c:pt idx="4">
                  <c:v>36392176.890000001</c:v>
                </c:pt>
                <c:pt idx="5">
                  <c:v>21662009.469999999</c:v>
                </c:pt>
                <c:pt idx="6">
                  <c:v>11999901.42</c:v>
                </c:pt>
                <c:pt idx="7">
                  <c:v>10310955.859999999</c:v>
                </c:pt>
                <c:pt idx="8">
                  <c:v>5605404.8200000003</c:v>
                </c:pt>
                <c:pt idx="9">
                  <c:v>1976888.16</c:v>
                </c:pt>
              </c:numCache>
            </c:numRef>
          </c:val>
          <c:smooth val="0"/>
        </c:ser>
        <c:dLbls>
          <c:showLegendKey val="0"/>
          <c:showVal val="0"/>
          <c:showCatName val="0"/>
          <c:showSerName val="0"/>
          <c:showPercent val="0"/>
          <c:showBubbleSize val="0"/>
        </c:dLbls>
        <c:dropLines/>
        <c:marker val="1"/>
        <c:smooth val="0"/>
        <c:axId val="131754240"/>
        <c:axId val="131760128"/>
      </c:lineChart>
      <c:catAx>
        <c:axId val="131754240"/>
        <c:scaling>
          <c:orientation val="minMax"/>
        </c:scaling>
        <c:delete val="0"/>
        <c:axPos val="b"/>
        <c:numFmt formatCode="General" sourceLinked="1"/>
        <c:majorTickMark val="none"/>
        <c:minorTickMark val="none"/>
        <c:tickLblPos val="nextTo"/>
        <c:txPr>
          <a:bodyPr/>
          <a:lstStyle/>
          <a:p>
            <a:pPr>
              <a:defRPr sz="950" baseline="0"/>
            </a:pPr>
            <a:endParaRPr lang="sl-SI"/>
          </a:p>
        </c:txPr>
        <c:crossAx val="131760128"/>
        <c:crosses val="autoZero"/>
        <c:auto val="1"/>
        <c:lblAlgn val="ctr"/>
        <c:lblOffset val="100"/>
        <c:noMultiLvlLbl val="0"/>
      </c:catAx>
      <c:valAx>
        <c:axId val="131760128"/>
        <c:scaling>
          <c:orientation val="minMax"/>
        </c:scaling>
        <c:delete val="0"/>
        <c:axPos val="l"/>
        <c:majorGridlines/>
        <c:numFmt formatCode="#,##0.00" sourceLinked="1"/>
        <c:majorTickMark val="out"/>
        <c:minorTickMark val="none"/>
        <c:tickLblPos val="nextTo"/>
        <c:txPr>
          <a:bodyPr/>
          <a:lstStyle/>
          <a:p>
            <a:pPr>
              <a:defRPr sz="940" baseline="0"/>
            </a:pPr>
            <a:endParaRPr lang="sl-SI"/>
          </a:p>
        </c:txPr>
        <c:crossAx val="131754240"/>
        <c:crosses val="autoZero"/>
        <c:crossBetween val="between"/>
        <c:dispUnits>
          <c:builtInUnit val="millions"/>
          <c:dispUnitsLbl>
            <c:tx>
              <c:rich>
                <a:bodyPr/>
                <a:lstStyle/>
                <a:p>
                  <a:pPr>
                    <a:defRPr/>
                  </a:pPr>
                  <a:r>
                    <a:rPr lang="en-US"/>
                    <a:t>v mio EUR</a:t>
                  </a:r>
                </a:p>
              </c:rich>
            </c:tx>
          </c:dispUnitsLbl>
        </c:dispUnits>
      </c:valAx>
    </c:plotArea>
    <c:legend>
      <c:legendPos val="r"/>
      <c:overlay val="0"/>
      <c:txPr>
        <a:bodyPr/>
        <a:lstStyle/>
        <a:p>
          <a:pPr>
            <a:defRPr sz="950" baseline="0"/>
          </a:pPr>
          <a:endParaRPr lang="sl-SI"/>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025798604443"/>
          <c:y val="0.13036349470914699"/>
          <c:w val="0.47654475101181498"/>
          <c:h val="0.85569349451756505"/>
        </c:manualLayout>
      </c:layout>
      <c:pieChart>
        <c:varyColors val="1"/>
        <c:ser>
          <c:idx val="0"/>
          <c:order val="0"/>
          <c:spPr>
            <a:ln>
              <a:solidFill>
                <a:schemeClr val="bg1"/>
              </a:solidFill>
            </a:ln>
          </c:spPr>
          <c:dPt>
            <c:idx val="2"/>
            <c:bubble3D val="0"/>
            <c:spPr>
              <a:solidFill>
                <a:schemeClr val="bg2">
                  <a:lumMod val="50000"/>
                </a:schemeClr>
              </a:solidFill>
              <a:ln>
                <a:solidFill>
                  <a:schemeClr val="bg1"/>
                </a:solidFill>
              </a:ln>
            </c:spPr>
          </c:dPt>
          <c:dPt>
            <c:idx val="6"/>
            <c:bubble3D val="0"/>
            <c:spPr>
              <a:solidFill>
                <a:srgbClr val="00B050"/>
              </a:solidFill>
              <a:ln>
                <a:solidFill>
                  <a:schemeClr val="bg1"/>
                </a:solidFill>
              </a:ln>
            </c:spPr>
          </c:dPt>
          <c:dPt>
            <c:idx val="8"/>
            <c:bubble3D val="0"/>
            <c:spPr>
              <a:solidFill>
                <a:srgbClr val="FFFF99"/>
              </a:solidFill>
              <a:ln>
                <a:solidFill>
                  <a:schemeClr val="bg1"/>
                </a:solidFill>
              </a:ln>
            </c:spPr>
          </c:dPt>
          <c:dLbls>
            <c:dLbl>
              <c:idx val="0"/>
              <c:layout>
                <c:manualLayout>
                  <c:x val="-0.16414281835460201"/>
                  <c:y val="6.0213971098440303E-2"/>
                </c:manualLayout>
              </c:layout>
              <c:showLegendKey val="0"/>
              <c:showVal val="0"/>
              <c:showCatName val="1"/>
              <c:showSerName val="0"/>
              <c:showPercent val="1"/>
              <c:showBubbleSize val="0"/>
            </c:dLbl>
            <c:dLbl>
              <c:idx val="1"/>
              <c:layout>
                <c:manualLayout>
                  <c:x val="9.2980389303519095E-2"/>
                  <c:y val="-0.128318639313099"/>
                </c:manualLayout>
              </c:layout>
              <c:showLegendKey val="0"/>
              <c:showVal val="0"/>
              <c:showCatName val="1"/>
              <c:showSerName val="0"/>
              <c:showPercent val="1"/>
              <c:showBubbleSize val="0"/>
            </c:dLbl>
            <c:dLbl>
              <c:idx val="2"/>
              <c:layout>
                <c:manualLayout>
                  <c:x val="-2.5570619196794001E-2"/>
                  <c:y val="-2.8875892492330298E-2"/>
                </c:manualLayout>
              </c:layout>
              <c:showLegendKey val="0"/>
              <c:showVal val="0"/>
              <c:showCatName val="1"/>
              <c:showSerName val="0"/>
              <c:showPercent val="1"/>
              <c:showBubbleSize val="0"/>
            </c:dLbl>
            <c:dLbl>
              <c:idx val="4"/>
              <c:layout>
                <c:manualLayout>
                  <c:x val="-5.57304733460042E-2"/>
                  <c:y val="0.116406616936041"/>
                </c:manualLayout>
              </c:layout>
              <c:showLegendKey val="0"/>
              <c:showVal val="0"/>
              <c:showCatName val="1"/>
              <c:showSerName val="0"/>
              <c:showPercent val="1"/>
              <c:showBubbleSize val="0"/>
            </c:dLbl>
            <c:dLbl>
              <c:idx val="5"/>
              <c:layout>
                <c:manualLayout>
                  <c:x val="-3.8584095638977002E-2"/>
                  <c:y val="2.1680057929288499E-2"/>
                </c:manualLayout>
              </c:layout>
              <c:showLegendKey val="0"/>
              <c:showVal val="0"/>
              <c:showCatName val="1"/>
              <c:showSerName val="0"/>
              <c:showPercent val="1"/>
              <c:showBubbleSize val="0"/>
            </c:dLbl>
            <c:dLbl>
              <c:idx val="6"/>
              <c:layout>
                <c:manualLayout>
                  <c:x val="2.5789470334540701E-3"/>
                  <c:y val="-9.5345572741099699E-3"/>
                </c:manualLayout>
              </c:layout>
              <c:showLegendKey val="0"/>
              <c:showVal val="0"/>
              <c:showCatName val="1"/>
              <c:showSerName val="0"/>
              <c:showPercent val="1"/>
              <c:showBubbleSize val="0"/>
            </c:dLbl>
            <c:dLbl>
              <c:idx val="7"/>
              <c:layout>
                <c:manualLayout>
                  <c:x val="1.61602604094906E-2"/>
                  <c:y val="-2.2037773456965001E-2"/>
                </c:manualLayout>
              </c:layout>
              <c:showLegendKey val="0"/>
              <c:showVal val="0"/>
              <c:showCatName val="1"/>
              <c:showSerName val="0"/>
              <c:showPercent val="1"/>
              <c:showBubbleSize val="0"/>
            </c:dLbl>
            <c:dLbl>
              <c:idx val="8"/>
              <c:layout>
                <c:manualLayout>
                  <c:x val="0.14097670415970201"/>
                  <c:y val="6.4094046072023E-2"/>
                </c:manualLayout>
              </c:layout>
              <c:showLegendKey val="0"/>
              <c:showVal val="0"/>
              <c:showCatName val="1"/>
              <c:showSerName val="0"/>
              <c:showPercent val="1"/>
              <c:showBubbleSize val="0"/>
            </c:dLbl>
            <c:numFmt formatCode="0.0%" sourceLinked="0"/>
            <c:txPr>
              <a:bodyPr/>
              <a:lstStyle/>
              <a:p>
                <a:pPr>
                  <a:defRPr sz="1000"/>
                </a:pPr>
                <a:endParaRPr lang="sl-SI"/>
              </a:p>
            </c:txPr>
            <c:showLegendKey val="0"/>
            <c:showVal val="0"/>
            <c:showCatName val="1"/>
            <c:showSerName val="0"/>
            <c:showPercent val="1"/>
            <c:showBubbleSize val="0"/>
            <c:showLeaderLines val="1"/>
          </c:dLbls>
          <c:cat>
            <c:strRef>
              <c:f>('Kategorije 2015 -2017 + GRAF'!$B$56:$B$64;'Kategorije 2015 -2017 + GRAF'!$B$67)</c:f>
              <c:strCache>
                <c:ptCount val="9"/>
                <c:pt idx="0">
                  <c:v>Varstvo okolja</c:v>
                </c:pt>
                <c:pt idx="1">
                  <c:v>Zaposlovanje</c:v>
                </c:pt>
                <c:pt idx="2">
                  <c:v>Transport (kopenski)</c:v>
                </c:pt>
                <c:pt idx="3">
                  <c:v>RRI</c:v>
                </c:pt>
                <c:pt idx="4">
                  <c:v>Regionalne pomoči</c:v>
                </c:pt>
                <c:pt idx="5">
                  <c:v>Premogovništvo</c:v>
                </c:pt>
                <c:pt idx="6">
                  <c:v>Kmetijstvo</c:v>
                </c:pt>
                <c:pt idx="7">
                  <c:v>Kultura</c:v>
                </c:pt>
                <c:pt idx="8">
                  <c:v>MSP in tvegani kaptial</c:v>
                </c:pt>
              </c:strCache>
            </c:strRef>
          </c:cat>
          <c:val>
            <c:numRef>
              <c:f>('Kategorije 2015 -2017 + GRAF'!$G$56:$G$64;'Kategorije 2015 -2017 + GRAF'!$G$67)</c:f>
              <c:numCache>
                <c:formatCode>#,##0.00</c:formatCode>
                <c:ptCount val="9"/>
                <c:pt idx="0">
                  <c:v>182.56</c:v>
                </c:pt>
                <c:pt idx="1">
                  <c:v>98.47</c:v>
                </c:pt>
                <c:pt idx="2">
                  <c:v>45.66</c:v>
                </c:pt>
                <c:pt idx="3">
                  <c:v>34.4</c:v>
                </c:pt>
                <c:pt idx="4">
                  <c:v>20.97</c:v>
                </c:pt>
                <c:pt idx="5">
                  <c:v>15.75</c:v>
                </c:pt>
                <c:pt idx="6">
                  <c:v>13.94</c:v>
                </c:pt>
                <c:pt idx="7">
                  <c:v>10.34</c:v>
                </c:pt>
                <c:pt idx="8">
                  <c:v>3.73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488154258495494E-2"/>
          <c:y val="4.3714636172990901E-2"/>
          <c:w val="0.60261009040536595"/>
          <c:h val="0.863601471926562"/>
        </c:manualLayout>
      </c:layout>
      <c:barChart>
        <c:barDir val="bar"/>
        <c:grouping val="percentStacked"/>
        <c:varyColors val="0"/>
        <c:ser>
          <c:idx val="0"/>
          <c:order val="0"/>
          <c:tx>
            <c:strRef>
              <c:f>'Kategorije 2008 - 2017'!$B$31</c:f>
              <c:strCache>
                <c:ptCount val="1"/>
                <c:pt idx="0">
                  <c:v>Varstvo okolja</c:v>
                </c:pt>
              </c:strCache>
            </c:strRef>
          </c:tx>
          <c:spPr>
            <a:solidFill>
              <a:srgbClr val="0070C0"/>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2008 - 2017'!$C$31:$L$31</c:f>
              <c:numCache>
                <c:formatCode>#,##0.00</c:formatCode>
                <c:ptCount val="10"/>
                <c:pt idx="0">
                  <c:v>26.14</c:v>
                </c:pt>
                <c:pt idx="1">
                  <c:v>28.02</c:v>
                </c:pt>
                <c:pt idx="2">
                  <c:v>47.35</c:v>
                </c:pt>
                <c:pt idx="3">
                  <c:v>69.02</c:v>
                </c:pt>
                <c:pt idx="4">
                  <c:v>89.39</c:v>
                </c:pt>
                <c:pt idx="5">
                  <c:v>130.35</c:v>
                </c:pt>
                <c:pt idx="6">
                  <c:v>157.28</c:v>
                </c:pt>
                <c:pt idx="7">
                  <c:v>169.86</c:v>
                </c:pt>
                <c:pt idx="8">
                  <c:v>176.56</c:v>
                </c:pt>
                <c:pt idx="9">
                  <c:v>182.56</c:v>
                </c:pt>
              </c:numCache>
            </c:numRef>
          </c:val>
        </c:ser>
        <c:ser>
          <c:idx val="1"/>
          <c:order val="1"/>
          <c:tx>
            <c:strRef>
              <c:f>'Kategorije 2008 - 2017'!$B$32</c:f>
              <c:strCache>
                <c:ptCount val="1"/>
                <c:pt idx="0">
                  <c:v>Zaposlovanje</c:v>
                </c:pt>
              </c:strCache>
            </c:strRef>
          </c:tx>
          <c:spPr>
            <a:solidFill>
              <a:srgbClr val="FF9933"/>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2008 - 2017'!$C$32:$L$32</c:f>
              <c:numCache>
                <c:formatCode>#,##0.00</c:formatCode>
                <c:ptCount val="10"/>
                <c:pt idx="0">
                  <c:v>2.0299999999999998</c:v>
                </c:pt>
                <c:pt idx="1">
                  <c:v>12.47</c:v>
                </c:pt>
                <c:pt idx="2">
                  <c:v>17.350000000000001</c:v>
                </c:pt>
                <c:pt idx="3">
                  <c:v>13.41</c:v>
                </c:pt>
                <c:pt idx="4">
                  <c:v>79.09</c:v>
                </c:pt>
                <c:pt idx="5">
                  <c:v>97.24</c:v>
                </c:pt>
                <c:pt idx="6">
                  <c:v>109.8</c:v>
                </c:pt>
                <c:pt idx="7">
                  <c:v>93.77</c:v>
                </c:pt>
                <c:pt idx="8">
                  <c:v>89.81</c:v>
                </c:pt>
                <c:pt idx="9">
                  <c:v>98.47</c:v>
                </c:pt>
              </c:numCache>
            </c:numRef>
          </c:val>
        </c:ser>
        <c:ser>
          <c:idx val="2"/>
          <c:order val="2"/>
          <c:tx>
            <c:strRef>
              <c:f>'Kategorije 2008 - 2017'!$B$33</c:f>
              <c:strCache>
                <c:ptCount val="1"/>
                <c:pt idx="0">
                  <c:v>Raziskave in razvoj ter inovacije</c:v>
                </c:pt>
              </c:strCache>
            </c:strRef>
          </c:tx>
          <c:spPr>
            <a:solidFill>
              <a:srgbClr val="C00000"/>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2008 - 2017'!$C$33:$L$33</c:f>
              <c:numCache>
                <c:formatCode>#,##0.00</c:formatCode>
                <c:ptCount val="10"/>
                <c:pt idx="0">
                  <c:v>21.61</c:v>
                </c:pt>
                <c:pt idx="1">
                  <c:v>67.09</c:v>
                </c:pt>
                <c:pt idx="2">
                  <c:v>94.82</c:v>
                </c:pt>
                <c:pt idx="3">
                  <c:v>73.169999999999973</c:v>
                </c:pt>
                <c:pt idx="4">
                  <c:v>82.43</c:v>
                </c:pt>
                <c:pt idx="5">
                  <c:v>70.91</c:v>
                </c:pt>
                <c:pt idx="6">
                  <c:v>47.03</c:v>
                </c:pt>
                <c:pt idx="7">
                  <c:v>20.61</c:v>
                </c:pt>
                <c:pt idx="8">
                  <c:v>10.65</c:v>
                </c:pt>
                <c:pt idx="9">
                  <c:v>34.4</c:v>
                </c:pt>
              </c:numCache>
            </c:numRef>
          </c:val>
        </c:ser>
        <c:ser>
          <c:idx val="3"/>
          <c:order val="3"/>
          <c:tx>
            <c:strRef>
              <c:f>'Kategorije 2008 - 2017'!$B$34</c:f>
              <c:strCache>
                <c:ptCount val="1"/>
                <c:pt idx="0">
                  <c:v>Regionalne pomoči</c:v>
                </c:pt>
              </c:strCache>
            </c:strRef>
          </c:tx>
          <c:spPr>
            <a:solidFill>
              <a:srgbClr val="7030A0"/>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2008 - 2017'!$C$34:$L$34</c:f>
              <c:numCache>
                <c:formatCode>#,##0.00</c:formatCode>
                <c:ptCount val="10"/>
                <c:pt idx="0">
                  <c:v>79.55</c:v>
                </c:pt>
                <c:pt idx="1">
                  <c:v>92.84</c:v>
                </c:pt>
                <c:pt idx="2">
                  <c:v>82.5</c:v>
                </c:pt>
                <c:pt idx="3">
                  <c:v>127.35</c:v>
                </c:pt>
                <c:pt idx="4">
                  <c:v>91.09</c:v>
                </c:pt>
                <c:pt idx="5">
                  <c:v>47.56</c:v>
                </c:pt>
                <c:pt idx="6">
                  <c:v>66.819999999999993</c:v>
                </c:pt>
                <c:pt idx="7">
                  <c:v>28.42</c:v>
                </c:pt>
                <c:pt idx="8">
                  <c:v>21.96</c:v>
                </c:pt>
                <c:pt idx="9">
                  <c:v>20.97</c:v>
                </c:pt>
              </c:numCache>
            </c:numRef>
          </c:val>
        </c:ser>
        <c:ser>
          <c:idx val="4"/>
          <c:order val="4"/>
          <c:tx>
            <c:strRef>
              <c:f>'Kategorije 2008 - 2017'!$B$35</c:f>
              <c:strCache>
                <c:ptCount val="1"/>
                <c:pt idx="0">
                  <c:v>Kultura</c:v>
                </c:pt>
              </c:strCache>
            </c:strRef>
          </c:tx>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2008 - 2017'!$C$35:$L$35</c:f>
              <c:numCache>
                <c:formatCode>#,##0.00</c:formatCode>
                <c:ptCount val="10"/>
                <c:pt idx="0">
                  <c:v>13.88</c:v>
                </c:pt>
                <c:pt idx="1">
                  <c:v>16.18</c:v>
                </c:pt>
                <c:pt idx="2">
                  <c:v>15.78</c:v>
                </c:pt>
                <c:pt idx="3">
                  <c:v>14.08</c:v>
                </c:pt>
                <c:pt idx="4">
                  <c:v>10.89</c:v>
                </c:pt>
                <c:pt idx="5">
                  <c:v>10.55</c:v>
                </c:pt>
                <c:pt idx="6">
                  <c:v>8.4600000000000026</c:v>
                </c:pt>
                <c:pt idx="7">
                  <c:v>9.8800000000000008</c:v>
                </c:pt>
                <c:pt idx="8">
                  <c:v>10.31</c:v>
                </c:pt>
                <c:pt idx="9">
                  <c:v>10.34</c:v>
                </c:pt>
              </c:numCache>
            </c:numRef>
          </c:val>
        </c:ser>
        <c:ser>
          <c:idx val="5"/>
          <c:order val="5"/>
          <c:tx>
            <c:strRef>
              <c:f>'Kategorije 2008 - 2017'!$B$36</c:f>
              <c:strCache>
                <c:ptCount val="1"/>
                <c:pt idx="0">
                  <c:v>MSP in tvegani kapital</c:v>
                </c:pt>
              </c:strCache>
            </c:strRef>
          </c:tx>
          <c:spPr>
            <a:solidFill>
              <a:srgbClr val="FFFF00"/>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2008 - 2017'!$C$36:$L$36</c:f>
              <c:numCache>
                <c:formatCode>#,##0.00</c:formatCode>
                <c:ptCount val="10"/>
                <c:pt idx="0">
                  <c:v>2.21</c:v>
                </c:pt>
                <c:pt idx="1">
                  <c:v>1.71</c:v>
                </c:pt>
                <c:pt idx="2">
                  <c:v>1.47</c:v>
                </c:pt>
                <c:pt idx="3">
                  <c:v>3.06</c:v>
                </c:pt>
                <c:pt idx="4">
                  <c:v>3</c:v>
                </c:pt>
                <c:pt idx="5">
                  <c:v>2.29</c:v>
                </c:pt>
                <c:pt idx="6">
                  <c:v>4.33</c:v>
                </c:pt>
                <c:pt idx="7">
                  <c:v>5.72</c:v>
                </c:pt>
                <c:pt idx="8">
                  <c:v>2.77</c:v>
                </c:pt>
                <c:pt idx="9">
                  <c:v>3.73</c:v>
                </c:pt>
              </c:numCache>
            </c:numRef>
          </c:val>
        </c:ser>
        <c:ser>
          <c:idx val="6"/>
          <c:order val="6"/>
          <c:tx>
            <c:strRef>
              <c:f>'Kategorije 2008 - 2017'!$B$41</c:f>
              <c:strCache>
                <c:ptCount val="1"/>
                <c:pt idx="0">
                  <c:v>Transport (kopenski)</c:v>
                </c:pt>
              </c:strCache>
            </c:strRef>
          </c:tx>
          <c:spPr>
            <a:solidFill>
              <a:schemeClr val="bg2">
                <a:lumMod val="50000"/>
              </a:schemeClr>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2008 - 2017'!$C$41:$L$41</c:f>
              <c:numCache>
                <c:formatCode>#,##0.00</c:formatCode>
                <c:ptCount val="10"/>
                <c:pt idx="0">
                  <c:v>42.3</c:v>
                </c:pt>
                <c:pt idx="1">
                  <c:v>38.99</c:v>
                </c:pt>
                <c:pt idx="2">
                  <c:v>44.91</c:v>
                </c:pt>
                <c:pt idx="3">
                  <c:v>48.29</c:v>
                </c:pt>
                <c:pt idx="4">
                  <c:v>54.8</c:v>
                </c:pt>
                <c:pt idx="5">
                  <c:v>55.79</c:v>
                </c:pt>
                <c:pt idx="6">
                  <c:v>51.56</c:v>
                </c:pt>
                <c:pt idx="7">
                  <c:v>52.65</c:v>
                </c:pt>
                <c:pt idx="8">
                  <c:v>43.1</c:v>
                </c:pt>
                <c:pt idx="9">
                  <c:v>45.66</c:v>
                </c:pt>
              </c:numCache>
            </c:numRef>
          </c:val>
        </c:ser>
        <c:ser>
          <c:idx val="7"/>
          <c:order val="7"/>
          <c:tx>
            <c:strRef>
              <c:f>'Kategorije 2008 - 2017'!$B$42</c:f>
              <c:strCache>
                <c:ptCount val="1"/>
                <c:pt idx="0">
                  <c:v>Premogovništvo</c:v>
                </c:pt>
              </c:strCache>
            </c:strRef>
          </c:tx>
          <c:spPr>
            <a:solidFill>
              <a:schemeClr val="bg2">
                <a:lumMod val="25000"/>
              </a:schemeClr>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2008 - 2017'!$C$42:$L$42</c:f>
              <c:numCache>
                <c:formatCode>#,##0.00</c:formatCode>
                <c:ptCount val="10"/>
                <c:pt idx="0">
                  <c:v>17.46</c:v>
                </c:pt>
                <c:pt idx="1">
                  <c:v>16.440000000000001</c:v>
                </c:pt>
                <c:pt idx="2">
                  <c:v>11.65</c:v>
                </c:pt>
                <c:pt idx="3">
                  <c:v>10.89</c:v>
                </c:pt>
                <c:pt idx="4">
                  <c:v>6.6199999999999957</c:v>
                </c:pt>
                <c:pt idx="5">
                  <c:v>4.6899999999999986</c:v>
                </c:pt>
                <c:pt idx="6">
                  <c:v>8.7800000000000011</c:v>
                </c:pt>
                <c:pt idx="7">
                  <c:v>4.84</c:v>
                </c:pt>
                <c:pt idx="8">
                  <c:v>12.47</c:v>
                </c:pt>
                <c:pt idx="9">
                  <c:v>15.75</c:v>
                </c:pt>
              </c:numCache>
            </c:numRef>
          </c:val>
        </c:ser>
        <c:ser>
          <c:idx val="8"/>
          <c:order val="8"/>
          <c:tx>
            <c:strRef>
              <c:f>'Kategorije 2008 - 2017'!$B$43</c:f>
              <c:strCache>
                <c:ptCount val="1"/>
                <c:pt idx="0">
                  <c:v>Reševanje in prestrukturiranje</c:v>
                </c:pt>
              </c:strCache>
            </c:strRef>
          </c:tx>
          <c:spPr>
            <a:solidFill>
              <a:schemeClr val="accent6">
                <a:lumMod val="75000"/>
              </a:schemeClr>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2008 - 2017'!$C$43:$L$43</c:f>
              <c:numCache>
                <c:formatCode>#,##0.00</c:formatCode>
                <c:ptCount val="10"/>
                <c:pt idx="0">
                  <c:v>1.3</c:v>
                </c:pt>
                <c:pt idx="1">
                  <c:v>3.02</c:v>
                </c:pt>
                <c:pt idx="2">
                  <c:v>2.65</c:v>
                </c:pt>
                <c:pt idx="3">
                  <c:v>52.53</c:v>
                </c:pt>
                <c:pt idx="4">
                  <c:v>0.84</c:v>
                </c:pt>
                <c:pt idx="5">
                  <c:v>42.64</c:v>
                </c:pt>
                <c:pt idx="6">
                  <c:v>1.46</c:v>
                </c:pt>
                <c:pt idx="7">
                  <c:v>102.94</c:v>
                </c:pt>
                <c:pt idx="8">
                  <c:v>1.3</c:v>
                </c:pt>
                <c:pt idx="9">
                  <c:v>0.05</c:v>
                </c:pt>
              </c:numCache>
            </c:numRef>
          </c:val>
        </c:ser>
        <c:ser>
          <c:idx val="9"/>
          <c:order val="9"/>
          <c:tx>
            <c:strRef>
              <c:f>'Kategorije 2008 - 2017'!$B$49</c:f>
              <c:strCache>
                <c:ptCount val="1"/>
                <c:pt idx="0">
                  <c:v>Kmetijstvo in ribištvo</c:v>
                </c:pt>
              </c:strCache>
            </c:strRef>
          </c:tx>
          <c:spPr>
            <a:solidFill>
              <a:srgbClr val="00B050"/>
            </a:solidFill>
          </c:spPr>
          <c:invertIfNegative val="0"/>
          <c:cat>
            <c:numRef>
              <c:f>'Kategorije 2008 - 2017'!$C$29:$L$29</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'Kategorije 2008 - 2017'!$C$49:$L$49</c:f>
              <c:numCache>
                <c:formatCode>#,##0.00</c:formatCode>
                <c:ptCount val="10"/>
                <c:pt idx="0">
                  <c:v>108.84</c:v>
                </c:pt>
                <c:pt idx="1">
                  <c:v>103.79</c:v>
                </c:pt>
                <c:pt idx="2">
                  <c:v>96.169999999999973</c:v>
                </c:pt>
                <c:pt idx="3">
                  <c:v>92.47</c:v>
                </c:pt>
                <c:pt idx="4">
                  <c:v>90.23</c:v>
                </c:pt>
                <c:pt idx="5">
                  <c:v>99.34</c:v>
                </c:pt>
                <c:pt idx="6">
                  <c:v>85.55</c:v>
                </c:pt>
                <c:pt idx="7">
                  <c:v>62.38</c:v>
                </c:pt>
                <c:pt idx="8">
                  <c:v>5.99</c:v>
                </c:pt>
                <c:pt idx="9">
                  <c:v>13.94</c:v>
                </c:pt>
              </c:numCache>
            </c:numRef>
          </c:val>
        </c:ser>
        <c:dLbls>
          <c:showLegendKey val="0"/>
          <c:showVal val="0"/>
          <c:showCatName val="0"/>
          <c:showSerName val="0"/>
          <c:showPercent val="0"/>
          <c:showBubbleSize val="0"/>
        </c:dLbls>
        <c:gapWidth val="150"/>
        <c:overlap val="100"/>
        <c:axId val="87522304"/>
        <c:axId val="87524096"/>
      </c:barChart>
      <c:catAx>
        <c:axId val="87522304"/>
        <c:scaling>
          <c:orientation val="minMax"/>
        </c:scaling>
        <c:delete val="0"/>
        <c:axPos val="l"/>
        <c:numFmt formatCode="General" sourceLinked="1"/>
        <c:majorTickMark val="out"/>
        <c:minorTickMark val="none"/>
        <c:tickLblPos val="nextTo"/>
        <c:crossAx val="87524096"/>
        <c:crosses val="autoZero"/>
        <c:auto val="1"/>
        <c:lblAlgn val="ctr"/>
        <c:lblOffset val="100"/>
        <c:noMultiLvlLbl val="0"/>
      </c:catAx>
      <c:valAx>
        <c:axId val="87524096"/>
        <c:scaling>
          <c:orientation val="minMax"/>
        </c:scaling>
        <c:delete val="0"/>
        <c:axPos val="b"/>
        <c:majorGridlines/>
        <c:numFmt formatCode="0%" sourceLinked="1"/>
        <c:majorTickMark val="out"/>
        <c:minorTickMark val="none"/>
        <c:tickLblPos val="nextTo"/>
        <c:crossAx val="87522304"/>
        <c:crosses val="autoZero"/>
        <c:crossBetween val="between"/>
      </c:valAx>
    </c:plotArea>
    <c:legend>
      <c:legendPos val="r"/>
      <c:layout>
        <c:manualLayout>
          <c:xMode val="edge"/>
          <c:yMode val="edge"/>
          <c:x val="0.68533169464928001"/>
          <c:y val="3.42641686120893E-2"/>
          <c:w val="0.289634983464095"/>
          <c:h val="0.94781222384890296"/>
        </c:manualLayout>
      </c:layout>
      <c:overlay val="0"/>
      <c:txPr>
        <a:bodyPr/>
        <a:lstStyle/>
        <a:p>
          <a:pPr>
            <a:defRPr sz="960" spc="10" baseline="0"/>
          </a:pPr>
          <a:endParaRPr lang="sl-SI"/>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27308787596799"/>
          <c:y val="0.17268001138411901"/>
          <c:w val="0.449616150528101"/>
          <c:h val="0.80822565853967099"/>
        </c:manualLayout>
      </c:layout>
      <c:pieChart>
        <c:varyColors val="1"/>
        <c:ser>
          <c:idx val="0"/>
          <c:order val="0"/>
          <c:spPr>
            <a:ln>
              <a:solidFill>
                <a:schemeClr val="bg1"/>
              </a:solidFill>
            </a:ln>
          </c:spPr>
          <c:dPt>
            <c:idx val="0"/>
            <c:bubble3D val="0"/>
            <c:spPr>
              <a:solidFill>
                <a:srgbClr val="0070C0"/>
              </a:solidFill>
              <a:ln>
                <a:solidFill>
                  <a:schemeClr val="bg1"/>
                </a:solidFill>
              </a:ln>
            </c:spPr>
          </c:dPt>
          <c:dPt>
            <c:idx val="2"/>
            <c:bubble3D val="0"/>
            <c:spPr>
              <a:solidFill>
                <a:srgbClr val="00B050"/>
              </a:solidFill>
              <a:ln>
                <a:solidFill>
                  <a:schemeClr val="bg1"/>
                </a:solidFill>
              </a:ln>
            </c:spPr>
          </c:dPt>
          <c:dPt>
            <c:idx val="3"/>
            <c:bubble3D val="0"/>
            <c:spPr>
              <a:solidFill>
                <a:srgbClr val="FFFF00"/>
              </a:solidFill>
              <a:ln>
                <a:solidFill>
                  <a:schemeClr val="bg1"/>
                </a:solidFill>
              </a:ln>
            </c:spPr>
          </c:dPt>
          <c:dPt>
            <c:idx val="4"/>
            <c:bubble3D val="0"/>
            <c:spPr>
              <a:solidFill>
                <a:srgbClr val="FF66CC"/>
              </a:solidFill>
              <a:ln>
                <a:solidFill>
                  <a:schemeClr val="bg1"/>
                </a:solidFill>
              </a:ln>
            </c:spPr>
          </c:dPt>
          <c:dPt>
            <c:idx val="5"/>
            <c:bubble3D val="0"/>
            <c:spPr>
              <a:solidFill>
                <a:schemeClr val="bg2">
                  <a:lumMod val="25000"/>
                </a:schemeClr>
              </a:solidFill>
              <a:ln>
                <a:solidFill>
                  <a:schemeClr val="bg1"/>
                </a:solidFill>
              </a:ln>
            </c:spPr>
          </c:dPt>
          <c:dLbls>
            <c:dLbl>
              <c:idx val="0"/>
              <c:layout>
                <c:manualLayout>
                  <c:x val="-0.179579073138246"/>
                  <c:y val="-0.12305949633450999"/>
                </c:manualLayout>
              </c:layout>
              <c:showLegendKey val="0"/>
              <c:showVal val="0"/>
              <c:showCatName val="1"/>
              <c:showSerName val="0"/>
              <c:showPercent val="1"/>
              <c:showBubbleSize val="0"/>
            </c:dLbl>
            <c:dLbl>
              <c:idx val="1"/>
              <c:layout>
                <c:manualLayout>
                  <c:x val="1.2893308655143199E-2"/>
                  <c:y val="-3.5344851204664102E-2"/>
                </c:manualLayout>
              </c:layout>
              <c:showLegendKey val="0"/>
              <c:showVal val="0"/>
              <c:showCatName val="1"/>
              <c:showSerName val="0"/>
              <c:showPercent val="1"/>
              <c:showBubbleSize val="0"/>
            </c:dLbl>
            <c:dLbl>
              <c:idx val="2"/>
              <c:layout>
                <c:manualLayout>
                  <c:x val="-6.7815352762179607E-2"/>
                  <c:y val="0.10462112121162299"/>
                </c:manualLayout>
              </c:layout>
              <c:showLegendKey val="0"/>
              <c:showVal val="0"/>
              <c:showCatName val="1"/>
              <c:showSerName val="0"/>
              <c:showPercent val="1"/>
              <c:showBubbleSize val="0"/>
            </c:dLbl>
            <c:dLbl>
              <c:idx val="3"/>
              <c:layout>
                <c:manualLayout>
                  <c:x val="-9.6484229311973396E-2"/>
                  <c:y val="-1.29403448786021E-2"/>
                </c:manualLayout>
              </c:layout>
              <c:showLegendKey val="0"/>
              <c:showVal val="0"/>
              <c:showCatName val="1"/>
              <c:showSerName val="0"/>
              <c:showPercent val="1"/>
              <c:showBubbleSize val="0"/>
            </c:dLbl>
            <c:dLbl>
              <c:idx val="4"/>
              <c:layout>
                <c:manualLayout>
                  <c:x val="4.91146525011067E-2"/>
                  <c:y val="-8.5167589959396994E-2"/>
                </c:manualLayout>
              </c:layout>
              <c:showLegendKey val="0"/>
              <c:showVal val="0"/>
              <c:showCatName val="1"/>
              <c:showSerName val="0"/>
              <c:showPercent val="1"/>
              <c:showBubbleSize val="0"/>
            </c:dLbl>
            <c:dLbl>
              <c:idx val="5"/>
              <c:layout>
                <c:manualLayout>
                  <c:x val="0.140212378831132"/>
                  <c:y val="-3.4648409032378299E-2"/>
                </c:manualLayout>
              </c:layout>
              <c:showLegendKey val="0"/>
              <c:showVal val="0"/>
              <c:showCatName val="1"/>
              <c:showSerName val="0"/>
              <c:showPercent val="1"/>
              <c:showBubbleSize val="0"/>
            </c:dLbl>
            <c:numFmt formatCode="0.0%" sourceLinked="0"/>
            <c:txPr>
              <a:bodyPr/>
              <a:lstStyle/>
              <a:p>
                <a:pPr>
                  <a:defRPr sz="1000" baseline="0"/>
                </a:pPr>
                <a:endParaRPr lang="sl-SI"/>
              </a:p>
            </c:txPr>
            <c:showLegendKey val="0"/>
            <c:showVal val="0"/>
            <c:showCatName val="1"/>
            <c:showSerName val="0"/>
            <c:showPercent val="1"/>
            <c:showBubbleSize val="0"/>
            <c:showLeaderLines val="1"/>
          </c:dLbls>
          <c:cat>
            <c:strRef>
              <c:f>('Instrumenti 2015-2017 GRAF '!$B$5:$B$8;'Instrumenti 2015-2017 GRAF '!$B$11;'Instrumenti 2015-2017 GRAF '!$B$14)</c:f>
              <c:strCache>
                <c:ptCount val="6"/>
                <c:pt idx="0">
                  <c:v>Subvencije</c:v>
                </c:pt>
                <c:pt idx="1">
                  <c:v>Znižanje prispevkov za socialno varnost</c:v>
                </c:pt>
                <c:pt idx="2">
                  <c:v>Davčne oprostitve in olajšave</c:v>
                </c:pt>
                <c:pt idx="3">
                  <c:v>Ugodna posojila, vključno podjetja v težavh</c:v>
                </c:pt>
                <c:pt idx="4">
                  <c:v>Kapitalske naložbe, vključno konverzije</c:v>
                </c:pt>
                <c:pt idx="5">
                  <c:v>Odpis posojila - prisilna poravnava</c:v>
                </c:pt>
              </c:strCache>
            </c:strRef>
          </c:cat>
          <c:val>
            <c:numRef>
              <c:f>('Instrumenti 2015-2017 GRAF '!$L$5:$L$8;'Instrumenti 2015-2017 GRAF '!$L$11;'Instrumenti 2015-2017 GRAF '!$L$14)</c:f>
              <c:numCache>
                <c:formatCode>0.0%</c:formatCode>
                <c:ptCount val="6"/>
                <c:pt idx="0">
                  <c:v>0.65911481748540202</c:v>
                </c:pt>
                <c:pt idx="1">
                  <c:v>0.16678741139240899</c:v>
                </c:pt>
                <c:pt idx="2">
                  <c:v>9.9494128675199703E-2</c:v>
                </c:pt>
                <c:pt idx="3">
                  <c:v>1.0287502711823601E-2</c:v>
                </c:pt>
                <c:pt idx="4">
                  <c:v>4.35971025087478E-2</c:v>
                </c:pt>
                <c:pt idx="5">
                  <c:v>2.0304570349226201E-2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0.56218</cdr:x>
      <cdr:y>0.48688</cdr:y>
    </cdr:from>
    <cdr:to>
      <cdr:x>0.59326</cdr:x>
      <cdr:y>0.76968</cdr:y>
    </cdr:to>
    <cdr:sp macro="" textlink="">
      <cdr:nvSpPr>
        <cdr:cNvPr id="3" name="Text Box 2"/>
        <cdr:cNvSpPr txBox="1"/>
      </cdr:nvSpPr>
      <cdr:spPr>
        <a:xfrm xmlns:a="http://schemas.openxmlformats.org/drawingml/2006/main">
          <a:off x="3307080" y="1272540"/>
          <a:ext cx="182880" cy="7391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0.65285</cdr:x>
      <cdr:y>0.55977</cdr:y>
    </cdr:from>
    <cdr:to>
      <cdr:x>0.91192</cdr:x>
      <cdr:y>0.78134</cdr:y>
    </cdr:to>
    <cdr:sp macro="" textlink="">
      <cdr:nvSpPr>
        <cdr:cNvPr id="4" name="Text Box 3"/>
        <cdr:cNvSpPr txBox="1"/>
      </cdr:nvSpPr>
      <cdr:spPr>
        <a:xfrm xmlns:a="http://schemas.openxmlformats.org/drawingml/2006/main">
          <a:off x="3840480" y="1463040"/>
          <a:ext cx="1524000" cy="579120"/>
        </a:xfrm>
        <a:prstGeom xmlns:a="http://schemas.openxmlformats.org/drawingml/2006/main" prst="rect">
          <a:avLst/>
        </a:prstGeom>
        <a:solidFill xmlns:a="http://schemas.openxmlformats.org/drawingml/2006/main">
          <a:schemeClr val="tx2">
            <a:lumMod val="40000"/>
            <a:lumOff val="60000"/>
          </a:schemeClr>
        </a:solidFill>
      </cdr:spPr>
      <cdr:txBody>
        <a:bodyPr xmlns:a="http://schemas.openxmlformats.org/drawingml/2006/main" vertOverflow="clip" wrap="square" rtlCol="0"/>
        <a:lstStyle xmlns:a="http://schemas.openxmlformats.org/drawingml/2006/main"/>
        <a:p xmlns:a="http://schemas.openxmlformats.org/drawingml/2006/main">
          <a:r>
            <a:rPr lang="sl-SI" sz="1000"/>
            <a:t>Celotna sprememba</a:t>
          </a:r>
          <a:r>
            <a:rPr lang="sl-SI" sz="1000" baseline="0"/>
            <a:t> obsega 2017 - 2016 = </a:t>
          </a:r>
        </a:p>
        <a:p xmlns:a="http://schemas.openxmlformats.org/drawingml/2006/main">
          <a:r>
            <a:rPr lang="sl-SI" sz="1000" baseline="0"/>
            <a:t>+ </a:t>
          </a:r>
          <a:r>
            <a:rPr lang="sl-SI" sz="1000" b="1" baseline="0"/>
            <a:t>52,15 mio EUR </a:t>
          </a:r>
          <a:endParaRPr lang="sl-SI"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0.08808</cdr:x>
      <cdr:y>0.01546</cdr:y>
    </cdr:from>
    <cdr:to>
      <cdr:x>0.17617</cdr:x>
      <cdr:y>0.08763</cdr:y>
    </cdr:to>
    <cdr:sp macro="" textlink="">
      <cdr:nvSpPr>
        <cdr:cNvPr id="2" name="Text Box 1"/>
        <cdr:cNvSpPr txBox="1"/>
      </cdr:nvSpPr>
      <cdr:spPr>
        <a:xfrm xmlns:a="http://schemas.openxmlformats.org/drawingml/2006/main">
          <a:off x="518160" y="47370"/>
          <a:ext cx="518160" cy="2210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000"/>
            <a:t>+3</a:t>
          </a:r>
          <a:r>
            <a:rPr lang="sl-SI" sz="1000" baseline="0"/>
            <a:t> </a:t>
          </a:r>
          <a:r>
            <a:rPr lang="sl-SI" sz="1000"/>
            <a:t>%</a:t>
          </a:r>
        </a:p>
      </cdr:txBody>
    </cdr:sp>
  </cdr:relSizeAnchor>
  <cdr:relSizeAnchor xmlns:cdr="http://schemas.openxmlformats.org/drawingml/2006/chartDrawing">
    <cdr:from>
      <cdr:x>0.10104</cdr:x>
      <cdr:y>0.01546</cdr:y>
    </cdr:from>
    <cdr:to>
      <cdr:x>0.17746</cdr:x>
      <cdr:y>0.08505</cdr:y>
    </cdr:to>
    <cdr:sp macro="" textlink="">
      <cdr:nvSpPr>
        <cdr:cNvPr id="3" name="Text Box 2"/>
        <cdr:cNvSpPr txBox="1"/>
      </cdr:nvSpPr>
      <cdr:spPr>
        <a:xfrm xmlns:a="http://schemas.openxmlformats.org/drawingml/2006/main">
          <a:off x="594360" y="45720"/>
          <a:ext cx="449580" cy="205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0.10967</cdr:x>
      <cdr:y>0.03265</cdr:y>
    </cdr:from>
    <cdr:to>
      <cdr:x>0.1861</cdr:x>
      <cdr:y>0.10223</cdr:y>
    </cdr:to>
    <cdr:sp macro="" textlink="">
      <cdr:nvSpPr>
        <cdr:cNvPr id="4" name="Text Box 1"/>
        <cdr:cNvSpPr txBox="1"/>
      </cdr:nvSpPr>
      <cdr:spPr>
        <a:xfrm xmlns:a="http://schemas.openxmlformats.org/drawingml/2006/main">
          <a:off x="645160" y="96520"/>
          <a:ext cx="449580" cy="205740"/>
        </a:xfrm>
        <a:prstGeom xmlns:a="http://schemas.openxmlformats.org/drawingml/2006/main" prst="rect">
          <a:avLst/>
        </a:prstGeom>
      </cdr:spPr>
    </cdr:sp>
  </cdr:relSizeAnchor>
  <cdr:relSizeAnchor xmlns:cdr="http://schemas.openxmlformats.org/drawingml/2006/chartDrawing">
    <cdr:from>
      <cdr:x>0.12694</cdr:x>
      <cdr:y>0.01741</cdr:y>
    </cdr:from>
    <cdr:to>
      <cdr:x>0.22927</cdr:x>
      <cdr:y>0.10448</cdr:y>
    </cdr:to>
    <cdr:sp macro="" textlink="">
      <cdr:nvSpPr>
        <cdr:cNvPr id="5" name="Text Box 4"/>
        <cdr:cNvSpPr txBox="1"/>
      </cdr:nvSpPr>
      <cdr:spPr>
        <a:xfrm xmlns:a="http://schemas.openxmlformats.org/drawingml/2006/main">
          <a:off x="746760" y="53340"/>
          <a:ext cx="60198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0.20207</cdr:x>
      <cdr:y>0.22139</cdr:y>
    </cdr:from>
    <cdr:to>
      <cdr:x>0.28756</cdr:x>
      <cdr:y>0.3209</cdr:y>
    </cdr:to>
    <cdr:sp macro="" textlink="">
      <cdr:nvSpPr>
        <cdr:cNvPr id="6" name="Text Box 5"/>
        <cdr:cNvSpPr txBox="1"/>
      </cdr:nvSpPr>
      <cdr:spPr>
        <a:xfrm xmlns:a="http://schemas.openxmlformats.org/drawingml/2006/main">
          <a:off x="1188720" y="678180"/>
          <a:ext cx="50292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0.1671</cdr:x>
      <cdr:y>0.22388</cdr:y>
    </cdr:from>
    <cdr:to>
      <cdr:x>0.26166</cdr:x>
      <cdr:y>0.29851</cdr:y>
    </cdr:to>
    <cdr:sp macro="" textlink="">
      <cdr:nvSpPr>
        <cdr:cNvPr id="7" name="Text Box 6"/>
        <cdr:cNvSpPr txBox="1"/>
      </cdr:nvSpPr>
      <cdr:spPr>
        <a:xfrm xmlns:a="http://schemas.openxmlformats.org/drawingml/2006/main">
          <a:off x="982980" y="685800"/>
          <a:ext cx="55626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950" baseline="0"/>
            <a:t>10</a:t>
          </a:r>
          <a:r>
            <a:rPr lang="sl-SI" sz="1100"/>
            <a:t> %</a:t>
          </a:r>
        </a:p>
      </cdr:txBody>
    </cdr:sp>
  </cdr:relSizeAnchor>
  <cdr:relSizeAnchor xmlns:cdr="http://schemas.openxmlformats.org/drawingml/2006/chartDrawing">
    <cdr:from>
      <cdr:x>0.2513</cdr:x>
      <cdr:y>0.35572</cdr:y>
    </cdr:from>
    <cdr:to>
      <cdr:x>0.32902</cdr:x>
      <cdr:y>0.44279</cdr:y>
    </cdr:to>
    <cdr:sp macro="" textlink="">
      <cdr:nvSpPr>
        <cdr:cNvPr id="8" name="Text Box 7"/>
        <cdr:cNvSpPr txBox="1"/>
      </cdr:nvSpPr>
      <cdr:spPr>
        <a:xfrm xmlns:a="http://schemas.openxmlformats.org/drawingml/2006/main">
          <a:off x="1478280" y="1089660"/>
          <a:ext cx="4572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950" baseline="0"/>
            <a:t>6 %</a:t>
          </a:r>
        </a:p>
      </cdr:txBody>
    </cdr:sp>
  </cdr:relSizeAnchor>
  <cdr:relSizeAnchor xmlns:cdr="http://schemas.openxmlformats.org/drawingml/2006/chartDrawing">
    <cdr:from>
      <cdr:x>0.31995</cdr:x>
      <cdr:y>0.38806</cdr:y>
    </cdr:from>
    <cdr:to>
      <cdr:x>0.42746</cdr:x>
      <cdr:y>0.48259</cdr:y>
    </cdr:to>
    <cdr:sp macro="" textlink="">
      <cdr:nvSpPr>
        <cdr:cNvPr id="9" name="Text Box 8"/>
        <cdr:cNvSpPr txBox="1"/>
      </cdr:nvSpPr>
      <cdr:spPr>
        <a:xfrm xmlns:a="http://schemas.openxmlformats.org/drawingml/2006/main">
          <a:off x="1862647" y="1188720"/>
          <a:ext cx="625888" cy="2895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solidFill>
                <a:srgbClr val="00B050"/>
              </a:solidFill>
            </a:rPr>
            <a:t>+</a:t>
          </a:r>
          <a:r>
            <a:rPr lang="sl-SI" sz="1000" baseline="0">
              <a:solidFill>
                <a:srgbClr val="00B050"/>
              </a:solidFill>
            </a:rPr>
            <a:t>223</a:t>
          </a:r>
          <a:r>
            <a:rPr lang="sl-SI" sz="1100">
              <a:solidFill>
                <a:srgbClr val="00B050"/>
              </a:solidFill>
            </a:rPr>
            <a:t> %</a:t>
          </a:r>
        </a:p>
      </cdr:txBody>
    </cdr:sp>
  </cdr:relSizeAnchor>
  <cdr:relSizeAnchor xmlns:cdr="http://schemas.openxmlformats.org/drawingml/2006/chartDrawing">
    <cdr:from>
      <cdr:x>0.39249</cdr:x>
      <cdr:y>0.43035</cdr:y>
    </cdr:from>
    <cdr:to>
      <cdr:x>0.49352</cdr:x>
      <cdr:y>0.51493</cdr:y>
    </cdr:to>
    <cdr:sp macro="" textlink="">
      <cdr:nvSpPr>
        <cdr:cNvPr id="10" name="Text Box 9"/>
        <cdr:cNvSpPr txBox="1"/>
      </cdr:nvSpPr>
      <cdr:spPr>
        <a:xfrm xmlns:a="http://schemas.openxmlformats.org/drawingml/2006/main">
          <a:off x="2308860" y="1318260"/>
          <a:ext cx="594360" cy="25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solidFill>
                <a:srgbClr val="FF0000"/>
              </a:solidFill>
            </a:rPr>
            <a:t>-</a:t>
          </a:r>
          <a:r>
            <a:rPr lang="sl-SI" sz="950">
              <a:solidFill>
                <a:srgbClr val="FF0000"/>
              </a:solidFill>
            </a:rPr>
            <a:t>5</a:t>
          </a:r>
          <a:r>
            <a:rPr lang="sl-SI" sz="950" baseline="0">
              <a:solidFill>
                <a:srgbClr val="FF0000"/>
              </a:solidFill>
            </a:rPr>
            <a:t> %</a:t>
          </a:r>
          <a:endParaRPr lang="sl-SI" sz="950">
            <a:solidFill>
              <a:srgbClr val="FF0000"/>
            </a:solidFill>
          </a:endParaRPr>
        </a:p>
      </cdr:txBody>
    </cdr:sp>
  </cdr:relSizeAnchor>
  <cdr:relSizeAnchor xmlns:cdr="http://schemas.openxmlformats.org/drawingml/2006/chartDrawing">
    <cdr:from>
      <cdr:x>0.48834</cdr:x>
      <cdr:y>0.45522</cdr:y>
    </cdr:from>
    <cdr:to>
      <cdr:x>0.56218</cdr:x>
      <cdr:y>0.54478</cdr:y>
    </cdr:to>
    <cdr:sp macro="" textlink="">
      <cdr:nvSpPr>
        <cdr:cNvPr id="11" name="Text Box 10"/>
        <cdr:cNvSpPr txBox="1"/>
      </cdr:nvSpPr>
      <cdr:spPr>
        <a:xfrm xmlns:a="http://schemas.openxmlformats.org/drawingml/2006/main">
          <a:off x="2872740" y="1394460"/>
          <a:ext cx="43434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dr:relSizeAnchor xmlns:cdr="http://schemas.openxmlformats.org/drawingml/2006/chartDrawing">
    <cdr:from>
      <cdr:x>0.47021</cdr:x>
      <cdr:y>0.45771</cdr:y>
    </cdr:from>
    <cdr:to>
      <cdr:x>0.55959</cdr:x>
      <cdr:y>0.53483</cdr:y>
    </cdr:to>
    <cdr:sp macro="" textlink="">
      <cdr:nvSpPr>
        <cdr:cNvPr id="12" name="Text Box 11"/>
        <cdr:cNvSpPr txBox="1"/>
      </cdr:nvSpPr>
      <cdr:spPr>
        <a:xfrm xmlns:a="http://schemas.openxmlformats.org/drawingml/2006/main">
          <a:off x="2766060" y="1402080"/>
          <a:ext cx="525780"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950" baseline="0"/>
            <a:t>26</a:t>
          </a:r>
          <a:r>
            <a:rPr lang="sl-SI" sz="1100"/>
            <a:t> %</a:t>
          </a:r>
        </a:p>
      </cdr:txBody>
    </cdr:sp>
  </cdr:relSizeAnchor>
  <cdr:relSizeAnchor xmlns:cdr="http://schemas.openxmlformats.org/drawingml/2006/chartDrawing">
    <cdr:from>
      <cdr:x>0.57124</cdr:x>
      <cdr:y>0.38806</cdr:y>
    </cdr:from>
    <cdr:to>
      <cdr:x>0.67539</cdr:x>
      <cdr:y>0.4801</cdr:y>
    </cdr:to>
    <cdr:sp macro="" textlink="">
      <cdr:nvSpPr>
        <cdr:cNvPr id="13" name="Text Box 12"/>
        <cdr:cNvSpPr txBox="1"/>
      </cdr:nvSpPr>
      <cdr:spPr>
        <a:xfrm xmlns:a="http://schemas.openxmlformats.org/drawingml/2006/main">
          <a:off x="3325576" y="1188720"/>
          <a:ext cx="606344" cy="281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950" baseline="0"/>
            <a:t>152</a:t>
          </a:r>
          <a:r>
            <a:rPr lang="sl-SI" sz="1100"/>
            <a:t> %</a:t>
          </a:r>
        </a:p>
      </cdr:txBody>
    </cdr:sp>
  </cdr:relSizeAnchor>
  <cdr:relSizeAnchor xmlns:cdr="http://schemas.openxmlformats.org/drawingml/2006/chartDrawing">
    <cdr:from>
      <cdr:x>0.62047</cdr:x>
      <cdr:y>0.45025</cdr:y>
    </cdr:from>
    <cdr:to>
      <cdr:x>0.75648</cdr:x>
      <cdr:y>0.53731</cdr:y>
    </cdr:to>
    <cdr:sp macro="" textlink="">
      <cdr:nvSpPr>
        <cdr:cNvPr id="14" name="Text Box 13"/>
        <cdr:cNvSpPr txBox="1"/>
      </cdr:nvSpPr>
      <cdr:spPr>
        <a:xfrm xmlns:a="http://schemas.openxmlformats.org/drawingml/2006/main">
          <a:off x="3650002" y="1379224"/>
          <a:ext cx="800078" cy="2666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950" baseline="0"/>
            <a:t>0,03</a:t>
          </a:r>
          <a:r>
            <a:rPr lang="sl-SI" sz="1100"/>
            <a:t> %</a:t>
          </a:r>
        </a:p>
      </cdr:txBody>
    </cdr:sp>
  </cdr:relSizeAnchor>
  <cdr:relSizeAnchor xmlns:cdr="http://schemas.openxmlformats.org/drawingml/2006/chartDrawing">
    <cdr:from>
      <cdr:x>0.70596</cdr:x>
      <cdr:y>0.48259</cdr:y>
    </cdr:from>
    <cdr:to>
      <cdr:x>0.79663</cdr:x>
      <cdr:y>0.56468</cdr:y>
    </cdr:to>
    <cdr:sp macro="" textlink="">
      <cdr:nvSpPr>
        <cdr:cNvPr id="15" name="Text Box 14"/>
        <cdr:cNvSpPr txBox="1"/>
      </cdr:nvSpPr>
      <cdr:spPr>
        <a:xfrm xmlns:a="http://schemas.openxmlformats.org/drawingml/2006/main">
          <a:off x="4152900" y="1478280"/>
          <a:ext cx="533400" cy="251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950" baseline="0"/>
            <a:t>35</a:t>
          </a:r>
          <a:r>
            <a:rPr lang="sl-SI" sz="1100"/>
            <a:t> %</a:t>
          </a:r>
        </a:p>
      </cdr:txBody>
    </cdr:sp>
  </cdr:relSizeAnchor>
  <cdr:relSizeAnchor xmlns:cdr="http://schemas.openxmlformats.org/drawingml/2006/chartDrawing">
    <cdr:from>
      <cdr:x>0.79016</cdr:x>
      <cdr:y>0.23383</cdr:y>
    </cdr:from>
    <cdr:to>
      <cdr:x>0.87953</cdr:x>
      <cdr:y>0.31095</cdr:y>
    </cdr:to>
    <cdr:sp macro="" textlink="">
      <cdr:nvSpPr>
        <cdr:cNvPr id="16" name="Text Box 15"/>
        <cdr:cNvSpPr txBox="1"/>
      </cdr:nvSpPr>
      <cdr:spPr>
        <a:xfrm xmlns:a="http://schemas.openxmlformats.org/drawingml/2006/main">
          <a:off x="4648200" y="716280"/>
          <a:ext cx="525780"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solidFill>
                <a:srgbClr val="FF0000"/>
              </a:solidFill>
            </a:rPr>
            <a:t>-</a:t>
          </a:r>
          <a:r>
            <a:rPr lang="sl-SI" sz="950" baseline="0">
              <a:solidFill>
                <a:srgbClr val="FF0000"/>
              </a:solidFill>
            </a:rPr>
            <a:t>96</a:t>
          </a:r>
          <a:r>
            <a:rPr lang="sl-SI" sz="1100">
              <a:solidFill>
                <a:srgbClr val="FF0000"/>
              </a:solidFil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0.18175</cdr:x>
      <cdr:y>0</cdr:y>
    </cdr:from>
    <cdr:to>
      <cdr:x>0.29801</cdr:x>
      <cdr:y>0.09893</cdr:y>
    </cdr:to>
    <cdr:sp macro="" textlink="">
      <cdr:nvSpPr>
        <cdr:cNvPr id="2" name="TextBox 1"/>
        <cdr:cNvSpPr txBox="1"/>
      </cdr:nvSpPr>
      <cdr:spPr>
        <a:xfrm xmlns:a="http://schemas.openxmlformats.org/drawingml/2006/main">
          <a:off x="941070" y="0"/>
          <a:ext cx="601980" cy="281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b="1">
              <a:solidFill>
                <a:srgbClr val="006600"/>
              </a:solidFill>
            </a:rPr>
            <a:t>+ 55,9</a:t>
          </a:r>
        </a:p>
      </cdr:txBody>
    </cdr:sp>
  </cdr:relSizeAnchor>
  <cdr:relSizeAnchor xmlns:cdr="http://schemas.openxmlformats.org/drawingml/2006/chartDrawing">
    <cdr:from>
      <cdr:x>0.27152</cdr:x>
      <cdr:y>0.47326</cdr:y>
    </cdr:from>
    <cdr:to>
      <cdr:x>0.38337</cdr:x>
      <cdr:y>0.58556</cdr:y>
    </cdr:to>
    <cdr:sp macro="" textlink="">
      <cdr:nvSpPr>
        <cdr:cNvPr id="3" name="TextBox 2"/>
        <cdr:cNvSpPr txBox="1"/>
      </cdr:nvSpPr>
      <cdr:spPr>
        <a:xfrm xmlns:a="http://schemas.openxmlformats.org/drawingml/2006/main">
          <a:off x="1405890" y="1348740"/>
          <a:ext cx="579120" cy="320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b="1">
              <a:solidFill>
                <a:srgbClr val="006600"/>
              </a:solidFill>
            </a:rPr>
            <a:t>+ 7,4</a:t>
          </a:r>
        </a:p>
      </cdr:txBody>
    </cdr:sp>
  </cdr:relSizeAnchor>
  <cdr:relSizeAnchor xmlns:cdr="http://schemas.openxmlformats.org/drawingml/2006/chartDrawing">
    <cdr:from>
      <cdr:x>0.37675</cdr:x>
      <cdr:y>0.54011</cdr:y>
    </cdr:from>
    <cdr:to>
      <cdr:x>0.49154</cdr:x>
      <cdr:y>0.64973</cdr:y>
    </cdr:to>
    <cdr:sp macro="" textlink="">
      <cdr:nvSpPr>
        <cdr:cNvPr id="4" name="TextBox 3"/>
        <cdr:cNvSpPr txBox="1"/>
      </cdr:nvSpPr>
      <cdr:spPr>
        <a:xfrm xmlns:a="http://schemas.openxmlformats.org/drawingml/2006/main">
          <a:off x="1950720" y="1539249"/>
          <a:ext cx="594360" cy="3124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solidFill>
                <a:srgbClr val="FF0000"/>
              </a:solidFill>
            </a:rPr>
            <a:t>-7,8</a:t>
          </a:r>
        </a:p>
      </cdr:txBody>
    </cdr:sp>
  </cdr:relSizeAnchor>
  <cdr:relSizeAnchor xmlns:cdr="http://schemas.openxmlformats.org/drawingml/2006/chartDrawing">
    <cdr:from>
      <cdr:x>0.59161</cdr:x>
      <cdr:y>0.64171</cdr:y>
    </cdr:from>
    <cdr:to>
      <cdr:x>0.69463</cdr:x>
      <cdr:y>0.74064</cdr:y>
    </cdr:to>
    <cdr:sp macro="" textlink="">
      <cdr:nvSpPr>
        <cdr:cNvPr id="6" name="TextBox 5"/>
        <cdr:cNvSpPr txBox="1"/>
      </cdr:nvSpPr>
      <cdr:spPr>
        <a:xfrm xmlns:a="http://schemas.openxmlformats.org/drawingml/2006/main">
          <a:off x="3063240" y="1828800"/>
          <a:ext cx="533400" cy="281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t>-</a:t>
          </a:r>
          <a:r>
            <a:rPr lang="sl-SI" sz="1100" b="0">
              <a:solidFill>
                <a:srgbClr val="C00000"/>
              </a:solidFill>
            </a:rPr>
            <a:t>0,5</a:t>
          </a:r>
        </a:p>
      </cdr:txBody>
    </cdr:sp>
  </cdr:relSizeAnchor>
  <cdr:relSizeAnchor xmlns:cdr="http://schemas.openxmlformats.org/drawingml/2006/chartDrawing">
    <cdr:from>
      <cdr:x>0.72112</cdr:x>
      <cdr:y>0.64706</cdr:y>
    </cdr:from>
    <cdr:to>
      <cdr:x>0.83002</cdr:x>
      <cdr:y>0.75936</cdr:y>
    </cdr:to>
    <cdr:sp macro="" textlink="">
      <cdr:nvSpPr>
        <cdr:cNvPr id="7" name="TextBox 6"/>
        <cdr:cNvSpPr txBox="1"/>
      </cdr:nvSpPr>
      <cdr:spPr>
        <a:xfrm xmlns:a="http://schemas.openxmlformats.org/drawingml/2006/main">
          <a:off x="3733801" y="1844040"/>
          <a:ext cx="563880" cy="320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b="0">
              <a:solidFill>
                <a:srgbClr val="C00000"/>
              </a:solidFill>
            </a:rPr>
            <a:t>-0,5</a:t>
          </a:r>
        </a:p>
      </cdr:txBody>
    </cdr:sp>
  </cdr:relSizeAnchor>
  <cdr:relSizeAnchor xmlns:cdr="http://schemas.openxmlformats.org/drawingml/2006/chartDrawing">
    <cdr:from>
      <cdr:x>0.47829</cdr:x>
      <cdr:y>0.62299</cdr:y>
    </cdr:from>
    <cdr:to>
      <cdr:x>0.58425</cdr:x>
      <cdr:y>0.72727</cdr:y>
    </cdr:to>
    <cdr:sp macro="" textlink="">
      <cdr:nvSpPr>
        <cdr:cNvPr id="8" name="Text Box 7"/>
        <cdr:cNvSpPr txBox="1"/>
      </cdr:nvSpPr>
      <cdr:spPr>
        <a:xfrm xmlns:a="http://schemas.openxmlformats.org/drawingml/2006/main">
          <a:off x="2476500" y="1775447"/>
          <a:ext cx="548639" cy="297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a:solidFill>
                <a:srgbClr val="FF0000"/>
              </a:solidFill>
            </a:rPr>
            <a:t>-2,3</a:t>
          </a:r>
        </a:p>
      </cdr:txBody>
    </cdr:sp>
  </cdr:relSizeAnchor>
</c:userShapes>
</file>

<file path=word/drawings/drawing4.xml><?xml version="1.0" encoding="utf-8"?>
<c:userShapes xmlns:c="http://schemas.openxmlformats.org/drawingml/2006/chart">
  <cdr:relSizeAnchor xmlns:cdr="http://schemas.openxmlformats.org/drawingml/2006/chartDrawing">
    <cdr:from>
      <cdr:x>0.54101</cdr:x>
      <cdr:y>0.16197</cdr:y>
    </cdr:from>
    <cdr:to>
      <cdr:x>0.62963</cdr:x>
      <cdr:y>0.24413</cdr:y>
    </cdr:to>
    <cdr:sp macro="" textlink="">
      <cdr:nvSpPr>
        <cdr:cNvPr id="2" name="Text Box 1"/>
        <cdr:cNvSpPr txBox="1"/>
      </cdr:nvSpPr>
      <cdr:spPr>
        <a:xfrm xmlns:a="http://schemas.openxmlformats.org/drawingml/2006/main">
          <a:off x="3116580" y="525780"/>
          <a:ext cx="51054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l-SI"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Ministrstvo za finance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FB213-F8BC-4EFA-A080-12EC384F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63967</Words>
  <Characters>364617</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19. POROČILO O DRŽAVNIH POMOČEH</vt:lpstr>
    </vt:vector>
  </TitlesOfParts>
  <Company>MINISTRSTVO ZA FINANCE</Company>
  <LinksUpToDate>false</LinksUpToDate>
  <CharactersWithSpaces>427729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POROČILO O DRŽAVNIH POMOČEH</dc:title>
  <dc:subject>ZA LETA 2015, 2016 IN 2017</dc:subject>
  <dc:creator>November 2018</dc:creator>
  <cp:lastModifiedBy>Administrator</cp:lastModifiedBy>
  <cp:revision>3</cp:revision>
  <cp:lastPrinted>2018-11-23T08:13:00Z</cp:lastPrinted>
  <dcterms:created xsi:type="dcterms:W3CDTF">2018-11-26T12:58:00Z</dcterms:created>
  <dcterms:modified xsi:type="dcterms:W3CDTF">2018-11-26T12:58:00Z</dcterms:modified>
</cp:coreProperties>
</file>