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FD2" w:rsidRDefault="00592FD2" w:rsidP="00592FD2">
      <w:pPr>
        <w:rPr>
          <w:rFonts w:eastAsia="Calibri" w:cs="Arial"/>
          <w:szCs w:val="20"/>
        </w:rPr>
      </w:pPr>
    </w:p>
    <w:p w:rsidR="00592FD2" w:rsidRDefault="00592FD2" w:rsidP="00592FD2">
      <w:pPr>
        <w:rPr>
          <w:rFonts w:eastAsia="Calibri" w:cs="Arial"/>
          <w:szCs w:val="20"/>
        </w:rPr>
      </w:pPr>
    </w:p>
    <w:p w:rsidR="00592FD2" w:rsidRDefault="00592FD2" w:rsidP="00592FD2">
      <w:pPr>
        <w:rPr>
          <w:rFonts w:eastAsia="Calibri" w:cs="Arial"/>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592FD2" w:rsidRPr="008D1759" w:rsidTr="00FC04ED">
        <w:trPr>
          <w:gridAfter w:val="2"/>
          <w:wAfter w:w="3067" w:type="dxa"/>
        </w:trPr>
        <w:tc>
          <w:tcPr>
            <w:tcW w:w="6096" w:type="dxa"/>
            <w:gridSpan w:val="2"/>
          </w:tcPr>
          <w:p w:rsidR="00592FD2" w:rsidRPr="009960A4" w:rsidRDefault="00592FD2" w:rsidP="00694D67">
            <w:pPr>
              <w:pStyle w:val="Neotevilenodstavek"/>
              <w:spacing w:before="0" w:after="0" w:line="260" w:lineRule="exact"/>
              <w:jc w:val="left"/>
              <w:rPr>
                <w:sz w:val="20"/>
                <w:szCs w:val="20"/>
              </w:rPr>
            </w:pPr>
            <w:r w:rsidRPr="009960A4">
              <w:rPr>
                <w:sz w:val="20"/>
                <w:szCs w:val="20"/>
              </w:rPr>
              <w:t xml:space="preserve">Številka: </w:t>
            </w:r>
            <w:r w:rsidR="00E07535" w:rsidRPr="009960A4">
              <w:rPr>
                <w:sz w:val="20"/>
                <w:szCs w:val="20"/>
              </w:rPr>
              <w:t>410-</w:t>
            </w:r>
            <w:r w:rsidR="00D25676" w:rsidRPr="009960A4">
              <w:rPr>
                <w:sz w:val="20"/>
                <w:szCs w:val="20"/>
              </w:rPr>
              <w:t>4</w:t>
            </w:r>
            <w:r w:rsidR="00E07535" w:rsidRPr="009960A4">
              <w:rPr>
                <w:sz w:val="20"/>
                <w:szCs w:val="20"/>
              </w:rPr>
              <w:t>3/2018</w:t>
            </w:r>
            <w:r w:rsidR="00302213" w:rsidRPr="009960A4">
              <w:rPr>
                <w:sz w:val="20"/>
                <w:szCs w:val="20"/>
              </w:rPr>
              <w:t>/</w:t>
            </w:r>
            <w:r w:rsidR="0064761D" w:rsidRPr="009960A4">
              <w:rPr>
                <w:sz w:val="20"/>
                <w:szCs w:val="20"/>
              </w:rPr>
              <w:t>15</w:t>
            </w:r>
          </w:p>
        </w:tc>
      </w:tr>
      <w:tr w:rsidR="00592FD2" w:rsidRPr="008D1759" w:rsidTr="00FC04ED">
        <w:trPr>
          <w:gridAfter w:val="2"/>
          <w:wAfter w:w="3067" w:type="dxa"/>
        </w:trPr>
        <w:tc>
          <w:tcPr>
            <w:tcW w:w="6096" w:type="dxa"/>
            <w:gridSpan w:val="2"/>
          </w:tcPr>
          <w:p w:rsidR="00592FD2" w:rsidRPr="009960A4" w:rsidRDefault="00592FD2" w:rsidP="009960A4">
            <w:pPr>
              <w:pStyle w:val="Neotevilenodstavek"/>
              <w:spacing w:before="0" w:after="0" w:line="260" w:lineRule="exact"/>
              <w:jc w:val="left"/>
              <w:rPr>
                <w:sz w:val="20"/>
                <w:szCs w:val="20"/>
              </w:rPr>
            </w:pPr>
            <w:r w:rsidRPr="009960A4">
              <w:rPr>
                <w:sz w:val="20"/>
                <w:szCs w:val="20"/>
              </w:rPr>
              <w:t>Ljubljana</w:t>
            </w:r>
            <w:r w:rsidR="006521F3" w:rsidRPr="009960A4">
              <w:rPr>
                <w:sz w:val="20"/>
                <w:szCs w:val="20"/>
              </w:rPr>
              <w:t xml:space="preserve">, </w:t>
            </w:r>
            <w:r w:rsidR="003D487A">
              <w:rPr>
                <w:sz w:val="20"/>
                <w:szCs w:val="20"/>
              </w:rPr>
              <w:t>24</w:t>
            </w:r>
            <w:bookmarkStart w:id="0" w:name="_GoBack"/>
            <w:bookmarkEnd w:id="0"/>
            <w:r w:rsidR="00694D67" w:rsidRPr="009960A4">
              <w:rPr>
                <w:sz w:val="20"/>
                <w:szCs w:val="20"/>
              </w:rPr>
              <w:t xml:space="preserve">. </w:t>
            </w:r>
            <w:r w:rsidR="00993947" w:rsidRPr="009960A4">
              <w:rPr>
                <w:sz w:val="20"/>
                <w:szCs w:val="20"/>
              </w:rPr>
              <w:t>4</w:t>
            </w:r>
            <w:r w:rsidR="00694D67" w:rsidRPr="009960A4">
              <w:rPr>
                <w:sz w:val="20"/>
                <w:szCs w:val="20"/>
              </w:rPr>
              <w:t>. 2019</w:t>
            </w:r>
          </w:p>
        </w:tc>
      </w:tr>
      <w:tr w:rsidR="00592FD2" w:rsidRPr="008D1759" w:rsidTr="00FC04ED">
        <w:trPr>
          <w:gridAfter w:val="2"/>
          <w:wAfter w:w="3067" w:type="dxa"/>
        </w:trPr>
        <w:tc>
          <w:tcPr>
            <w:tcW w:w="6096" w:type="dxa"/>
            <w:gridSpan w:val="2"/>
          </w:tcPr>
          <w:p w:rsidR="00592FD2" w:rsidRPr="00594B90" w:rsidRDefault="00592FD2" w:rsidP="00FC04ED">
            <w:pPr>
              <w:pStyle w:val="Neotevilenodstavek"/>
              <w:spacing w:before="0" w:after="0" w:line="260" w:lineRule="exact"/>
              <w:jc w:val="left"/>
              <w:rPr>
                <w:sz w:val="20"/>
                <w:szCs w:val="20"/>
              </w:rPr>
            </w:pPr>
            <w:r w:rsidRPr="00594B90">
              <w:rPr>
                <w:iCs/>
                <w:sz w:val="20"/>
                <w:szCs w:val="20"/>
              </w:rPr>
              <w:t>EVA</w:t>
            </w:r>
            <w:r w:rsidR="00CB0601">
              <w:rPr>
                <w:iCs/>
                <w:sz w:val="20"/>
                <w:szCs w:val="20"/>
              </w:rPr>
              <w:t xml:space="preserve"> </w:t>
            </w:r>
          </w:p>
        </w:tc>
      </w:tr>
      <w:tr w:rsidR="00592FD2" w:rsidRPr="008D1759" w:rsidTr="00FC04ED">
        <w:trPr>
          <w:gridAfter w:val="2"/>
          <w:wAfter w:w="3067" w:type="dxa"/>
        </w:trPr>
        <w:tc>
          <w:tcPr>
            <w:tcW w:w="6096" w:type="dxa"/>
            <w:gridSpan w:val="2"/>
          </w:tcPr>
          <w:p w:rsidR="00592FD2" w:rsidRPr="008D1759" w:rsidRDefault="00592FD2" w:rsidP="00FC04ED">
            <w:pPr>
              <w:rPr>
                <w:rFonts w:cs="Arial"/>
                <w:szCs w:val="20"/>
              </w:rPr>
            </w:pPr>
          </w:p>
          <w:p w:rsidR="00592FD2" w:rsidRPr="008D1759" w:rsidRDefault="00592FD2" w:rsidP="00FC04ED">
            <w:pPr>
              <w:rPr>
                <w:rFonts w:cs="Arial"/>
                <w:szCs w:val="20"/>
              </w:rPr>
            </w:pPr>
            <w:r w:rsidRPr="008D1759">
              <w:rPr>
                <w:rFonts w:cs="Arial"/>
                <w:szCs w:val="20"/>
              </w:rPr>
              <w:t>GENERALNI SEKRETARIAT VLADE REPUBLIKE SLOVENIJE</w:t>
            </w:r>
          </w:p>
          <w:p w:rsidR="00592FD2" w:rsidRPr="008D1759" w:rsidRDefault="003D487A" w:rsidP="00FC04ED">
            <w:pPr>
              <w:rPr>
                <w:rFonts w:cs="Arial"/>
                <w:szCs w:val="20"/>
              </w:rPr>
            </w:pPr>
            <w:hyperlink r:id="rId8" w:history="1">
              <w:r w:rsidR="00592FD2" w:rsidRPr="008D1759">
                <w:rPr>
                  <w:rStyle w:val="Hiperpovezava"/>
                  <w:szCs w:val="20"/>
                </w:rPr>
                <w:t>Gp.gs@gov.si</w:t>
              </w:r>
            </w:hyperlink>
          </w:p>
          <w:p w:rsidR="00592FD2" w:rsidRPr="008D1759" w:rsidRDefault="00592FD2" w:rsidP="00FC04ED">
            <w:pPr>
              <w:rPr>
                <w:rFonts w:cs="Arial"/>
                <w:szCs w:val="20"/>
              </w:rPr>
            </w:pPr>
          </w:p>
        </w:tc>
      </w:tr>
      <w:tr w:rsidR="00592FD2" w:rsidRPr="008D1759" w:rsidTr="00FC04ED">
        <w:tc>
          <w:tcPr>
            <w:tcW w:w="9163" w:type="dxa"/>
            <w:gridSpan w:val="4"/>
          </w:tcPr>
          <w:p w:rsidR="00592FD2" w:rsidRPr="008D1759" w:rsidRDefault="00592FD2" w:rsidP="001F75B4">
            <w:pPr>
              <w:pStyle w:val="Naslovpredpisa"/>
              <w:spacing w:before="0" w:after="0" w:line="260" w:lineRule="exact"/>
              <w:jc w:val="left"/>
              <w:rPr>
                <w:sz w:val="20"/>
                <w:szCs w:val="20"/>
              </w:rPr>
            </w:pPr>
            <w:r>
              <w:rPr>
                <w:sz w:val="20"/>
                <w:szCs w:val="20"/>
              </w:rPr>
              <w:t xml:space="preserve">ZADEVA: </w:t>
            </w:r>
            <w:r w:rsidR="00EE0D08">
              <w:rPr>
                <w:sz w:val="20"/>
                <w:szCs w:val="20"/>
              </w:rPr>
              <w:t>Sprememb</w:t>
            </w:r>
            <w:r w:rsidR="001F75B4">
              <w:rPr>
                <w:sz w:val="20"/>
                <w:szCs w:val="20"/>
              </w:rPr>
              <w:t>e št. 1 P</w:t>
            </w:r>
            <w:r w:rsidR="008D1E6F">
              <w:rPr>
                <w:sz w:val="20"/>
                <w:szCs w:val="20"/>
              </w:rPr>
              <w:t>rogram</w:t>
            </w:r>
            <w:r w:rsidR="008C330E">
              <w:rPr>
                <w:sz w:val="20"/>
                <w:szCs w:val="20"/>
              </w:rPr>
              <w:t>a</w:t>
            </w:r>
            <w:r w:rsidR="008D1E6F">
              <w:rPr>
                <w:sz w:val="20"/>
                <w:szCs w:val="20"/>
              </w:rPr>
              <w:t xml:space="preserve"> porabe sredstev proračunskega sklada za gozdove za leto 201</w:t>
            </w:r>
            <w:r w:rsidR="00D25676">
              <w:rPr>
                <w:sz w:val="20"/>
                <w:szCs w:val="20"/>
              </w:rPr>
              <w:t>9</w:t>
            </w:r>
            <w:r w:rsidR="008D1E6F">
              <w:rPr>
                <w:sz w:val="20"/>
                <w:szCs w:val="20"/>
              </w:rPr>
              <w:t xml:space="preserve"> </w:t>
            </w:r>
            <w:r w:rsidRPr="008D1759">
              <w:rPr>
                <w:sz w:val="20"/>
                <w:szCs w:val="20"/>
              </w:rPr>
              <w:t xml:space="preserve">– predlog za obravnavo </w:t>
            </w:r>
          </w:p>
        </w:tc>
      </w:tr>
      <w:tr w:rsidR="00592FD2" w:rsidRPr="008D1759" w:rsidTr="00FC04ED">
        <w:tc>
          <w:tcPr>
            <w:tcW w:w="9163" w:type="dxa"/>
            <w:gridSpan w:val="4"/>
          </w:tcPr>
          <w:p w:rsidR="00592FD2" w:rsidRPr="008D1759" w:rsidRDefault="00592FD2" w:rsidP="00FC04ED">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592FD2" w:rsidRPr="008D1759" w:rsidTr="00FC04ED">
        <w:tc>
          <w:tcPr>
            <w:tcW w:w="9163" w:type="dxa"/>
            <w:gridSpan w:val="4"/>
          </w:tcPr>
          <w:p w:rsidR="008D1E6F" w:rsidRPr="008666EF" w:rsidRDefault="008D1E6F" w:rsidP="008D1E6F">
            <w:pPr>
              <w:autoSpaceDE w:val="0"/>
              <w:autoSpaceDN w:val="0"/>
              <w:adjustRightInd w:val="0"/>
              <w:jc w:val="both"/>
              <w:rPr>
                <w:rFonts w:cs="Arial"/>
                <w:color w:val="000000"/>
                <w:szCs w:val="20"/>
              </w:rPr>
            </w:pPr>
            <w:r w:rsidRPr="008666EF">
              <w:rPr>
                <w:rFonts w:cs="Arial"/>
                <w:szCs w:val="20"/>
              </w:rPr>
              <w:t xml:space="preserve">Na podlagi </w:t>
            </w:r>
            <w:r>
              <w:rPr>
                <w:rFonts w:cs="Arial"/>
                <w:szCs w:val="20"/>
              </w:rPr>
              <w:t xml:space="preserve">petega odstavka 33. </w:t>
            </w:r>
            <w:r w:rsidRPr="008666EF">
              <w:rPr>
                <w:rFonts w:cs="Arial"/>
                <w:szCs w:val="20"/>
              </w:rPr>
              <w:t xml:space="preserve">člena Zakona o gospodarjenju z gozdovi v lasti Republike Slovenije (Uradni list RS, št. 9/16) je </w:t>
            </w:r>
            <w:r w:rsidRPr="008666EF">
              <w:rPr>
                <w:rFonts w:cs="Arial"/>
                <w:color w:val="000000"/>
                <w:szCs w:val="20"/>
              </w:rPr>
              <w:t xml:space="preserve">Vlada Republike Slovenije na </w:t>
            </w:r>
            <w:r w:rsidRPr="00EF372E">
              <w:rPr>
                <w:rFonts w:cs="Arial"/>
                <w:color w:val="000000"/>
                <w:szCs w:val="20"/>
              </w:rPr>
              <w:t>___</w:t>
            </w:r>
            <w:r>
              <w:rPr>
                <w:rFonts w:cs="Arial"/>
                <w:color w:val="000000"/>
                <w:szCs w:val="20"/>
              </w:rPr>
              <w:t>.</w:t>
            </w:r>
            <w:r w:rsidRPr="008666EF">
              <w:rPr>
                <w:rFonts w:cs="Arial"/>
                <w:color w:val="000000"/>
                <w:szCs w:val="20"/>
              </w:rPr>
              <w:t xml:space="preserve"> redni seji dne </w:t>
            </w:r>
            <w:r w:rsidRPr="00EF372E">
              <w:rPr>
                <w:rFonts w:cs="Arial"/>
                <w:color w:val="000000"/>
                <w:szCs w:val="20"/>
              </w:rPr>
              <w:t>_______</w:t>
            </w:r>
            <w:r>
              <w:rPr>
                <w:rFonts w:cs="Arial"/>
                <w:color w:val="000000"/>
                <w:szCs w:val="20"/>
              </w:rPr>
              <w:t>201</w:t>
            </w:r>
            <w:r w:rsidR="00032A41">
              <w:rPr>
                <w:rFonts w:cs="Arial"/>
                <w:color w:val="000000"/>
                <w:szCs w:val="20"/>
              </w:rPr>
              <w:t>9</w:t>
            </w:r>
            <w:r w:rsidRPr="008666EF">
              <w:rPr>
                <w:rFonts w:cs="Arial"/>
                <w:color w:val="000000"/>
                <w:szCs w:val="20"/>
              </w:rPr>
              <w:t xml:space="preserve"> pod točko </w:t>
            </w:r>
            <w:r w:rsidRPr="00EF372E">
              <w:rPr>
                <w:rFonts w:cs="Arial"/>
                <w:color w:val="000000"/>
                <w:szCs w:val="20"/>
              </w:rPr>
              <w:t>__</w:t>
            </w:r>
            <w:r w:rsidRPr="008666EF">
              <w:rPr>
                <w:rFonts w:cs="Arial"/>
                <w:color w:val="000000"/>
                <w:szCs w:val="20"/>
              </w:rPr>
              <w:t xml:space="preserve"> sprejela naslednji</w:t>
            </w:r>
          </w:p>
          <w:p w:rsidR="008D1E6F" w:rsidRDefault="008D1E6F" w:rsidP="008D1E6F">
            <w:pPr>
              <w:jc w:val="both"/>
            </w:pPr>
          </w:p>
          <w:p w:rsidR="008D1E6F" w:rsidRDefault="008D1E6F" w:rsidP="008D1E6F">
            <w:pPr>
              <w:jc w:val="both"/>
            </w:pPr>
          </w:p>
          <w:p w:rsidR="008D1E6F" w:rsidRDefault="008D1E6F" w:rsidP="008D1E6F">
            <w:pPr>
              <w:jc w:val="center"/>
            </w:pPr>
            <w:r>
              <w:t>SKLEP</w:t>
            </w:r>
          </w:p>
          <w:p w:rsidR="008D1E6F" w:rsidRDefault="008D1E6F" w:rsidP="008D1E6F">
            <w:pPr>
              <w:jc w:val="center"/>
            </w:pPr>
          </w:p>
          <w:p w:rsidR="008D1E6F" w:rsidRDefault="008D1E6F" w:rsidP="008D1E6F">
            <w:pPr>
              <w:jc w:val="center"/>
            </w:pPr>
          </w:p>
          <w:p w:rsidR="008D1E6F" w:rsidRDefault="008D1E6F" w:rsidP="00E563F2">
            <w:pPr>
              <w:pStyle w:val="Neotevilenodstavek"/>
              <w:numPr>
                <w:ilvl w:val="0"/>
                <w:numId w:val="14"/>
              </w:numPr>
              <w:spacing w:before="0" w:after="120" w:line="260" w:lineRule="exact"/>
              <w:ind w:left="714" w:hanging="357"/>
              <w:rPr>
                <w:iCs/>
                <w:sz w:val="20"/>
                <w:szCs w:val="20"/>
              </w:rPr>
            </w:pPr>
            <w:r>
              <w:rPr>
                <w:iCs/>
                <w:sz w:val="20"/>
                <w:szCs w:val="20"/>
              </w:rPr>
              <w:t xml:space="preserve">Vlada Republike Slovenije je sprejela </w:t>
            </w:r>
            <w:r w:rsidR="00EE0D08">
              <w:rPr>
                <w:iCs/>
                <w:sz w:val="20"/>
                <w:szCs w:val="20"/>
              </w:rPr>
              <w:t>Sprememb</w:t>
            </w:r>
            <w:r w:rsidR="001F75B4">
              <w:rPr>
                <w:iCs/>
                <w:sz w:val="20"/>
                <w:szCs w:val="20"/>
              </w:rPr>
              <w:t>e št. 1 P</w:t>
            </w:r>
            <w:r>
              <w:rPr>
                <w:iCs/>
                <w:sz w:val="20"/>
                <w:szCs w:val="20"/>
              </w:rPr>
              <w:t>rogram</w:t>
            </w:r>
            <w:r w:rsidR="008C330E">
              <w:rPr>
                <w:iCs/>
                <w:sz w:val="20"/>
                <w:szCs w:val="20"/>
              </w:rPr>
              <w:t>a</w:t>
            </w:r>
            <w:r>
              <w:rPr>
                <w:iCs/>
                <w:sz w:val="20"/>
                <w:szCs w:val="20"/>
              </w:rPr>
              <w:t xml:space="preserve"> porabe sredstev proračunskega sklada za gozdove za leto 201</w:t>
            </w:r>
            <w:r w:rsidR="00D25676">
              <w:rPr>
                <w:iCs/>
                <w:sz w:val="20"/>
                <w:szCs w:val="20"/>
              </w:rPr>
              <w:t>9</w:t>
            </w:r>
            <w:r>
              <w:rPr>
                <w:iCs/>
                <w:sz w:val="20"/>
                <w:szCs w:val="20"/>
              </w:rPr>
              <w:t>.</w:t>
            </w:r>
          </w:p>
          <w:p w:rsidR="00E563F2" w:rsidRDefault="00E563F2" w:rsidP="00E563F2">
            <w:pPr>
              <w:pStyle w:val="Neotevilenodstavek"/>
              <w:numPr>
                <w:ilvl w:val="0"/>
                <w:numId w:val="14"/>
              </w:numPr>
              <w:spacing w:before="0" w:after="0" w:line="260" w:lineRule="exact"/>
              <w:rPr>
                <w:iCs/>
                <w:sz w:val="20"/>
                <w:szCs w:val="20"/>
              </w:rPr>
            </w:pPr>
            <w:r>
              <w:rPr>
                <w:iCs/>
                <w:sz w:val="20"/>
                <w:szCs w:val="20"/>
              </w:rPr>
              <w:t>Vlada Republike Slovenije je potrdila čistopis Programa porabe sredstev proračunskega sklada za gozdove za leto 2019.</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D25676" w:rsidRPr="00F05EB2" w:rsidRDefault="008D1E6F" w:rsidP="00D25676">
            <w:pPr>
              <w:overflowPunct w:val="0"/>
              <w:autoSpaceDE w:val="0"/>
              <w:autoSpaceDN w:val="0"/>
              <w:adjustRightInd w:val="0"/>
              <w:ind w:left="4956" w:firstLine="708"/>
              <w:jc w:val="both"/>
              <w:textAlignment w:val="baseline"/>
              <w:rPr>
                <w:rFonts w:cs="Arial"/>
                <w:iCs/>
                <w:szCs w:val="20"/>
              </w:rPr>
            </w:pPr>
            <w:r w:rsidRPr="004B77FA">
              <w:rPr>
                <w:rFonts w:cs="Arial"/>
                <w:szCs w:val="20"/>
              </w:rPr>
              <w:t xml:space="preserve">                              </w:t>
            </w:r>
            <w:r w:rsidR="00D25676">
              <w:rPr>
                <w:rFonts w:cs="Arial"/>
                <w:szCs w:val="20"/>
              </w:rPr>
              <w:t xml:space="preserve">                       </w:t>
            </w:r>
            <w:r w:rsidRPr="004B77FA">
              <w:rPr>
                <w:rFonts w:cs="Arial"/>
                <w:szCs w:val="20"/>
              </w:rPr>
              <w:t xml:space="preserve">                               </w:t>
            </w:r>
            <w:r w:rsidR="0055402E">
              <w:rPr>
                <w:rFonts w:cs="Arial"/>
                <w:szCs w:val="20"/>
              </w:rPr>
              <w:t xml:space="preserve">      </w:t>
            </w:r>
            <w:r w:rsidR="00D25676" w:rsidRPr="00F05EB2">
              <w:rPr>
                <w:rFonts w:cs="Arial"/>
                <w:iCs/>
                <w:szCs w:val="20"/>
              </w:rPr>
              <w:t>Stojan Tramte</w:t>
            </w:r>
          </w:p>
          <w:p w:rsidR="00D25676" w:rsidRPr="00F05EB2" w:rsidRDefault="00D25676" w:rsidP="00D25676">
            <w:pPr>
              <w:tabs>
                <w:tab w:val="left" w:pos="9106"/>
              </w:tabs>
              <w:autoSpaceDE w:val="0"/>
              <w:autoSpaceDN w:val="0"/>
              <w:adjustRightInd w:val="0"/>
              <w:ind w:left="34"/>
              <w:jc w:val="both"/>
              <w:rPr>
                <w:rFonts w:cs="Arial"/>
                <w:color w:val="000000"/>
                <w:szCs w:val="20"/>
              </w:rPr>
            </w:pPr>
            <w:r w:rsidRPr="00F05EB2">
              <w:rPr>
                <w:rFonts w:cs="Arial"/>
                <w:iCs/>
                <w:szCs w:val="20"/>
              </w:rPr>
              <w:t xml:space="preserve">                                                                     </w:t>
            </w:r>
            <w:r>
              <w:rPr>
                <w:rFonts w:cs="Arial"/>
                <w:iCs/>
                <w:szCs w:val="20"/>
              </w:rPr>
              <w:t xml:space="preserve">                 </w:t>
            </w:r>
            <w:r w:rsidRPr="00F05EB2">
              <w:rPr>
                <w:rFonts w:cs="Arial"/>
                <w:iCs/>
                <w:szCs w:val="20"/>
              </w:rPr>
              <w:t>generalni sekretar</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Priloga:</w:t>
            </w:r>
          </w:p>
          <w:p w:rsidR="008D1E6F" w:rsidRPr="001546A6" w:rsidRDefault="00EE0D08" w:rsidP="008D1E6F">
            <w:pPr>
              <w:pStyle w:val="Neotevilenodstavek"/>
              <w:numPr>
                <w:ilvl w:val="0"/>
                <w:numId w:val="10"/>
              </w:numPr>
              <w:spacing w:before="0" w:after="0" w:line="260" w:lineRule="exact"/>
              <w:rPr>
                <w:iCs/>
                <w:sz w:val="20"/>
                <w:szCs w:val="20"/>
              </w:rPr>
            </w:pPr>
            <w:r>
              <w:rPr>
                <w:sz w:val="20"/>
                <w:szCs w:val="20"/>
              </w:rPr>
              <w:t>Sprememb</w:t>
            </w:r>
            <w:r w:rsidR="001F75B4">
              <w:rPr>
                <w:sz w:val="20"/>
                <w:szCs w:val="20"/>
              </w:rPr>
              <w:t>e</w:t>
            </w:r>
            <w:r w:rsidR="008C330E">
              <w:rPr>
                <w:sz w:val="20"/>
                <w:szCs w:val="20"/>
              </w:rPr>
              <w:t xml:space="preserve"> št. 1 </w:t>
            </w:r>
            <w:r w:rsidR="001F75B4">
              <w:rPr>
                <w:sz w:val="20"/>
                <w:szCs w:val="20"/>
              </w:rPr>
              <w:t>P</w:t>
            </w:r>
            <w:r w:rsidR="008D1E6F">
              <w:rPr>
                <w:sz w:val="20"/>
                <w:szCs w:val="20"/>
              </w:rPr>
              <w:t>rogram</w:t>
            </w:r>
            <w:r w:rsidR="008C330E">
              <w:rPr>
                <w:sz w:val="20"/>
                <w:szCs w:val="20"/>
              </w:rPr>
              <w:t>a</w:t>
            </w:r>
            <w:r w:rsidR="008D1E6F">
              <w:rPr>
                <w:sz w:val="20"/>
                <w:szCs w:val="20"/>
              </w:rPr>
              <w:t xml:space="preserve"> porabe sredstev proračunskega sklada za gozdove za leto 201</w:t>
            </w:r>
            <w:r w:rsidR="00D25676">
              <w:rPr>
                <w:sz w:val="20"/>
                <w:szCs w:val="20"/>
              </w:rPr>
              <w:t>9</w:t>
            </w:r>
          </w:p>
          <w:p w:rsidR="001546A6" w:rsidRPr="00323A02" w:rsidRDefault="001546A6" w:rsidP="008D1E6F">
            <w:pPr>
              <w:pStyle w:val="Neotevilenodstavek"/>
              <w:numPr>
                <w:ilvl w:val="0"/>
                <w:numId w:val="10"/>
              </w:numPr>
              <w:spacing w:before="0" w:after="0" w:line="260" w:lineRule="exact"/>
              <w:rPr>
                <w:iCs/>
                <w:sz w:val="20"/>
                <w:szCs w:val="20"/>
              </w:rPr>
            </w:pPr>
            <w:r>
              <w:rPr>
                <w:sz w:val="20"/>
                <w:szCs w:val="20"/>
              </w:rPr>
              <w:t xml:space="preserve">Čistopis Programa porabe sredstev proračunskega sklada za gozdove za leto 2019 </w:t>
            </w: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p>
          <w:p w:rsidR="008D1E6F" w:rsidRDefault="008D1E6F" w:rsidP="008D1E6F">
            <w:pPr>
              <w:pStyle w:val="Neotevilenodstavek"/>
              <w:spacing w:before="0" w:after="0" w:line="260" w:lineRule="exact"/>
              <w:rPr>
                <w:iCs/>
                <w:sz w:val="20"/>
                <w:szCs w:val="20"/>
              </w:rPr>
            </w:pPr>
            <w:r>
              <w:rPr>
                <w:iCs/>
                <w:sz w:val="20"/>
                <w:szCs w:val="20"/>
              </w:rPr>
              <w:t>Prejemniki:</w:t>
            </w:r>
          </w:p>
          <w:p w:rsidR="008D1E6F" w:rsidRPr="004B77FA" w:rsidRDefault="008D1E6F" w:rsidP="008D1E6F">
            <w:pPr>
              <w:pStyle w:val="Neotevilenodstavek"/>
              <w:numPr>
                <w:ilvl w:val="0"/>
                <w:numId w:val="9"/>
              </w:numPr>
              <w:ind w:right="70"/>
              <w:rPr>
                <w:iCs/>
                <w:sz w:val="20"/>
                <w:szCs w:val="20"/>
              </w:rPr>
            </w:pPr>
            <w:r w:rsidRPr="004B77FA">
              <w:rPr>
                <w:iCs/>
                <w:sz w:val="20"/>
                <w:szCs w:val="20"/>
              </w:rPr>
              <w:t>Ministrstvo za kmetijstvo, gozdarstvo in prehrano, Dunajska 22, 1000 Ljubljana</w:t>
            </w:r>
          </w:p>
          <w:p w:rsidR="008D1E6F" w:rsidRPr="004B77FA" w:rsidRDefault="008D1E6F" w:rsidP="008D1E6F">
            <w:pPr>
              <w:pStyle w:val="Neotevilenodstavek"/>
              <w:numPr>
                <w:ilvl w:val="0"/>
                <w:numId w:val="9"/>
              </w:numPr>
              <w:ind w:right="70"/>
              <w:rPr>
                <w:iCs/>
                <w:sz w:val="20"/>
                <w:szCs w:val="20"/>
              </w:rPr>
            </w:pPr>
            <w:r w:rsidRPr="004B77FA">
              <w:rPr>
                <w:iCs/>
                <w:sz w:val="20"/>
                <w:szCs w:val="20"/>
              </w:rPr>
              <w:t>Ministrstvo za gospodarski razvoj in tehnologijo, Kotnikova 5, 1000 Ljubljana</w:t>
            </w:r>
          </w:p>
          <w:p w:rsidR="008D1E6F" w:rsidRDefault="008D1E6F" w:rsidP="008D1E6F">
            <w:pPr>
              <w:pStyle w:val="Neotevilenodstavek"/>
              <w:numPr>
                <w:ilvl w:val="0"/>
                <w:numId w:val="9"/>
              </w:numPr>
              <w:ind w:right="70"/>
              <w:rPr>
                <w:iCs/>
                <w:sz w:val="20"/>
                <w:szCs w:val="20"/>
              </w:rPr>
            </w:pPr>
            <w:r w:rsidRPr="004B77FA">
              <w:rPr>
                <w:iCs/>
                <w:sz w:val="20"/>
                <w:szCs w:val="20"/>
              </w:rPr>
              <w:t xml:space="preserve">Ministrstvo za </w:t>
            </w:r>
            <w:r>
              <w:rPr>
                <w:iCs/>
                <w:sz w:val="20"/>
                <w:szCs w:val="20"/>
              </w:rPr>
              <w:t>finance</w:t>
            </w:r>
            <w:r w:rsidRPr="004B77FA">
              <w:rPr>
                <w:iCs/>
                <w:sz w:val="20"/>
                <w:szCs w:val="20"/>
              </w:rPr>
              <w:t>,</w:t>
            </w:r>
            <w:r>
              <w:rPr>
                <w:iCs/>
                <w:sz w:val="20"/>
                <w:szCs w:val="20"/>
              </w:rPr>
              <w:t xml:space="preserve"> Župančičeva 3,</w:t>
            </w:r>
            <w:r w:rsidRPr="004B77FA">
              <w:rPr>
                <w:iCs/>
                <w:sz w:val="20"/>
                <w:szCs w:val="20"/>
              </w:rPr>
              <w:t xml:space="preserve"> 1000 Ljubljana</w:t>
            </w:r>
          </w:p>
          <w:p w:rsidR="008D1E6F" w:rsidRDefault="008D1E6F" w:rsidP="008D1E6F">
            <w:pPr>
              <w:pStyle w:val="Neotevilenodstavek"/>
              <w:numPr>
                <w:ilvl w:val="0"/>
                <w:numId w:val="9"/>
              </w:numPr>
              <w:ind w:right="70"/>
              <w:rPr>
                <w:iCs/>
                <w:sz w:val="20"/>
                <w:szCs w:val="20"/>
              </w:rPr>
            </w:pPr>
            <w:r>
              <w:rPr>
                <w:iCs/>
                <w:sz w:val="20"/>
                <w:szCs w:val="20"/>
              </w:rPr>
              <w:lastRenderedPageBreak/>
              <w:t>Ministrstvo za okolje in prostor, Dunajska 48, 1000 Ljubljana,</w:t>
            </w:r>
          </w:p>
          <w:p w:rsidR="008D1E6F" w:rsidRPr="004B77FA" w:rsidRDefault="008D1E6F" w:rsidP="008D1E6F">
            <w:pPr>
              <w:pStyle w:val="Neotevilenodstavek"/>
              <w:numPr>
                <w:ilvl w:val="0"/>
                <w:numId w:val="9"/>
              </w:numPr>
              <w:ind w:right="70"/>
              <w:rPr>
                <w:iCs/>
                <w:sz w:val="20"/>
                <w:szCs w:val="20"/>
              </w:rPr>
            </w:pPr>
            <w:r>
              <w:rPr>
                <w:iCs/>
                <w:sz w:val="20"/>
                <w:szCs w:val="20"/>
              </w:rPr>
              <w:t>Generalni sekretariat Vlade RS, Gregorčičeva ulica 2, 1000 Ljubljana</w:t>
            </w:r>
          </w:p>
          <w:p w:rsidR="008D1E6F" w:rsidRPr="008C6CBA" w:rsidRDefault="008D1E6F" w:rsidP="008D1E6F">
            <w:pPr>
              <w:pStyle w:val="Neotevilenodstavek"/>
              <w:numPr>
                <w:ilvl w:val="0"/>
                <w:numId w:val="9"/>
              </w:numPr>
              <w:ind w:right="70"/>
              <w:rPr>
                <w:iCs/>
                <w:sz w:val="20"/>
                <w:szCs w:val="20"/>
              </w:rPr>
            </w:pPr>
            <w:r w:rsidRPr="004B77FA">
              <w:rPr>
                <w:iCs/>
                <w:sz w:val="20"/>
                <w:szCs w:val="20"/>
              </w:rPr>
              <w:t>Služba vlade Republike Slovenije za zakonodajo, Mestni trg 4, 1000 Ljubljana</w:t>
            </w:r>
          </w:p>
          <w:p w:rsidR="00592FD2" w:rsidRPr="008D1759" w:rsidRDefault="00592FD2" w:rsidP="00592FD2">
            <w:pPr>
              <w:pStyle w:val="Neotevilenodstavek"/>
              <w:spacing w:before="0" w:after="0" w:line="260" w:lineRule="exact"/>
              <w:ind w:left="720"/>
              <w:rPr>
                <w:iCs/>
                <w:sz w:val="20"/>
                <w:szCs w:val="20"/>
              </w:rPr>
            </w:pPr>
          </w:p>
        </w:tc>
      </w:tr>
      <w:tr w:rsidR="00592FD2" w:rsidRPr="008D1759" w:rsidTr="00FC04ED">
        <w:tc>
          <w:tcPr>
            <w:tcW w:w="9163" w:type="dxa"/>
            <w:gridSpan w:val="4"/>
          </w:tcPr>
          <w:p w:rsidR="00592FD2" w:rsidRPr="00D43F59" w:rsidRDefault="00592FD2" w:rsidP="00072A38">
            <w:pPr>
              <w:pStyle w:val="Neotevilenodstavek"/>
              <w:spacing w:before="0" w:after="0" w:line="260" w:lineRule="exact"/>
              <w:rPr>
                <w:b/>
                <w:iCs/>
                <w:sz w:val="20"/>
                <w:szCs w:val="20"/>
              </w:rPr>
            </w:pPr>
            <w:r>
              <w:rPr>
                <w:b/>
                <w:sz w:val="20"/>
                <w:szCs w:val="20"/>
              </w:rPr>
              <w:lastRenderedPageBreak/>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r>
              <w:rPr>
                <w:b/>
                <w:sz w:val="20"/>
                <w:szCs w:val="20"/>
              </w:rPr>
              <w:t xml:space="preserve">  </w:t>
            </w:r>
          </w:p>
        </w:tc>
      </w:tr>
      <w:tr w:rsidR="00592FD2" w:rsidRPr="008D1759" w:rsidTr="00FC04ED">
        <w:tc>
          <w:tcPr>
            <w:tcW w:w="9163" w:type="dxa"/>
            <w:gridSpan w:val="4"/>
          </w:tcPr>
          <w:p w:rsidR="00592FD2" w:rsidRPr="008D1759" w:rsidRDefault="00072A38" w:rsidP="00FC04ED">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592FD2" w:rsidRPr="008D1759" w:rsidTr="00FC04ED">
        <w:tc>
          <w:tcPr>
            <w:tcW w:w="9163" w:type="dxa"/>
            <w:gridSpan w:val="4"/>
          </w:tcPr>
          <w:p w:rsidR="00592FD2" w:rsidRDefault="00D25676" w:rsidP="00592FD2">
            <w:pPr>
              <w:pStyle w:val="Neotevilenodstavek"/>
              <w:numPr>
                <w:ilvl w:val="0"/>
                <w:numId w:val="11"/>
              </w:numPr>
              <w:spacing w:before="0" w:after="0" w:line="260" w:lineRule="exact"/>
              <w:rPr>
                <w:iCs/>
                <w:sz w:val="20"/>
                <w:szCs w:val="20"/>
              </w:rPr>
            </w:pPr>
            <w:r>
              <w:rPr>
                <w:iCs/>
                <w:sz w:val="20"/>
                <w:szCs w:val="20"/>
              </w:rPr>
              <w:t>dr</w:t>
            </w:r>
            <w:r w:rsidR="00592FD2" w:rsidRPr="00984A08">
              <w:rPr>
                <w:iCs/>
                <w:sz w:val="20"/>
                <w:szCs w:val="20"/>
              </w:rPr>
              <w:t xml:space="preserve">. </w:t>
            </w:r>
            <w:r>
              <w:rPr>
                <w:iCs/>
                <w:sz w:val="20"/>
                <w:szCs w:val="20"/>
              </w:rPr>
              <w:t>Jože</w:t>
            </w:r>
            <w:r w:rsidR="00592FD2" w:rsidRPr="00984A08">
              <w:rPr>
                <w:iCs/>
                <w:sz w:val="20"/>
                <w:szCs w:val="20"/>
              </w:rPr>
              <w:t xml:space="preserve"> Podgoršek</w:t>
            </w:r>
            <w:r w:rsidR="00592FD2">
              <w:rPr>
                <w:iCs/>
                <w:sz w:val="20"/>
                <w:szCs w:val="20"/>
              </w:rPr>
              <w:t>, državni sekretar,</w:t>
            </w:r>
          </w:p>
          <w:p w:rsidR="00B208E9" w:rsidRDefault="00E43E4E" w:rsidP="00E43E4E">
            <w:pPr>
              <w:pStyle w:val="Odstavekseznama"/>
              <w:numPr>
                <w:ilvl w:val="0"/>
                <w:numId w:val="11"/>
              </w:numPr>
              <w:rPr>
                <w:rFonts w:cs="Arial"/>
                <w:iCs/>
                <w:szCs w:val="20"/>
                <w:lang w:eastAsia="sl-SI"/>
              </w:rPr>
            </w:pPr>
            <w:r w:rsidRPr="00E43E4E">
              <w:rPr>
                <w:rFonts w:cs="Arial"/>
                <w:iCs/>
                <w:szCs w:val="20"/>
                <w:lang w:eastAsia="sl-SI"/>
              </w:rPr>
              <w:t xml:space="preserve">Samo Mihelin, </w:t>
            </w:r>
            <w:r w:rsidR="00B208E9">
              <w:rPr>
                <w:rFonts w:cs="Arial"/>
                <w:iCs/>
                <w:szCs w:val="20"/>
                <w:lang w:eastAsia="sl-SI"/>
              </w:rPr>
              <w:t>vodja Sektorja za pravno sistemske zadeve in spremljanje gospodarjenja z državnimi gozdovi,</w:t>
            </w:r>
          </w:p>
          <w:p w:rsidR="00592FD2" w:rsidRPr="00B208E9" w:rsidRDefault="00B208E9" w:rsidP="00B208E9">
            <w:pPr>
              <w:pStyle w:val="Odstavekseznama"/>
              <w:numPr>
                <w:ilvl w:val="0"/>
                <w:numId w:val="11"/>
              </w:numPr>
              <w:rPr>
                <w:rFonts w:cs="Arial"/>
                <w:iCs/>
                <w:szCs w:val="20"/>
                <w:lang w:eastAsia="sl-SI"/>
              </w:rPr>
            </w:pPr>
            <w:r w:rsidRPr="00B208E9">
              <w:rPr>
                <w:rFonts w:cs="Arial"/>
                <w:iCs/>
                <w:szCs w:val="20"/>
                <w:lang w:eastAsia="sl-SI"/>
              </w:rPr>
              <w:t>Gašper Bevc, Sektor za pravno sistemske zadeve in spremljanje go</w:t>
            </w:r>
            <w:r>
              <w:rPr>
                <w:rFonts w:cs="Arial"/>
                <w:iCs/>
                <w:szCs w:val="20"/>
                <w:lang w:eastAsia="sl-SI"/>
              </w:rPr>
              <w:t>spodarjenja z državnimi gozdovi</w:t>
            </w:r>
          </w:p>
        </w:tc>
      </w:tr>
      <w:tr w:rsidR="00592FD2" w:rsidRPr="008D1759" w:rsidTr="00FC04ED">
        <w:tc>
          <w:tcPr>
            <w:tcW w:w="9163" w:type="dxa"/>
            <w:gridSpan w:val="4"/>
          </w:tcPr>
          <w:p w:rsidR="00592FD2" w:rsidRPr="005F3DC6" w:rsidRDefault="00592FD2" w:rsidP="00FC04ED">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592FD2" w:rsidRPr="008D1759" w:rsidTr="00FC04ED">
        <w:tc>
          <w:tcPr>
            <w:tcW w:w="9163" w:type="dxa"/>
            <w:gridSpan w:val="4"/>
          </w:tcPr>
          <w:p w:rsidR="00592FD2" w:rsidRPr="00072A38" w:rsidRDefault="00592FD2" w:rsidP="00FC04ED">
            <w:pPr>
              <w:pStyle w:val="Neotevilenodstavek"/>
              <w:spacing w:before="0" w:after="0" w:line="260" w:lineRule="exact"/>
              <w:rPr>
                <w:iCs/>
                <w:sz w:val="20"/>
                <w:szCs w:val="20"/>
              </w:rPr>
            </w:pPr>
            <w:r w:rsidRPr="00072A38">
              <w:rPr>
                <w:iCs/>
                <w:sz w:val="20"/>
                <w:szCs w:val="20"/>
              </w:rPr>
              <w:t>(Navedite osebno ime zunanjega strokovnjaka ali firmo in naslov pravne osebe, ki je sodelovala pri pripravi predloga predpisa ali splošnega akta za izvrševanje javnih pooblastil.</w:t>
            </w:r>
          </w:p>
          <w:p w:rsidR="00592FD2" w:rsidRPr="008D1759" w:rsidRDefault="00592FD2" w:rsidP="00FC04ED">
            <w:pPr>
              <w:pStyle w:val="Neotevilenodstavek"/>
              <w:spacing w:before="0" w:after="0" w:line="260" w:lineRule="exact"/>
              <w:rPr>
                <w:iCs/>
                <w:sz w:val="20"/>
                <w:szCs w:val="20"/>
              </w:rPr>
            </w:pPr>
            <w:r w:rsidRPr="00072A38">
              <w:rPr>
                <w:iCs/>
                <w:sz w:val="20"/>
                <w:szCs w:val="20"/>
              </w:rPr>
              <w:t>(Navedite s tem povezane stroške, ki bremenijo javnofinančna sredstva ali navedite, da sodelovanje strokovnjaka ni povezano z javnofinančnimi izdatki.)</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r>
              <w:rPr>
                <w:b/>
                <w:sz w:val="20"/>
                <w:szCs w:val="20"/>
              </w:rPr>
              <w:t xml:space="preserve">  NE</w:t>
            </w:r>
          </w:p>
        </w:tc>
      </w:tr>
      <w:tr w:rsidR="00592FD2" w:rsidRPr="008D1759" w:rsidTr="00FC04ED">
        <w:tc>
          <w:tcPr>
            <w:tcW w:w="9163" w:type="dxa"/>
            <w:gridSpan w:val="4"/>
          </w:tcPr>
          <w:p w:rsidR="00592FD2" w:rsidRPr="00D43F59" w:rsidRDefault="00592FD2" w:rsidP="00FC04ED">
            <w:pPr>
              <w:pStyle w:val="Neotevilenodstavek"/>
              <w:spacing w:before="0" w:after="0" w:line="260" w:lineRule="exact"/>
              <w:rPr>
                <w:b/>
                <w:sz w:val="20"/>
                <w:szCs w:val="20"/>
              </w:rPr>
            </w:pPr>
          </w:p>
        </w:tc>
      </w:tr>
      <w:tr w:rsidR="00592FD2" w:rsidRPr="008D1759" w:rsidTr="00FC04ED">
        <w:tc>
          <w:tcPr>
            <w:tcW w:w="9163" w:type="dxa"/>
            <w:gridSpan w:val="4"/>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592FD2" w:rsidRPr="008D1759" w:rsidTr="00FC04ED">
        <w:tc>
          <w:tcPr>
            <w:tcW w:w="9163" w:type="dxa"/>
            <w:gridSpan w:val="4"/>
          </w:tcPr>
          <w:p w:rsidR="00565DFB" w:rsidRPr="00A12B51" w:rsidRDefault="00565DFB" w:rsidP="00B22133">
            <w:pPr>
              <w:jc w:val="both"/>
              <w:rPr>
                <w:iCs/>
                <w:szCs w:val="20"/>
              </w:rPr>
            </w:pPr>
          </w:p>
        </w:tc>
      </w:tr>
      <w:tr w:rsidR="00592FD2" w:rsidRPr="008D1759" w:rsidTr="00FC04ED">
        <w:tc>
          <w:tcPr>
            <w:tcW w:w="9163" w:type="dxa"/>
            <w:gridSpan w:val="4"/>
          </w:tcPr>
          <w:p w:rsidR="00592FD2" w:rsidRPr="008D1759" w:rsidRDefault="00592FD2" w:rsidP="00FC04ED">
            <w:pPr>
              <w:pStyle w:val="Oddelek"/>
              <w:numPr>
                <w:ilvl w:val="0"/>
                <w:numId w:val="0"/>
              </w:numPr>
              <w:spacing w:before="0" w:after="0" w:line="260" w:lineRule="exact"/>
              <w:jc w:val="left"/>
              <w:rPr>
                <w:sz w:val="20"/>
                <w:szCs w:val="20"/>
              </w:rPr>
            </w:pPr>
            <w:r>
              <w:rPr>
                <w:sz w:val="20"/>
                <w:szCs w:val="20"/>
              </w:rPr>
              <w:t>6</w:t>
            </w:r>
            <w:r w:rsidRPr="008D1759">
              <w:rPr>
                <w:sz w:val="20"/>
                <w:szCs w:val="20"/>
              </w:rPr>
              <w:t>. Presoja posledic</w:t>
            </w:r>
            <w:r>
              <w:rPr>
                <w:sz w:val="20"/>
                <w:szCs w:val="20"/>
              </w:rPr>
              <w:t xml:space="preserve"> za: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592FD2" w:rsidRPr="008D1759" w:rsidRDefault="00592FD2" w:rsidP="00FC04ED">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592FD2" w:rsidRPr="008D1759" w:rsidRDefault="00E73312" w:rsidP="00E73312">
            <w:pPr>
              <w:pStyle w:val="Neotevilenodstavek"/>
              <w:spacing w:before="0" w:after="0" w:line="260" w:lineRule="exact"/>
              <w:jc w:val="center"/>
              <w:rPr>
                <w:iCs/>
                <w:sz w:val="20"/>
                <w:szCs w:val="20"/>
              </w:rPr>
            </w:pPr>
            <w:r w:rsidRPr="00044FD4">
              <w:rPr>
                <w:sz w:val="20"/>
                <w:szCs w:val="20"/>
              </w:rPr>
              <w:t>DA</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592FD2" w:rsidRPr="008D1759" w:rsidRDefault="00592FD2" w:rsidP="00FC04ED">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592FD2" w:rsidRPr="008D1759" w:rsidRDefault="00592FD2" w:rsidP="00FC04ED">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592FD2" w:rsidRPr="00A24E98" w:rsidRDefault="00592FD2" w:rsidP="00FC04ED">
            <w:pPr>
              <w:pStyle w:val="Neotevilenodstavek"/>
              <w:spacing w:before="0" w:after="0" w:line="260" w:lineRule="exact"/>
              <w:jc w:val="center"/>
              <w:rPr>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592FD2" w:rsidRPr="008D1759" w:rsidRDefault="00592FD2" w:rsidP="00FC04ED">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592FD2" w:rsidRPr="008D1759" w:rsidRDefault="00592FD2" w:rsidP="00FC04ED">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592FD2" w:rsidRPr="008D1759" w:rsidRDefault="00592FD2" w:rsidP="00FC04ED">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1448" w:type="dxa"/>
            <w:tcBorders>
              <w:bottom w:val="single" w:sz="4" w:space="0" w:color="auto"/>
            </w:tcBorders>
          </w:tcPr>
          <w:p w:rsidR="00592FD2" w:rsidRPr="008D1759" w:rsidRDefault="00592FD2" w:rsidP="00FC04ED">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592FD2" w:rsidRPr="008D1759" w:rsidRDefault="00592FD2" w:rsidP="00FC04ED">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nacionalne d</w:t>
            </w:r>
            <w:r>
              <w:rPr>
                <w:bCs/>
                <w:sz w:val="20"/>
                <w:szCs w:val="20"/>
              </w:rPr>
              <w:t>okumente razvojnega načrtovanja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politike na ravni programov po strukturi razvojne klasifikacije programskega proračuna</w:t>
            </w:r>
          </w:p>
          <w:p w:rsidR="00592FD2" w:rsidRPr="008D1759" w:rsidRDefault="00592FD2" w:rsidP="00592FD2">
            <w:pPr>
              <w:pStyle w:val="Neotevilenodstavek"/>
              <w:numPr>
                <w:ilvl w:val="0"/>
                <w:numId w:val="3"/>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592FD2" w:rsidRPr="008D1759" w:rsidRDefault="00592FD2" w:rsidP="00FC04ED">
            <w:pPr>
              <w:pStyle w:val="Neotevilenodstavek"/>
              <w:spacing w:before="0" w:after="0" w:line="260" w:lineRule="exact"/>
              <w:jc w:val="center"/>
              <w:rPr>
                <w:iCs/>
                <w:sz w:val="20"/>
                <w:szCs w:val="20"/>
              </w:rPr>
            </w:pPr>
            <w:r w:rsidRPr="008D1759">
              <w:rPr>
                <w:sz w:val="20"/>
                <w:szCs w:val="20"/>
              </w:rPr>
              <w:t>NE</w:t>
            </w:r>
          </w:p>
        </w:tc>
      </w:tr>
      <w:tr w:rsidR="00592FD2" w:rsidRPr="008D1759" w:rsidTr="00FC04ED">
        <w:tc>
          <w:tcPr>
            <w:tcW w:w="9163" w:type="dxa"/>
            <w:gridSpan w:val="4"/>
            <w:tcBorders>
              <w:top w:val="single" w:sz="4" w:space="0" w:color="auto"/>
              <w:left w:val="single" w:sz="4" w:space="0" w:color="auto"/>
              <w:bottom w:val="single" w:sz="4" w:space="0" w:color="auto"/>
              <w:right w:val="single" w:sz="4" w:space="0" w:color="auto"/>
            </w:tcBorders>
          </w:tcPr>
          <w:p w:rsidR="00592FD2" w:rsidRPr="008D1759" w:rsidRDefault="00592FD2" w:rsidP="00FC04ED">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592FD2" w:rsidRPr="008D1759" w:rsidRDefault="00592FD2" w:rsidP="00FC04ED">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592FD2" w:rsidRPr="008D1759" w:rsidRDefault="00592FD2" w:rsidP="00592FD2">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8"/>
        <w:gridCol w:w="871"/>
        <w:gridCol w:w="1404"/>
        <w:gridCol w:w="417"/>
        <w:gridCol w:w="913"/>
        <w:gridCol w:w="349"/>
        <w:gridCol w:w="353"/>
        <w:gridCol w:w="411"/>
        <w:gridCol w:w="324"/>
        <w:gridCol w:w="409"/>
        <w:gridCol w:w="1701"/>
      </w:tblGrid>
      <w:tr w:rsidR="00592FD2" w:rsidRPr="008D1759" w:rsidTr="00FC04ED">
        <w:trPr>
          <w:cantSplit/>
          <w:trHeight w:val="35"/>
        </w:trPr>
        <w:tc>
          <w:tcPr>
            <w:tcW w:w="9200"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592FD2" w:rsidRPr="008D1759" w:rsidRDefault="00592FD2" w:rsidP="00827070">
            <w:pPr>
              <w:pStyle w:val="Naslov1"/>
            </w:pPr>
            <w:r w:rsidRPr="008D1759">
              <w:t>I. Ocena finančnih posledic, ki niso načrtovane v sprejetem proračunu</w:t>
            </w:r>
          </w:p>
        </w:tc>
      </w:tr>
      <w:tr w:rsidR="00592FD2" w:rsidRPr="008D1759" w:rsidTr="00FC04ED">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1</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2</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 xml:space="preserve">t </w:t>
            </w:r>
            <w:r w:rsidRPr="008D1759">
              <w:rPr>
                <w:rFonts w:cs="Arial"/>
                <w:szCs w:val="20"/>
              </w:rPr>
              <w:t>+</w:t>
            </w:r>
            <w:r>
              <w:rPr>
                <w:rFonts w:cs="Arial"/>
                <w:szCs w:val="20"/>
              </w:rPr>
              <w:t xml:space="preserve"> </w:t>
            </w:r>
            <w:r w:rsidRPr="008D1759">
              <w:rPr>
                <w:rFonts w:cs="Arial"/>
                <w:szCs w:val="20"/>
              </w:rPr>
              <w:t>3</w:t>
            </w: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lastRenderedPageBreak/>
              <w:t>Predvideno povečan</w:t>
            </w:r>
            <w:r>
              <w:rPr>
                <w:rFonts w:cs="Arial"/>
                <w:bCs/>
                <w:szCs w:val="20"/>
              </w:rPr>
              <w:t>je (+) ali zmanjšanje (</w:t>
            </w:r>
            <w:r w:rsidRPr="00755DBB">
              <w:rPr>
                <w:b/>
                <w:szCs w:val="20"/>
              </w:rPr>
              <w:t>–</w:t>
            </w:r>
            <w:r w:rsidRPr="008D1759">
              <w:rPr>
                <w:rFonts w:cs="Arial"/>
                <w:bCs/>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p>
        </w:tc>
      </w:tr>
      <w:tr w:rsidR="00592FD2" w:rsidRPr="008D1759" w:rsidTr="00FC04ED">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rPr>
                <w:rFonts w:cs="Arial"/>
                <w:bCs/>
                <w:szCs w:val="20"/>
              </w:rPr>
            </w:pPr>
            <w:r w:rsidRPr="008D1759">
              <w:rPr>
                <w:rFonts w:cs="Arial"/>
                <w:bCs/>
                <w:szCs w:val="20"/>
              </w:rPr>
              <w:t>Predvideno</w:t>
            </w:r>
            <w:r>
              <w:rPr>
                <w:rFonts w:cs="Arial"/>
                <w:bCs/>
                <w:szCs w:val="20"/>
              </w:rPr>
              <w:t xml:space="preserve"> povečanje (+) ali zmanjšanje (</w:t>
            </w:r>
            <w:r w:rsidRPr="00755DBB">
              <w:rPr>
                <w:b/>
                <w:szCs w:val="20"/>
              </w:rPr>
              <w:t>–</w:t>
            </w:r>
            <w:r w:rsidRPr="008D1759">
              <w:rPr>
                <w:rFonts w:cs="Arial"/>
                <w:bCs/>
                <w:szCs w:val="20"/>
              </w:rPr>
              <w:t>)</w:t>
            </w:r>
            <w:r>
              <w:rPr>
                <w:rFonts w:cs="Arial"/>
                <w:bCs/>
                <w:szCs w:val="20"/>
              </w:rPr>
              <w:t xml:space="preserve"> obveznosti za druga javno</w:t>
            </w:r>
            <w:r w:rsidRPr="008D1759">
              <w:rPr>
                <w:rFonts w:cs="Arial"/>
                <w:bCs/>
                <w:szCs w:val="20"/>
              </w:rPr>
              <w:t>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r w:rsidRPr="008D1759">
              <w:t>II. Finančne posledice za državni proračun</w:t>
            </w:r>
          </w:p>
        </w:tc>
      </w:tr>
      <w:tr w:rsidR="00592FD2" w:rsidRPr="008D1759" w:rsidTr="00FC04ED">
        <w:trPr>
          <w:cantSplit/>
          <w:trHeight w:val="257"/>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proofErr w:type="spellStart"/>
            <w:r>
              <w:t>II.a</w:t>
            </w:r>
            <w:proofErr w:type="spellEnd"/>
            <w:r w:rsidRPr="008D1759">
              <w:t xml:space="preserve"> Pravice porabe za izvedbo predlaganih rešitev </w:t>
            </w:r>
            <w:r>
              <w:t>so zagotovljene</w:t>
            </w:r>
            <w:r w:rsidRPr="00697AD9">
              <w:t>:</w:t>
            </w:r>
          </w:p>
        </w:tc>
      </w:tr>
      <w:tr w:rsidR="00592FD2" w:rsidRPr="008D1759" w:rsidTr="00E73312">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Šifra</w:t>
            </w:r>
            <w:r>
              <w:rPr>
                <w:rFonts w:cs="Arial"/>
                <w:szCs w:val="20"/>
              </w:rPr>
              <w:t xml:space="preserve"> in naziv ukrepa, projekta</w:t>
            </w:r>
          </w:p>
        </w:tc>
        <w:tc>
          <w:tcPr>
            <w:tcW w:w="1683"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044FD4" w:rsidRPr="00044FD4" w:rsidTr="00E73312">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592FD2" w:rsidRPr="00044FD4" w:rsidRDefault="00E73312" w:rsidP="00827070">
            <w:pPr>
              <w:pStyle w:val="Naslov1"/>
              <w:rPr>
                <w:b/>
              </w:rPr>
            </w:pPr>
            <w:r w:rsidRPr="00044FD4">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044FD4" w:rsidRDefault="00E73312" w:rsidP="007B09EA">
            <w:pPr>
              <w:pStyle w:val="Naslov1"/>
              <w:rPr>
                <w:b/>
              </w:rPr>
            </w:pPr>
            <w:r w:rsidRPr="00044FD4">
              <w:t>2330-16-00</w:t>
            </w:r>
            <w:r w:rsidR="007B09EA" w:rsidRPr="00044FD4">
              <w:t>30</w:t>
            </w:r>
            <w:r w:rsidRPr="00044FD4">
              <w:t xml:space="preserve"> – Gozdni sklad – </w:t>
            </w:r>
            <w:r w:rsidR="007B09EA" w:rsidRPr="00044FD4">
              <w:t>investicije</w:t>
            </w:r>
          </w:p>
        </w:tc>
        <w:tc>
          <w:tcPr>
            <w:tcW w:w="1683" w:type="dxa"/>
            <w:gridSpan w:val="3"/>
            <w:tcBorders>
              <w:top w:val="single" w:sz="4" w:space="0" w:color="auto"/>
              <w:left w:val="single" w:sz="4" w:space="0" w:color="auto"/>
              <w:bottom w:val="single" w:sz="4" w:space="0" w:color="auto"/>
              <w:right w:val="single" w:sz="4" w:space="0" w:color="auto"/>
            </w:tcBorders>
            <w:vAlign w:val="center"/>
          </w:tcPr>
          <w:p w:rsidR="00592FD2" w:rsidRPr="00044FD4" w:rsidRDefault="007B09EA" w:rsidP="007B09EA">
            <w:pPr>
              <w:pStyle w:val="Naslov1"/>
              <w:rPr>
                <w:b/>
              </w:rPr>
            </w:pPr>
            <w:r w:rsidRPr="00044FD4">
              <w:t>547</w:t>
            </w:r>
            <w:r w:rsidR="007E1146" w:rsidRPr="00044FD4">
              <w:t xml:space="preserve"> </w:t>
            </w:r>
            <w:r w:rsidR="00E73312" w:rsidRPr="00044FD4">
              <w:t xml:space="preserve">Gozdni sklad </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044FD4" w:rsidRDefault="008D492E" w:rsidP="00827070">
            <w:pPr>
              <w:pStyle w:val="Naslov1"/>
              <w:rPr>
                <w:bCs/>
              </w:rPr>
            </w:pPr>
            <w:r w:rsidRPr="008D492E">
              <w:rPr>
                <w:bCs/>
              </w:rPr>
              <w:t xml:space="preserve">  9.750.000,00</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044FD4" w:rsidRDefault="007B09EA" w:rsidP="008D492E">
            <w:pPr>
              <w:pStyle w:val="Naslov1"/>
            </w:pPr>
            <w:r w:rsidRPr="00044FD4">
              <w:t xml:space="preserve">  </w:t>
            </w:r>
          </w:p>
        </w:tc>
      </w:tr>
      <w:tr w:rsidR="00044FD4" w:rsidRPr="00044FD4" w:rsidTr="00E73312">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044FD4" w:rsidRDefault="007B09EA" w:rsidP="00827070">
            <w:pPr>
              <w:pStyle w:val="Naslov1"/>
            </w:pPr>
            <w:r w:rsidRPr="00044FD4">
              <w:t>2330 MKGP</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044FD4" w:rsidRDefault="007B09EA" w:rsidP="00827070">
            <w:pPr>
              <w:pStyle w:val="Naslov1"/>
            </w:pPr>
            <w:r w:rsidRPr="00044FD4">
              <w:t>2330-16-0031 - Gozdni sklad - razpolaganje</w:t>
            </w:r>
          </w:p>
        </w:tc>
        <w:tc>
          <w:tcPr>
            <w:tcW w:w="1683" w:type="dxa"/>
            <w:gridSpan w:val="3"/>
            <w:tcBorders>
              <w:top w:val="single" w:sz="4" w:space="0" w:color="auto"/>
              <w:left w:val="single" w:sz="4" w:space="0" w:color="auto"/>
              <w:bottom w:val="single" w:sz="4" w:space="0" w:color="auto"/>
              <w:right w:val="single" w:sz="4" w:space="0" w:color="auto"/>
            </w:tcBorders>
            <w:vAlign w:val="center"/>
          </w:tcPr>
          <w:p w:rsidR="00592FD2" w:rsidRPr="00044FD4" w:rsidRDefault="007B09EA" w:rsidP="00827070">
            <w:pPr>
              <w:pStyle w:val="Naslov1"/>
            </w:pPr>
            <w:r w:rsidRPr="00044FD4">
              <w:t>547 Gozdni sklad</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044FD4" w:rsidRDefault="008D492E" w:rsidP="00827070">
            <w:pPr>
              <w:pStyle w:val="Naslov1"/>
            </w:pPr>
            <w:r w:rsidRPr="008D492E">
              <w:t>6.481.050,00</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044FD4" w:rsidRDefault="00592FD2" w:rsidP="00044FD4">
            <w:pPr>
              <w:pStyle w:val="Naslov1"/>
            </w:pPr>
          </w:p>
        </w:tc>
      </w:tr>
      <w:tr w:rsidR="00044FD4" w:rsidRPr="00044FD4" w:rsidTr="00E73312">
        <w:trPr>
          <w:cantSplit/>
          <w:trHeight w:val="95"/>
        </w:trPr>
        <w:tc>
          <w:tcPr>
            <w:tcW w:w="6054" w:type="dxa"/>
            <w:gridSpan w:val="6"/>
            <w:tcBorders>
              <w:top w:val="single" w:sz="4" w:space="0" w:color="auto"/>
              <w:left w:val="single" w:sz="4" w:space="0" w:color="auto"/>
              <w:bottom w:val="single" w:sz="4" w:space="0" w:color="auto"/>
              <w:right w:val="single" w:sz="4" w:space="0" w:color="auto"/>
            </w:tcBorders>
            <w:vAlign w:val="center"/>
          </w:tcPr>
          <w:p w:rsidR="00592FD2" w:rsidRPr="00044FD4" w:rsidRDefault="00592FD2" w:rsidP="00827070">
            <w:pPr>
              <w:pStyle w:val="Naslov1"/>
            </w:pPr>
            <w:r w:rsidRPr="00044FD4">
              <w:t>SKUPAJ</w:t>
            </w:r>
          </w:p>
        </w:tc>
        <w:tc>
          <w:tcPr>
            <w:tcW w:w="1417" w:type="dxa"/>
            <w:gridSpan w:val="4"/>
            <w:tcBorders>
              <w:top w:val="single" w:sz="4" w:space="0" w:color="auto"/>
              <w:left w:val="single" w:sz="4" w:space="0" w:color="auto"/>
              <w:bottom w:val="single" w:sz="4" w:space="0" w:color="auto"/>
              <w:right w:val="single" w:sz="4" w:space="0" w:color="auto"/>
            </w:tcBorders>
            <w:vAlign w:val="center"/>
          </w:tcPr>
          <w:p w:rsidR="00592FD2" w:rsidRPr="008D492E" w:rsidRDefault="008D492E" w:rsidP="00FC04ED">
            <w:pPr>
              <w:widowControl w:val="0"/>
              <w:jc w:val="center"/>
              <w:rPr>
                <w:rFonts w:cs="Arial"/>
                <w:szCs w:val="20"/>
              </w:rPr>
            </w:pPr>
            <w:r w:rsidRPr="008D492E">
              <w:rPr>
                <w:rFonts w:cs="Arial"/>
                <w:szCs w:val="20"/>
              </w:rPr>
              <w:t>16.231.050,00</w:t>
            </w:r>
          </w:p>
        </w:tc>
        <w:tc>
          <w:tcPr>
            <w:tcW w:w="1729" w:type="dxa"/>
            <w:tcBorders>
              <w:top w:val="single" w:sz="4" w:space="0" w:color="auto"/>
              <w:left w:val="single" w:sz="4" w:space="0" w:color="auto"/>
              <w:bottom w:val="single" w:sz="4" w:space="0" w:color="auto"/>
              <w:right w:val="single" w:sz="4" w:space="0" w:color="auto"/>
            </w:tcBorders>
            <w:vAlign w:val="center"/>
          </w:tcPr>
          <w:p w:rsidR="00592FD2" w:rsidRPr="00044FD4" w:rsidRDefault="00592FD2" w:rsidP="00827070">
            <w:pPr>
              <w:pStyle w:val="Naslov1"/>
            </w:pPr>
          </w:p>
        </w:tc>
      </w:tr>
      <w:tr w:rsidR="00592FD2" w:rsidRPr="008D1759" w:rsidTr="00FC04ED">
        <w:trPr>
          <w:cantSplit/>
          <w:trHeight w:val="294"/>
        </w:trPr>
        <w:tc>
          <w:tcPr>
            <w:tcW w:w="9200"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592FD2" w:rsidRPr="008D1759" w:rsidRDefault="00592FD2" w:rsidP="00827070">
            <w:pPr>
              <w:pStyle w:val="Naslov1"/>
            </w:pPr>
            <w:proofErr w:type="spellStart"/>
            <w:r>
              <w:t>II.b</w:t>
            </w:r>
            <w:proofErr w:type="spellEnd"/>
            <w:r w:rsidRPr="008D1759">
              <w:t xml:space="preserve"> Manjkajoče pravice porabe bodo za</w:t>
            </w:r>
            <w:r>
              <w:t>gotovljene s prerazporeditvijo</w:t>
            </w:r>
            <w:r w:rsidRPr="00697AD9">
              <w:t>:</w:t>
            </w:r>
          </w:p>
        </w:tc>
      </w:tr>
      <w:tr w:rsidR="00592FD2" w:rsidRPr="008D1759" w:rsidTr="00FC04ED">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Pr>
                <w:rFonts w:cs="Arial"/>
                <w:szCs w:val="20"/>
              </w:rPr>
              <w:t>Šifra in naziv proračunske postavke</w:t>
            </w:r>
            <w:r w:rsidRPr="008D1759">
              <w:rPr>
                <w:rFonts w:cs="Arial"/>
                <w:szCs w:val="20"/>
              </w:rPr>
              <w:t xml:space="preserve"> </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tekoče leto (t)</w:t>
            </w: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 xml:space="preserve">1 </w:t>
            </w: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r w:rsidRPr="008D1759">
              <w:t>SKUPAJ</w:t>
            </w:r>
          </w:p>
        </w:tc>
        <w:tc>
          <w:tcPr>
            <w:tcW w:w="1371"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128" w:type="dxa"/>
            <w:gridSpan w:val="2"/>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207"/>
        </w:trPr>
        <w:tc>
          <w:tcPr>
            <w:tcW w:w="9200"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592FD2" w:rsidRPr="008D1759" w:rsidRDefault="00592FD2" w:rsidP="00827070">
            <w:pPr>
              <w:pStyle w:val="Naslov1"/>
            </w:pPr>
            <w:proofErr w:type="spellStart"/>
            <w:r>
              <w:t>II.c</w:t>
            </w:r>
            <w:proofErr w:type="spellEnd"/>
            <w:r w:rsidRPr="008D1759">
              <w:t xml:space="preserve"> Načrtovana nad</w:t>
            </w:r>
            <w:r>
              <w:t>omestitev zmanjšanih prihodkov in povečanih odhodkov proračuna</w:t>
            </w:r>
            <w:r w:rsidRPr="00697AD9">
              <w:t>:</w:t>
            </w:r>
          </w:p>
        </w:tc>
      </w:tr>
      <w:tr w:rsidR="00592FD2" w:rsidRPr="008D1759" w:rsidTr="00FC04ED">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Novi prihodki</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tekoče leto (t)</w:t>
            </w: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FC04ED">
            <w:pPr>
              <w:widowControl w:val="0"/>
              <w:ind w:left="-122" w:right="-112"/>
              <w:jc w:val="center"/>
              <w:rPr>
                <w:rFonts w:cs="Arial"/>
                <w:szCs w:val="20"/>
              </w:rPr>
            </w:pPr>
            <w:r w:rsidRPr="008D1759">
              <w:rPr>
                <w:rFonts w:cs="Arial"/>
                <w:szCs w:val="20"/>
              </w:rPr>
              <w:t>Znesek za t</w:t>
            </w:r>
            <w:r>
              <w:rPr>
                <w:rFonts w:cs="Arial"/>
                <w:szCs w:val="20"/>
              </w:rPr>
              <w:t xml:space="preserve"> </w:t>
            </w:r>
            <w:r w:rsidRPr="008D1759">
              <w:rPr>
                <w:rFonts w:cs="Arial"/>
                <w:szCs w:val="20"/>
              </w:rPr>
              <w:t>+</w:t>
            </w:r>
            <w:r>
              <w:rPr>
                <w:rFonts w:cs="Arial"/>
                <w:szCs w:val="20"/>
              </w:rPr>
              <w:t xml:space="preserve"> </w:t>
            </w:r>
            <w:r w:rsidRPr="008D1759">
              <w:rPr>
                <w:rFonts w:cs="Arial"/>
                <w:szCs w:val="20"/>
              </w:rPr>
              <w:t>1</w:t>
            </w: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r w:rsidRPr="008D1759">
              <w:t>SKUPAJ</w:t>
            </w:r>
          </w:p>
        </w:tc>
        <w:tc>
          <w:tcPr>
            <w:tcW w:w="2013"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c>
          <w:tcPr>
            <w:tcW w:w="2816" w:type="dxa"/>
            <w:gridSpan w:val="4"/>
            <w:tcBorders>
              <w:top w:val="single" w:sz="4" w:space="0" w:color="auto"/>
              <w:left w:val="single" w:sz="4" w:space="0" w:color="auto"/>
              <w:bottom w:val="single" w:sz="4" w:space="0" w:color="auto"/>
              <w:right w:val="single" w:sz="4" w:space="0" w:color="auto"/>
            </w:tcBorders>
            <w:vAlign w:val="center"/>
          </w:tcPr>
          <w:p w:rsidR="00592FD2" w:rsidRPr="008D1759" w:rsidRDefault="00592FD2" w:rsidP="00827070">
            <w:pPr>
              <w:pStyle w:val="Naslov1"/>
            </w:pPr>
          </w:p>
        </w:tc>
      </w:tr>
      <w:tr w:rsidR="00592FD2" w:rsidRPr="008D1759"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11"/>
          </w:tcPr>
          <w:p w:rsidR="00592FD2" w:rsidRPr="008D1759" w:rsidRDefault="00592FD2" w:rsidP="00FC04ED">
            <w:pPr>
              <w:widowControl w:val="0"/>
              <w:rPr>
                <w:rFonts w:cs="Arial"/>
                <w:b/>
                <w:szCs w:val="20"/>
              </w:rPr>
            </w:pPr>
          </w:p>
          <w:p w:rsidR="00592FD2" w:rsidRPr="008D1759" w:rsidRDefault="00592FD2" w:rsidP="00FC04ED">
            <w:pPr>
              <w:widowControl w:val="0"/>
              <w:rPr>
                <w:rFonts w:cs="Arial"/>
                <w:b/>
                <w:szCs w:val="20"/>
              </w:rPr>
            </w:pPr>
            <w:r w:rsidRPr="008D1759">
              <w:rPr>
                <w:rFonts w:cs="Arial"/>
                <w:b/>
                <w:szCs w:val="20"/>
              </w:rPr>
              <w:t>OBRAZLOŽITEV:</w:t>
            </w: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Ocena finančnih posledic, ki niso načrtovane v sprejetem proračunu</w:t>
            </w:r>
          </w:p>
          <w:p w:rsidR="00592FD2" w:rsidRPr="008D1759" w:rsidRDefault="00592FD2" w:rsidP="00FC04ED">
            <w:pPr>
              <w:widowControl w:val="0"/>
              <w:ind w:left="360" w:hanging="76"/>
              <w:jc w:val="both"/>
              <w:rPr>
                <w:rFonts w:cs="Arial"/>
                <w:szCs w:val="20"/>
                <w:lang w:eastAsia="sl-SI"/>
              </w:rPr>
            </w:pPr>
            <w:r>
              <w:rPr>
                <w:rFonts w:cs="Arial"/>
                <w:szCs w:val="20"/>
                <w:lang w:eastAsia="sl-SI"/>
              </w:rPr>
              <w:t>V zvezi</w:t>
            </w:r>
            <w:r w:rsidRPr="008D1759">
              <w:rPr>
                <w:rFonts w:cs="Arial"/>
                <w:szCs w:val="20"/>
                <w:lang w:eastAsia="sl-SI"/>
              </w:rPr>
              <w:t xml:space="preserve"> s predlaganim vladnim gradivom se navedejo predvidene spremembe (povečanje, zmanjšanje):</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prihodko</w:t>
            </w:r>
            <w:r>
              <w:rPr>
                <w:rFonts w:cs="Arial"/>
                <w:szCs w:val="20"/>
                <w:lang w:eastAsia="sl-SI"/>
              </w:rPr>
              <w:t>v državnega proračuna in</w:t>
            </w:r>
            <w:r w:rsidRPr="008D1759">
              <w:rPr>
                <w:rFonts w:cs="Arial"/>
                <w:szCs w:val="20"/>
                <w:lang w:eastAsia="sl-SI"/>
              </w:rPr>
              <w:t xml:space="preserve"> občinskih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odhodkov državnega proračuna</w:t>
            </w:r>
            <w:r>
              <w:rPr>
                <w:rFonts w:cs="Arial"/>
                <w:szCs w:val="20"/>
                <w:lang w:eastAsia="sl-SI"/>
              </w:rPr>
              <w:t xml:space="preserve">, ki niso načrtovani </w:t>
            </w:r>
            <w:r w:rsidRPr="00697AD9">
              <w:rPr>
                <w:rFonts w:cs="Arial"/>
                <w:szCs w:val="20"/>
                <w:lang w:eastAsia="sl-SI"/>
              </w:rPr>
              <w:t>na</w:t>
            </w:r>
            <w:r>
              <w:rPr>
                <w:rFonts w:cs="Arial"/>
                <w:szCs w:val="20"/>
                <w:lang w:eastAsia="sl-SI"/>
              </w:rPr>
              <w:t xml:space="preserve"> 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592FD2">
            <w:pPr>
              <w:widowControl w:val="0"/>
              <w:numPr>
                <w:ilvl w:val="0"/>
                <w:numId w:val="5"/>
              </w:numPr>
              <w:suppressAutoHyphens/>
              <w:jc w:val="both"/>
              <w:rPr>
                <w:rFonts w:cs="Arial"/>
                <w:szCs w:val="20"/>
              </w:rPr>
            </w:pPr>
            <w:r w:rsidRPr="008D1759">
              <w:rPr>
                <w:rFonts w:cs="Arial"/>
                <w:szCs w:val="20"/>
                <w:lang w:eastAsia="sl-SI"/>
              </w:rPr>
              <w:t>obveznosti za druga javno</w:t>
            </w:r>
            <w:r>
              <w:rPr>
                <w:rFonts w:cs="Arial"/>
                <w:szCs w:val="20"/>
                <w:lang w:eastAsia="sl-SI"/>
              </w:rPr>
              <w:t>finančna sredstva (drugi</w:t>
            </w:r>
            <w:r w:rsidRPr="008D1759">
              <w:rPr>
                <w:rFonts w:cs="Arial"/>
                <w:szCs w:val="20"/>
                <w:lang w:eastAsia="sl-SI"/>
              </w:rPr>
              <w:t xml:space="preserve"> viri), ki niso načrtovan</w:t>
            </w:r>
            <w:r>
              <w:rPr>
                <w:rFonts w:cs="Arial"/>
                <w:szCs w:val="20"/>
                <w:lang w:eastAsia="sl-SI"/>
              </w:rPr>
              <w:t>a</w:t>
            </w:r>
            <w:r w:rsidRPr="008D1759">
              <w:rPr>
                <w:rFonts w:cs="Arial"/>
                <w:szCs w:val="20"/>
                <w:lang w:eastAsia="sl-SI"/>
              </w:rPr>
              <w:t xml:space="preserve"> </w:t>
            </w:r>
            <w:r w:rsidRPr="00697AD9">
              <w:rPr>
                <w:rFonts w:cs="Arial"/>
                <w:szCs w:val="20"/>
                <w:lang w:eastAsia="sl-SI"/>
              </w:rPr>
              <w:t>na</w:t>
            </w:r>
            <w:r w:rsidRPr="008D1759">
              <w:rPr>
                <w:rFonts w:cs="Arial"/>
                <w:szCs w:val="20"/>
                <w:lang w:eastAsia="sl-SI"/>
              </w:rPr>
              <w:t xml:space="preserve"> </w:t>
            </w:r>
            <w:r>
              <w:rPr>
                <w:rFonts w:cs="Arial"/>
                <w:szCs w:val="20"/>
                <w:lang w:eastAsia="sl-SI"/>
              </w:rPr>
              <w:t xml:space="preserve">ukrepih oziroma </w:t>
            </w:r>
            <w:r w:rsidRPr="008D1759">
              <w:rPr>
                <w:rFonts w:cs="Arial"/>
                <w:szCs w:val="20"/>
                <w:lang w:eastAsia="sl-SI"/>
              </w:rPr>
              <w:t>projektih sprejetih proračunov</w:t>
            </w:r>
            <w:r>
              <w:rPr>
                <w:rFonts w:cs="Arial"/>
                <w:szCs w:val="20"/>
                <w:lang w:eastAsia="sl-SI"/>
              </w:rPr>
              <w:t>.</w:t>
            </w:r>
          </w:p>
          <w:p w:rsidR="00592FD2" w:rsidRPr="008D1759" w:rsidRDefault="00592FD2" w:rsidP="00FC04ED">
            <w:pPr>
              <w:widowControl w:val="0"/>
              <w:ind w:left="284"/>
              <w:rPr>
                <w:rFonts w:cs="Arial"/>
                <w:szCs w:val="20"/>
                <w:lang w:eastAsia="sl-SI"/>
              </w:rPr>
            </w:pPr>
          </w:p>
          <w:p w:rsidR="00592FD2" w:rsidRPr="008D1759" w:rsidRDefault="00592FD2" w:rsidP="00592FD2">
            <w:pPr>
              <w:widowControl w:val="0"/>
              <w:numPr>
                <w:ilvl w:val="0"/>
                <w:numId w:val="4"/>
              </w:numPr>
              <w:suppressAutoHyphens/>
              <w:ind w:left="284" w:hanging="284"/>
              <w:jc w:val="both"/>
              <w:rPr>
                <w:rFonts w:cs="Arial"/>
                <w:b/>
                <w:szCs w:val="20"/>
                <w:lang w:eastAsia="sl-SI"/>
              </w:rPr>
            </w:pPr>
            <w:r w:rsidRPr="008D1759">
              <w:rPr>
                <w:rFonts w:cs="Arial"/>
                <w:b/>
                <w:szCs w:val="20"/>
                <w:lang w:eastAsia="sl-SI"/>
              </w:rPr>
              <w:t>Finan</w:t>
            </w:r>
            <w:r>
              <w:rPr>
                <w:rFonts w:cs="Arial"/>
                <w:b/>
                <w:szCs w:val="20"/>
                <w:lang w:eastAsia="sl-SI"/>
              </w:rPr>
              <w:t xml:space="preserve">čne posledice </w:t>
            </w:r>
            <w:r w:rsidRPr="008D1759">
              <w:rPr>
                <w:rFonts w:cs="Arial"/>
                <w:b/>
                <w:szCs w:val="20"/>
                <w:lang w:eastAsia="sl-SI"/>
              </w:rPr>
              <w:t>za državni proračun</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Prikazane morajo biti finančne posledice za državni proračun, ki so na proračunskih postavkah načrtovane v dinamiki projektov oziroma ukrepov:</w:t>
            </w:r>
          </w:p>
          <w:p w:rsidR="00592FD2" w:rsidRPr="008D1759" w:rsidRDefault="00592FD2" w:rsidP="00FC04ED">
            <w:pPr>
              <w:widowControl w:val="0"/>
              <w:suppressAutoHyphens/>
              <w:ind w:left="720"/>
              <w:jc w:val="both"/>
              <w:rPr>
                <w:rFonts w:cs="Arial"/>
                <w:b/>
                <w:szCs w:val="20"/>
                <w:lang w:eastAsia="sl-SI"/>
              </w:rPr>
            </w:pPr>
            <w:proofErr w:type="spellStart"/>
            <w:r>
              <w:rPr>
                <w:rFonts w:cs="Arial"/>
                <w:b/>
                <w:szCs w:val="20"/>
                <w:lang w:eastAsia="sl-SI"/>
              </w:rPr>
              <w:t>II.a</w:t>
            </w:r>
            <w:proofErr w:type="spellEnd"/>
            <w:r w:rsidRPr="008D1759">
              <w:rPr>
                <w:rFonts w:cs="Arial"/>
                <w:b/>
                <w:szCs w:val="20"/>
                <w:lang w:eastAsia="sl-SI"/>
              </w:rPr>
              <w:t xml:space="preserve"> Pravice porabe za izvedbo predlaganih rešite</w:t>
            </w:r>
            <w:r>
              <w:rPr>
                <w:rFonts w:cs="Arial"/>
                <w:b/>
                <w:szCs w:val="20"/>
                <w:lang w:eastAsia="sl-SI"/>
              </w:rPr>
              <w:t>v so zagotovljene</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w:t>
            </w:r>
            <w:r w:rsidRPr="008D1759">
              <w:rPr>
                <w:rFonts w:cs="Arial"/>
                <w:szCs w:val="20"/>
                <w:lang w:eastAsia="sl-SI"/>
              </w:rPr>
              <w:t xml:space="preserve"> se proračunski upo</w:t>
            </w:r>
            <w:r>
              <w:rPr>
                <w:rFonts w:cs="Arial"/>
                <w:szCs w:val="20"/>
                <w:lang w:eastAsia="sl-SI"/>
              </w:rPr>
              <w:t>rabnik, ki financira projekt oziroma</w:t>
            </w:r>
            <w:r w:rsidRPr="008D1759">
              <w:rPr>
                <w:rFonts w:cs="Arial"/>
                <w:szCs w:val="20"/>
                <w:lang w:eastAsia="sl-SI"/>
              </w:rPr>
              <w:t xml:space="preserve"> ukrep; proje</w:t>
            </w:r>
            <w:r>
              <w:rPr>
                <w:rFonts w:cs="Arial"/>
                <w:szCs w:val="20"/>
                <w:lang w:eastAsia="sl-SI"/>
              </w:rPr>
              <w:t>kt oziroma ukrep, s katerim se bodo dosegli</w:t>
            </w:r>
            <w:r w:rsidRPr="008D1759">
              <w:rPr>
                <w:rFonts w:cs="Arial"/>
                <w:szCs w:val="20"/>
                <w:lang w:eastAsia="sl-SI"/>
              </w:rPr>
              <w:t xml:space="preserve"> cilji vladnega gradiva</w:t>
            </w:r>
            <w:r>
              <w:rPr>
                <w:rFonts w:cs="Arial"/>
                <w:szCs w:val="20"/>
                <w:lang w:eastAsia="sl-SI"/>
              </w:rPr>
              <w:t>,</w:t>
            </w:r>
            <w:r w:rsidRPr="008D1759">
              <w:rPr>
                <w:rFonts w:cs="Arial"/>
                <w:szCs w:val="20"/>
                <w:lang w:eastAsia="sl-SI"/>
              </w:rPr>
              <w:t xml:space="preserve"> </w:t>
            </w:r>
            <w:r>
              <w:rPr>
                <w:rFonts w:cs="Arial"/>
                <w:szCs w:val="20"/>
                <w:lang w:eastAsia="sl-SI"/>
              </w:rPr>
              <w:t>in</w:t>
            </w:r>
            <w:r w:rsidRPr="008D1759">
              <w:rPr>
                <w:rFonts w:cs="Arial"/>
                <w:szCs w:val="20"/>
                <w:lang w:eastAsia="sl-SI"/>
              </w:rPr>
              <w:t xml:space="preserve"> proračunske postavke (kot proračunski vir financiranja), na katerih so v celoti ali delno zagotovljene pravice porabe (v tem primeru</w:t>
            </w:r>
            <w:r>
              <w:rPr>
                <w:rFonts w:cs="Arial"/>
                <w:szCs w:val="20"/>
                <w:lang w:eastAsia="sl-SI"/>
              </w:rPr>
              <w:t xml:space="preserve"> je nujna povezava s točko </w:t>
            </w:r>
            <w:proofErr w:type="spellStart"/>
            <w:r>
              <w:rPr>
                <w:rFonts w:cs="Arial"/>
                <w:szCs w:val="20"/>
                <w:lang w:eastAsia="sl-SI"/>
              </w:rPr>
              <w:t>II.b</w:t>
            </w:r>
            <w:proofErr w:type="spellEnd"/>
            <w:r w:rsidRPr="008D1759">
              <w:rPr>
                <w:rFonts w:cs="Arial"/>
                <w:szCs w:val="20"/>
                <w:lang w:eastAsia="sl-SI"/>
              </w:rPr>
              <w:t xml:space="preserve">). </w:t>
            </w:r>
            <w:r>
              <w:rPr>
                <w:rFonts w:cs="Arial"/>
                <w:szCs w:val="20"/>
                <w:lang w:eastAsia="sl-SI"/>
              </w:rPr>
              <w:t>Pri uvrstitvi</w:t>
            </w:r>
            <w:r w:rsidRPr="008D1759">
              <w:rPr>
                <w:rFonts w:cs="Arial"/>
                <w:szCs w:val="20"/>
                <w:lang w:eastAsia="sl-SI"/>
              </w:rPr>
              <w:t xml:space="preserve"> no</w:t>
            </w:r>
            <w:r>
              <w:rPr>
                <w:rFonts w:cs="Arial"/>
                <w:szCs w:val="20"/>
                <w:lang w:eastAsia="sl-SI"/>
              </w:rPr>
              <w:t>vega projekta oziroma ukrepa v n</w:t>
            </w:r>
            <w:r w:rsidRPr="008D1759">
              <w:rPr>
                <w:rFonts w:cs="Arial"/>
                <w:szCs w:val="20"/>
                <w:lang w:eastAsia="sl-SI"/>
              </w:rPr>
              <w:t xml:space="preserve">ačrt razvojnih programov </w:t>
            </w:r>
            <w:r w:rsidRPr="008D1759">
              <w:rPr>
                <w:rFonts w:cs="Arial"/>
                <w:szCs w:val="20"/>
                <w:lang w:eastAsia="sl-SI"/>
              </w:rPr>
              <w:lastRenderedPageBreak/>
              <w:t>se navede</w:t>
            </w:r>
            <w:r>
              <w:rPr>
                <w:rFonts w:cs="Arial"/>
                <w:szCs w:val="20"/>
                <w:lang w:eastAsia="sl-SI"/>
              </w:rPr>
              <w:t>jo</w:t>
            </w:r>
            <w:r w:rsidRPr="008D1759">
              <w:rPr>
                <w:rFonts w:cs="Arial"/>
                <w:szCs w:val="20"/>
                <w:lang w:eastAsia="sl-SI"/>
              </w:rPr>
              <w:t>:</w:t>
            </w:r>
          </w:p>
          <w:p w:rsidR="00592FD2" w:rsidRPr="008D1759" w:rsidRDefault="00592FD2" w:rsidP="00592FD2">
            <w:pPr>
              <w:widowControl w:val="0"/>
              <w:numPr>
                <w:ilvl w:val="0"/>
                <w:numId w:val="6"/>
              </w:numPr>
              <w:suppressAutoHyphens/>
              <w:jc w:val="both"/>
              <w:rPr>
                <w:rFonts w:cs="Arial"/>
                <w:szCs w:val="20"/>
                <w:lang w:eastAsia="sl-SI"/>
              </w:rPr>
            </w:pPr>
            <w:r>
              <w:rPr>
                <w:rFonts w:cs="Arial"/>
                <w:szCs w:val="20"/>
                <w:lang w:eastAsia="sl-SI"/>
              </w:rPr>
              <w:t>proračunski uporabnik</w:t>
            </w:r>
            <w:r w:rsidRPr="008D1759">
              <w:rPr>
                <w:rFonts w:cs="Arial"/>
                <w:szCs w:val="20"/>
                <w:lang w:eastAsia="sl-SI"/>
              </w:rPr>
              <w:t>, ki bo financiral nov</w:t>
            </w:r>
            <w:r>
              <w:rPr>
                <w:rFonts w:cs="Arial"/>
                <w:szCs w:val="20"/>
                <w:lang w:eastAsia="sl-SI"/>
              </w:rPr>
              <w:t>i projekt oziroma ukrep,</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 xml:space="preserve">projekt oziroma ukrep, </w:t>
            </w:r>
            <w:r>
              <w:rPr>
                <w:rFonts w:cs="Arial"/>
                <w:szCs w:val="20"/>
                <w:lang w:eastAsia="sl-SI"/>
              </w:rPr>
              <w:t>s katerim se bodo dosegli</w:t>
            </w:r>
            <w:r w:rsidRPr="008D1759">
              <w:rPr>
                <w:rFonts w:cs="Arial"/>
                <w:szCs w:val="20"/>
                <w:lang w:eastAsia="sl-SI"/>
              </w:rPr>
              <w:t xml:space="preserve"> cilji vladnega gradiva</w:t>
            </w:r>
            <w:r>
              <w:rPr>
                <w:rFonts w:cs="Arial"/>
                <w:szCs w:val="20"/>
                <w:lang w:eastAsia="sl-SI"/>
              </w:rPr>
              <w:t>, in</w:t>
            </w:r>
            <w:r w:rsidRPr="008D1759">
              <w:rPr>
                <w:rFonts w:cs="Arial"/>
                <w:szCs w:val="20"/>
                <w:lang w:eastAsia="sl-SI"/>
              </w:rPr>
              <w:t xml:space="preserve"> </w:t>
            </w:r>
          </w:p>
          <w:p w:rsidR="00592FD2" w:rsidRPr="008D1759" w:rsidRDefault="00592FD2" w:rsidP="00592FD2">
            <w:pPr>
              <w:widowControl w:val="0"/>
              <w:numPr>
                <w:ilvl w:val="0"/>
                <w:numId w:val="6"/>
              </w:numPr>
              <w:suppressAutoHyphens/>
              <w:jc w:val="both"/>
              <w:rPr>
                <w:rFonts w:cs="Arial"/>
                <w:szCs w:val="20"/>
                <w:lang w:eastAsia="sl-SI"/>
              </w:rPr>
            </w:pPr>
            <w:r w:rsidRPr="008D1759">
              <w:rPr>
                <w:rFonts w:cs="Arial"/>
                <w:szCs w:val="20"/>
                <w:lang w:eastAsia="sl-SI"/>
              </w:rPr>
              <w:t>proračunske postavke.</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Za zagotovitev pravic porabe na</w:t>
            </w:r>
            <w:r>
              <w:rPr>
                <w:rFonts w:cs="Arial"/>
                <w:szCs w:val="20"/>
                <w:lang w:eastAsia="sl-SI"/>
              </w:rPr>
              <w:t xml:space="preserve"> proračunskih postavkah, s katerih se bo financiral</w:t>
            </w:r>
            <w:r w:rsidRPr="008D1759">
              <w:rPr>
                <w:rFonts w:cs="Arial"/>
                <w:szCs w:val="20"/>
                <w:lang w:eastAsia="sl-SI"/>
              </w:rPr>
              <w:t xml:space="preserve"> nov</w:t>
            </w:r>
            <w:r>
              <w:rPr>
                <w:rFonts w:cs="Arial"/>
                <w:szCs w:val="20"/>
                <w:lang w:eastAsia="sl-SI"/>
              </w:rPr>
              <w:t>i</w:t>
            </w:r>
            <w:r w:rsidRPr="008D1759">
              <w:rPr>
                <w:rFonts w:cs="Arial"/>
                <w:szCs w:val="20"/>
                <w:lang w:eastAsia="sl-SI"/>
              </w:rPr>
              <w:t xml:space="preserve"> projekt oziroma ukrep</w:t>
            </w:r>
            <w:r>
              <w:rPr>
                <w:rFonts w:cs="Arial"/>
                <w:szCs w:val="20"/>
                <w:lang w:eastAsia="sl-SI"/>
              </w:rPr>
              <w:t xml:space="preserve">, je treba izpolniti tudi točko </w:t>
            </w:r>
            <w:proofErr w:type="spellStart"/>
            <w:r>
              <w:rPr>
                <w:rFonts w:cs="Arial"/>
                <w:szCs w:val="20"/>
                <w:lang w:eastAsia="sl-SI"/>
              </w:rPr>
              <w:t>II.b</w:t>
            </w:r>
            <w:proofErr w:type="spellEnd"/>
            <w:r w:rsidRPr="008D1759">
              <w:rPr>
                <w:rFonts w:cs="Arial"/>
                <w:szCs w:val="20"/>
                <w:lang w:eastAsia="sl-SI"/>
              </w:rPr>
              <w:t>, saj je za nov</w:t>
            </w:r>
            <w:r>
              <w:rPr>
                <w:rFonts w:cs="Arial"/>
                <w:szCs w:val="20"/>
                <w:lang w:eastAsia="sl-SI"/>
              </w:rPr>
              <w:t>i</w:t>
            </w:r>
            <w:r w:rsidRPr="008D1759">
              <w:rPr>
                <w:rFonts w:cs="Arial"/>
                <w:szCs w:val="20"/>
                <w:lang w:eastAsia="sl-SI"/>
              </w:rPr>
              <w:t xml:space="preserve"> projekt </w:t>
            </w:r>
            <w:r>
              <w:rPr>
                <w:rFonts w:cs="Arial"/>
                <w:szCs w:val="20"/>
                <w:lang w:eastAsia="sl-SI"/>
              </w:rPr>
              <w:t>oziroma ukrep mogoče</w:t>
            </w:r>
            <w:r w:rsidRPr="008D1759">
              <w:rPr>
                <w:rFonts w:cs="Arial"/>
                <w:szCs w:val="20"/>
                <w:lang w:eastAsia="sl-SI"/>
              </w:rPr>
              <w:t xml:space="preserve"> zagotoviti pravice</w:t>
            </w:r>
            <w:r>
              <w:rPr>
                <w:rFonts w:cs="Arial"/>
                <w:szCs w:val="20"/>
                <w:lang w:eastAsia="sl-SI"/>
              </w:rPr>
              <w:t xml:space="preserve"> porabe le s prerazporeditvijo s</w:t>
            </w:r>
            <w:r w:rsidRPr="008D1759">
              <w:rPr>
                <w:rFonts w:cs="Arial"/>
                <w:szCs w:val="20"/>
                <w:lang w:eastAsia="sl-SI"/>
              </w:rPr>
              <w:t xml:space="preserve"> proračunskih postavk</w:t>
            </w:r>
            <w:r>
              <w:rPr>
                <w:rFonts w:cs="Arial"/>
                <w:szCs w:val="20"/>
                <w:lang w:eastAsia="sl-SI"/>
              </w:rPr>
              <w:t>, s katerih se financirajo že sprejeti oziroma veljavni projekti</w:t>
            </w:r>
            <w:r w:rsidRPr="008D1759">
              <w:rPr>
                <w:rFonts w:cs="Arial"/>
                <w:szCs w:val="20"/>
                <w:lang w:eastAsia="sl-SI"/>
              </w:rPr>
              <w:t xml:space="preserve"> in ukrep</w:t>
            </w:r>
            <w:r>
              <w:rPr>
                <w:rFonts w:cs="Arial"/>
                <w:szCs w:val="20"/>
                <w:lang w:eastAsia="sl-SI"/>
              </w:rPr>
              <w:t>i</w:t>
            </w:r>
            <w:r w:rsidRPr="008D1759">
              <w:rPr>
                <w:rFonts w:cs="Arial"/>
                <w:szCs w:val="20"/>
                <w:lang w:eastAsia="sl-SI"/>
              </w:rPr>
              <w:t>.</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II.b</w:t>
            </w:r>
            <w:proofErr w:type="spellEnd"/>
            <w:r w:rsidRPr="008D1759">
              <w:rPr>
                <w:rFonts w:cs="Arial"/>
                <w:b/>
                <w:szCs w:val="20"/>
                <w:lang w:eastAsia="sl-SI"/>
              </w:rPr>
              <w:t xml:space="preserve"> Manjkajoče pravice porabe bodo z</w:t>
            </w:r>
            <w:r>
              <w:rPr>
                <w:rFonts w:cs="Arial"/>
                <w:b/>
                <w:szCs w:val="20"/>
                <w:lang w:eastAsia="sl-SI"/>
              </w:rPr>
              <w:t>agotovljene s prerazporeditvijo</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sidRPr="008D1759">
              <w:rPr>
                <w:rFonts w:cs="Arial"/>
                <w:szCs w:val="20"/>
                <w:lang w:eastAsia="sl-SI"/>
              </w:rPr>
              <w:t>Navede</w:t>
            </w:r>
            <w:r>
              <w:rPr>
                <w:rFonts w:cs="Arial"/>
                <w:szCs w:val="20"/>
                <w:lang w:eastAsia="sl-SI"/>
              </w:rPr>
              <w:t>jo se proračunski</w:t>
            </w:r>
            <w:r w:rsidRPr="008D1759">
              <w:rPr>
                <w:rFonts w:cs="Arial"/>
                <w:szCs w:val="20"/>
                <w:lang w:eastAsia="sl-SI"/>
              </w:rPr>
              <w:t xml:space="preserve"> upo</w:t>
            </w:r>
            <w:r>
              <w:rPr>
                <w:rFonts w:cs="Arial"/>
                <w:szCs w:val="20"/>
                <w:lang w:eastAsia="sl-SI"/>
              </w:rPr>
              <w:t>rabniki, sprejeti (veljavni) ukrepi oziroma projekti</w:t>
            </w:r>
            <w:r w:rsidRPr="008D1759">
              <w:rPr>
                <w:rFonts w:cs="Arial"/>
                <w:szCs w:val="20"/>
                <w:lang w:eastAsia="sl-SI"/>
              </w:rPr>
              <w:t>, ki jih proračunski uporabnik izvaja</w:t>
            </w:r>
            <w:r>
              <w:rPr>
                <w:rFonts w:cs="Arial"/>
                <w:szCs w:val="20"/>
                <w:lang w:eastAsia="sl-SI"/>
              </w:rPr>
              <w:t>, in</w:t>
            </w:r>
            <w:r w:rsidRPr="008D1759">
              <w:rPr>
                <w:rFonts w:cs="Arial"/>
                <w:szCs w:val="20"/>
                <w:lang w:eastAsia="sl-SI"/>
              </w:rPr>
              <w:t xml:space="preserve"> proračunske postavke </w:t>
            </w:r>
            <w:r>
              <w:rPr>
                <w:rFonts w:cs="Arial"/>
                <w:szCs w:val="20"/>
                <w:lang w:eastAsia="sl-SI"/>
              </w:rPr>
              <w:t>tega proračunskega uporabnika, ki</w:t>
            </w:r>
            <w:r w:rsidRPr="008D1759">
              <w:rPr>
                <w:rFonts w:cs="Arial"/>
                <w:szCs w:val="20"/>
                <w:lang w:eastAsia="sl-SI"/>
              </w:rPr>
              <w:t xml:space="preserve"> so v dinamik</w:t>
            </w:r>
            <w:r>
              <w:rPr>
                <w:rFonts w:cs="Arial"/>
                <w:szCs w:val="20"/>
                <w:lang w:eastAsia="sl-SI"/>
              </w:rPr>
              <w:t>i teh projektov oziroma ukrepov ter s</w:t>
            </w:r>
            <w:r w:rsidRPr="008D1759">
              <w:rPr>
                <w:rFonts w:cs="Arial"/>
                <w:szCs w:val="20"/>
                <w:lang w:eastAsia="sl-SI"/>
              </w:rPr>
              <w:t xml:space="preserve"> katerih se bodo s prerazporeditvijo zagotovile pravice porabe za dodatne aktivnosti </w:t>
            </w:r>
            <w:r>
              <w:rPr>
                <w:rFonts w:cs="Arial"/>
                <w:szCs w:val="20"/>
                <w:lang w:eastAsia="sl-SI"/>
              </w:rPr>
              <w:t>pri</w:t>
            </w:r>
            <w:r w:rsidRPr="008D1759">
              <w:rPr>
                <w:rFonts w:cs="Arial"/>
                <w:szCs w:val="20"/>
                <w:lang w:eastAsia="sl-SI"/>
              </w:rPr>
              <w:t xml:space="preserve"> obstoječih projektih oziroma ukrepih</w:t>
            </w:r>
            <w:r>
              <w:rPr>
                <w:rFonts w:cs="Arial"/>
                <w:szCs w:val="20"/>
                <w:lang w:eastAsia="sl-SI"/>
              </w:rPr>
              <w:t xml:space="preserve"> </w:t>
            </w:r>
            <w:r w:rsidRPr="008D1759">
              <w:rPr>
                <w:rFonts w:cs="Arial"/>
                <w:szCs w:val="20"/>
                <w:lang w:eastAsia="sl-SI"/>
              </w:rPr>
              <w:t>ali novih projektih oziroma ukrepih</w:t>
            </w:r>
            <w:r>
              <w:rPr>
                <w:rFonts w:cs="Arial"/>
                <w:szCs w:val="20"/>
                <w:lang w:eastAsia="sl-SI"/>
              </w:rPr>
              <w:t>, navedenih</w:t>
            </w:r>
            <w:r w:rsidRPr="008D1759">
              <w:rPr>
                <w:rFonts w:cs="Arial"/>
                <w:szCs w:val="20"/>
                <w:lang w:eastAsia="sl-SI"/>
              </w:rPr>
              <w:t xml:space="preserve"> v točki II.a.</w:t>
            </w:r>
          </w:p>
          <w:p w:rsidR="00592FD2" w:rsidRPr="008D1759" w:rsidRDefault="00592FD2" w:rsidP="00FC04ED">
            <w:pPr>
              <w:widowControl w:val="0"/>
              <w:suppressAutoHyphens/>
              <w:ind w:left="714"/>
              <w:jc w:val="both"/>
              <w:rPr>
                <w:rFonts w:cs="Arial"/>
                <w:b/>
                <w:szCs w:val="20"/>
                <w:lang w:eastAsia="sl-SI"/>
              </w:rPr>
            </w:pPr>
            <w:proofErr w:type="spellStart"/>
            <w:r>
              <w:rPr>
                <w:rFonts w:cs="Arial"/>
                <w:b/>
                <w:szCs w:val="20"/>
                <w:lang w:eastAsia="sl-SI"/>
              </w:rPr>
              <w:t>II.c</w:t>
            </w:r>
            <w:proofErr w:type="spellEnd"/>
            <w:r w:rsidRPr="008D1759">
              <w:rPr>
                <w:rFonts w:cs="Arial"/>
                <w:b/>
                <w:szCs w:val="20"/>
                <w:lang w:eastAsia="sl-SI"/>
              </w:rPr>
              <w:t xml:space="preserve"> Načrtovana nad</w:t>
            </w:r>
            <w:r>
              <w:rPr>
                <w:rFonts w:cs="Arial"/>
                <w:b/>
                <w:szCs w:val="20"/>
                <w:lang w:eastAsia="sl-SI"/>
              </w:rPr>
              <w:t>omestitev zmanjšanih prihodkov in povečanih odhodkov proračuna</w:t>
            </w:r>
            <w:r w:rsidRPr="00697AD9">
              <w:rPr>
                <w:rFonts w:cs="Arial"/>
                <w:b/>
                <w:szCs w:val="20"/>
                <w:lang w:eastAsia="sl-SI"/>
              </w:rPr>
              <w:t>:</w:t>
            </w:r>
          </w:p>
          <w:p w:rsidR="00592FD2" w:rsidRPr="008D1759" w:rsidRDefault="00592FD2" w:rsidP="00FC04ED">
            <w:pPr>
              <w:widowControl w:val="0"/>
              <w:ind w:left="284"/>
              <w:jc w:val="both"/>
              <w:rPr>
                <w:rFonts w:cs="Arial"/>
                <w:szCs w:val="20"/>
                <w:lang w:eastAsia="sl-SI"/>
              </w:rPr>
            </w:pPr>
            <w:r>
              <w:rPr>
                <w:rFonts w:cs="Arial"/>
                <w:szCs w:val="20"/>
                <w:lang w:eastAsia="sl-SI"/>
              </w:rPr>
              <w:t>Če</w:t>
            </w:r>
            <w:r w:rsidRPr="008D1759">
              <w:rPr>
                <w:rFonts w:cs="Arial"/>
                <w:szCs w:val="20"/>
                <w:lang w:eastAsia="sl-SI"/>
              </w:rPr>
              <w:t xml:space="preserve"> se povečani odhodki (pravice porabe) ne bodo zagotovili </w:t>
            </w:r>
            <w:r>
              <w:rPr>
                <w:rFonts w:cs="Arial"/>
                <w:szCs w:val="20"/>
                <w:lang w:eastAsia="sl-SI"/>
              </w:rPr>
              <w:t xml:space="preserve">tako, kot je določeno v točkah </w:t>
            </w:r>
            <w:proofErr w:type="spellStart"/>
            <w:r>
              <w:rPr>
                <w:rFonts w:cs="Arial"/>
                <w:szCs w:val="20"/>
                <w:lang w:eastAsia="sl-SI"/>
              </w:rPr>
              <w:t>II.a</w:t>
            </w:r>
            <w:proofErr w:type="spellEnd"/>
            <w:r>
              <w:rPr>
                <w:rFonts w:cs="Arial"/>
                <w:szCs w:val="20"/>
                <w:lang w:eastAsia="sl-SI"/>
              </w:rPr>
              <w:t xml:space="preserve"> in </w:t>
            </w:r>
            <w:proofErr w:type="spellStart"/>
            <w:r>
              <w:rPr>
                <w:rFonts w:cs="Arial"/>
                <w:szCs w:val="20"/>
                <w:lang w:eastAsia="sl-SI"/>
              </w:rPr>
              <w:t>II.b</w:t>
            </w:r>
            <w:proofErr w:type="spellEnd"/>
            <w:r>
              <w:rPr>
                <w:rFonts w:cs="Arial"/>
                <w:szCs w:val="20"/>
                <w:lang w:eastAsia="sl-SI"/>
              </w:rPr>
              <w:t>, je</w:t>
            </w:r>
            <w:r w:rsidRPr="008D1759">
              <w:rPr>
                <w:rFonts w:cs="Arial"/>
                <w:szCs w:val="20"/>
                <w:lang w:eastAsia="sl-SI"/>
              </w:rPr>
              <w:t xml:space="preserve"> povečanje odhodkov in izdatkov proračuna</w:t>
            </w:r>
            <w:r>
              <w:rPr>
                <w:rFonts w:cs="Arial"/>
                <w:szCs w:val="20"/>
                <w:lang w:eastAsia="sl-SI"/>
              </w:rPr>
              <w:t xml:space="preserve"> mogoče na podlagi </w:t>
            </w:r>
            <w:r w:rsidRPr="008D1759">
              <w:rPr>
                <w:rFonts w:cs="Arial"/>
                <w:szCs w:val="20"/>
                <w:lang w:eastAsia="sl-SI"/>
              </w:rPr>
              <w:t xml:space="preserve">zakona, ki ureja izvrševanje državnega proračuna (npr. </w:t>
            </w:r>
            <w:r>
              <w:rPr>
                <w:rFonts w:cs="Arial"/>
                <w:szCs w:val="20"/>
                <w:lang w:eastAsia="sl-SI"/>
              </w:rPr>
              <w:t>priliv</w:t>
            </w:r>
            <w:r w:rsidRPr="008D1759">
              <w:rPr>
                <w:rFonts w:cs="Arial"/>
                <w:szCs w:val="20"/>
                <w:lang w:eastAsia="sl-SI"/>
              </w:rPr>
              <w:t xml:space="preserve"> namenskih sredstev EU). Ukrepanje </w:t>
            </w:r>
            <w:r>
              <w:rPr>
                <w:rFonts w:cs="Arial"/>
                <w:szCs w:val="20"/>
                <w:lang w:eastAsia="sl-SI"/>
              </w:rPr>
              <w:t>ob zmanjšanju</w:t>
            </w:r>
            <w:r w:rsidRPr="008D1759">
              <w:rPr>
                <w:rFonts w:cs="Arial"/>
                <w:szCs w:val="20"/>
                <w:lang w:eastAsia="sl-SI"/>
              </w:rPr>
              <w:t xml:space="preserve"> prihodkov in prejemkov proračuna je določeno z zakonom, ki ureja javne finance</w:t>
            </w:r>
            <w:r>
              <w:rPr>
                <w:rFonts w:cs="Arial"/>
                <w:szCs w:val="20"/>
                <w:lang w:eastAsia="sl-SI"/>
              </w:rPr>
              <w:t>,</w:t>
            </w:r>
            <w:r w:rsidRPr="008D1759">
              <w:rPr>
                <w:rFonts w:cs="Arial"/>
                <w:szCs w:val="20"/>
                <w:lang w:eastAsia="sl-SI"/>
              </w:rPr>
              <w:t xml:space="preserve"> in zakonom, ki ureja i</w:t>
            </w:r>
            <w:r>
              <w:rPr>
                <w:rFonts w:cs="Arial"/>
                <w:szCs w:val="20"/>
                <w:lang w:eastAsia="sl-SI"/>
              </w:rPr>
              <w:t>zvrševanje državnega proračuna.</w:t>
            </w:r>
          </w:p>
          <w:p w:rsidR="00592FD2" w:rsidRPr="008D1759" w:rsidRDefault="00592FD2" w:rsidP="00FC04ED">
            <w:pPr>
              <w:pStyle w:val="Vrstapredpisa"/>
              <w:widowControl w:val="0"/>
              <w:spacing w:before="0" w:line="260" w:lineRule="exact"/>
              <w:jc w:val="both"/>
              <w:rPr>
                <w:color w:val="auto"/>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11"/>
            <w:tcBorders>
              <w:top w:val="single" w:sz="4" w:space="0" w:color="000000"/>
              <w:left w:val="single" w:sz="4" w:space="0" w:color="000000"/>
              <w:bottom w:val="single" w:sz="4" w:space="0" w:color="000000"/>
              <w:right w:val="single" w:sz="4" w:space="0" w:color="000000"/>
            </w:tcBorders>
          </w:tcPr>
          <w:p w:rsidR="00592FD2" w:rsidRPr="00D731F3" w:rsidRDefault="00592FD2" w:rsidP="00FC04ED">
            <w:pPr>
              <w:rPr>
                <w:rFonts w:cs="Arial"/>
                <w:b/>
                <w:szCs w:val="20"/>
              </w:rPr>
            </w:pPr>
            <w:proofErr w:type="spellStart"/>
            <w:r w:rsidRPr="00D731F3">
              <w:rPr>
                <w:rFonts w:cs="Arial"/>
                <w:b/>
                <w:szCs w:val="20"/>
              </w:rPr>
              <w:lastRenderedPageBreak/>
              <w:t>7.b</w:t>
            </w:r>
            <w:proofErr w:type="spellEnd"/>
            <w:r w:rsidRPr="00D731F3">
              <w:rPr>
                <w:rFonts w:cs="Arial"/>
                <w:b/>
                <w:szCs w:val="20"/>
              </w:rPr>
              <w:t xml:space="preserve"> Predstavitev ocene finančnih posledic pod 40.000 EUR:</w:t>
            </w:r>
          </w:p>
          <w:p w:rsidR="00592FD2" w:rsidRPr="00171E3B" w:rsidRDefault="00592FD2" w:rsidP="00FC04ED">
            <w:pPr>
              <w:rPr>
                <w:rFonts w:cs="Arial"/>
                <w:szCs w:val="20"/>
              </w:rPr>
            </w:pPr>
            <w:r w:rsidRPr="00171E3B">
              <w:rPr>
                <w:rFonts w:cs="Arial"/>
                <w:szCs w:val="20"/>
              </w:rPr>
              <w:t>(Samo če izberete NE pod točko 6.a.)</w:t>
            </w:r>
          </w:p>
          <w:p w:rsidR="00592FD2" w:rsidRDefault="00592FD2" w:rsidP="00FC04ED">
            <w:pPr>
              <w:rPr>
                <w:rFonts w:cs="Arial"/>
                <w:b/>
                <w:szCs w:val="20"/>
              </w:rPr>
            </w:pPr>
            <w:r w:rsidRPr="00D731F3">
              <w:rPr>
                <w:rFonts w:cs="Arial"/>
                <w:b/>
                <w:szCs w:val="20"/>
              </w:rPr>
              <w:t>Kratka obrazložitev</w:t>
            </w:r>
          </w:p>
          <w:p w:rsidR="00592FD2" w:rsidRPr="00D731F3" w:rsidRDefault="00592FD2" w:rsidP="00FC04ED">
            <w:pPr>
              <w:rPr>
                <w:rFonts w:cs="Arial"/>
                <w:b/>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11"/>
            <w:tcBorders>
              <w:top w:val="single" w:sz="4" w:space="0" w:color="000000"/>
              <w:left w:val="single" w:sz="4" w:space="0" w:color="000000"/>
              <w:bottom w:val="single" w:sz="4" w:space="0" w:color="000000"/>
              <w:right w:val="single" w:sz="4" w:space="0" w:color="000000"/>
            </w:tcBorders>
          </w:tcPr>
          <w:p w:rsidR="00592FD2" w:rsidRPr="00171E3B" w:rsidRDefault="00592FD2" w:rsidP="00FC04ED">
            <w:pPr>
              <w:rPr>
                <w:rFonts w:cs="Arial"/>
                <w:b/>
                <w:szCs w:val="20"/>
              </w:rPr>
            </w:pPr>
            <w:r w:rsidRPr="00171E3B">
              <w:rPr>
                <w:rFonts w:cs="Arial"/>
                <w:b/>
                <w:szCs w:val="20"/>
              </w:rPr>
              <w:t>8. Predstavitev sodelovanja z združenji občin:</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 xml:space="preserve">Vsebina predloženega gradiva </w:t>
            </w:r>
            <w:r>
              <w:rPr>
                <w:iCs/>
                <w:sz w:val="20"/>
                <w:szCs w:val="20"/>
              </w:rPr>
              <w:t xml:space="preserve">(predpisa) </w:t>
            </w:r>
            <w:r w:rsidRPr="00171E3B">
              <w:rPr>
                <w:iCs/>
                <w:sz w:val="20"/>
                <w:szCs w:val="20"/>
              </w:rPr>
              <w:t>vpliva na:</w:t>
            </w:r>
          </w:p>
          <w:p w:rsidR="00592FD2" w:rsidRDefault="00592FD2" w:rsidP="00592FD2">
            <w:pPr>
              <w:pStyle w:val="Neotevilenodstavek"/>
              <w:widowControl w:val="0"/>
              <w:numPr>
                <w:ilvl w:val="1"/>
                <w:numId w:val="5"/>
              </w:numPr>
              <w:spacing w:before="0" w:after="0" w:line="260" w:lineRule="exact"/>
              <w:rPr>
                <w:iCs/>
                <w:sz w:val="20"/>
                <w:szCs w:val="20"/>
              </w:rPr>
            </w:pPr>
            <w:r w:rsidRPr="00171E3B">
              <w:rPr>
                <w:iCs/>
                <w:sz w:val="20"/>
                <w:szCs w:val="20"/>
              </w:rPr>
              <w:t>pristojnosti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delovanje občin,</w:t>
            </w:r>
          </w:p>
          <w:p w:rsidR="00592FD2" w:rsidRPr="00171E3B" w:rsidRDefault="00592FD2" w:rsidP="00592FD2">
            <w:pPr>
              <w:pStyle w:val="Neotevilenodstavek"/>
              <w:widowControl w:val="0"/>
              <w:numPr>
                <w:ilvl w:val="1"/>
                <w:numId w:val="5"/>
              </w:numPr>
              <w:spacing w:before="0" w:after="0" w:line="260" w:lineRule="exact"/>
              <w:rPr>
                <w:iCs/>
                <w:sz w:val="20"/>
                <w:szCs w:val="20"/>
              </w:rPr>
            </w:pPr>
            <w:r>
              <w:rPr>
                <w:iCs/>
                <w:sz w:val="20"/>
                <w:szCs w:val="20"/>
              </w:rPr>
              <w:t>financiranje občin.</w:t>
            </w:r>
          </w:p>
          <w:p w:rsidR="00592FD2" w:rsidRPr="00171E3B" w:rsidRDefault="00592FD2" w:rsidP="00FC04ED">
            <w:pPr>
              <w:pStyle w:val="Neotevilenodstavek"/>
              <w:widowControl w:val="0"/>
              <w:spacing w:before="0" w:after="0" w:line="260" w:lineRule="exact"/>
              <w:ind w:left="1440"/>
              <w:rPr>
                <w:iCs/>
                <w:sz w:val="20"/>
                <w:szCs w:val="20"/>
              </w:rPr>
            </w:pPr>
          </w:p>
        </w:tc>
        <w:tc>
          <w:tcPr>
            <w:tcW w:w="2431" w:type="dxa"/>
            <w:gridSpan w:val="3"/>
          </w:tcPr>
          <w:p w:rsidR="00592FD2" w:rsidRPr="00171E3B" w:rsidRDefault="00592FD2" w:rsidP="00FC04ED">
            <w:pPr>
              <w:pStyle w:val="Neotevilenodstavek"/>
              <w:widowControl w:val="0"/>
              <w:spacing w:before="0" w:after="0" w:line="260" w:lineRule="exact"/>
              <w:jc w:val="center"/>
              <w:rPr>
                <w:sz w:val="20"/>
                <w:szCs w:val="20"/>
              </w:rPr>
            </w:pPr>
            <w:r w:rsidRPr="00171E3B">
              <w:rPr>
                <w:sz w:val="20"/>
                <w:szCs w:val="20"/>
              </w:rPr>
              <w:t>DA/</w:t>
            </w:r>
            <w:r w:rsidRPr="0010163A">
              <w:rPr>
                <w:b/>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11"/>
          </w:tcPr>
          <w:p w:rsidR="00592FD2" w:rsidRPr="00171E3B" w:rsidRDefault="00592FD2" w:rsidP="00FC04ED">
            <w:pPr>
              <w:pStyle w:val="Neotevilenodstavek"/>
              <w:widowControl w:val="0"/>
              <w:spacing w:before="0" w:after="0" w:line="260" w:lineRule="exact"/>
              <w:rPr>
                <w:iCs/>
                <w:sz w:val="20"/>
                <w:szCs w:val="20"/>
              </w:rPr>
            </w:pPr>
            <w:r>
              <w:rPr>
                <w:iCs/>
                <w:sz w:val="20"/>
                <w:szCs w:val="20"/>
              </w:rPr>
              <w:t>Gradivo (predpis) je bilo poslano v mnenje</w:t>
            </w:r>
            <w:r w:rsidRPr="00171E3B">
              <w:rPr>
                <w:iCs/>
                <w:sz w:val="20"/>
                <w:szCs w:val="20"/>
              </w:rPr>
              <w:t xml:space="preserve">: </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Skupnost</w:t>
            </w:r>
            <w:r>
              <w:rPr>
                <w:iCs/>
                <w:sz w:val="20"/>
                <w:szCs w:val="20"/>
              </w:rPr>
              <w:t>i</w:t>
            </w:r>
            <w:r w:rsidRPr="00171E3B">
              <w:rPr>
                <w:iCs/>
                <w:sz w:val="20"/>
                <w:szCs w:val="20"/>
              </w:rPr>
              <w:t xml:space="preserve"> občin Slovenije SOS: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občin Slovenije ZOS: DA/</w:t>
            </w:r>
            <w:r w:rsidRPr="0010163A">
              <w:rPr>
                <w:b/>
                <w:iCs/>
                <w:sz w:val="20"/>
                <w:szCs w:val="20"/>
              </w:rPr>
              <w:t>NE</w:t>
            </w:r>
          </w:p>
          <w:p w:rsidR="00592FD2" w:rsidRPr="00171E3B" w:rsidRDefault="00592FD2" w:rsidP="00592FD2">
            <w:pPr>
              <w:pStyle w:val="Neotevilenodstavek"/>
              <w:widowControl w:val="0"/>
              <w:numPr>
                <w:ilvl w:val="0"/>
                <w:numId w:val="7"/>
              </w:numPr>
              <w:spacing w:before="0" w:after="0" w:line="260" w:lineRule="exact"/>
              <w:rPr>
                <w:iCs/>
                <w:sz w:val="20"/>
                <w:szCs w:val="20"/>
              </w:rPr>
            </w:pPr>
            <w:r w:rsidRPr="00171E3B">
              <w:rPr>
                <w:iCs/>
                <w:sz w:val="20"/>
                <w:szCs w:val="20"/>
              </w:rPr>
              <w:t>Združenj</w:t>
            </w:r>
            <w:r>
              <w:rPr>
                <w:iCs/>
                <w:sz w:val="20"/>
                <w:szCs w:val="20"/>
              </w:rPr>
              <w:t>u</w:t>
            </w:r>
            <w:r w:rsidRPr="00171E3B">
              <w:rPr>
                <w:iCs/>
                <w:sz w:val="20"/>
                <w:szCs w:val="20"/>
              </w:rPr>
              <w:t xml:space="preserve"> mestnih občin Slovenije ZMOS: DA/</w:t>
            </w:r>
            <w:r w:rsidRPr="0010163A">
              <w:rPr>
                <w:b/>
                <w:iCs/>
                <w:sz w:val="20"/>
                <w:szCs w:val="20"/>
              </w:rPr>
              <w:t>NE</w:t>
            </w:r>
          </w:p>
          <w:p w:rsidR="00592FD2" w:rsidRPr="00171E3B" w:rsidRDefault="00592FD2" w:rsidP="00FC04ED">
            <w:pPr>
              <w:pStyle w:val="Neotevilenodstavek"/>
              <w:widowControl w:val="0"/>
              <w:spacing w:before="0" w:after="0" w:line="260" w:lineRule="exact"/>
              <w:rPr>
                <w:iCs/>
                <w:sz w:val="20"/>
                <w:szCs w:val="20"/>
              </w:rPr>
            </w:pPr>
          </w:p>
          <w:p w:rsidR="00592FD2" w:rsidRPr="00171E3B" w:rsidRDefault="00592FD2" w:rsidP="00FC04ED">
            <w:pPr>
              <w:pStyle w:val="Neotevilenodstavek"/>
              <w:widowControl w:val="0"/>
              <w:spacing w:before="0" w:after="0" w:line="260" w:lineRule="exact"/>
              <w:rPr>
                <w:iCs/>
                <w:sz w:val="20"/>
                <w:szCs w:val="20"/>
              </w:rPr>
            </w:pPr>
            <w:r w:rsidRPr="00171E3B">
              <w:rPr>
                <w:iCs/>
                <w:sz w:val="20"/>
                <w:szCs w:val="20"/>
              </w:rPr>
              <w:t>Predlogi in pripombe združenj so bili upoštevani: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 celoti,</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večinoma,</w:t>
            </w:r>
          </w:p>
          <w:p w:rsidR="00592FD2" w:rsidRPr="00171E3B"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delno,</w:t>
            </w:r>
          </w:p>
          <w:p w:rsidR="00592FD2" w:rsidRDefault="00592FD2" w:rsidP="00592FD2">
            <w:pPr>
              <w:pStyle w:val="Neotevilenodstavek"/>
              <w:widowControl w:val="0"/>
              <w:numPr>
                <w:ilvl w:val="0"/>
                <w:numId w:val="8"/>
              </w:numPr>
              <w:spacing w:before="0" w:after="0" w:line="260" w:lineRule="exact"/>
              <w:rPr>
                <w:iCs/>
                <w:sz w:val="20"/>
                <w:szCs w:val="20"/>
              </w:rPr>
            </w:pPr>
            <w:r w:rsidRPr="00171E3B">
              <w:rPr>
                <w:iCs/>
                <w:sz w:val="20"/>
                <w:szCs w:val="20"/>
              </w:rPr>
              <w:t>niso bili upoštevani.</w:t>
            </w:r>
          </w:p>
          <w:p w:rsidR="00592FD2" w:rsidRDefault="00592FD2" w:rsidP="00FC04ED">
            <w:pPr>
              <w:pStyle w:val="Neotevilenodstavek"/>
              <w:widowControl w:val="0"/>
              <w:spacing w:before="0" w:after="0" w:line="260" w:lineRule="exact"/>
              <w:ind w:left="360"/>
              <w:rPr>
                <w:iCs/>
                <w:sz w:val="20"/>
                <w:szCs w:val="20"/>
              </w:rPr>
            </w:pPr>
          </w:p>
          <w:p w:rsidR="00592FD2" w:rsidRPr="00171E3B" w:rsidRDefault="00592FD2" w:rsidP="00FC04ED">
            <w:pPr>
              <w:pStyle w:val="Neotevilenodstavek"/>
              <w:widowControl w:val="0"/>
              <w:spacing w:before="0" w:after="0" w:line="260" w:lineRule="exact"/>
              <w:rPr>
                <w:iCs/>
                <w:sz w:val="20"/>
                <w:szCs w:val="20"/>
              </w:rPr>
            </w:pPr>
            <w:r>
              <w:rPr>
                <w:iCs/>
                <w:sz w:val="20"/>
                <w:szCs w:val="20"/>
              </w:rPr>
              <w:t>Bistveni predlogi in pripombe, ki niso bili upoštevani.</w:t>
            </w:r>
          </w:p>
          <w:p w:rsidR="00592FD2" w:rsidRPr="00171E3B" w:rsidRDefault="00592FD2" w:rsidP="00FC04ED">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9. Predstavitev sodelovanja javnosti:</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tcPr>
          <w:p w:rsidR="00592FD2" w:rsidRPr="00D063BD" w:rsidRDefault="00592FD2" w:rsidP="00FC04ED">
            <w:pPr>
              <w:pStyle w:val="Neotevilenodstavek"/>
              <w:widowControl w:val="0"/>
              <w:spacing w:before="0" w:after="0" w:line="260" w:lineRule="exact"/>
              <w:rPr>
                <w:sz w:val="20"/>
                <w:szCs w:val="20"/>
              </w:rPr>
            </w:pPr>
            <w:r w:rsidRPr="00D063BD">
              <w:rPr>
                <w:iCs/>
                <w:sz w:val="20"/>
                <w:szCs w:val="20"/>
              </w:rPr>
              <w:t>Gradivo je bilo predhodno objavljeno na spletni strani predlagatelja:</w:t>
            </w:r>
          </w:p>
        </w:tc>
        <w:tc>
          <w:tcPr>
            <w:tcW w:w="2431" w:type="dxa"/>
            <w:gridSpan w:val="3"/>
          </w:tcPr>
          <w:p w:rsidR="00592FD2" w:rsidRPr="00D063BD" w:rsidRDefault="00592FD2" w:rsidP="00FC04ED">
            <w:pPr>
              <w:pStyle w:val="Neotevilenodstavek"/>
              <w:widowControl w:val="0"/>
              <w:spacing w:before="0" w:after="0" w:line="260" w:lineRule="exact"/>
              <w:jc w:val="center"/>
              <w:rPr>
                <w:iCs/>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592FD2" w:rsidRPr="00D063BD" w:rsidRDefault="00776A98" w:rsidP="009F7E0B">
            <w:pPr>
              <w:pStyle w:val="Neotevilenodstavek"/>
              <w:widowControl w:val="0"/>
              <w:spacing w:before="0" w:after="0" w:line="260" w:lineRule="exact"/>
              <w:rPr>
                <w:iCs/>
                <w:sz w:val="20"/>
                <w:szCs w:val="20"/>
              </w:rPr>
            </w:pPr>
            <w:r>
              <w:rPr>
                <w:iCs/>
                <w:sz w:val="20"/>
                <w:szCs w:val="20"/>
              </w:rPr>
              <w:t xml:space="preserve">Gradivo je pripravljeno v skladu </w:t>
            </w:r>
            <w:r w:rsidR="009F7E0B">
              <w:rPr>
                <w:iCs/>
                <w:sz w:val="20"/>
                <w:szCs w:val="20"/>
              </w:rPr>
              <w:t>s 33</w:t>
            </w:r>
            <w:r>
              <w:rPr>
                <w:iCs/>
                <w:sz w:val="20"/>
                <w:szCs w:val="20"/>
              </w:rPr>
              <w:t>. členom</w:t>
            </w:r>
            <w:r w:rsidRPr="00776A98">
              <w:rPr>
                <w:iCs/>
                <w:sz w:val="20"/>
                <w:szCs w:val="20"/>
              </w:rPr>
              <w:t xml:space="preserve"> Zakona o gospodarjenju z gozdovi v lasti Republike Slovenije (Uradni list RS, št. 9/16)</w:t>
            </w:r>
            <w:r>
              <w:rPr>
                <w:iCs/>
                <w:sz w:val="20"/>
                <w:szCs w:val="20"/>
              </w:rPr>
              <w:t>.</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Pr>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(Če je odgovor DA, navedite:</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Datum objave: ………</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 xml:space="preserve">V razpravo so bili vključeni: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lastRenderedPageBreak/>
              <w:t xml:space="preserve">nevladne organizacije, </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zainteresirane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predstavniki strokovne javnosti.</w:t>
            </w:r>
          </w:p>
          <w:p w:rsidR="00592FD2" w:rsidRPr="00D063BD" w:rsidRDefault="00592FD2" w:rsidP="00592FD2">
            <w:pPr>
              <w:pStyle w:val="Neotevilenodstavek"/>
              <w:widowControl w:val="0"/>
              <w:numPr>
                <w:ilvl w:val="0"/>
                <w:numId w:val="7"/>
              </w:numPr>
              <w:spacing w:before="0" w:after="0" w:line="260" w:lineRule="exact"/>
              <w:rPr>
                <w:iCs/>
                <w:sz w:val="20"/>
                <w:szCs w:val="20"/>
              </w:rPr>
            </w:pPr>
            <w:r w:rsidRPr="00D063BD">
              <w:rPr>
                <w:iCs/>
                <w:sz w:val="20"/>
                <w:szCs w:val="20"/>
              </w:rPr>
              <w:t>.</w:t>
            </w: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 xml:space="preserve">Mnenja, predlogi in pripombe z navedbo predlagateljev </w:t>
            </w:r>
            <w:r w:rsidRPr="00D063BD">
              <w:rPr>
                <w:color w:val="000000"/>
                <w:sz w:val="20"/>
                <w:szCs w:val="20"/>
              </w:rPr>
              <w:t>(imen in priimkov fizičnih oseb, ki niso poslovni subjekti, ne navajajte</w:t>
            </w:r>
            <w:r w:rsidRPr="00D063BD">
              <w:rPr>
                <w:iCs/>
                <w:sz w:val="20"/>
                <w:szCs w:val="20"/>
              </w:rPr>
              <w:t>):</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Upoštevani so bili: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 celoti,</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večinoma,</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delno,</w:t>
            </w:r>
          </w:p>
          <w:p w:rsidR="00592FD2" w:rsidRPr="00D063BD" w:rsidRDefault="00592FD2" w:rsidP="00592FD2">
            <w:pPr>
              <w:pStyle w:val="Neotevilenodstavek"/>
              <w:widowControl w:val="0"/>
              <w:numPr>
                <w:ilvl w:val="0"/>
                <w:numId w:val="8"/>
              </w:numPr>
              <w:spacing w:before="0" w:after="0" w:line="260" w:lineRule="exact"/>
              <w:rPr>
                <w:iCs/>
                <w:sz w:val="20"/>
                <w:szCs w:val="20"/>
              </w:rPr>
            </w:pPr>
            <w:r w:rsidRPr="00D063BD">
              <w:rPr>
                <w:iCs/>
                <w:sz w:val="20"/>
                <w:szCs w:val="20"/>
              </w:rPr>
              <w:t>niso bili upoštevani.</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Bistvena mnenja, predlogi in pripombe, ki niso bili upoštevani, ter razlogi za neupoštevanje:</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Poročilo je bilo dano ……………..</w:t>
            </w:r>
          </w:p>
          <w:p w:rsidR="00592FD2" w:rsidRPr="00D063BD" w:rsidRDefault="00592FD2" w:rsidP="00FC04ED">
            <w:pPr>
              <w:pStyle w:val="Neotevilenodstavek"/>
              <w:widowControl w:val="0"/>
              <w:spacing w:before="0" w:after="0" w:line="260" w:lineRule="exact"/>
              <w:rPr>
                <w:iCs/>
                <w:sz w:val="20"/>
                <w:szCs w:val="20"/>
              </w:rPr>
            </w:pPr>
          </w:p>
          <w:p w:rsidR="00592FD2" w:rsidRPr="00D063BD" w:rsidRDefault="00592FD2" w:rsidP="00FC04ED">
            <w:pPr>
              <w:pStyle w:val="Neotevilenodstavek"/>
              <w:widowControl w:val="0"/>
              <w:spacing w:before="0" w:after="0" w:line="260" w:lineRule="exact"/>
              <w:rPr>
                <w:iCs/>
                <w:sz w:val="20"/>
                <w:szCs w:val="20"/>
              </w:rPr>
            </w:pPr>
            <w:r w:rsidRPr="00D063BD">
              <w:rPr>
                <w:iCs/>
                <w:sz w:val="20"/>
                <w:szCs w:val="20"/>
              </w:rPr>
              <w:t>Javnost je bila vključena v pripravo gradiva v skladu z Zakonom o …, kar je navedeno v predlogu predpisa.)</w:t>
            </w:r>
          </w:p>
          <w:p w:rsidR="00592FD2" w:rsidRPr="00D063BD" w:rsidRDefault="00592FD2" w:rsidP="00FC04ED">
            <w:pPr>
              <w:pStyle w:val="Neotevilenodstavek"/>
              <w:widowControl w:val="0"/>
              <w:spacing w:before="0" w:after="0" w:line="260" w:lineRule="exact"/>
              <w:rPr>
                <w:iCs/>
                <w:sz w:val="20"/>
                <w:szCs w:val="20"/>
              </w:rPr>
            </w:pP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592FD2" w:rsidRPr="00D063BD" w:rsidRDefault="00592FD2" w:rsidP="00FC04ED">
            <w:pPr>
              <w:pStyle w:val="Neotevilenodstavek"/>
              <w:widowControl w:val="0"/>
              <w:spacing w:before="0" w:after="0" w:line="260" w:lineRule="exact"/>
              <w:jc w:val="left"/>
              <w:rPr>
                <w:sz w:val="20"/>
                <w:szCs w:val="20"/>
              </w:rPr>
            </w:pPr>
            <w:r w:rsidRPr="00D063BD">
              <w:rPr>
                <w:b/>
                <w:sz w:val="20"/>
                <w:szCs w:val="20"/>
              </w:rPr>
              <w:lastRenderedPageBreak/>
              <w:t>10. Pri pripravi gradiva so bile upoštevane zahteve iz Resolucije o normativni dejavnosti:</w:t>
            </w:r>
          </w:p>
        </w:tc>
        <w:tc>
          <w:tcPr>
            <w:tcW w:w="2431" w:type="dxa"/>
            <w:gridSpan w:val="3"/>
            <w:vAlign w:val="center"/>
          </w:tcPr>
          <w:p w:rsidR="00592FD2" w:rsidRPr="00D063BD" w:rsidRDefault="00C9529B" w:rsidP="00FC04ED">
            <w:pPr>
              <w:pStyle w:val="Neotevilenodstavek"/>
              <w:widowControl w:val="0"/>
              <w:spacing w:before="0" w:after="0" w:line="260" w:lineRule="exact"/>
              <w:jc w:val="center"/>
              <w:rPr>
                <w:iCs/>
                <w:sz w:val="20"/>
                <w:szCs w:val="20"/>
              </w:rPr>
            </w:pPr>
            <w:r>
              <w:rPr>
                <w:sz w:val="20"/>
                <w:szCs w:val="20"/>
              </w:rPr>
              <w:t>DA</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8"/>
            <w:vAlign w:val="center"/>
          </w:tcPr>
          <w:p w:rsidR="00592FD2" w:rsidRPr="00D063BD" w:rsidRDefault="00592FD2" w:rsidP="00FC04ED">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3"/>
            <w:vAlign w:val="center"/>
          </w:tcPr>
          <w:p w:rsidR="00592FD2" w:rsidRPr="00D063BD" w:rsidRDefault="00592FD2" w:rsidP="00FC04ED">
            <w:pPr>
              <w:pStyle w:val="Neotevilenodstavek"/>
              <w:widowControl w:val="0"/>
              <w:spacing w:before="0" w:after="0" w:line="260" w:lineRule="exact"/>
              <w:jc w:val="center"/>
              <w:rPr>
                <w:sz w:val="20"/>
                <w:szCs w:val="20"/>
              </w:rPr>
            </w:pPr>
            <w:r w:rsidRPr="00D063BD">
              <w:rPr>
                <w:sz w:val="20"/>
                <w:szCs w:val="20"/>
              </w:rPr>
              <w:t>NE</w:t>
            </w:r>
          </w:p>
        </w:tc>
      </w:tr>
      <w:tr w:rsidR="00592FD2" w:rsidRPr="00D063BD" w:rsidTr="00FC04E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11"/>
            <w:tcBorders>
              <w:top w:val="single" w:sz="4" w:space="0" w:color="000000"/>
              <w:left w:val="single" w:sz="4" w:space="0" w:color="000000"/>
              <w:bottom w:val="single" w:sz="4" w:space="0" w:color="000000"/>
              <w:right w:val="single" w:sz="4" w:space="0" w:color="000000"/>
            </w:tcBorders>
          </w:tcPr>
          <w:p w:rsidR="00592FD2" w:rsidRPr="00D063BD" w:rsidRDefault="00592FD2" w:rsidP="00FC04ED">
            <w:pPr>
              <w:pStyle w:val="Poglavje"/>
              <w:widowControl w:val="0"/>
              <w:spacing w:before="0" w:after="0" w:line="260" w:lineRule="exact"/>
              <w:ind w:left="3400"/>
              <w:jc w:val="left"/>
              <w:rPr>
                <w:sz w:val="20"/>
                <w:szCs w:val="20"/>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p>
          <w:p w:rsidR="00592FD2"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w:t>
            </w:r>
            <w:r w:rsidR="00032A41">
              <w:rPr>
                <w:rFonts w:cs="Arial"/>
                <w:szCs w:val="20"/>
                <w:lang w:eastAsia="sl-SI"/>
              </w:rPr>
              <w:t xml:space="preserve"> Dr. Aleksandra Pivec</w:t>
            </w:r>
          </w:p>
          <w:p w:rsidR="00592FD2" w:rsidRPr="001E5470" w:rsidRDefault="00592FD2" w:rsidP="00FC04ED">
            <w:pPr>
              <w:widowControl w:val="0"/>
              <w:suppressAutoHyphens/>
              <w:overflowPunct w:val="0"/>
              <w:autoSpaceDE w:val="0"/>
              <w:autoSpaceDN w:val="0"/>
              <w:adjustRightInd w:val="0"/>
              <w:ind w:left="3400"/>
              <w:textAlignment w:val="baseline"/>
              <w:outlineLvl w:val="3"/>
              <w:rPr>
                <w:rFonts w:cs="Arial"/>
                <w:szCs w:val="20"/>
                <w:lang w:eastAsia="sl-SI"/>
              </w:rPr>
            </w:pPr>
            <w:r>
              <w:rPr>
                <w:rFonts w:cs="Arial"/>
                <w:szCs w:val="20"/>
                <w:lang w:eastAsia="sl-SI"/>
              </w:rPr>
              <w:t xml:space="preserve">                                           m</w:t>
            </w:r>
            <w:r w:rsidRPr="00621C51">
              <w:rPr>
                <w:rFonts w:cs="Arial"/>
                <w:szCs w:val="20"/>
                <w:lang w:eastAsia="sl-SI"/>
              </w:rPr>
              <w:t>inistr</w:t>
            </w:r>
            <w:r w:rsidR="00032A41">
              <w:rPr>
                <w:rFonts w:cs="Arial"/>
                <w:szCs w:val="20"/>
                <w:lang w:eastAsia="sl-SI"/>
              </w:rPr>
              <w:t>ica</w:t>
            </w:r>
          </w:p>
          <w:p w:rsidR="00592FD2" w:rsidRPr="00D063BD" w:rsidRDefault="00592FD2" w:rsidP="00FC04ED">
            <w:pPr>
              <w:pStyle w:val="Poglavje"/>
              <w:widowControl w:val="0"/>
              <w:spacing w:before="0" w:after="0" w:line="260" w:lineRule="exact"/>
              <w:ind w:left="3400"/>
              <w:jc w:val="left"/>
              <w:rPr>
                <w:sz w:val="20"/>
                <w:szCs w:val="20"/>
              </w:rPr>
            </w:pPr>
          </w:p>
        </w:tc>
      </w:tr>
    </w:tbl>
    <w:p w:rsidR="00592FD2" w:rsidRPr="001E5470" w:rsidRDefault="00592FD2" w:rsidP="00592FD2">
      <w:pPr>
        <w:rPr>
          <w:rFonts w:eastAsia="Calibri" w:cs="Arial"/>
          <w:vanish/>
          <w:szCs w:val="20"/>
        </w:rPr>
      </w:pPr>
    </w:p>
    <w:p w:rsidR="00592FD2" w:rsidRPr="006249C6" w:rsidRDefault="00592FD2" w:rsidP="00592FD2">
      <w:pPr>
        <w:rPr>
          <w:rFonts w:cs="Arial"/>
          <w:szCs w:val="20"/>
        </w:rPr>
        <w:sectPr w:rsidR="00592FD2" w:rsidRPr="006249C6" w:rsidSect="00990D2C">
          <w:headerReference w:type="default" r:id="rId9"/>
          <w:footerReference w:type="even" r:id="rId10"/>
          <w:footerReference w:type="default" r:id="rId11"/>
          <w:headerReference w:type="first" r:id="rId12"/>
          <w:pgSz w:w="11900" w:h="16840" w:code="9"/>
          <w:pgMar w:top="1701" w:right="1701" w:bottom="851" w:left="1701" w:header="993" w:footer="794" w:gutter="0"/>
          <w:cols w:space="708"/>
          <w:titlePg/>
          <w:docGrid w:linePitch="272"/>
        </w:sectPr>
      </w:pPr>
    </w:p>
    <w:p w:rsidR="00A11B93" w:rsidRPr="002760DC" w:rsidRDefault="00A11B93" w:rsidP="00A11B93">
      <w:pPr>
        <w:autoSpaceDE w:val="0"/>
        <w:autoSpaceDN w:val="0"/>
        <w:adjustRightInd w:val="0"/>
        <w:jc w:val="both"/>
        <w:rPr>
          <w:rFonts w:cs="Arial"/>
          <w:color w:val="000000"/>
          <w:szCs w:val="20"/>
        </w:rPr>
      </w:pPr>
      <w:r w:rsidRPr="008666EF">
        <w:rPr>
          <w:rFonts w:cs="Arial"/>
          <w:szCs w:val="20"/>
        </w:rPr>
        <w:lastRenderedPageBreak/>
        <w:t xml:space="preserve">Na podlagi </w:t>
      </w:r>
      <w:r>
        <w:rPr>
          <w:rFonts w:cs="Arial"/>
          <w:szCs w:val="20"/>
        </w:rPr>
        <w:t xml:space="preserve">petega odstavka 33. </w:t>
      </w:r>
      <w:r w:rsidRPr="008666EF">
        <w:rPr>
          <w:rFonts w:cs="Arial"/>
          <w:szCs w:val="20"/>
        </w:rPr>
        <w:t>člena Zakona o gospodarjenju z gozdovi v lasti Republike Slovenije (Uradni list RS, št. 9/16) je</w:t>
      </w:r>
      <w:r>
        <w:rPr>
          <w:rFonts w:cs="Arial"/>
          <w:szCs w:val="20"/>
        </w:rPr>
        <w:t xml:space="preserve"> </w:t>
      </w:r>
      <w:r>
        <w:rPr>
          <w:rFonts w:cs="Arial"/>
          <w:color w:val="000000"/>
          <w:szCs w:val="20"/>
        </w:rPr>
        <w:t xml:space="preserve">Vlada Republike Slovenije </w:t>
      </w:r>
      <w:r w:rsidRPr="002760DC">
        <w:rPr>
          <w:rFonts w:cs="Arial"/>
          <w:color w:val="000000"/>
          <w:szCs w:val="20"/>
        </w:rPr>
        <w:t xml:space="preserve">na </w:t>
      </w:r>
      <w:r>
        <w:rPr>
          <w:rFonts w:cs="Arial"/>
          <w:color w:val="000000"/>
          <w:szCs w:val="20"/>
        </w:rPr>
        <w:t>__. redni seji</w:t>
      </w:r>
      <w:r w:rsidRPr="002760DC">
        <w:rPr>
          <w:rFonts w:cs="Arial"/>
          <w:color w:val="000000"/>
          <w:szCs w:val="20"/>
        </w:rPr>
        <w:t xml:space="preserve"> dne </w:t>
      </w:r>
      <w:r>
        <w:rPr>
          <w:rFonts w:cs="Arial"/>
          <w:color w:val="000000"/>
          <w:szCs w:val="20"/>
        </w:rPr>
        <w:t>_____ 2019</w:t>
      </w:r>
      <w:r w:rsidRPr="002760DC">
        <w:rPr>
          <w:rFonts w:cs="Arial"/>
          <w:color w:val="000000"/>
          <w:szCs w:val="20"/>
        </w:rPr>
        <w:t xml:space="preserve"> pod točko </w:t>
      </w:r>
      <w:r>
        <w:rPr>
          <w:rFonts w:cs="Arial"/>
          <w:color w:val="000000"/>
          <w:szCs w:val="20"/>
        </w:rPr>
        <w:t>__</w:t>
      </w:r>
      <w:r w:rsidRPr="002760DC">
        <w:rPr>
          <w:rFonts w:cs="Arial"/>
          <w:color w:val="000000"/>
          <w:szCs w:val="20"/>
        </w:rPr>
        <w:t xml:space="preserve"> sprejela </w:t>
      </w:r>
    </w:p>
    <w:p w:rsidR="00E8354A" w:rsidRDefault="00E8354A" w:rsidP="008D1E6F">
      <w:pPr>
        <w:autoSpaceDE w:val="0"/>
        <w:autoSpaceDN w:val="0"/>
        <w:adjustRightInd w:val="0"/>
        <w:jc w:val="both"/>
        <w:rPr>
          <w:rFonts w:cs="Arial"/>
          <w:color w:val="FF0000"/>
          <w:szCs w:val="20"/>
        </w:rPr>
      </w:pPr>
    </w:p>
    <w:p w:rsidR="00A55CF0" w:rsidRDefault="00E8354A" w:rsidP="00E8354A">
      <w:pPr>
        <w:jc w:val="center"/>
        <w:rPr>
          <w:rFonts w:cs="Arial"/>
          <w:b/>
          <w:szCs w:val="20"/>
        </w:rPr>
      </w:pPr>
      <w:r>
        <w:rPr>
          <w:rFonts w:cs="Arial"/>
          <w:b/>
          <w:szCs w:val="20"/>
        </w:rPr>
        <w:t xml:space="preserve">SPREMEMBE ŠT. 1 </w:t>
      </w:r>
    </w:p>
    <w:p w:rsidR="00E8354A" w:rsidRPr="00F05EB2" w:rsidRDefault="00E8354A" w:rsidP="00E8354A">
      <w:pPr>
        <w:jc w:val="center"/>
        <w:rPr>
          <w:rFonts w:cs="Arial"/>
          <w:b/>
          <w:szCs w:val="20"/>
        </w:rPr>
      </w:pPr>
      <w:r w:rsidRPr="00F05EB2">
        <w:rPr>
          <w:rFonts w:cs="Arial"/>
          <w:b/>
          <w:szCs w:val="20"/>
        </w:rPr>
        <w:t>PROGRAM</w:t>
      </w:r>
      <w:r>
        <w:rPr>
          <w:rFonts w:cs="Arial"/>
          <w:b/>
          <w:szCs w:val="20"/>
        </w:rPr>
        <w:t>A</w:t>
      </w:r>
      <w:r w:rsidRPr="00F05EB2">
        <w:rPr>
          <w:rFonts w:cs="Arial"/>
          <w:b/>
          <w:szCs w:val="20"/>
        </w:rPr>
        <w:t xml:space="preserve"> PORABE SREDSTEV PRORAČUNSKEGA SKLADA ZA GOZDOVE ZA LETO 2019</w:t>
      </w:r>
    </w:p>
    <w:p w:rsidR="00E8354A" w:rsidRDefault="00E8354A" w:rsidP="00E8354A">
      <w:pPr>
        <w:jc w:val="center"/>
        <w:rPr>
          <w:rFonts w:cs="Arial"/>
          <w:b/>
          <w:szCs w:val="20"/>
        </w:rPr>
      </w:pPr>
    </w:p>
    <w:p w:rsidR="00E8354A" w:rsidRDefault="00E8354A" w:rsidP="00E8354A">
      <w:pPr>
        <w:spacing w:after="120"/>
        <w:jc w:val="both"/>
        <w:rPr>
          <w:rFonts w:cs="Arial"/>
          <w:szCs w:val="20"/>
        </w:rPr>
      </w:pPr>
      <w:r>
        <w:rPr>
          <w:rFonts w:cs="Arial"/>
          <w:szCs w:val="20"/>
        </w:rPr>
        <w:t xml:space="preserve">V Programu porabe sredstev proračunskega sklada za gozdove za leto 2019, ki ga je s sklepom št. 41000-1/2019/3 z dne 24. 1. 2019 sprejela Vlada Republike Slovenije, se v tabeli Financiranje Gozdnega sklada v </w:t>
      </w:r>
      <w:proofErr w:type="spellStart"/>
      <w:r>
        <w:rPr>
          <w:rFonts w:cs="Arial"/>
          <w:szCs w:val="20"/>
        </w:rPr>
        <w:t>podvrstici</w:t>
      </w:r>
      <w:proofErr w:type="spellEnd"/>
      <w:r>
        <w:rPr>
          <w:rFonts w:cs="Arial"/>
          <w:szCs w:val="20"/>
        </w:rPr>
        <w:t xml:space="preserve"> Prihodki iz koncesijske dajatve po tretjem odstavku 42. člena ZGGLRS številka v stolpcu Prihodki v letu 2019 »115.092,00« nadomesti s številko »100.605,00« ter številka v stolpcu Razpoložljiva sredstva v letu 2019 »115.092,00« s številko »100.605,00«. </w:t>
      </w:r>
    </w:p>
    <w:p w:rsidR="00E8354A" w:rsidRDefault="00E8354A" w:rsidP="00E8354A">
      <w:pPr>
        <w:spacing w:after="120"/>
        <w:jc w:val="both"/>
        <w:rPr>
          <w:rFonts w:cs="Arial"/>
          <w:szCs w:val="20"/>
        </w:rPr>
      </w:pPr>
      <w:r>
        <w:rPr>
          <w:rFonts w:cs="Arial"/>
          <w:szCs w:val="20"/>
        </w:rPr>
        <w:t xml:space="preserve">V tabeli Financiranje Gozdnega sklada se v </w:t>
      </w:r>
      <w:proofErr w:type="spellStart"/>
      <w:r>
        <w:rPr>
          <w:rFonts w:cs="Arial"/>
          <w:szCs w:val="20"/>
        </w:rPr>
        <w:t>podvrstici</w:t>
      </w:r>
      <w:proofErr w:type="spellEnd"/>
      <w:r>
        <w:rPr>
          <w:rFonts w:cs="Arial"/>
          <w:szCs w:val="20"/>
        </w:rPr>
        <w:t xml:space="preserve"> Letno nadomestilo za upravljanje državnih gozdov v višini 20 % od prodaje lesa iz državnih gozdov številka v stolpcu Prihodki v letu 2019 »15.739.438,00« nadomesti s številko »16.366.167,00« ter številka v stolpcu Razpoložljiva sredstva v letu 2019 »16.273.528,00« nadomesti s številko »16.366.167,00«.</w:t>
      </w:r>
    </w:p>
    <w:p w:rsidR="00E8354A" w:rsidRDefault="00E8354A" w:rsidP="00E8354A">
      <w:pPr>
        <w:spacing w:after="120"/>
        <w:jc w:val="both"/>
        <w:rPr>
          <w:rFonts w:cs="Arial"/>
          <w:szCs w:val="20"/>
        </w:rPr>
      </w:pPr>
      <w:r>
        <w:rPr>
          <w:rFonts w:cs="Arial"/>
          <w:szCs w:val="20"/>
        </w:rPr>
        <w:t>V zadnji vrstici tabele Financiranje Gozdnega sklada se v stolpcu Prihodki v letu 2019 številka »16.724.660,00« nadomesti s številko »17.336.902,00« ter številka v stolpcu Razpoložljiva sredstva v letu 2019 »38.291.007,64« nadomesti s številko »38.903.249,64«.</w:t>
      </w:r>
    </w:p>
    <w:p w:rsidR="00E8354A" w:rsidRDefault="00E8354A" w:rsidP="00E8354A">
      <w:pPr>
        <w:spacing w:after="120"/>
        <w:jc w:val="both"/>
        <w:rPr>
          <w:rFonts w:cs="Arial"/>
          <w:szCs w:val="20"/>
        </w:rPr>
      </w:pPr>
      <w:r>
        <w:rPr>
          <w:rFonts w:cs="Arial"/>
          <w:szCs w:val="20"/>
        </w:rPr>
        <w:t xml:space="preserve">V sedmem odstavku se znesek »115.092,00 EUR« nadomesti z zneskom »100.605,00 EUR«. </w:t>
      </w:r>
    </w:p>
    <w:p w:rsidR="00AE3BF0" w:rsidRDefault="00AE3BF0" w:rsidP="00E8354A">
      <w:pPr>
        <w:spacing w:after="120"/>
        <w:jc w:val="both"/>
        <w:rPr>
          <w:rFonts w:cs="Arial"/>
          <w:szCs w:val="20"/>
        </w:rPr>
      </w:pPr>
      <w:r>
        <w:rPr>
          <w:rFonts w:cs="Arial"/>
          <w:szCs w:val="20"/>
        </w:rPr>
        <w:t>V osmem odstavku se znesek »15.739.438,00 EUR« nadomesti z zneskom »16.366.167,00 EUR« in znesek »2.055.401,00 EUR« nadomesti z zneskom »2.682.130,00 EUR«.</w:t>
      </w:r>
    </w:p>
    <w:p w:rsidR="00E8354A" w:rsidRDefault="00E8354A" w:rsidP="00E8354A">
      <w:pPr>
        <w:spacing w:after="120"/>
        <w:jc w:val="both"/>
        <w:rPr>
          <w:rFonts w:cs="Arial"/>
          <w:szCs w:val="20"/>
        </w:rPr>
      </w:pPr>
      <w:r>
        <w:rPr>
          <w:rFonts w:cs="Arial"/>
          <w:szCs w:val="20"/>
        </w:rPr>
        <w:t xml:space="preserve">V tabeli Poraba sredstev proračunskega sklada za gozdove za leto 2019 se pri namenu financiranja pod točko 7. Promocija rabe lesa in lesnih proizvodov ter gozdno lesnih verig številka v stolpcu Ocena predvidene porabe v letu 2019 »700.000,00« nadomesti s številko »1.250.000,00«. </w:t>
      </w:r>
    </w:p>
    <w:p w:rsidR="00E8354A" w:rsidRDefault="00E8354A" w:rsidP="00E8354A">
      <w:pPr>
        <w:spacing w:after="120"/>
        <w:jc w:val="both"/>
        <w:rPr>
          <w:rFonts w:cs="Arial"/>
          <w:szCs w:val="20"/>
        </w:rPr>
      </w:pPr>
      <w:r>
        <w:rPr>
          <w:rFonts w:cs="Arial"/>
          <w:szCs w:val="20"/>
        </w:rPr>
        <w:t>V predzadnji vrstici tabele Poraba sredstev proračunskega sklada za gozdove za leto 2019 se številka v stolpcu Razpoložljiva sredstva v letu 2019 »16.724.660,00« nadomesti s številko »17.336.902,00«, številka v stolpcu Skupaj razpoložljiva sredstva za leto 2019 »38.291.007,64« nadomesti s številko »38.903.249,64« in številka v stolpcu Ocena predvidene porabe v letu 2019 »15.681.050,00« nadomesti s številko »16.231.050,00« ter v zadnji vrstici tabele številka »22.609.957,64« nadomesti s številko »22.672.199,64«.</w:t>
      </w:r>
    </w:p>
    <w:p w:rsidR="00E8354A" w:rsidRDefault="00E8354A" w:rsidP="00E8354A">
      <w:pPr>
        <w:spacing w:after="120"/>
        <w:jc w:val="both"/>
        <w:rPr>
          <w:rFonts w:cs="Arial"/>
          <w:szCs w:val="20"/>
        </w:rPr>
      </w:pPr>
      <w:r>
        <w:rPr>
          <w:rFonts w:cs="Arial"/>
          <w:szCs w:val="20"/>
        </w:rPr>
        <w:t>Osemnajsti odstavek se spremeni tako, da se glasi:</w:t>
      </w:r>
    </w:p>
    <w:p w:rsidR="00E8354A" w:rsidRDefault="00E8354A" w:rsidP="00E8354A">
      <w:pPr>
        <w:spacing w:after="120"/>
        <w:jc w:val="both"/>
        <w:rPr>
          <w:rFonts w:cs="Arial"/>
        </w:rPr>
      </w:pPr>
      <w:r>
        <w:rPr>
          <w:rFonts w:cs="Arial"/>
          <w:szCs w:val="20"/>
        </w:rPr>
        <w:t>»</w:t>
      </w:r>
      <w:r w:rsidRPr="00F05EB2">
        <w:rPr>
          <w:rFonts w:cs="Arial"/>
        </w:rPr>
        <w:t xml:space="preserve">Obveznosti Gozdnega sklada za promocijo rabe lesa in lesnih proizvodov ter gozdno lesnih verig je predpisal ZGGLRS. </w:t>
      </w:r>
      <w:r>
        <w:rPr>
          <w:rFonts w:cs="Arial"/>
        </w:rPr>
        <w:t xml:space="preserve">Za ta namen se namenja skupno 1.250.000,00 EUR, od tega za promocijske aktivnosti ministrstva, pristojnega za gozdarstvo, sredstva v višini 850.000,00 EUR in za promocijske aktivnosti ministrstva, pristojnega za lesarstvo, sredstva v višini 400.000,00 EUR.« </w:t>
      </w:r>
    </w:p>
    <w:p w:rsidR="00E8354A" w:rsidRDefault="00E8354A" w:rsidP="00E8354A">
      <w:pPr>
        <w:spacing w:after="120"/>
        <w:jc w:val="both"/>
        <w:rPr>
          <w:rFonts w:cs="Arial"/>
          <w:szCs w:val="20"/>
        </w:rPr>
      </w:pPr>
      <w:r>
        <w:rPr>
          <w:rFonts w:cs="Arial"/>
          <w:szCs w:val="20"/>
        </w:rPr>
        <w:t xml:space="preserve">V dvajsetem odstavku se znesek »22.609.957,64 EUR« nadomesti z zneskom »22.672.199,64 EUR«. </w:t>
      </w:r>
    </w:p>
    <w:p w:rsidR="000F44CF" w:rsidRDefault="000F44CF" w:rsidP="000F44CF">
      <w:pPr>
        <w:ind w:left="4956" w:firstLine="708"/>
        <w:jc w:val="both"/>
        <w:rPr>
          <w:rFonts w:cs="Arial"/>
          <w:szCs w:val="20"/>
        </w:rPr>
      </w:pPr>
    </w:p>
    <w:p w:rsidR="000F44CF" w:rsidRDefault="000F44CF" w:rsidP="000F44CF">
      <w:pPr>
        <w:ind w:left="4956" w:firstLine="708"/>
        <w:jc w:val="both"/>
        <w:rPr>
          <w:rFonts w:cs="Arial"/>
          <w:szCs w:val="20"/>
        </w:rPr>
      </w:pPr>
      <w:r>
        <w:rPr>
          <w:rFonts w:cs="Arial"/>
          <w:szCs w:val="20"/>
        </w:rPr>
        <w:t xml:space="preserve">   Stojan Tramte</w:t>
      </w:r>
    </w:p>
    <w:p w:rsidR="000F44CF" w:rsidRDefault="000F44CF" w:rsidP="000F44CF">
      <w:pPr>
        <w:ind w:left="4956" w:firstLine="708"/>
        <w:jc w:val="both"/>
        <w:rPr>
          <w:rFonts w:cs="Arial"/>
          <w:szCs w:val="20"/>
        </w:rPr>
      </w:pPr>
      <w:r>
        <w:rPr>
          <w:rFonts w:cs="Arial"/>
          <w:szCs w:val="20"/>
        </w:rPr>
        <w:t>generalni sekretar</w:t>
      </w:r>
    </w:p>
    <w:p w:rsidR="000F44CF" w:rsidRDefault="000F44CF" w:rsidP="00E8354A">
      <w:pPr>
        <w:spacing w:after="120"/>
        <w:jc w:val="both"/>
        <w:rPr>
          <w:rFonts w:cs="Arial"/>
          <w:szCs w:val="20"/>
        </w:rPr>
      </w:pPr>
    </w:p>
    <w:p w:rsidR="000F44CF" w:rsidRDefault="000F44CF" w:rsidP="00E8354A">
      <w:pPr>
        <w:spacing w:after="120"/>
        <w:jc w:val="both"/>
        <w:rPr>
          <w:rFonts w:cs="Arial"/>
          <w:szCs w:val="20"/>
        </w:rPr>
      </w:pPr>
    </w:p>
    <w:p w:rsidR="000F44CF" w:rsidRDefault="000F44CF">
      <w:pPr>
        <w:spacing w:after="160" w:line="259" w:lineRule="auto"/>
        <w:rPr>
          <w:rFonts w:cs="Arial"/>
          <w:color w:val="FF0000"/>
          <w:szCs w:val="20"/>
        </w:rPr>
      </w:pPr>
      <w:r>
        <w:rPr>
          <w:rFonts w:cs="Arial"/>
          <w:color w:val="FF0000"/>
          <w:szCs w:val="20"/>
        </w:rPr>
        <w:br w:type="page"/>
      </w:r>
    </w:p>
    <w:p w:rsidR="00AD1BB5" w:rsidRPr="00A11B93" w:rsidRDefault="000E3E94" w:rsidP="00A11B93">
      <w:pPr>
        <w:jc w:val="center"/>
        <w:rPr>
          <w:b/>
        </w:rPr>
      </w:pPr>
      <w:r w:rsidRPr="00A11B93">
        <w:rPr>
          <w:b/>
        </w:rPr>
        <w:lastRenderedPageBreak/>
        <w:t>OBRAZLOŽITEV</w:t>
      </w:r>
    </w:p>
    <w:p w:rsidR="00AD1BB5" w:rsidRDefault="00AD1BB5" w:rsidP="00AD1BB5">
      <w:pPr>
        <w:jc w:val="center"/>
        <w:rPr>
          <w:b/>
        </w:rPr>
      </w:pPr>
    </w:p>
    <w:p w:rsidR="00AD1BB5" w:rsidRPr="00F05EB2" w:rsidRDefault="00AD1BB5" w:rsidP="00610C23">
      <w:pPr>
        <w:spacing w:after="120"/>
        <w:jc w:val="both"/>
        <w:rPr>
          <w:rFonts w:cs="Arial"/>
          <w:szCs w:val="20"/>
        </w:rPr>
      </w:pPr>
      <w:r w:rsidRPr="00F05EB2">
        <w:rPr>
          <w:rFonts w:cs="Arial"/>
          <w:szCs w:val="20"/>
        </w:rPr>
        <w:t xml:space="preserve">V skladu s petim odstavkom 33. člena Zakona o gospodarjenju z gozdovi v lasti Republike Slovenije (Uradni list RS, št. 9/16; v nadaljnjem besedilu: ZGGLRS) s sredstvi proračunskega sklada za gozdove (v nadaljnjem besedilu: Gozdni sklad) upravlja in z njimi razpolaga ministrstvo, pristojno za gozdarstvo, na podlagi letnega programa porabe sredstev, ki ga na predlog </w:t>
      </w:r>
      <w:r w:rsidR="008A1168">
        <w:rPr>
          <w:rFonts w:cs="Arial"/>
          <w:szCs w:val="20"/>
        </w:rPr>
        <w:t xml:space="preserve">Ministrstva za kmetijstvo, gozdarstvo in prehrano </w:t>
      </w:r>
      <w:r w:rsidRPr="00F05EB2">
        <w:rPr>
          <w:rFonts w:cs="Arial"/>
          <w:szCs w:val="20"/>
        </w:rPr>
        <w:t>sprejme Vlada Republike Slovenije. Letni program porabe sredstev Gozdnega sklada določa razdelitev sredstev po določenih namenih v posameznem letu.</w:t>
      </w:r>
    </w:p>
    <w:p w:rsidR="006107C1" w:rsidRDefault="006107C1" w:rsidP="00610C23">
      <w:pPr>
        <w:spacing w:after="120"/>
        <w:jc w:val="both"/>
        <w:rPr>
          <w:rFonts w:cs="Arial"/>
          <w:szCs w:val="20"/>
        </w:rPr>
      </w:pPr>
      <w:r w:rsidRPr="006107C1">
        <w:rPr>
          <w:rFonts w:cs="Arial"/>
          <w:szCs w:val="20"/>
        </w:rPr>
        <w:t>Program porabe sredstev proračunskega sklada za gozdove za leto 2019 je s sklepom št. 41000-1/2019/3 sprejela Vlada Republike Slovenije dne 24. 1. 2019. Z navedenim programom se je načrtovalo namenske prejemke v skupni višini 16.724.660,00 EUR in skupaj razpoložljiva sredstva 38.291.007,64 EUR ter predvideno porabo sredstev proračunskega sklada za gozdove za leto 2019 po posameznih namenih v skupni višini 15.681.050,00 EUR.</w:t>
      </w:r>
    </w:p>
    <w:p w:rsidR="005369AE" w:rsidRDefault="00EE0D08" w:rsidP="00610C23">
      <w:pPr>
        <w:spacing w:after="120"/>
        <w:jc w:val="both"/>
        <w:rPr>
          <w:rFonts w:cs="Arial"/>
          <w:szCs w:val="20"/>
        </w:rPr>
      </w:pPr>
      <w:r>
        <w:rPr>
          <w:rFonts w:cs="Arial"/>
          <w:szCs w:val="20"/>
        </w:rPr>
        <w:t>Sprememb</w:t>
      </w:r>
      <w:r w:rsidR="001F75B4">
        <w:rPr>
          <w:rFonts w:cs="Arial"/>
          <w:szCs w:val="20"/>
        </w:rPr>
        <w:t>e</w:t>
      </w:r>
      <w:r w:rsidR="005369AE" w:rsidRPr="005369AE">
        <w:rPr>
          <w:rFonts w:cs="Arial"/>
          <w:szCs w:val="20"/>
        </w:rPr>
        <w:t xml:space="preserve"> št. 1 </w:t>
      </w:r>
      <w:r w:rsidR="001F75B4">
        <w:rPr>
          <w:rFonts w:cs="Arial"/>
          <w:szCs w:val="20"/>
        </w:rPr>
        <w:t>P</w:t>
      </w:r>
      <w:r w:rsidR="005369AE" w:rsidRPr="005369AE">
        <w:rPr>
          <w:rFonts w:cs="Arial"/>
          <w:szCs w:val="20"/>
        </w:rPr>
        <w:t xml:space="preserve">rograma porabe sredstev proračunskega sklada za gozdove za leto 2019 </w:t>
      </w:r>
      <w:r w:rsidR="008A1168">
        <w:rPr>
          <w:rFonts w:cs="Arial"/>
          <w:szCs w:val="20"/>
        </w:rPr>
        <w:t>Ministrstvo za kmetijstvo, gozdarstvo in prehrano</w:t>
      </w:r>
      <w:r w:rsidR="005369AE" w:rsidRPr="005369AE">
        <w:rPr>
          <w:rFonts w:cs="Arial"/>
          <w:szCs w:val="20"/>
        </w:rPr>
        <w:t xml:space="preserve"> pripravlja zaradi potrebnih sprememb na prihodkovni in odhodkovni strani Gozdnega sklada.</w:t>
      </w:r>
    </w:p>
    <w:p w:rsidR="005369AE" w:rsidRDefault="00EE0D08" w:rsidP="00610C23">
      <w:pPr>
        <w:spacing w:after="120"/>
        <w:jc w:val="both"/>
        <w:rPr>
          <w:rFonts w:cs="Arial"/>
          <w:szCs w:val="20"/>
        </w:rPr>
      </w:pPr>
      <w:r>
        <w:rPr>
          <w:rFonts w:cs="Arial"/>
          <w:szCs w:val="20"/>
        </w:rPr>
        <w:t>S</w:t>
      </w:r>
      <w:r w:rsidR="005369AE">
        <w:rPr>
          <w:rFonts w:cs="Arial"/>
          <w:szCs w:val="20"/>
        </w:rPr>
        <w:t xml:space="preserve"> </w:t>
      </w:r>
      <w:r>
        <w:rPr>
          <w:rFonts w:cs="Arial"/>
          <w:szCs w:val="20"/>
        </w:rPr>
        <w:t>Sprememb</w:t>
      </w:r>
      <w:r w:rsidR="001F75B4">
        <w:rPr>
          <w:rFonts w:cs="Arial"/>
          <w:szCs w:val="20"/>
        </w:rPr>
        <w:t>ami št. 1 P</w:t>
      </w:r>
      <w:r w:rsidR="005369AE" w:rsidRPr="005369AE">
        <w:rPr>
          <w:rFonts w:cs="Arial"/>
          <w:szCs w:val="20"/>
        </w:rPr>
        <w:t>rograma porabe sredstev proračunskega sklada za gozdove za leto 2019</w:t>
      </w:r>
      <w:r w:rsidR="005369AE">
        <w:rPr>
          <w:rFonts w:cs="Arial"/>
          <w:szCs w:val="20"/>
        </w:rPr>
        <w:t xml:space="preserve"> se na prihodkovni </w:t>
      </w:r>
      <w:r w:rsidR="005369AE" w:rsidRPr="005369AE">
        <w:rPr>
          <w:rFonts w:cs="Arial"/>
          <w:szCs w:val="20"/>
        </w:rPr>
        <w:t>strani Gozdnega sklada</w:t>
      </w:r>
      <w:r w:rsidR="005369AE">
        <w:rPr>
          <w:rFonts w:cs="Arial"/>
          <w:szCs w:val="20"/>
        </w:rPr>
        <w:t xml:space="preserve"> </w:t>
      </w:r>
      <w:r w:rsidR="005369AE" w:rsidRPr="005369AE">
        <w:rPr>
          <w:rFonts w:cs="Arial"/>
          <w:szCs w:val="20"/>
        </w:rPr>
        <w:t>znižuje</w:t>
      </w:r>
      <w:r w:rsidR="005369AE">
        <w:rPr>
          <w:rFonts w:cs="Arial"/>
          <w:szCs w:val="20"/>
        </w:rPr>
        <w:t>jo</w:t>
      </w:r>
      <w:r w:rsidR="005369AE" w:rsidRPr="005369AE">
        <w:rPr>
          <w:rFonts w:cs="Arial"/>
          <w:szCs w:val="20"/>
        </w:rPr>
        <w:t xml:space="preserve"> načrtovan</w:t>
      </w:r>
      <w:r w:rsidR="005369AE">
        <w:rPr>
          <w:rFonts w:cs="Arial"/>
          <w:szCs w:val="20"/>
        </w:rPr>
        <w:t>i</w:t>
      </w:r>
      <w:r w:rsidR="005369AE" w:rsidRPr="005369AE">
        <w:rPr>
          <w:rFonts w:cs="Arial"/>
          <w:szCs w:val="20"/>
        </w:rPr>
        <w:t xml:space="preserve"> prihodk</w:t>
      </w:r>
      <w:r w:rsidR="005369AE">
        <w:rPr>
          <w:rFonts w:cs="Arial"/>
          <w:szCs w:val="20"/>
        </w:rPr>
        <w:t>i</w:t>
      </w:r>
      <w:r w:rsidR="005369AE" w:rsidRPr="005369AE">
        <w:rPr>
          <w:rFonts w:cs="Arial"/>
          <w:szCs w:val="20"/>
        </w:rPr>
        <w:t xml:space="preserve"> </w:t>
      </w:r>
      <w:r w:rsidR="005369AE">
        <w:rPr>
          <w:rFonts w:cs="Arial"/>
          <w:szCs w:val="20"/>
        </w:rPr>
        <w:t xml:space="preserve">iz naslova </w:t>
      </w:r>
      <w:r w:rsidR="005369AE" w:rsidRPr="005369AE">
        <w:rPr>
          <w:rFonts w:cs="Arial"/>
          <w:szCs w:val="20"/>
        </w:rPr>
        <w:t>koncesnin</w:t>
      </w:r>
      <w:r w:rsidR="0055111B">
        <w:rPr>
          <w:rFonts w:cs="Arial"/>
          <w:szCs w:val="20"/>
        </w:rPr>
        <w:t xml:space="preserve"> </w:t>
      </w:r>
      <w:r w:rsidR="005369AE" w:rsidRPr="005369AE">
        <w:rPr>
          <w:rFonts w:cs="Arial"/>
          <w:szCs w:val="20"/>
        </w:rPr>
        <w:t xml:space="preserve"> na 100.605,00 EUR</w:t>
      </w:r>
      <w:r w:rsidR="005369AE">
        <w:rPr>
          <w:rFonts w:cs="Arial"/>
          <w:szCs w:val="20"/>
        </w:rPr>
        <w:t xml:space="preserve"> ter povečujejo </w:t>
      </w:r>
      <w:r w:rsidR="005369AE" w:rsidRPr="005369AE">
        <w:rPr>
          <w:rFonts w:cs="Arial"/>
          <w:szCs w:val="20"/>
        </w:rPr>
        <w:t>prihodk</w:t>
      </w:r>
      <w:r w:rsidR="005369AE">
        <w:rPr>
          <w:rFonts w:cs="Arial"/>
          <w:szCs w:val="20"/>
        </w:rPr>
        <w:t>i</w:t>
      </w:r>
      <w:r w:rsidR="005369AE" w:rsidRPr="005369AE">
        <w:rPr>
          <w:rFonts w:cs="Arial"/>
          <w:szCs w:val="20"/>
        </w:rPr>
        <w:t xml:space="preserve"> iz naslova nadomestila za upravljanje državnih gozdov</w:t>
      </w:r>
      <w:r w:rsidR="0055111B">
        <w:rPr>
          <w:rFonts w:cs="Arial"/>
          <w:szCs w:val="20"/>
        </w:rPr>
        <w:t xml:space="preserve"> </w:t>
      </w:r>
      <w:r w:rsidR="005369AE">
        <w:rPr>
          <w:rFonts w:cs="Arial"/>
          <w:szCs w:val="20"/>
        </w:rPr>
        <w:t xml:space="preserve">na </w:t>
      </w:r>
      <w:r w:rsidR="005369AE" w:rsidRPr="005369AE">
        <w:rPr>
          <w:rFonts w:cs="Arial"/>
          <w:szCs w:val="20"/>
        </w:rPr>
        <w:t>16.366.167,00 EUR</w:t>
      </w:r>
      <w:r w:rsidR="005369AE">
        <w:rPr>
          <w:rFonts w:cs="Arial"/>
          <w:szCs w:val="20"/>
        </w:rPr>
        <w:t>.</w:t>
      </w:r>
    </w:p>
    <w:p w:rsidR="005369AE" w:rsidRDefault="005369AE" w:rsidP="00610C23">
      <w:pPr>
        <w:spacing w:after="120"/>
        <w:jc w:val="both"/>
        <w:rPr>
          <w:rFonts w:cs="Arial"/>
          <w:szCs w:val="20"/>
        </w:rPr>
      </w:pPr>
      <w:r>
        <w:rPr>
          <w:rFonts w:cs="Arial"/>
          <w:szCs w:val="20"/>
        </w:rPr>
        <w:t xml:space="preserve">Prihodki </w:t>
      </w:r>
      <w:r w:rsidRPr="005369AE">
        <w:rPr>
          <w:rFonts w:cs="Arial"/>
          <w:szCs w:val="20"/>
        </w:rPr>
        <w:t>Gozdnega sklada</w:t>
      </w:r>
      <w:r>
        <w:rPr>
          <w:rFonts w:cs="Arial"/>
          <w:szCs w:val="20"/>
        </w:rPr>
        <w:t xml:space="preserve"> se, v primerjavi s sprejetim </w:t>
      </w:r>
      <w:r w:rsidRPr="005369AE">
        <w:rPr>
          <w:rFonts w:cs="Arial"/>
          <w:szCs w:val="20"/>
        </w:rPr>
        <w:t>Program</w:t>
      </w:r>
      <w:r>
        <w:rPr>
          <w:rFonts w:cs="Arial"/>
          <w:szCs w:val="20"/>
        </w:rPr>
        <w:t>om</w:t>
      </w:r>
      <w:r w:rsidRPr="005369AE">
        <w:rPr>
          <w:rFonts w:cs="Arial"/>
          <w:szCs w:val="20"/>
        </w:rPr>
        <w:t xml:space="preserve"> porabe sredstev proračunskega sklada za gozdove za leto 2019</w:t>
      </w:r>
      <w:r>
        <w:rPr>
          <w:rFonts w:cs="Arial"/>
          <w:szCs w:val="20"/>
        </w:rPr>
        <w:t xml:space="preserve">, </w:t>
      </w:r>
      <w:r w:rsidR="00386B6A">
        <w:rPr>
          <w:rFonts w:cs="Arial"/>
          <w:szCs w:val="20"/>
        </w:rPr>
        <w:t xml:space="preserve">skupno </w:t>
      </w:r>
      <w:r>
        <w:rPr>
          <w:rFonts w:cs="Arial"/>
          <w:szCs w:val="20"/>
        </w:rPr>
        <w:t>zvišujejo za 612.242,00 EUR, in sicer na 17.336.902,00 EUR.</w:t>
      </w:r>
    </w:p>
    <w:p w:rsidR="006107C1" w:rsidRDefault="00EE0D08" w:rsidP="00610C23">
      <w:pPr>
        <w:spacing w:after="120"/>
        <w:jc w:val="both"/>
        <w:rPr>
          <w:rFonts w:cs="Arial"/>
          <w:szCs w:val="20"/>
        </w:rPr>
      </w:pPr>
      <w:r>
        <w:rPr>
          <w:rFonts w:cs="Arial"/>
          <w:szCs w:val="20"/>
        </w:rPr>
        <w:t>Sprem</w:t>
      </w:r>
      <w:r w:rsidR="001F75B4">
        <w:rPr>
          <w:rFonts w:cs="Arial"/>
          <w:szCs w:val="20"/>
        </w:rPr>
        <w:t>embe št. 1 P</w:t>
      </w:r>
      <w:r w:rsidR="005369AE" w:rsidRPr="005369AE">
        <w:rPr>
          <w:rFonts w:cs="Arial"/>
          <w:szCs w:val="20"/>
        </w:rPr>
        <w:t>rograma porabe sredstev proračunskega sklada za gozdove za leto 2019 na odhodkovni strani Gozdnega sklada predvideva povečanje odhodkov pri namenu financiranja Promocija rabe lesa in lesnih proizvodov ter gozdno lesnih verig.</w:t>
      </w:r>
      <w:r w:rsidR="00806B30">
        <w:rPr>
          <w:rFonts w:cs="Arial"/>
          <w:szCs w:val="20"/>
        </w:rPr>
        <w:t xml:space="preserve"> </w:t>
      </w:r>
      <w:r w:rsidR="006107C1" w:rsidRPr="006107C1">
        <w:rPr>
          <w:rFonts w:cs="Arial"/>
          <w:szCs w:val="20"/>
        </w:rPr>
        <w:t>V Programu porabe sredstev proračunskega sklada za gozdove za leto 2019 so bila za promocijo rabe lesa in lesnih proizvodov ter gozdno lesnih verig predvidena razpoložljiva sredstva v višini 700.000,00 EUR.</w:t>
      </w:r>
      <w:r w:rsidR="00397E91">
        <w:rPr>
          <w:rFonts w:cs="Arial"/>
          <w:szCs w:val="20"/>
        </w:rPr>
        <w:t xml:space="preserve"> </w:t>
      </w:r>
      <w:r w:rsidR="00397E91" w:rsidRPr="00397E91">
        <w:rPr>
          <w:rFonts w:cs="Arial"/>
          <w:szCs w:val="20"/>
        </w:rPr>
        <w:t>Ministrstvo</w:t>
      </w:r>
      <w:r w:rsidR="008A1168">
        <w:rPr>
          <w:rFonts w:cs="Arial"/>
          <w:szCs w:val="20"/>
        </w:rPr>
        <w:t xml:space="preserve"> za kmetijstvo, gozdarstvo in prehrano</w:t>
      </w:r>
      <w:r w:rsidR="00397E91" w:rsidRPr="00397E91">
        <w:rPr>
          <w:rFonts w:cs="Arial"/>
          <w:szCs w:val="20"/>
        </w:rPr>
        <w:t xml:space="preserve"> je že ob pripravi Programa porabe sredstev proračunskega sklada za gozdove za leto 2019 načrtovalo, da bosta ustrezne promocijske aktivnosti izvajala </w:t>
      </w:r>
      <w:r w:rsidR="008A1168" w:rsidRPr="00397E91">
        <w:rPr>
          <w:rFonts w:cs="Arial"/>
          <w:szCs w:val="20"/>
        </w:rPr>
        <w:t>Ministrstvo</w:t>
      </w:r>
      <w:r w:rsidR="008A1168">
        <w:rPr>
          <w:rFonts w:cs="Arial"/>
          <w:szCs w:val="20"/>
        </w:rPr>
        <w:t xml:space="preserve"> za kmetijstvo, gozdarstvo in prehrano</w:t>
      </w:r>
      <w:r w:rsidR="008A1168" w:rsidRPr="00397E91">
        <w:rPr>
          <w:rFonts w:cs="Arial"/>
          <w:szCs w:val="20"/>
        </w:rPr>
        <w:t xml:space="preserve"> </w:t>
      </w:r>
      <w:r w:rsidR="008A1168">
        <w:rPr>
          <w:rFonts w:cs="Arial"/>
          <w:szCs w:val="20"/>
        </w:rPr>
        <w:t xml:space="preserve">ter Ministrstvo za gospodarski razvoj in tehnologijo. </w:t>
      </w:r>
    </w:p>
    <w:p w:rsidR="002A65D9" w:rsidRDefault="006107C1" w:rsidP="00610C23">
      <w:pPr>
        <w:spacing w:after="120"/>
        <w:jc w:val="both"/>
        <w:rPr>
          <w:rFonts w:cs="Arial"/>
          <w:szCs w:val="20"/>
        </w:rPr>
      </w:pPr>
      <w:r w:rsidRPr="006107C1">
        <w:rPr>
          <w:rFonts w:cs="Arial"/>
          <w:szCs w:val="20"/>
        </w:rPr>
        <w:t xml:space="preserve">Po potrditvi Programa porabe sredstev proračunskega sklada za gozdove za leto 2019 je </w:t>
      </w:r>
      <w:r w:rsidR="008A1168" w:rsidRPr="00397E91">
        <w:rPr>
          <w:rFonts w:cs="Arial"/>
          <w:szCs w:val="20"/>
        </w:rPr>
        <w:t>Ministrstvo</w:t>
      </w:r>
      <w:r w:rsidR="008A1168">
        <w:rPr>
          <w:rFonts w:cs="Arial"/>
          <w:szCs w:val="20"/>
        </w:rPr>
        <w:t xml:space="preserve"> za kmetijstvo, gozdarstvo in prehrano</w:t>
      </w:r>
      <w:r w:rsidRPr="006107C1">
        <w:rPr>
          <w:rFonts w:cs="Arial"/>
          <w:szCs w:val="20"/>
        </w:rPr>
        <w:t xml:space="preserve"> s strani </w:t>
      </w:r>
      <w:r w:rsidR="008A1168">
        <w:rPr>
          <w:rFonts w:cs="Arial"/>
          <w:szCs w:val="20"/>
        </w:rPr>
        <w:t>Ministrstva za gospodarski razvoj in tehnologijo</w:t>
      </w:r>
      <w:r w:rsidR="008A1168" w:rsidRPr="006107C1">
        <w:rPr>
          <w:rFonts w:cs="Arial"/>
          <w:szCs w:val="20"/>
        </w:rPr>
        <w:t xml:space="preserve"> </w:t>
      </w:r>
      <w:r w:rsidRPr="006107C1">
        <w:rPr>
          <w:rFonts w:cs="Arial"/>
          <w:szCs w:val="20"/>
        </w:rPr>
        <w:t>prejelo</w:t>
      </w:r>
      <w:r w:rsidR="002A65D9">
        <w:rPr>
          <w:rFonts w:cs="Arial"/>
          <w:szCs w:val="20"/>
        </w:rPr>
        <w:t xml:space="preserve"> predlog </w:t>
      </w:r>
      <w:r w:rsidRPr="006107C1">
        <w:rPr>
          <w:rFonts w:cs="Arial"/>
          <w:szCs w:val="20"/>
        </w:rPr>
        <w:t>aktivnosti za promocijo rabe lesa in lesnih proizvodov ter gozdno lesnih verig</w:t>
      </w:r>
      <w:r>
        <w:rPr>
          <w:rFonts w:cs="Arial"/>
          <w:szCs w:val="20"/>
        </w:rPr>
        <w:t xml:space="preserve"> v skupni višini 400.000,00 EUR. </w:t>
      </w:r>
      <w:r w:rsidR="002A65D9" w:rsidRPr="002A65D9">
        <w:rPr>
          <w:rFonts w:cs="Arial"/>
          <w:szCs w:val="20"/>
        </w:rPr>
        <w:t xml:space="preserve">Nekatere dodatne promocijske aktivnosti načrtuje tudi </w:t>
      </w:r>
      <w:r w:rsidR="008A1168" w:rsidRPr="00397E91">
        <w:rPr>
          <w:rFonts w:cs="Arial"/>
          <w:szCs w:val="20"/>
        </w:rPr>
        <w:t>Ministrstvo</w:t>
      </w:r>
      <w:r w:rsidR="008A1168">
        <w:rPr>
          <w:rFonts w:cs="Arial"/>
          <w:szCs w:val="20"/>
        </w:rPr>
        <w:t xml:space="preserve"> za kmetijstvo, gozdarstvo in prehrano</w:t>
      </w:r>
      <w:r w:rsidR="002A65D9">
        <w:rPr>
          <w:rFonts w:cs="Arial"/>
          <w:szCs w:val="20"/>
        </w:rPr>
        <w:t xml:space="preserve"> (</w:t>
      </w:r>
      <w:r w:rsidR="002A65D9" w:rsidRPr="002A65D9">
        <w:rPr>
          <w:rFonts w:cs="Arial"/>
          <w:szCs w:val="20"/>
        </w:rPr>
        <w:t xml:space="preserve">dogodke v zvezi s sonaravnim gospodarjenjem z gozdovi in </w:t>
      </w:r>
      <w:proofErr w:type="spellStart"/>
      <w:r w:rsidR="002A65D9" w:rsidRPr="002A65D9">
        <w:rPr>
          <w:rFonts w:cs="Arial"/>
          <w:szCs w:val="20"/>
        </w:rPr>
        <w:t>ekosistemskimi</w:t>
      </w:r>
      <w:proofErr w:type="spellEnd"/>
      <w:r w:rsidR="002A65D9" w:rsidRPr="002A65D9">
        <w:rPr>
          <w:rFonts w:cs="Arial"/>
          <w:szCs w:val="20"/>
        </w:rPr>
        <w:t xml:space="preserve"> storitvami ter dodatno sejemsko udeležbo</w:t>
      </w:r>
      <w:r w:rsidR="002A65D9">
        <w:rPr>
          <w:rFonts w:cs="Arial"/>
          <w:szCs w:val="20"/>
        </w:rPr>
        <w:t>)</w:t>
      </w:r>
      <w:r w:rsidR="002A65D9" w:rsidRPr="002A65D9">
        <w:rPr>
          <w:rFonts w:cs="Arial"/>
          <w:szCs w:val="20"/>
        </w:rPr>
        <w:t>.</w:t>
      </w:r>
    </w:p>
    <w:p w:rsidR="006107C1" w:rsidRPr="006107C1" w:rsidRDefault="006107C1" w:rsidP="00610C23">
      <w:pPr>
        <w:spacing w:after="120"/>
        <w:jc w:val="both"/>
        <w:rPr>
          <w:rFonts w:cs="Arial"/>
          <w:szCs w:val="20"/>
        </w:rPr>
      </w:pPr>
      <w:r w:rsidRPr="006107C1">
        <w:rPr>
          <w:rFonts w:cs="Arial"/>
          <w:szCs w:val="20"/>
        </w:rPr>
        <w:t xml:space="preserve">Promocijske aktivnosti rabe lesa in lesnih proizvodov ter gozdno lesnih verig, ki jih </w:t>
      </w:r>
      <w:r w:rsidR="008A1168" w:rsidRPr="00397E91">
        <w:rPr>
          <w:rFonts w:cs="Arial"/>
          <w:szCs w:val="20"/>
        </w:rPr>
        <w:t>Ministrstvo</w:t>
      </w:r>
      <w:r w:rsidR="008A1168">
        <w:rPr>
          <w:rFonts w:cs="Arial"/>
          <w:szCs w:val="20"/>
        </w:rPr>
        <w:t xml:space="preserve"> za kmetijstvo, gozdarstvo in prehrano</w:t>
      </w:r>
      <w:r w:rsidRPr="006107C1">
        <w:rPr>
          <w:rFonts w:cs="Arial"/>
          <w:szCs w:val="20"/>
        </w:rPr>
        <w:t xml:space="preserve"> </w:t>
      </w:r>
      <w:r w:rsidR="008A1168">
        <w:rPr>
          <w:rFonts w:cs="Arial"/>
          <w:szCs w:val="20"/>
        </w:rPr>
        <w:t>ter Ministrstvo za gospodarski razvoj in tehnologijo</w:t>
      </w:r>
      <w:r w:rsidR="008A1168" w:rsidRPr="006107C1">
        <w:rPr>
          <w:rFonts w:cs="Arial"/>
          <w:szCs w:val="20"/>
        </w:rPr>
        <w:t xml:space="preserve"> </w:t>
      </w:r>
      <w:r w:rsidRPr="006107C1">
        <w:rPr>
          <w:rFonts w:cs="Arial"/>
          <w:szCs w:val="20"/>
        </w:rPr>
        <w:t>načrtujeta v letošnjem letu presega</w:t>
      </w:r>
      <w:r w:rsidR="00512EA8">
        <w:rPr>
          <w:rFonts w:cs="Arial"/>
          <w:szCs w:val="20"/>
        </w:rPr>
        <w:t>jo</w:t>
      </w:r>
      <w:r w:rsidRPr="006107C1">
        <w:rPr>
          <w:rFonts w:cs="Arial"/>
          <w:szCs w:val="20"/>
        </w:rPr>
        <w:t xml:space="preserve"> načrtovana razpoložljiva sredstva v sprejetem Programu porabe sredstev proračunskega sklada za gozdove za leto 2019, tj. sredstva v višini 700.000,00 EUR</w:t>
      </w:r>
      <w:r>
        <w:rPr>
          <w:rFonts w:cs="Arial"/>
          <w:szCs w:val="20"/>
        </w:rPr>
        <w:t xml:space="preserve">. </w:t>
      </w:r>
    </w:p>
    <w:p w:rsidR="006107C1" w:rsidRDefault="006107C1" w:rsidP="00610C23">
      <w:pPr>
        <w:spacing w:after="120"/>
        <w:jc w:val="both"/>
        <w:rPr>
          <w:rFonts w:cs="Arial"/>
          <w:szCs w:val="20"/>
        </w:rPr>
      </w:pPr>
      <w:r w:rsidRPr="006107C1">
        <w:rPr>
          <w:rFonts w:cs="Arial"/>
          <w:szCs w:val="20"/>
        </w:rPr>
        <w:t>Ministrstvo</w:t>
      </w:r>
      <w:r w:rsidR="008A1168">
        <w:rPr>
          <w:rFonts w:cs="Arial"/>
          <w:szCs w:val="20"/>
        </w:rPr>
        <w:t xml:space="preserve"> za kmetijstvo gozdarstvo in prehrano </w:t>
      </w:r>
      <w:r>
        <w:rPr>
          <w:rFonts w:cs="Arial"/>
          <w:szCs w:val="20"/>
        </w:rPr>
        <w:t xml:space="preserve">zato </w:t>
      </w:r>
      <w:r w:rsidR="001F75B4">
        <w:rPr>
          <w:rFonts w:cs="Arial"/>
          <w:szCs w:val="20"/>
        </w:rPr>
        <w:t>s</w:t>
      </w:r>
      <w:r w:rsidRPr="006107C1">
        <w:rPr>
          <w:rFonts w:cs="Arial"/>
          <w:szCs w:val="20"/>
        </w:rPr>
        <w:t xml:space="preserve"> </w:t>
      </w:r>
      <w:r w:rsidR="00EE0D08">
        <w:rPr>
          <w:rFonts w:cs="Arial"/>
          <w:szCs w:val="20"/>
        </w:rPr>
        <w:t>Sprememb</w:t>
      </w:r>
      <w:r w:rsidR="001F75B4">
        <w:rPr>
          <w:rFonts w:cs="Arial"/>
          <w:szCs w:val="20"/>
        </w:rPr>
        <w:t>ami št. 1 P</w:t>
      </w:r>
      <w:r w:rsidRPr="006107C1">
        <w:rPr>
          <w:rFonts w:cs="Arial"/>
          <w:szCs w:val="20"/>
        </w:rPr>
        <w:t>rograma porabe sredstev proračunskega sklada za gozdove za leto 2019, skladno z razpoložljivimi sredstvi, povečuje sredstva na namenu financiranja Promocija rabe lesa in lesnih proizvodov ter gozdno lesnih verig za 5</w:t>
      </w:r>
      <w:r w:rsidR="008D5CA5">
        <w:rPr>
          <w:rFonts w:cs="Arial"/>
          <w:szCs w:val="20"/>
        </w:rPr>
        <w:t>50.000,00</w:t>
      </w:r>
      <w:r w:rsidRPr="006107C1">
        <w:rPr>
          <w:rFonts w:cs="Arial"/>
          <w:szCs w:val="20"/>
        </w:rPr>
        <w:t xml:space="preserve"> EUR.</w:t>
      </w:r>
    </w:p>
    <w:p w:rsidR="006107C1" w:rsidRDefault="006107C1" w:rsidP="00610C23">
      <w:pPr>
        <w:spacing w:after="120"/>
        <w:jc w:val="both"/>
        <w:rPr>
          <w:rFonts w:cs="Arial"/>
          <w:szCs w:val="20"/>
        </w:rPr>
      </w:pPr>
      <w:r w:rsidRPr="006107C1">
        <w:rPr>
          <w:rFonts w:cs="Arial"/>
          <w:szCs w:val="20"/>
        </w:rPr>
        <w:lastRenderedPageBreak/>
        <w:t xml:space="preserve">Na podlagi </w:t>
      </w:r>
      <w:r w:rsidR="00EE0D08">
        <w:rPr>
          <w:rFonts w:cs="Arial"/>
          <w:szCs w:val="20"/>
        </w:rPr>
        <w:t>Sprememb</w:t>
      </w:r>
      <w:r w:rsidR="001F75B4">
        <w:rPr>
          <w:rFonts w:cs="Arial"/>
          <w:szCs w:val="20"/>
        </w:rPr>
        <w:t xml:space="preserve"> št. 1 P</w:t>
      </w:r>
      <w:r w:rsidRPr="006107C1">
        <w:rPr>
          <w:rFonts w:cs="Arial"/>
          <w:szCs w:val="20"/>
        </w:rPr>
        <w:t>rograma porabe sredstev proračunskega sklada za gozdove za leto 2019 znaša načrtovan skupen obseg porabe za letošnje leto 16.23</w:t>
      </w:r>
      <w:r w:rsidR="008D5CA5">
        <w:rPr>
          <w:rFonts w:cs="Arial"/>
          <w:szCs w:val="20"/>
        </w:rPr>
        <w:t>1.050,00</w:t>
      </w:r>
      <w:r w:rsidRPr="006107C1">
        <w:rPr>
          <w:rFonts w:cs="Arial"/>
          <w:szCs w:val="20"/>
        </w:rPr>
        <w:t xml:space="preserve"> EUR.</w:t>
      </w:r>
    </w:p>
    <w:p w:rsidR="00A55CF0" w:rsidRDefault="00A55CF0">
      <w:pPr>
        <w:spacing w:after="160" w:line="259" w:lineRule="auto"/>
        <w:rPr>
          <w:rFonts w:cs="Arial"/>
          <w:szCs w:val="20"/>
        </w:rPr>
      </w:pPr>
      <w:r>
        <w:rPr>
          <w:rFonts w:cs="Arial"/>
          <w:szCs w:val="20"/>
        </w:rPr>
        <w:br w:type="page"/>
      </w:r>
    </w:p>
    <w:p w:rsidR="002655FB" w:rsidRDefault="002655FB" w:rsidP="002655FB">
      <w:pPr>
        <w:jc w:val="center"/>
        <w:rPr>
          <w:rFonts w:cs="Arial"/>
          <w:b/>
          <w:szCs w:val="20"/>
        </w:rPr>
      </w:pPr>
      <w:r>
        <w:rPr>
          <w:rFonts w:cs="Arial"/>
          <w:b/>
          <w:szCs w:val="20"/>
        </w:rPr>
        <w:lastRenderedPageBreak/>
        <w:t>ČISTOPIS,</w:t>
      </w:r>
    </w:p>
    <w:p w:rsidR="00A55CF0" w:rsidRDefault="002655FB" w:rsidP="00A55CF0">
      <w:pPr>
        <w:jc w:val="center"/>
        <w:rPr>
          <w:rFonts w:cs="Arial"/>
          <w:b/>
          <w:szCs w:val="20"/>
        </w:rPr>
      </w:pPr>
      <w:r>
        <w:rPr>
          <w:rFonts w:cs="Arial"/>
          <w:b/>
          <w:szCs w:val="20"/>
        </w:rPr>
        <w:t xml:space="preserve">ki vključuje </w:t>
      </w:r>
      <w:r w:rsidR="00A55CF0">
        <w:rPr>
          <w:rFonts w:cs="Arial"/>
          <w:b/>
          <w:szCs w:val="20"/>
        </w:rPr>
        <w:t>Program porabe sredstev proračunskega sklada za gozdove za leto 2019, ki ga je sprejela Vlada Republike Slovenije s sklepom št.</w:t>
      </w:r>
      <w:r w:rsidR="00A55CF0" w:rsidRPr="00846E7A">
        <w:rPr>
          <w:rFonts w:cs="Arial"/>
          <w:b/>
          <w:szCs w:val="20"/>
        </w:rPr>
        <w:t xml:space="preserve"> 41000-1/2019/3 dne 24. 1. 2019</w:t>
      </w:r>
      <w:r w:rsidR="00A55CF0">
        <w:rPr>
          <w:rFonts w:cs="Arial"/>
          <w:b/>
          <w:szCs w:val="20"/>
        </w:rPr>
        <w:t xml:space="preserve">, in Spremembe št. 1  </w:t>
      </w:r>
      <w:r w:rsidR="00A55CF0" w:rsidRPr="00846E7A">
        <w:rPr>
          <w:rFonts w:cs="Arial"/>
          <w:b/>
          <w:szCs w:val="20"/>
        </w:rPr>
        <w:t>Program</w:t>
      </w:r>
      <w:r w:rsidR="00A55CF0">
        <w:rPr>
          <w:rFonts w:cs="Arial"/>
          <w:b/>
          <w:szCs w:val="20"/>
        </w:rPr>
        <w:t>a</w:t>
      </w:r>
      <w:r w:rsidR="00A55CF0" w:rsidRPr="00846E7A">
        <w:rPr>
          <w:rFonts w:cs="Arial"/>
          <w:b/>
          <w:szCs w:val="20"/>
        </w:rPr>
        <w:t xml:space="preserve"> porabe sredstev proračunskega sklada za gozdove za leto 2019</w:t>
      </w:r>
      <w:r w:rsidR="00A55CF0">
        <w:rPr>
          <w:rFonts w:cs="Arial"/>
          <w:b/>
          <w:szCs w:val="20"/>
        </w:rPr>
        <w:t xml:space="preserve">, ki jih je </w:t>
      </w:r>
      <w:r w:rsidR="00A55CF0" w:rsidRPr="00846E7A">
        <w:rPr>
          <w:rFonts w:cs="Arial"/>
          <w:b/>
          <w:szCs w:val="20"/>
        </w:rPr>
        <w:t xml:space="preserve">sprejela Vlada Republike Slovenije s sklepom št. </w:t>
      </w:r>
      <w:r w:rsidR="00A55CF0">
        <w:rPr>
          <w:rFonts w:cs="Arial"/>
          <w:b/>
          <w:szCs w:val="20"/>
        </w:rPr>
        <w:t>_______</w:t>
      </w:r>
      <w:r w:rsidR="00A55CF0" w:rsidRPr="00846E7A">
        <w:rPr>
          <w:rFonts w:cs="Arial"/>
          <w:b/>
          <w:szCs w:val="20"/>
        </w:rPr>
        <w:t xml:space="preserve"> dne </w:t>
      </w:r>
      <w:r w:rsidR="00A55CF0">
        <w:rPr>
          <w:rFonts w:cs="Arial"/>
          <w:b/>
          <w:szCs w:val="20"/>
        </w:rPr>
        <w:t>________</w:t>
      </w:r>
    </w:p>
    <w:p w:rsidR="00A55CF0" w:rsidRDefault="00A55CF0" w:rsidP="00A55CF0">
      <w:pPr>
        <w:jc w:val="center"/>
        <w:rPr>
          <w:rFonts w:cs="Arial"/>
          <w:b/>
          <w:szCs w:val="20"/>
        </w:rPr>
      </w:pPr>
    </w:p>
    <w:p w:rsidR="00A55CF0" w:rsidRPr="00F05EB2" w:rsidRDefault="00A55CF0" w:rsidP="00A55CF0">
      <w:pPr>
        <w:jc w:val="both"/>
        <w:rPr>
          <w:rFonts w:cs="Arial"/>
          <w:szCs w:val="20"/>
        </w:rPr>
      </w:pPr>
    </w:p>
    <w:p w:rsidR="00A55CF0" w:rsidRPr="00F05EB2" w:rsidRDefault="00A55CF0" w:rsidP="00A55CF0">
      <w:pPr>
        <w:jc w:val="both"/>
        <w:rPr>
          <w:rFonts w:cs="Arial"/>
          <w:szCs w:val="20"/>
        </w:rPr>
      </w:pPr>
      <w:r w:rsidRPr="00F05EB2">
        <w:rPr>
          <w:rFonts w:cs="Arial"/>
          <w:szCs w:val="20"/>
        </w:rPr>
        <w:t>V skladu s petim odstavkom 33. člena Zakona o gospodarjenju z gozdovi v lasti Republike Slovenije (Uradni list RS, št. 9/16; v nadaljnjem besedilu: ZGGLRS) s sredstvi proračunskega sklada za gozdove (v nadaljnjem besedilu: Gozdni sklad) upravlja in z njimi razpolaga ministrstvo, pristojno za gozdarstvo, na podlagi letnega programa porabe sredstev, ki ga na predlog ministrstva, pristojnega za gozdarstvo, sprejme Vlada Republike Slovenije. Letni program porabe sredstev Gozdnega sklada določa razdelitev sredstev po določenih namenih v posameznem letu.</w:t>
      </w:r>
    </w:p>
    <w:p w:rsidR="00A55CF0" w:rsidRPr="00F05EB2" w:rsidRDefault="00A55CF0" w:rsidP="00A55CF0">
      <w:pPr>
        <w:jc w:val="both"/>
        <w:rPr>
          <w:rFonts w:cs="Arial"/>
          <w:szCs w:val="20"/>
        </w:rPr>
      </w:pPr>
    </w:p>
    <w:p w:rsidR="00A55CF0" w:rsidRPr="00F05EB2" w:rsidRDefault="00A55CF0" w:rsidP="00A55CF0">
      <w:pPr>
        <w:jc w:val="both"/>
        <w:rPr>
          <w:rFonts w:cs="Arial"/>
          <w:szCs w:val="20"/>
        </w:rPr>
      </w:pPr>
      <w:r w:rsidRPr="00F05EB2">
        <w:rPr>
          <w:rFonts w:cs="Arial"/>
          <w:szCs w:val="20"/>
        </w:rPr>
        <w:t xml:space="preserve">Gospodarjenje z gozdovi v lasti Republike Slovenije je bilo preneseno na družbo Slovenski državni gozdovi, d. o. o. </w:t>
      </w:r>
      <w:r w:rsidRPr="00F05EB2">
        <w:rPr>
          <w:rFonts w:cs="Arial"/>
        </w:rPr>
        <w:t xml:space="preserve">(v nadaljnjem besedilu: SiDG), </w:t>
      </w:r>
      <w:r w:rsidRPr="00F05EB2">
        <w:rPr>
          <w:rFonts w:cs="Arial"/>
          <w:szCs w:val="20"/>
        </w:rPr>
        <w:t>1. julij</w:t>
      </w:r>
      <w:r>
        <w:rPr>
          <w:rFonts w:cs="Arial"/>
          <w:szCs w:val="20"/>
        </w:rPr>
        <w:t>a</w:t>
      </w:r>
      <w:r w:rsidRPr="00F05EB2">
        <w:rPr>
          <w:rFonts w:cs="Arial"/>
          <w:szCs w:val="20"/>
        </w:rPr>
        <w:t xml:space="preserve"> 2016 na podlagi prvega odstavka 39. člena ZGGLRS. Dejavnost gospodarjenja z državnimi gozdovi je bila prenesena na </w:t>
      </w:r>
      <w:r w:rsidRPr="00F05EB2">
        <w:rPr>
          <w:rFonts w:cs="Arial"/>
        </w:rPr>
        <w:t>SiDG</w:t>
      </w:r>
      <w:r w:rsidRPr="00F05EB2">
        <w:rPr>
          <w:rFonts w:cs="Arial"/>
          <w:szCs w:val="20"/>
        </w:rPr>
        <w:t xml:space="preserve"> z delitveno bilanco, ki vključuje tudi seznam gozdov, ki so se prenesli v gospodarjenje </w:t>
      </w:r>
      <w:r w:rsidRPr="00F05EB2">
        <w:rPr>
          <w:rFonts w:cs="Arial"/>
        </w:rPr>
        <w:t>SiDG</w:t>
      </w:r>
      <w:r w:rsidRPr="00F05EB2">
        <w:rPr>
          <w:rFonts w:cs="Arial"/>
          <w:szCs w:val="20"/>
        </w:rPr>
        <w:t xml:space="preserve">. Delitveno bilanco je potrdila Vlada Republike Slovenije s sklepom št. 41005-4/2016/12 z dne 23. 6. 2016. </w:t>
      </w:r>
    </w:p>
    <w:p w:rsidR="00A55CF0" w:rsidRPr="00F05EB2" w:rsidRDefault="00A55CF0" w:rsidP="00A55CF0">
      <w:pPr>
        <w:jc w:val="both"/>
        <w:rPr>
          <w:rFonts w:cs="Arial"/>
          <w:szCs w:val="20"/>
        </w:rPr>
      </w:pPr>
    </w:p>
    <w:p w:rsidR="00A55CF0" w:rsidRPr="00F05EB2" w:rsidRDefault="00A55CF0" w:rsidP="00A55CF0">
      <w:pPr>
        <w:jc w:val="both"/>
        <w:rPr>
          <w:rFonts w:cs="Arial"/>
          <w:szCs w:val="20"/>
        </w:rPr>
      </w:pPr>
      <w:r w:rsidRPr="00F05EB2">
        <w:rPr>
          <w:rFonts w:cs="Arial"/>
          <w:szCs w:val="20"/>
        </w:rPr>
        <w:t xml:space="preserve">Program porabe sredstev proračunskega sklada za gozdove za leto 2018 je s sklepom </w:t>
      </w:r>
      <w:r w:rsidRPr="00F05EB2">
        <w:rPr>
          <w:rFonts w:cs="Arial"/>
          <w:szCs w:val="20"/>
        </w:rPr>
        <w:br/>
        <w:t xml:space="preserve">št. 41000-3/2018/3 sprejela Vlada Republike Slovenije dne 5. 4. 2018. Z navedenim programom se je načrtovalo namenske prejemke v skupni višini 13.040.046,00 EUR in skupaj razpoložljiva sredstva 26.245.612,81 EUR </w:t>
      </w:r>
      <w:r w:rsidRPr="00244AD0">
        <w:rPr>
          <w:rFonts w:cs="Arial"/>
          <w:szCs w:val="20"/>
        </w:rPr>
        <w:t xml:space="preserve">ter predvideno </w:t>
      </w:r>
      <w:r w:rsidRPr="00F05EB2">
        <w:rPr>
          <w:rFonts w:cs="Arial"/>
          <w:szCs w:val="20"/>
        </w:rPr>
        <w:t xml:space="preserve">porabo sredstev proračunskega sklada za gozdove za leto 2018 po posameznih namenih v skupni višini </w:t>
      </w:r>
      <w:r w:rsidRPr="00F05EB2">
        <w:rPr>
          <w:rFonts w:cs="Arial"/>
          <w:sz w:val="19"/>
          <w:szCs w:val="19"/>
        </w:rPr>
        <w:t>18.530.348,58</w:t>
      </w:r>
      <w:r w:rsidRPr="00F05EB2">
        <w:rPr>
          <w:rFonts w:cs="Arial"/>
          <w:szCs w:val="20"/>
        </w:rPr>
        <w:t xml:space="preserve"> EUR. Podračun proračunskega sklada za gozdove ob koncu leta 2018 izkazuje presežek prejemkov nad izplačili, v skupni višini </w:t>
      </w:r>
      <w:r w:rsidRPr="00F05EB2">
        <w:rPr>
          <w:rFonts w:cs="Arial"/>
          <w:szCs w:val="20"/>
          <w:lang w:eastAsia="sl-SI"/>
        </w:rPr>
        <w:t>21.566.347,64</w:t>
      </w:r>
      <w:r w:rsidRPr="00F05EB2">
        <w:rPr>
          <w:rFonts w:cs="Arial"/>
          <w:szCs w:val="20"/>
        </w:rPr>
        <w:t xml:space="preserve"> EUR.</w:t>
      </w:r>
    </w:p>
    <w:p w:rsidR="00A55CF0" w:rsidRPr="00F05EB2" w:rsidRDefault="00A55CF0" w:rsidP="00A55CF0">
      <w:pPr>
        <w:jc w:val="both"/>
        <w:rPr>
          <w:rFonts w:cs="Arial"/>
          <w:szCs w:val="20"/>
        </w:rPr>
      </w:pPr>
    </w:p>
    <w:p w:rsidR="00A55CF0" w:rsidRPr="00F05EB2" w:rsidRDefault="00A55CF0" w:rsidP="00A55CF0">
      <w:pPr>
        <w:jc w:val="both"/>
        <w:rPr>
          <w:rFonts w:cs="Arial"/>
          <w:i/>
          <w:szCs w:val="20"/>
          <w:u w:val="single"/>
        </w:rPr>
      </w:pPr>
      <w:r w:rsidRPr="00F05EB2">
        <w:rPr>
          <w:rFonts w:cs="Arial"/>
          <w:szCs w:val="20"/>
        </w:rPr>
        <w:t xml:space="preserve">Skladno z drugim odstavkom 59. člena Zakona o javnih financah (Uradni list, št. 11/11 – uradno prečiščeno besedilo, 14/13 – </w:t>
      </w:r>
      <w:proofErr w:type="spellStart"/>
      <w:r w:rsidRPr="00F05EB2">
        <w:rPr>
          <w:rFonts w:cs="Arial"/>
          <w:szCs w:val="20"/>
        </w:rPr>
        <w:t>popr</w:t>
      </w:r>
      <w:proofErr w:type="spellEnd"/>
      <w:r w:rsidRPr="00F05EB2">
        <w:rPr>
          <w:rFonts w:cs="Arial"/>
          <w:szCs w:val="20"/>
        </w:rPr>
        <w:t xml:space="preserve">., 101/13, 55/15 – </w:t>
      </w:r>
      <w:proofErr w:type="spellStart"/>
      <w:r w:rsidRPr="00F05EB2">
        <w:rPr>
          <w:rFonts w:cs="Arial"/>
          <w:szCs w:val="20"/>
        </w:rPr>
        <w:t>ZFisP</w:t>
      </w:r>
      <w:proofErr w:type="spellEnd"/>
      <w:r w:rsidRPr="00F05EB2">
        <w:rPr>
          <w:rFonts w:cs="Arial"/>
          <w:szCs w:val="20"/>
        </w:rPr>
        <w:t xml:space="preserve">, 96/15 – ZIPRS1617 in 13/18) se </w:t>
      </w:r>
      <w:r w:rsidRPr="00F05EB2">
        <w:rPr>
          <w:rFonts w:cs="Arial"/>
          <w:szCs w:val="20"/>
          <w:lang w:val="x-none"/>
        </w:rPr>
        <w:t xml:space="preserve">neporabljena sredstva na </w:t>
      </w:r>
      <w:r w:rsidRPr="00F05EB2">
        <w:rPr>
          <w:rFonts w:cs="Arial"/>
          <w:szCs w:val="20"/>
        </w:rPr>
        <w:t>pod</w:t>
      </w:r>
      <w:r w:rsidRPr="00F05EB2">
        <w:rPr>
          <w:rFonts w:cs="Arial"/>
          <w:szCs w:val="20"/>
          <w:lang w:val="x-none"/>
        </w:rPr>
        <w:t>računu proračunskega sklada na koncu tekočega leta prenesejo v prihodnje leto</w:t>
      </w:r>
      <w:r w:rsidRPr="00F05EB2">
        <w:rPr>
          <w:rFonts w:cs="Arial"/>
          <w:szCs w:val="20"/>
        </w:rPr>
        <w:t>. Prenos sredstev iz preteklih let je izkazan po posameznih namenih, kjer je izkazan tudi skupni obseg sredstev za leto 2019. Neporabljena sredstva po posameznih namenih iz programa porabe sredstev proračunskega sklada za gozdove se lahko porabljajo za odobrene namene do sprejetja novega programa porabe sredstev proračunskega sklada za gozdove oziroma se porabijo za financiranje programa v naslednjem letu.</w:t>
      </w:r>
    </w:p>
    <w:p w:rsidR="00A55CF0" w:rsidRPr="00F05EB2" w:rsidRDefault="00A55CF0" w:rsidP="00A55CF0">
      <w:pPr>
        <w:jc w:val="both"/>
        <w:rPr>
          <w:rFonts w:cs="Arial"/>
          <w:i/>
          <w:szCs w:val="20"/>
          <w:u w:val="single"/>
        </w:rPr>
      </w:pPr>
    </w:p>
    <w:p w:rsidR="00A55CF0" w:rsidRDefault="00A55CF0" w:rsidP="00A55CF0">
      <w:pPr>
        <w:jc w:val="both"/>
        <w:rPr>
          <w:rFonts w:cs="Arial"/>
          <w:i/>
          <w:u w:val="single"/>
        </w:rPr>
      </w:pPr>
      <w:r w:rsidRPr="00F05EB2">
        <w:rPr>
          <w:rFonts w:cs="Arial"/>
          <w:i/>
          <w:u w:val="single"/>
        </w:rPr>
        <w:t>Financiranje Gozdnega sklada</w:t>
      </w:r>
    </w:p>
    <w:p w:rsidR="00A55CF0" w:rsidRPr="00F05EB2" w:rsidRDefault="00A55CF0" w:rsidP="00A55CF0">
      <w:pPr>
        <w:jc w:val="both"/>
        <w:rPr>
          <w:rFonts w:cs="Arial"/>
          <w:i/>
          <w:u w:val="single"/>
        </w:rPr>
      </w:pPr>
    </w:p>
    <w:p w:rsidR="00A55CF0" w:rsidRDefault="00A55CF0" w:rsidP="00A55CF0">
      <w:pPr>
        <w:jc w:val="both"/>
        <w:rPr>
          <w:rFonts w:cs="Arial"/>
          <w:i/>
          <w:u w:val="single"/>
        </w:rPr>
      </w:pPr>
    </w:p>
    <w:tbl>
      <w:tblPr>
        <w:tblW w:w="852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3"/>
        <w:gridCol w:w="2955"/>
        <w:gridCol w:w="1780"/>
        <w:gridCol w:w="1701"/>
        <w:gridCol w:w="1701"/>
      </w:tblGrid>
      <w:tr w:rsidR="00A55CF0" w:rsidRPr="003A700E" w:rsidTr="0002650A">
        <w:trPr>
          <w:trHeight w:val="765"/>
        </w:trPr>
        <w:tc>
          <w:tcPr>
            <w:tcW w:w="383"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 </w:t>
            </w:r>
          </w:p>
        </w:tc>
        <w:tc>
          <w:tcPr>
            <w:tcW w:w="2955"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Namenski prejemki</w:t>
            </w:r>
          </w:p>
        </w:tc>
        <w:tc>
          <w:tcPr>
            <w:tcW w:w="1780"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Prenos sredstev Gozdnega sklada iz preteklih let</w:t>
            </w:r>
          </w:p>
        </w:tc>
        <w:tc>
          <w:tcPr>
            <w:tcW w:w="1701"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Prihodki v letu 2019</w:t>
            </w:r>
          </w:p>
        </w:tc>
        <w:tc>
          <w:tcPr>
            <w:tcW w:w="1701"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Razpoložljiva sredstva v letu 2019</w:t>
            </w:r>
          </w:p>
        </w:tc>
      </w:tr>
      <w:tr w:rsidR="00A55CF0" w:rsidRPr="003A700E" w:rsidTr="0002650A">
        <w:trPr>
          <w:trHeight w:val="615"/>
        </w:trPr>
        <w:tc>
          <w:tcPr>
            <w:tcW w:w="383"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1.</w:t>
            </w:r>
          </w:p>
        </w:tc>
        <w:tc>
          <w:tcPr>
            <w:tcW w:w="2955"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Prihodki iz razpolaganja z državnimi gozdovi</w:t>
            </w:r>
          </w:p>
        </w:tc>
        <w:tc>
          <w:tcPr>
            <w:tcW w:w="1780"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 </w:t>
            </w:r>
          </w:p>
        </w:tc>
        <w:tc>
          <w:tcPr>
            <w:tcW w:w="1701"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870.130,00</w:t>
            </w:r>
          </w:p>
        </w:tc>
        <w:tc>
          <w:tcPr>
            <w:tcW w:w="1701"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870.130,00</w:t>
            </w:r>
          </w:p>
        </w:tc>
      </w:tr>
      <w:tr w:rsidR="00A55CF0" w:rsidRPr="003A700E" w:rsidTr="0002650A">
        <w:trPr>
          <w:trHeight w:val="510"/>
        </w:trPr>
        <w:tc>
          <w:tcPr>
            <w:tcW w:w="383"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 </w:t>
            </w:r>
          </w:p>
        </w:tc>
        <w:tc>
          <w:tcPr>
            <w:tcW w:w="2955"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 xml:space="preserve">Prihodki iz koncesijske dajatve po tretjem odstavku 42. člena ZGGLRS </w:t>
            </w:r>
          </w:p>
        </w:tc>
        <w:tc>
          <w:tcPr>
            <w:tcW w:w="1780"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 </w:t>
            </w:r>
          </w:p>
        </w:tc>
        <w:tc>
          <w:tcPr>
            <w:tcW w:w="1701"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100.605,00</w:t>
            </w:r>
          </w:p>
        </w:tc>
        <w:tc>
          <w:tcPr>
            <w:tcW w:w="1701"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100.605,00</w:t>
            </w:r>
          </w:p>
        </w:tc>
      </w:tr>
      <w:tr w:rsidR="00A55CF0" w:rsidRPr="003A700E" w:rsidTr="0002650A">
        <w:trPr>
          <w:trHeight w:val="840"/>
        </w:trPr>
        <w:tc>
          <w:tcPr>
            <w:tcW w:w="383"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2.</w:t>
            </w:r>
          </w:p>
        </w:tc>
        <w:tc>
          <w:tcPr>
            <w:tcW w:w="2955"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Letno nadomestilo za upravljanje državnih gozdov v višini 20 % od prodaje lesa iz državnih gozdov</w:t>
            </w:r>
          </w:p>
        </w:tc>
        <w:tc>
          <w:tcPr>
            <w:tcW w:w="1780"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 </w:t>
            </w:r>
          </w:p>
        </w:tc>
        <w:tc>
          <w:tcPr>
            <w:tcW w:w="1701"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16.366.167,00</w:t>
            </w:r>
          </w:p>
        </w:tc>
        <w:tc>
          <w:tcPr>
            <w:tcW w:w="1701"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16.366.167,00</w:t>
            </w:r>
          </w:p>
        </w:tc>
      </w:tr>
      <w:tr w:rsidR="00A55CF0" w:rsidRPr="003A700E" w:rsidTr="0002650A">
        <w:trPr>
          <w:trHeight w:val="510"/>
        </w:trPr>
        <w:tc>
          <w:tcPr>
            <w:tcW w:w="383"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lastRenderedPageBreak/>
              <w:t> </w:t>
            </w:r>
          </w:p>
        </w:tc>
        <w:tc>
          <w:tcPr>
            <w:tcW w:w="2955"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Prenos sredstev Gozdnega sklada iz preteklih let</w:t>
            </w:r>
          </w:p>
        </w:tc>
        <w:tc>
          <w:tcPr>
            <w:tcW w:w="1780"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21.566.347,64</w:t>
            </w:r>
          </w:p>
        </w:tc>
        <w:tc>
          <w:tcPr>
            <w:tcW w:w="1701"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 </w:t>
            </w:r>
          </w:p>
        </w:tc>
        <w:tc>
          <w:tcPr>
            <w:tcW w:w="1701"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21.566.347,64</w:t>
            </w:r>
          </w:p>
        </w:tc>
      </w:tr>
      <w:tr w:rsidR="00A55CF0" w:rsidRPr="003A700E" w:rsidTr="0002650A">
        <w:trPr>
          <w:trHeight w:val="300"/>
        </w:trPr>
        <w:tc>
          <w:tcPr>
            <w:tcW w:w="383"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 </w:t>
            </w:r>
          </w:p>
        </w:tc>
        <w:tc>
          <w:tcPr>
            <w:tcW w:w="2955"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Skupaj:</w:t>
            </w:r>
          </w:p>
        </w:tc>
        <w:tc>
          <w:tcPr>
            <w:tcW w:w="1780" w:type="dxa"/>
            <w:shd w:val="clear" w:color="auto" w:fill="auto"/>
            <w:hideMark/>
          </w:tcPr>
          <w:p w:rsidR="00A55CF0" w:rsidRPr="0002650A" w:rsidRDefault="00A55CF0" w:rsidP="00C7023C">
            <w:pPr>
              <w:jc w:val="both"/>
              <w:rPr>
                <w:rFonts w:cs="Arial"/>
                <w:sz w:val="18"/>
                <w:szCs w:val="18"/>
              </w:rPr>
            </w:pPr>
            <w:r w:rsidRPr="0002650A">
              <w:rPr>
                <w:rFonts w:cs="Arial"/>
                <w:sz w:val="18"/>
                <w:szCs w:val="18"/>
              </w:rPr>
              <w:t>21.566.347,64</w:t>
            </w:r>
          </w:p>
        </w:tc>
        <w:tc>
          <w:tcPr>
            <w:tcW w:w="1701"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17.336.902,00</w:t>
            </w:r>
          </w:p>
        </w:tc>
        <w:tc>
          <w:tcPr>
            <w:tcW w:w="1701" w:type="dxa"/>
            <w:shd w:val="clear" w:color="auto" w:fill="auto"/>
            <w:noWrap/>
            <w:hideMark/>
          </w:tcPr>
          <w:p w:rsidR="00A55CF0" w:rsidRPr="0002650A" w:rsidRDefault="00A55CF0" w:rsidP="00C7023C">
            <w:pPr>
              <w:jc w:val="both"/>
              <w:rPr>
                <w:rFonts w:cs="Arial"/>
                <w:sz w:val="18"/>
                <w:szCs w:val="18"/>
              </w:rPr>
            </w:pPr>
            <w:r w:rsidRPr="0002650A">
              <w:rPr>
                <w:rFonts w:cs="Arial"/>
                <w:sz w:val="18"/>
                <w:szCs w:val="18"/>
              </w:rPr>
              <w:t>38.903.249,64</w:t>
            </w:r>
          </w:p>
        </w:tc>
      </w:tr>
    </w:tbl>
    <w:p w:rsidR="00A55CF0" w:rsidRPr="00F05EB2" w:rsidRDefault="00A55CF0" w:rsidP="00A55CF0">
      <w:pPr>
        <w:jc w:val="both"/>
        <w:rPr>
          <w:rFonts w:cs="Arial"/>
          <w:i/>
          <w:u w:val="single"/>
        </w:rPr>
      </w:pPr>
    </w:p>
    <w:p w:rsidR="00A55CF0" w:rsidRPr="00F05EB2" w:rsidRDefault="00A55CF0" w:rsidP="00A55CF0">
      <w:pPr>
        <w:jc w:val="both"/>
        <w:rPr>
          <w:rFonts w:cs="Arial"/>
        </w:rPr>
      </w:pPr>
      <w:r w:rsidRPr="00F05EB2">
        <w:rPr>
          <w:rFonts w:cs="Arial"/>
        </w:rPr>
        <w:t>ZGGLRS v tretjem odstavku 33. člena določa kot vire financiranja Gozdnega sklada naslednje namenske prejemke:</w:t>
      </w:r>
    </w:p>
    <w:p w:rsidR="00A55CF0" w:rsidRPr="00F05EB2" w:rsidRDefault="00A55CF0" w:rsidP="00A55CF0">
      <w:pPr>
        <w:ind w:left="709" w:hanging="709"/>
        <w:jc w:val="both"/>
        <w:rPr>
          <w:rFonts w:cs="Arial"/>
        </w:rPr>
      </w:pPr>
      <w:r w:rsidRPr="00F05EB2">
        <w:rPr>
          <w:rFonts w:cs="Arial"/>
        </w:rPr>
        <w:t xml:space="preserve">– </w:t>
      </w:r>
      <w:r w:rsidRPr="00F05EB2">
        <w:rPr>
          <w:rFonts w:cs="Arial"/>
        </w:rPr>
        <w:tab/>
        <w:t>prihodke iz razpolaganja z državnimi gozdovi,</w:t>
      </w:r>
    </w:p>
    <w:p w:rsidR="00A55CF0" w:rsidRPr="00F05EB2" w:rsidRDefault="00A55CF0" w:rsidP="00A55CF0">
      <w:pPr>
        <w:ind w:left="709" w:hanging="709"/>
        <w:jc w:val="both"/>
        <w:rPr>
          <w:rFonts w:cs="Arial"/>
        </w:rPr>
      </w:pPr>
      <w:r w:rsidRPr="00F05EB2">
        <w:rPr>
          <w:rFonts w:cs="Arial"/>
        </w:rPr>
        <w:t xml:space="preserve">– </w:t>
      </w:r>
      <w:r w:rsidRPr="00F05EB2">
        <w:rPr>
          <w:rFonts w:cs="Arial"/>
        </w:rPr>
        <w:tab/>
        <w:t>letno nadomestilo za upravljanje državnih gozdov.</w:t>
      </w:r>
    </w:p>
    <w:p w:rsidR="00A55CF0" w:rsidRPr="00F05EB2" w:rsidRDefault="00A55CF0" w:rsidP="00A55CF0">
      <w:pPr>
        <w:jc w:val="both"/>
        <w:rPr>
          <w:rFonts w:cs="Arial"/>
        </w:rPr>
      </w:pPr>
    </w:p>
    <w:p w:rsidR="00A55CF0" w:rsidRPr="00F05EB2" w:rsidRDefault="00A55CF0" w:rsidP="00A55CF0">
      <w:pPr>
        <w:jc w:val="both"/>
        <w:rPr>
          <w:rFonts w:cs="Arial"/>
        </w:rPr>
      </w:pPr>
      <w:r w:rsidRPr="00F05EB2">
        <w:rPr>
          <w:rFonts w:cs="Arial"/>
        </w:rPr>
        <w:t>ZGGLRS v 3. točki prvega odstavka 42. člena določa, da je koncesijska dajatev prihodek proračuna Republike Slovenije, ki se nakazuje v Gozdni sklad.</w:t>
      </w:r>
    </w:p>
    <w:p w:rsidR="00A55CF0" w:rsidRPr="00F05EB2" w:rsidRDefault="00A55CF0" w:rsidP="00A55CF0">
      <w:pPr>
        <w:jc w:val="both"/>
        <w:rPr>
          <w:rFonts w:cs="Arial"/>
        </w:rPr>
      </w:pPr>
    </w:p>
    <w:p w:rsidR="00A55CF0" w:rsidRPr="00F05EB2" w:rsidRDefault="00A55CF0" w:rsidP="00A55CF0">
      <w:pPr>
        <w:jc w:val="both"/>
        <w:rPr>
          <w:rFonts w:cs="Arial"/>
        </w:rPr>
      </w:pPr>
      <w:r w:rsidRPr="00F05EB2">
        <w:rPr>
          <w:rFonts w:cs="Arial"/>
        </w:rPr>
        <w:t xml:space="preserve">SiDG lahko v imenu Republike Slovenije prodaja ali menja državne gozdove ter neodplačno prenaša lastninsko pravico na občine, če je državni gozd, ki je predmet takšnega pravnega posla, vključen v letni načrt razpolaganja z državnimi gozdovi. </w:t>
      </w:r>
      <w:r>
        <w:rPr>
          <w:rFonts w:cs="Arial"/>
        </w:rPr>
        <w:t>Z</w:t>
      </w:r>
      <w:r w:rsidRPr="00F05EB2">
        <w:rPr>
          <w:rFonts w:cs="Arial"/>
        </w:rPr>
        <w:t xml:space="preserve">a leto 2019 </w:t>
      </w:r>
      <w:r>
        <w:rPr>
          <w:rFonts w:cs="Arial"/>
        </w:rPr>
        <w:t xml:space="preserve">se </w:t>
      </w:r>
      <w:r w:rsidRPr="00F05EB2">
        <w:rPr>
          <w:rFonts w:cs="Arial"/>
        </w:rPr>
        <w:t>načrtuje</w:t>
      </w:r>
      <w:r>
        <w:rPr>
          <w:rFonts w:cs="Arial"/>
        </w:rPr>
        <w:t>jo</w:t>
      </w:r>
      <w:r w:rsidRPr="00F05EB2">
        <w:rPr>
          <w:rFonts w:cs="Arial"/>
        </w:rPr>
        <w:t xml:space="preserve"> prihodk</w:t>
      </w:r>
      <w:r>
        <w:rPr>
          <w:rFonts w:cs="Arial"/>
        </w:rPr>
        <w:t>i</w:t>
      </w:r>
      <w:r w:rsidRPr="00F05EB2">
        <w:rPr>
          <w:rFonts w:cs="Arial"/>
        </w:rPr>
        <w:t xml:space="preserve"> od prodaje državnih gozdov v višini </w:t>
      </w:r>
      <w:r w:rsidRPr="00F05EB2">
        <w:rPr>
          <w:rFonts w:cs="Arial"/>
          <w:szCs w:val="20"/>
        </w:rPr>
        <w:t>870.130,00</w:t>
      </w:r>
      <w:r w:rsidRPr="00F05EB2">
        <w:rPr>
          <w:rFonts w:cs="Arial"/>
        </w:rPr>
        <w:t xml:space="preserve"> EUR in prihodk</w:t>
      </w:r>
      <w:r>
        <w:rPr>
          <w:rFonts w:cs="Arial"/>
        </w:rPr>
        <w:t>i</w:t>
      </w:r>
      <w:r w:rsidRPr="00F05EB2">
        <w:rPr>
          <w:rFonts w:cs="Arial"/>
        </w:rPr>
        <w:t xml:space="preserve"> od koncesnin v višini </w:t>
      </w:r>
      <w:r>
        <w:rPr>
          <w:rFonts w:cs="Arial"/>
          <w:szCs w:val="20"/>
        </w:rPr>
        <w:t>100.605,00</w:t>
      </w:r>
      <w:r w:rsidRPr="00F05EB2">
        <w:rPr>
          <w:rFonts w:cs="Arial"/>
        </w:rPr>
        <w:t xml:space="preserve"> EUR. </w:t>
      </w:r>
    </w:p>
    <w:p w:rsidR="00A55CF0" w:rsidRPr="00F05EB2" w:rsidRDefault="00A55CF0" w:rsidP="00A55CF0">
      <w:pPr>
        <w:jc w:val="both"/>
        <w:rPr>
          <w:rFonts w:cs="Arial"/>
        </w:rPr>
      </w:pPr>
    </w:p>
    <w:p w:rsidR="00A55CF0" w:rsidRPr="00F05EB2" w:rsidRDefault="00A55CF0" w:rsidP="00A55CF0">
      <w:pPr>
        <w:spacing w:line="276" w:lineRule="auto"/>
        <w:jc w:val="both"/>
        <w:rPr>
          <w:rFonts w:cs="Arial"/>
        </w:rPr>
      </w:pPr>
      <w:r w:rsidRPr="00F05EB2">
        <w:rPr>
          <w:rFonts w:cs="Arial"/>
        </w:rPr>
        <w:t xml:space="preserve">Za upravljanje državnih gozdov na podlagi četrtega odstavka 27. člena ZGGLRS SiDG plačuje Republiki Sloveniji letno nadomestilo v višini 20 % prihodkov od prodaje lesa iz državnih gozdov. Nominalna višina letnega nadomestila za upravljanje državnih gozdov za leto 2019 se določi skladno z Pogodbo o upravljanju gozdov v lasti Republike Slovenije, ki sta jo sklenili Republika Slovenija, zanjo Vlada Republike Slovenije, in SiDG. Pogodbeni stranki sta določili nominalno višino letnega nadomestila na podlagi ocenjenih prihodkov od prodaje lesa, ki se odraža tudi v predlogu Poslovnega načrta družbe SiDG za </w:t>
      </w:r>
      <w:r w:rsidRPr="009D48B3">
        <w:rPr>
          <w:rFonts w:cs="Arial"/>
        </w:rPr>
        <w:t>leto 2019, kjer se načrtujejo vplačila v gozdni sklad v višini 13.684.037,00 EUR. Razlika do vrednosti</w:t>
      </w:r>
      <w:r w:rsidRPr="009D48B3">
        <w:rPr>
          <w:rFonts w:cs="Arial"/>
          <w:szCs w:val="20"/>
        </w:rPr>
        <w:t xml:space="preserve"> </w:t>
      </w:r>
      <w:r w:rsidR="00820BD1" w:rsidRPr="009D48B3">
        <w:rPr>
          <w:rFonts w:cs="Arial"/>
          <w:szCs w:val="20"/>
        </w:rPr>
        <w:t>16.366.167,00</w:t>
      </w:r>
      <w:r w:rsidRPr="009D48B3">
        <w:rPr>
          <w:rFonts w:cs="Arial"/>
          <w:szCs w:val="20"/>
        </w:rPr>
        <w:t xml:space="preserve"> EUR pa je posledica načrtovanega vplačila poračuna za leto 2018 v višini </w:t>
      </w:r>
      <w:r w:rsidR="00820BD1" w:rsidRPr="009D48B3">
        <w:rPr>
          <w:rFonts w:cs="Arial"/>
          <w:szCs w:val="20"/>
        </w:rPr>
        <w:t>2.682.130,00</w:t>
      </w:r>
      <w:r w:rsidRPr="009D48B3">
        <w:rPr>
          <w:rFonts w:cs="Arial"/>
        </w:rPr>
        <w:t xml:space="preserve"> EUR. </w:t>
      </w:r>
      <w:r w:rsidRPr="00F05EB2">
        <w:rPr>
          <w:rFonts w:cs="Arial"/>
        </w:rPr>
        <w:t>SiDG v predlogu Poslovnega načrta za leto 2019 načrtuje, da bo v tem letu realiziral sečnjo v skupnem bruto obsegu 1.504.791 m</w:t>
      </w:r>
      <w:r w:rsidRPr="00F05EB2">
        <w:rPr>
          <w:rFonts w:cs="Arial"/>
          <w:vertAlign w:val="superscript"/>
        </w:rPr>
        <w:t>3</w:t>
      </w:r>
      <w:r w:rsidRPr="00F05EB2">
        <w:rPr>
          <w:rFonts w:cs="Arial"/>
        </w:rPr>
        <w:t>, s čimer načrtuje ustvariti 68.355.187,00 EUR prihodkov. Povprečna načrtovana prodajna cena bo tako znašala 52,58 EUR/m</w:t>
      </w:r>
      <w:r w:rsidRPr="00F05EB2">
        <w:rPr>
          <w:rFonts w:cs="Arial"/>
          <w:vertAlign w:val="superscript"/>
        </w:rPr>
        <w:t xml:space="preserve">3 </w:t>
      </w:r>
      <w:r w:rsidRPr="00F05EB2">
        <w:rPr>
          <w:rFonts w:cs="Arial"/>
        </w:rPr>
        <w:t>(vrednosti so zaokrožene na dve decimalni mesti).</w:t>
      </w:r>
    </w:p>
    <w:p w:rsidR="00A55CF0" w:rsidRPr="00F05EB2" w:rsidRDefault="00A55CF0" w:rsidP="00A55CF0">
      <w:pPr>
        <w:jc w:val="both"/>
        <w:rPr>
          <w:rFonts w:cs="Arial"/>
        </w:rPr>
      </w:pPr>
    </w:p>
    <w:p w:rsidR="00A55CF0" w:rsidRDefault="00A55CF0" w:rsidP="00A55CF0">
      <w:pPr>
        <w:jc w:val="both"/>
        <w:rPr>
          <w:rFonts w:cs="Arial"/>
          <w:i/>
          <w:u w:val="single"/>
        </w:rPr>
      </w:pPr>
      <w:r w:rsidRPr="00F05EB2">
        <w:rPr>
          <w:rFonts w:cs="Arial"/>
          <w:i/>
          <w:u w:val="single"/>
        </w:rPr>
        <w:t xml:space="preserve">Poraba sredstev proračunskega sklada za gozdove za leto 2019 </w:t>
      </w:r>
    </w:p>
    <w:p w:rsidR="00A55CF0" w:rsidRDefault="00A55CF0" w:rsidP="00A55CF0">
      <w:pPr>
        <w:jc w:val="both"/>
        <w:rPr>
          <w:rFonts w:cs="Arial"/>
          <w:i/>
          <w:u w:val="single"/>
        </w:rPr>
      </w:pPr>
    </w:p>
    <w:tbl>
      <w:tblPr>
        <w:tblW w:w="852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82"/>
        <w:gridCol w:w="1985"/>
        <w:gridCol w:w="1417"/>
        <w:gridCol w:w="1418"/>
        <w:gridCol w:w="1417"/>
        <w:gridCol w:w="1701"/>
      </w:tblGrid>
      <w:tr w:rsidR="0002650A" w:rsidRPr="0002650A" w:rsidTr="0002650A">
        <w:trPr>
          <w:trHeight w:val="1095"/>
        </w:trPr>
        <w:tc>
          <w:tcPr>
            <w:tcW w:w="582" w:type="dxa"/>
            <w:shd w:val="clear" w:color="auto" w:fill="auto"/>
            <w:hideMark/>
          </w:tcPr>
          <w:p w:rsidR="00A55CF0" w:rsidRPr="0002650A" w:rsidRDefault="00A55CF0" w:rsidP="00C7023C">
            <w:pPr>
              <w:jc w:val="center"/>
              <w:rPr>
                <w:rFonts w:cs="Arial"/>
                <w:sz w:val="18"/>
                <w:szCs w:val="18"/>
                <w:lang w:eastAsia="sl-SI"/>
              </w:rPr>
            </w:pPr>
            <w:r w:rsidRPr="0002650A">
              <w:rPr>
                <w:rFonts w:cs="Arial"/>
                <w:sz w:val="18"/>
                <w:szCs w:val="18"/>
                <w:lang w:eastAsia="sl-SI"/>
              </w:rPr>
              <w:t> </w:t>
            </w:r>
          </w:p>
        </w:tc>
        <w:tc>
          <w:tcPr>
            <w:tcW w:w="1985" w:type="dxa"/>
            <w:shd w:val="clear" w:color="auto" w:fill="auto"/>
            <w:hideMark/>
          </w:tcPr>
          <w:p w:rsidR="00A55CF0" w:rsidRPr="0002650A" w:rsidRDefault="00A55CF0" w:rsidP="00C7023C">
            <w:pPr>
              <w:jc w:val="center"/>
              <w:rPr>
                <w:rFonts w:cs="Arial"/>
                <w:sz w:val="18"/>
                <w:szCs w:val="18"/>
                <w:lang w:eastAsia="sl-SI"/>
              </w:rPr>
            </w:pPr>
            <w:r w:rsidRPr="0002650A">
              <w:rPr>
                <w:rFonts w:cs="Arial"/>
                <w:sz w:val="18"/>
                <w:szCs w:val="18"/>
                <w:lang w:eastAsia="sl-SI"/>
              </w:rPr>
              <w:t>Namen financiranja</w:t>
            </w:r>
          </w:p>
        </w:tc>
        <w:tc>
          <w:tcPr>
            <w:tcW w:w="1417" w:type="dxa"/>
            <w:shd w:val="clear" w:color="auto" w:fill="auto"/>
            <w:hideMark/>
          </w:tcPr>
          <w:p w:rsidR="00A55CF0" w:rsidRPr="0002650A" w:rsidRDefault="00A55CF0" w:rsidP="00C7023C">
            <w:pPr>
              <w:jc w:val="center"/>
              <w:rPr>
                <w:rFonts w:cs="Arial"/>
                <w:sz w:val="18"/>
                <w:szCs w:val="18"/>
                <w:lang w:eastAsia="sl-SI"/>
              </w:rPr>
            </w:pPr>
            <w:r w:rsidRPr="0002650A">
              <w:rPr>
                <w:rFonts w:cs="Arial"/>
                <w:sz w:val="18"/>
                <w:szCs w:val="18"/>
                <w:lang w:eastAsia="sl-SI"/>
              </w:rPr>
              <w:t>Prenos neporabljenih sredstev iz preteklih let</w:t>
            </w:r>
          </w:p>
        </w:tc>
        <w:tc>
          <w:tcPr>
            <w:tcW w:w="1418" w:type="dxa"/>
            <w:shd w:val="clear" w:color="auto" w:fill="auto"/>
            <w:hideMark/>
          </w:tcPr>
          <w:p w:rsidR="00A55CF0" w:rsidRPr="0002650A" w:rsidRDefault="00A55CF0" w:rsidP="00C7023C">
            <w:pPr>
              <w:jc w:val="center"/>
              <w:rPr>
                <w:rFonts w:cs="Arial"/>
                <w:sz w:val="18"/>
                <w:szCs w:val="18"/>
                <w:lang w:eastAsia="sl-SI"/>
              </w:rPr>
            </w:pPr>
            <w:r w:rsidRPr="0002650A">
              <w:rPr>
                <w:rFonts w:cs="Arial"/>
                <w:sz w:val="18"/>
                <w:szCs w:val="18"/>
                <w:lang w:eastAsia="sl-SI"/>
              </w:rPr>
              <w:t xml:space="preserve">Razpoložljiva sredstva v letu 2019 </w:t>
            </w:r>
          </w:p>
        </w:tc>
        <w:tc>
          <w:tcPr>
            <w:tcW w:w="1417" w:type="dxa"/>
            <w:shd w:val="clear" w:color="auto" w:fill="auto"/>
            <w:hideMark/>
          </w:tcPr>
          <w:p w:rsidR="00A55CF0" w:rsidRPr="0002650A" w:rsidRDefault="00A55CF0" w:rsidP="00C7023C">
            <w:pPr>
              <w:jc w:val="center"/>
              <w:rPr>
                <w:rFonts w:cs="Arial"/>
                <w:sz w:val="18"/>
                <w:szCs w:val="18"/>
                <w:lang w:eastAsia="sl-SI"/>
              </w:rPr>
            </w:pPr>
            <w:r w:rsidRPr="0002650A">
              <w:rPr>
                <w:rFonts w:cs="Arial"/>
                <w:sz w:val="18"/>
                <w:szCs w:val="18"/>
                <w:lang w:eastAsia="sl-SI"/>
              </w:rPr>
              <w:t xml:space="preserve">Skupaj razpoložljiva sredstva za leto 2019 </w:t>
            </w:r>
          </w:p>
        </w:tc>
        <w:tc>
          <w:tcPr>
            <w:tcW w:w="1701" w:type="dxa"/>
            <w:shd w:val="clear" w:color="auto" w:fill="auto"/>
            <w:hideMark/>
          </w:tcPr>
          <w:p w:rsidR="00A55CF0" w:rsidRPr="0002650A" w:rsidRDefault="00A55CF0" w:rsidP="00C7023C">
            <w:pPr>
              <w:ind w:right="304"/>
              <w:jc w:val="center"/>
              <w:rPr>
                <w:rFonts w:cs="Arial"/>
                <w:sz w:val="18"/>
                <w:szCs w:val="18"/>
                <w:lang w:eastAsia="sl-SI"/>
              </w:rPr>
            </w:pPr>
            <w:r w:rsidRPr="0002650A">
              <w:rPr>
                <w:rFonts w:cs="Arial"/>
                <w:sz w:val="18"/>
                <w:szCs w:val="18"/>
                <w:lang w:eastAsia="sl-SI"/>
              </w:rPr>
              <w:t xml:space="preserve">Ocena predvidene porabe v letu 2019 </w:t>
            </w:r>
          </w:p>
        </w:tc>
      </w:tr>
      <w:tr w:rsidR="0002650A" w:rsidRPr="0002650A" w:rsidTr="0002650A">
        <w:trPr>
          <w:trHeight w:val="300"/>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1.</w:t>
            </w:r>
          </w:p>
        </w:tc>
        <w:tc>
          <w:tcPr>
            <w:tcW w:w="1985"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Pridobivanje gozdov</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10.643.509,62</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10.000.000,00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20.643.509,62</w:t>
            </w:r>
          </w:p>
        </w:tc>
        <w:tc>
          <w:tcPr>
            <w:tcW w:w="1701" w:type="dxa"/>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9.000.000,00</w:t>
            </w:r>
          </w:p>
        </w:tc>
      </w:tr>
      <w:tr w:rsidR="0002650A" w:rsidRPr="0002650A" w:rsidTr="0002650A">
        <w:trPr>
          <w:trHeight w:val="465"/>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2.</w:t>
            </w:r>
          </w:p>
        </w:tc>
        <w:tc>
          <w:tcPr>
            <w:tcW w:w="1985"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Naloge v zvezi z razpolaganjem</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56.606,50</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396.250,00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452.856,50</w:t>
            </w:r>
          </w:p>
        </w:tc>
        <w:tc>
          <w:tcPr>
            <w:tcW w:w="1701" w:type="dxa"/>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396.250,00</w:t>
            </w:r>
          </w:p>
        </w:tc>
      </w:tr>
      <w:tr w:rsidR="0002650A" w:rsidRPr="0002650A" w:rsidTr="0002650A">
        <w:trPr>
          <w:trHeight w:val="1020"/>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3.*</w:t>
            </w:r>
          </w:p>
        </w:tc>
        <w:tc>
          <w:tcPr>
            <w:tcW w:w="1985"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Obveznosti Republike Slovenije iz pridobitve lastninske pravice na gozdovih na podlagi zakona, ki ureja dedovanje</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22.721,01</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25.000,00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47.721,01</w:t>
            </w:r>
          </w:p>
        </w:tc>
        <w:tc>
          <w:tcPr>
            <w:tcW w:w="1701" w:type="dxa"/>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25.000,00</w:t>
            </w:r>
          </w:p>
        </w:tc>
      </w:tr>
      <w:tr w:rsidR="0002650A" w:rsidRPr="0002650A" w:rsidTr="0002650A">
        <w:trPr>
          <w:trHeight w:val="2040"/>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lastRenderedPageBreak/>
              <w:t>4.</w:t>
            </w:r>
          </w:p>
        </w:tc>
        <w:tc>
          <w:tcPr>
            <w:tcW w:w="1985"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Ukrepi na območju Nature 2000 v zasebnih gozdovih v skladu s programom upravljanja območij Natura 2000 in programom vlaganj v gozdove, ki ga na podlagi nacionalnega gozdnega programa pripravi Zavod za gozdove Slovenije v skladu z zakonom, ki ureja gozdove</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1.017.278,36</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765.910,00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1.783.188,36</w:t>
            </w:r>
          </w:p>
        </w:tc>
        <w:tc>
          <w:tcPr>
            <w:tcW w:w="1701" w:type="dxa"/>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750.000,00</w:t>
            </w:r>
          </w:p>
        </w:tc>
      </w:tr>
      <w:tr w:rsidR="0002650A" w:rsidRPr="0002650A" w:rsidTr="0002650A">
        <w:trPr>
          <w:trHeight w:val="300"/>
        </w:trPr>
        <w:tc>
          <w:tcPr>
            <w:tcW w:w="582" w:type="dxa"/>
            <w:vMerge w:val="restart"/>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5.**</w:t>
            </w:r>
          </w:p>
        </w:tc>
        <w:tc>
          <w:tcPr>
            <w:tcW w:w="1985" w:type="dxa"/>
            <w:vMerge w:val="restart"/>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Obveznosti do občin – 25 % od letnega nadomestila prihodkov od prodaje lesa iz državnih gozdov</w:t>
            </w:r>
          </w:p>
        </w:tc>
        <w:tc>
          <w:tcPr>
            <w:tcW w:w="1417" w:type="dxa"/>
            <w:vMerge w:val="restart"/>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132.774,65</w:t>
            </w:r>
          </w:p>
        </w:tc>
        <w:tc>
          <w:tcPr>
            <w:tcW w:w="1418" w:type="dxa"/>
            <w:vMerge w:val="restart"/>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3.700.000,00</w:t>
            </w:r>
          </w:p>
        </w:tc>
        <w:tc>
          <w:tcPr>
            <w:tcW w:w="1417" w:type="dxa"/>
            <w:vMerge w:val="restart"/>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3.832.774,65</w:t>
            </w:r>
          </w:p>
        </w:tc>
        <w:tc>
          <w:tcPr>
            <w:tcW w:w="1701" w:type="dxa"/>
            <w:vMerge w:val="restart"/>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3.700.000,00</w:t>
            </w:r>
          </w:p>
        </w:tc>
      </w:tr>
      <w:tr w:rsidR="0002650A" w:rsidRPr="0002650A" w:rsidTr="0002650A">
        <w:trPr>
          <w:trHeight w:val="300"/>
        </w:trPr>
        <w:tc>
          <w:tcPr>
            <w:tcW w:w="582" w:type="dxa"/>
            <w:vMerge/>
            <w:shd w:val="clear" w:color="auto" w:fill="auto"/>
            <w:hideMark/>
          </w:tcPr>
          <w:p w:rsidR="00A55CF0" w:rsidRPr="0002650A" w:rsidRDefault="00A55CF0" w:rsidP="00C7023C">
            <w:pPr>
              <w:rPr>
                <w:rFonts w:cs="Arial"/>
                <w:sz w:val="18"/>
                <w:szCs w:val="18"/>
                <w:lang w:eastAsia="sl-SI"/>
              </w:rPr>
            </w:pPr>
          </w:p>
        </w:tc>
        <w:tc>
          <w:tcPr>
            <w:tcW w:w="1985" w:type="dxa"/>
            <w:vMerge/>
            <w:shd w:val="clear" w:color="auto" w:fill="auto"/>
            <w:hideMark/>
          </w:tcPr>
          <w:p w:rsidR="00A55CF0" w:rsidRPr="0002650A" w:rsidRDefault="00A55CF0" w:rsidP="00C7023C">
            <w:pPr>
              <w:rPr>
                <w:rFonts w:cs="Arial"/>
                <w:sz w:val="18"/>
                <w:szCs w:val="18"/>
                <w:lang w:eastAsia="sl-SI"/>
              </w:rPr>
            </w:pPr>
          </w:p>
        </w:tc>
        <w:tc>
          <w:tcPr>
            <w:tcW w:w="1417" w:type="dxa"/>
            <w:vMerge/>
            <w:shd w:val="clear" w:color="auto" w:fill="auto"/>
            <w:hideMark/>
          </w:tcPr>
          <w:p w:rsidR="00A55CF0" w:rsidRPr="0002650A" w:rsidRDefault="00A55CF0" w:rsidP="00C7023C">
            <w:pPr>
              <w:rPr>
                <w:rFonts w:cs="Arial"/>
                <w:sz w:val="18"/>
                <w:szCs w:val="18"/>
                <w:lang w:eastAsia="sl-SI"/>
              </w:rPr>
            </w:pPr>
          </w:p>
        </w:tc>
        <w:tc>
          <w:tcPr>
            <w:tcW w:w="1418" w:type="dxa"/>
            <w:vMerge/>
            <w:shd w:val="clear" w:color="auto" w:fill="auto"/>
            <w:hideMark/>
          </w:tcPr>
          <w:p w:rsidR="00A55CF0" w:rsidRPr="0002650A" w:rsidRDefault="00A55CF0" w:rsidP="00C7023C">
            <w:pPr>
              <w:rPr>
                <w:rFonts w:cs="Arial"/>
                <w:sz w:val="18"/>
                <w:szCs w:val="18"/>
                <w:lang w:eastAsia="sl-SI"/>
              </w:rPr>
            </w:pPr>
          </w:p>
        </w:tc>
        <w:tc>
          <w:tcPr>
            <w:tcW w:w="1417" w:type="dxa"/>
            <w:vMerge/>
            <w:shd w:val="clear" w:color="auto" w:fill="auto"/>
            <w:hideMark/>
          </w:tcPr>
          <w:p w:rsidR="00A55CF0" w:rsidRPr="0002650A" w:rsidRDefault="00A55CF0" w:rsidP="00C7023C">
            <w:pPr>
              <w:rPr>
                <w:rFonts w:cs="Arial"/>
                <w:sz w:val="18"/>
                <w:szCs w:val="18"/>
                <w:lang w:eastAsia="sl-SI"/>
              </w:rPr>
            </w:pPr>
          </w:p>
        </w:tc>
        <w:tc>
          <w:tcPr>
            <w:tcW w:w="1701" w:type="dxa"/>
            <w:vMerge/>
            <w:shd w:val="clear" w:color="auto" w:fill="auto"/>
            <w:hideMark/>
          </w:tcPr>
          <w:p w:rsidR="00A55CF0" w:rsidRPr="0002650A" w:rsidRDefault="00A55CF0" w:rsidP="00C7023C">
            <w:pPr>
              <w:ind w:right="304"/>
              <w:rPr>
                <w:rFonts w:cs="Arial"/>
                <w:sz w:val="18"/>
                <w:szCs w:val="18"/>
                <w:lang w:eastAsia="sl-SI"/>
              </w:rPr>
            </w:pPr>
          </w:p>
        </w:tc>
      </w:tr>
      <w:tr w:rsidR="0002650A" w:rsidRPr="0002650A" w:rsidTr="0002650A">
        <w:trPr>
          <w:trHeight w:val="1020"/>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6.*</w:t>
            </w:r>
          </w:p>
        </w:tc>
        <w:tc>
          <w:tcPr>
            <w:tcW w:w="1985"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Obveznosti iz naslova davkov, prispevkov in drugih obveznih dajatev, ki izvirajo iz lastninske pravice na državnih gozdovih</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422.979,64</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1.000.000,00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1.422.979,64</w:t>
            </w:r>
          </w:p>
        </w:tc>
        <w:tc>
          <w:tcPr>
            <w:tcW w:w="1701" w:type="dxa"/>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1.000.000,00</w:t>
            </w:r>
          </w:p>
        </w:tc>
      </w:tr>
      <w:tr w:rsidR="0002650A" w:rsidRPr="0002650A" w:rsidTr="0002650A">
        <w:trPr>
          <w:trHeight w:val="510"/>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7.</w:t>
            </w:r>
          </w:p>
        </w:tc>
        <w:tc>
          <w:tcPr>
            <w:tcW w:w="1985"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Promocija rabe lesa in lesnih proizvodov ter gozdno lesnih verig</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553.042,02</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727.700,00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1.280.742,02</w:t>
            </w:r>
          </w:p>
        </w:tc>
        <w:tc>
          <w:tcPr>
            <w:tcW w:w="1701" w:type="dxa"/>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1.250.000,00</w:t>
            </w:r>
          </w:p>
        </w:tc>
      </w:tr>
      <w:tr w:rsidR="0002650A" w:rsidRPr="0002650A" w:rsidTr="0002650A">
        <w:trPr>
          <w:trHeight w:val="1125"/>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8.</w:t>
            </w:r>
          </w:p>
        </w:tc>
        <w:tc>
          <w:tcPr>
            <w:tcW w:w="1985"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 xml:space="preserve">Naloge v zvezi s prevozom, hrambo in prodajo zaseženih in odvzetih gozdnih lesnih </w:t>
            </w:r>
            <w:proofErr w:type="spellStart"/>
            <w:r w:rsidRPr="0002650A">
              <w:rPr>
                <w:rFonts w:cs="Arial"/>
                <w:sz w:val="18"/>
                <w:szCs w:val="18"/>
                <w:lang w:eastAsia="sl-SI"/>
              </w:rPr>
              <w:t>sortimentov</w:t>
            </w:r>
            <w:proofErr w:type="spellEnd"/>
            <w:r w:rsidRPr="0002650A">
              <w:rPr>
                <w:rFonts w:cs="Arial"/>
                <w:sz w:val="18"/>
                <w:szCs w:val="18"/>
                <w:lang w:eastAsia="sl-SI"/>
              </w:rPr>
              <w:t>, ki jih izvaja družba, na podlagi zakona, ki ureja gozdove</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109.800,00</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109.800,00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219.600,00</w:t>
            </w:r>
          </w:p>
        </w:tc>
        <w:tc>
          <w:tcPr>
            <w:tcW w:w="1701" w:type="dxa"/>
            <w:shd w:val="clear" w:color="auto" w:fill="auto"/>
            <w:hideMark/>
          </w:tcPr>
          <w:p w:rsidR="00A55CF0" w:rsidRPr="0002650A" w:rsidRDefault="00A55CF0" w:rsidP="00C7023C">
            <w:pPr>
              <w:ind w:right="304"/>
              <w:jc w:val="right"/>
              <w:rPr>
                <w:rFonts w:cs="Arial"/>
                <w:sz w:val="18"/>
                <w:szCs w:val="18"/>
                <w:lang w:eastAsia="sl-SI"/>
              </w:rPr>
            </w:pPr>
            <w:r w:rsidRPr="0002650A">
              <w:rPr>
                <w:rFonts w:cs="Arial"/>
                <w:sz w:val="18"/>
                <w:szCs w:val="18"/>
                <w:lang w:eastAsia="sl-SI"/>
              </w:rPr>
              <w:t>109.800,00</w:t>
            </w:r>
          </w:p>
        </w:tc>
      </w:tr>
      <w:tr w:rsidR="0002650A" w:rsidRPr="0002650A" w:rsidTr="0002650A">
        <w:trPr>
          <w:trHeight w:val="510"/>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w:t>
            </w:r>
          </w:p>
        </w:tc>
        <w:tc>
          <w:tcPr>
            <w:tcW w:w="1985"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Prenesena razpoložljiva sredstva iz preteklih let</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8.607.635,84</w:t>
            </w:r>
          </w:p>
        </w:tc>
        <w:tc>
          <w:tcPr>
            <w:tcW w:w="1418" w:type="dxa"/>
            <w:shd w:val="clear" w:color="auto" w:fill="auto"/>
            <w:hideMark/>
          </w:tcPr>
          <w:p w:rsidR="00A55CF0" w:rsidRPr="0002650A" w:rsidRDefault="00A55CF0" w:rsidP="00C7023C">
            <w:pPr>
              <w:rPr>
                <w:rFonts w:cs="Arial"/>
                <w:sz w:val="18"/>
                <w:szCs w:val="18"/>
                <w:lang w:eastAsia="sl-SI"/>
              </w:rPr>
            </w:pPr>
            <w:r w:rsidRPr="0002650A">
              <w:rPr>
                <w:rFonts w:cs="Arial"/>
                <w:sz w:val="18"/>
                <w:szCs w:val="18"/>
                <w:lang w:eastAsia="sl-SI"/>
              </w:rPr>
              <w:t> </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8.607.635,84</w:t>
            </w:r>
          </w:p>
        </w:tc>
        <w:tc>
          <w:tcPr>
            <w:tcW w:w="1701" w:type="dxa"/>
            <w:shd w:val="clear" w:color="auto" w:fill="auto"/>
            <w:hideMark/>
          </w:tcPr>
          <w:p w:rsidR="00A55CF0" w:rsidRPr="0002650A" w:rsidRDefault="00A55CF0" w:rsidP="00C7023C">
            <w:pPr>
              <w:ind w:right="304"/>
              <w:rPr>
                <w:rFonts w:cs="Arial"/>
                <w:sz w:val="18"/>
                <w:szCs w:val="18"/>
                <w:lang w:eastAsia="sl-SI"/>
              </w:rPr>
            </w:pPr>
            <w:r w:rsidRPr="0002650A">
              <w:rPr>
                <w:rFonts w:cs="Arial"/>
                <w:sz w:val="18"/>
                <w:szCs w:val="18"/>
                <w:lang w:eastAsia="sl-SI"/>
              </w:rPr>
              <w:t> </w:t>
            </w:r>
          </w:p>
        </w:tc>
      </w:tr>
      <w:tr w:rsidR="0002650A" w:rsidRPr="0002650A" w:rsidTr="0002650A">
        <w:trPr>
          <w:trHeight w:val="315"/>
        </w:trPr>
        <w:tc>
          <w:tcPr>
            <w:tcW w:w="582" w:type="dxa"/>
            <w:shd w:val="clear" w:color="auto" w:fill="auto"/>
            <w:hideMark/>
          </w:tcPr>
          <w:p w:rsidR="00A55CF0" w:rsidRPr="0002650A" w:rsidRDefault="00A55CF0" w:rsidP="00C7023C">
            <w:pPr>
              <w:jc w:val="both"/>
              <w:rPr>
                <w:rFonts w:cs="Arial"/>
                <w:sz w:val="18"/>
                <w:szCs w:val="18"/>
                <w:lang w:eastAsia="sl-SI"/>
              </w:rPr>
            </w:pPr>
            <w:r w:rsidRPr="0002650A">
              <w:rPr>
                <w:rFonts w:cs="Arial"/>
                <w:sz w:val="18"/>
                <w:szCs w:val="18"/>
                <w:lang w:eastAsia="sl-SI"/>
              </w:rPr>
              <w:t> </w:t>
            </w:r>
          </w:p>
        </w:tc>
        <w:tc>
          <w:tcPr>
            <w:tcW w:w="1985"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Skupaj:</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21.566.347,64</w:t>
            </w:r>
          </w:p>
        </w:tc>
        <w:tc>
          <w:tcPr>
            <w:tcW w:w="1418"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17.336.902,00</w:t>
            </w:r>
          </w:p>
        </w:tc>
        <w:tc>
          <w:tcPr>
            <w:tcW w:w="1417" w:type="dxa"/>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38.903.249,64</w:t>
            </w:r>
          </w:p>
        </w:tc>
        <w:tc>
          <w:tcPr>
            <w:tcW w:w="1701" w:type="dxa"/>
            <w:shd w:val="clear" w:color="auto" w:fill="auto"/>
            <w:hideMark/>
          </w:tcPr>
          <w:p w:rsidR="00A55CF0" w:rsidRPr="0002650A" w:rsidRDefault="00A55CF0" w:rsidP="00C7023C">
            <w:pPr>
              <w:ind w:right="304"/>
              <w:rPr>
                <w:rFonts w:cs="Arial"/>
                <w:sz w:val="18"/>
                <w:szCs w:val="18"/>
                <w:lang w:eastAsia="sl-SI"/>
              </w:rPr>
            </w:pPr>
            <w:r w:rsidRPr="0002650A">
              <w:rPr>
                <w:rFonts w:cs="Arial"/>
                <w:sz w:val="18"/>
                <w:szCs w:val="18"/>
                <w:lang w:eastAsia="sl-SI"/>
              </w:rPr>
              <w:t>16.231.050,00</w:t>
            </w:r>
          </w:p>
        </w:tc>
      </w:tr>
      <w:tr w:rsidR="00A55CF0" w:rsidRPr="0002650A" w:rsidTr="0002650A">
        <w:trPr>
          <w:trHeight w:val="300"/>
        </w:trPr>
        <w:tc>
          <w:tcPr>
            <w:tcW w:w="6819" w:type="dxa"/>
            <w:gridSpan w:val="5"/>
            <w:shd w:val="clear" w:color="auto" w:fill="auto"/>
            <w:hideMark/>
          </w:tcPr>
          <w:p w:rsidR="00A55CF0" w:rsidRPr="0002650A" w:rsidRDefault="00A55CF0" w:rsidP="00C7023C">
            <w:pPr>
              <w:jc w:val="right"/>
              <w:rPr>
                <w:rFonts w:cs="Arial"/>
                <w:sz w:val="18"/>
                <w:szCs w:val="18"/>
                <w:lang w:eastAsia="sl-SI"/>
              </w:rPr>
            </w:pPr>
            <w:r w:rsidRPr="0002650A">
              <w:rPr>
                <w:rFonts w:cs="Arial"/>
                <w:sz w:val="18"/>
                <w:szCs w:val="18"/>
                <w:lang w:eastAsia="sl-SI"/>
              </w:rPr>
              <w:t>Razlika med skupaj razpoložljivimi sredstvi in ocenjeno porabo v letu 2019:</w:t>
            </w:r>
          </w:p>
        </w:tc>
        <w:tc>
          <w:tcPr>
            <w:tcW w:w="1701" w:type="dxa"/>
            <w:shd w:val="clear" w:color="auto" w:fill="auto"/>
            <w:hideMark/>
          </w:tcPr>
          <w:p w:rsidR="00A55CF0" w:rsidRPr="0002650A" w:rsidRDefault="00A55CF0" w:rsidP="00C7023C">
            <w:pPr>
              <w:ind w:right="304"/>
              <w:rPr>
                <w:rFonts w:cs="Arial"/>
                <w:sz w:val="18"/>
                <w:szCs w:val="18"/>
                <w:lang w:eastAsia="sl-SI"/>
              </w:rPr>
            </w:pPr>
            <w:r w:rsidRPr="0002650A">
              <w:rPr>
                <w:rFonts w:cs="Arial"/>
                <w:sz w:val="18"/>
                <w:szCs w:val="18"/>
                <w:lang w:eastAsia="sl-SI"/>
              </w:rPr>
              <w:t xml:space="preserve">22.672.199,64 </w:t>
            </w:r>
          </w:p>
        </w:tc>
      </w:tr>
    </w:tbl>
    <w:p w:rsidR="00A55CF0" w:rsidRPr="00F05EB2" w:rsidRDefault="00A55CF0" w:rsidP="00A55CF0">
      <w:pPr>
        <w:jc w:val="both"/>
        <w:rPr>
          <w:rFonts w:cs="Arial"/>
          <w:i/>
          <w:u w:val="single"/>
        </w:rPr>
      </w:pPr>
    </w:p>
    <w:p w:rsidR="00A55CF0" w:rsidRPr="00F05EB2" w:rsidRDefault="00A55CF0" w:rsidP="00A55CF0">
      <w:pPr>
        <w:jc w:val="both"/>
        <w:rPr>
          <w:rFonts w:cs="Arial"/>
        </w:rPr>
      </w:pPr>
    </w:p>
    <w:p w:rsidR="00A55CF0" w:rsidRPr="00F05EB2" w:rsidRDefault="00A55CF0" w:rsidP="00A55CF0">
      <w:pPr>
        <w:jc w:val="both"/>
        <w:rPr>
          <w:rFonts w:cs="Arial"/>
        </w:rPr>
      </w:pPr>
      <w:r w:rsidRPr="00F05EB2">
        <w:rPr>
          <w:rFonts w:cs="Arial"/>
        </w:rPr>
        <w:t>* Skladno s tretjim odstavkom 36. člena ZGGLRS se prednostno poplačajo te obveznosti, razlika se nameni za financiranje nalog Sklada kmetijskih zemljišč in gozdov Republike Slovenije po 36. členu ZGGLRS</w:t>
      </w:r>
      <w:r>
        <w:rPr>
          <w:rFonts w:cs="Arial"/>
        </w:rPr>
        <w:t>,</w:t>
      </w:r>
      <w:r w:rsidRPr="00F05EB2">
        <w:rPr>
          <w:rFonts w:cs="Arial"/>
        </w:rPr>
        <w:t xml:space="preserve"> in to šele po porabi sredstev, ki so za te namene zagotovljena na Skladu kmetijskih zemljišč in gozdov Republike Slovenije (v nadaljnjem besedilu: Sklad).</w:t>
      </w:r>
    </w:p>
    <w:p w:rsidR="00A55CF0" w:rsidRPr="00F05EB2" w:rsidRDefault="00A55CF0" w:rsidP="00A55CF0">
      <w:pPr>
        <w:jc w:val="both"/>
        <w:rPr>
          <w:rFonts w:cs="Arial"/>
        </w:rPr>
      </w:pPr>
    </w:p>
    <w:p w:rsidR="00A55CF0" w:rsidRPr="00F05EB2" w:rsidRDefault="00A55CF0" w:rsidP="00A55CF0">
      <w:pPr>
        <w:jc w:val="both"/>
        <w:rPr>
          <w:rFonts w:cs="Arial"/>
        </w:rPr>
      </w:pPr>
      <w:r w:rsidRPr="00F05EB2">
        <w:rPr>
          <w:rFonts w:cs="Arial"/>
        </w:rPr>
        <w:t xml:space="preserve">**Skladno s tretjim odstavkom 35. člena ZGGLRS ministrstvo, pristojno za gozdarstvo, izplača obveznosti do občin do 30. junija tekočega leta za preteklo leto. Zaradi navedenega bo znesek do višine </w:t>
      </w:r>
      <w:r w:rsidRPr="00F05EB2">
        <w:rPr>
          <w:rFonts w:cs="Arial"/>
          <w:sz w:val="19"/>
          <w:szCs w:val="19"/>
          <w:lang w:eastAsia="sl-SI"/>
        </w:rPr>
        <w:t>3.700.000,00</w:t>
      </w:r>
      <w:r w:rsidRPr="00F05EB2">
        <w:rPr>
          <w:rFonts w:cs="Arial"/>
        </w:rPr>
        <w:t xml:space="preserve"> EUR izplačan občinam do 30. junija 2019.</w:t>
      </w:r>
    </w:p>
    <w:p w:rsidR="00A55CF0" w:rsidRPr="00F05EB2" w:rsidRDefault="00A55CF0" w:rsidP="00A55CF0">
      <w:pPr>
        <w:jc w:val="both"/>
        <w:rPr>
          <w:rFonts w:cs="Arial"/>
          <w:highlight w:val="yellow"/>
        </w:rPr>
      </w:pPr>
    </w:p>
    <w:p w:rsidR="00A55CF0" w:rsidRPr="00F05EB2" w:rsidRDefault="00A55CF0" w:rsidP="00A55CF0">
      <w:pPr>
        <w:jc w:val="both"/>
        <w:rPr>
          <w:rFonts w:cs="Arial"/>
        </w:rPr>
      </w:pPr>
      <w:r w:rsidRPr="00F05EB2">
        <w:rPr>
          <w:rFonts w:cs="Arial"/>
        </w:rPr>
        <w:t xml:space="preserve">Sredstva Gozdnega sklada se lahko namenijo zgolj za financiranje nalog, ki so opredeljene v četrtem odstavku 33. člena in tretjem odstavku 36. člena ZGGLRS. Ministrstvo, pristojno za gozdarstvo, je te naloge v celoti povzelo v zgornji tabeli. </w:t>
      </w:r>
    </w:p>
    <w:p w:rsidR="00A55CF0" w:rsidRPr="00F05EB2" w:rsidRDefault="00A55CF0" w:rsidP="00A55CF0">
      <w:pPr>
        <w:jc w:val="both"/>
        <w:rPr>
          <w:rFonts w:cs="Arial"/>
        </w:rPr>
      </w:pPr>
    </w:p>
    <w:p w:rsidR="00A55CF0" w:rsidRPr="00F05EB2" w:rsidRDefault="00A55CF0" w:rsidP="00A55CF0">
      <w:pPr>
        <w:autoSpaceDE w:val="0"/>
        <w:autoSpaceDN w:val="0"/>
        <w:adjustRightInd w:val="0"/>
        <w:jc w:val="both"/>
        <w:rPr>
          <w:rFonts w:cs="Arial"/>
        </w:rPr>
      </w:pPr>
      <w:r w:rsidRPr="00F05EB2">
        <w:rPr>
          <w:rFonts w:cs="Arial"/>
        </w:rPr>
        <w:t>SiDG načrtuje, da bo v letu 2019 v skladu z ZGGLRS realiziral</w:t>
      </w:r>
      <w:r>
        <w:rPr>
          <w:rFonts w:cs="Arial"/>
        </w:rPr>
        <w:t>a</w:t>
      </w:r>
      <w:r w:rsidRPr="00F05EB2">
        <w:rPr>
          <w:rFonts w:cs="Arial"/>
        </w:rPr>
        <w:t xml:space="preserve"> pravne posle, s katerimi bo sledil ciljem, ki jih je opredelil ZGGLRS pri pridobivanju gozdov (oblikovanje strnjenih kompleksov državnih gozdov, pridobivanje gozdov v obmejnem pasu, varovalnih gozdov ter gozdov v varovanih območjih). Ministrstvo, pristojno za gozdarstvo, bo po prejemu zahtevka za plačilo kupnine za kupljene gozdove skrbno proučilo vso listinsko dokumentacijo in ustrezne cenitve. SiDG bo pridobival gozdove v skladu z 20. členom ZGGLRS. Glede na to, da je ponudba prodaje gozdov odvisna od volje lastnikov, podrobnejše lokacije niso načrtovane.</w:t>
      </w:r>
    </w:p>
    <w:p w:rsidR="00A55CF0" w:rsidRPr="00F05EB2" w:rsidRDefault="00A55CF0" w:rsidP="00A55CF0">
      <w:pPr>
        <w:autoSpaceDE w:val="0"/>
        <w:autoSpaceDN w:val="0"/>
        <w:adjustRightInd w:val="0"/>
        <w:jc w:val="both"/>
        <w:rPr>
          <w:rFonts w:cs="Arial"/>
        </w:rPr>
      </w:pPr>
    </w:p>
    <w:p w:rsidR="00A55CF0" w:rsidRPr="00F05EB2" w:rsidRDefault="00A55CF0" w:rsidP="00A55CF0">
      <w:pPr>
        <w:autoSpaceDE w:val="0"/>
        <w:autoSpaceDN w:val="0"/>
        <w:adjustRightInd w:val="0"/>
        <w:jc w:val="both"/>
        <w:rPr>
          <w:rFonts w:cs="Arial"/>
        </w:rPr>
      </w:pPr>
      <w:r w:rsidRPr="00F05EB2">
        <w:rPr>
          <w:rFonts w:cs="Arial"/>
        </w:rPr>
        <w:t xml:space="preserve">Skladno s 26. členom ZGGLRS sta Republika Slovenija in družba SiDG sklenili odplačno Pogodbo o razpolaganju z gozdovi v lasti Republike Slovenije in pridobivanju gozdov. Na podlagi navedene pogodbe, ki je bila spremenjena in dopolnjena z Dodatkom št. 1 k Pogodbi o razpolaganju z gozdovi v lasti Republike Slovenije in pridobivanju gozdov, je SiDG v letu 2019 upravičen do plačila mesečnega nadomestila za izvajanje nalog razpolaganja v višini 23.199,38 EUR brez DDV oz. 28.303,24 EUR z DDV. </w:t>
      </w:r>
    </w:p>
    <w:p w:rsidR="00A55CF0" w:rsidRPr="00F05EB2" w:rsidRDefault="00A55CF0" w:rsidP="00A55CF0">
      <w:pPr>
        <w:autoSpaceDE w:val="0"/>
        <w:autoSpaceDN w:val="0"/>
        <w:adjustRightInd w:val="0"/>
        <w:jc w:val="both"/>
        <w:rPr>
          <w:rFonts w:cs="Arial"/>
        </w:rPr>
      </w:pPr>
    </w:p>
    <w:p w:rsidR="00A55CF0" w:rsidRPr="00F05EB2" w:rsidRDefault="00A55CF0" w:rsidP="00A55CF0">
      <w:pPr>
        <w:autoSpaceDE w:val="0"/>
        <w:autoSpaceDN w:val="0"/>
        <w:adjustRightInd w:val="0"/>
        <w:jc w:val="both"/>
        <w:rPr>
          <w:rFonts w:cs="Arial"/>
          <w:iCs/>
          <w:szCs w:val="20"/>
        </w:rPr>
      </w:pPr>
      <w:r w:rsidRPr="00F05EB2">
        <w:rPr>
          <w:rFonts w:cs="Arial"/>
          <w:iCs/>
          <w:szCs w:val="20"/>
        </w:rPr>
        <w:t xml:space="preserve">Obveznosti </w:t>
      </w:r>
      <w:r w:rsidRPr="00F05EB2">
        <w:rPr>
          <w:rFonts w:cs="Arial"/>
        </w:rPr>
        <w:t>Republike Slovenije</w:t>
      </w:r>
      <w:r w:rsidRPr="00F05EB2">
        <w:rPr>
          <w:rFonts w:cs="Arial"/>
          <w:iCs/>
          <w:szCs w:val="20"/>
        </w:rPr>
        <w:t xml:space="preserve"> iz pridobitve lastninske pravice na gozdovih na podlagi zakona, ki ureja dedovanje, so ocenjene na podlagi realizacije leta 2018.</w:t>
      </w:r>
    </w:p>
    <w:p w:rsidR="00A55CF0" w:rsidRPr="00F05EB2" w:rsidRDefault="00A55CF0" w:rsidP="00A55CF0">
      <w:pPr>
        <w:jc w:val="both"/>
        <w:rPr>
          <w:rFonts w:cs="Arial"/>
          <w:iCs/>
          <w:szCs w:val="20"/>
        </w:rPr>
      </w:pPr>
    </w:p>
    <w:p w:rsidR="00A55CF0" w:rsidRPr="00F05EB2" w:rsidRDefault="00A55CF0" w:rsidP="00A55CF0">
      <w:pPr>
        <w:jc w:val="both"/>
        <w:rPr>
          <w:rFonts w:cs="Arial"/>
        </w:rPr>
      </w:pPr>
      <w:r w:rsidRPr="00F05EB2">
        <w:rPr>
          <w:rFonts w:cs="Arial"/>
        </w:rPr>
        <w:t xml:space="preserve">ZGGLRS določa tudi, da se v breme Gozdnega sklada poravnavajo obveznosti, ki izhajajo iz ukrepov na območju Nature 2000 v zasebnih gozdovih v skladu s programom upravljanja območij Natura 2000 in programom vlaganj v gozdove, ki ga na podlagi nacionalnega gozdnega programa pripravi Zavod za gozdove Slovenije, v skladu z zakonom, ki ureja gozdove. </w:t>
      </w:r>
    </w:p>
    <w:p w:rsidR="00A55CF0" w:rsidRPr="00F05EB2" w:rsidRDefault="00A55CF0" w:rsidP="00A55CF0">
      <w:pPr>
        <w:jc w:val="both"/>
        <w:rPr>
          <w:rFonts w:cs="Arial"/>
        </w:rPr>
      </w:pPr>
    </w:p>
    <w:p w:rsidR="00A55CF0" w:rsidRDefault="00A55CF0" w:rsidP="00A55CF0">
      <w:pPr>
        <w:jc w:val="both"/>
        <w:rPr>
          <w:rFonts w:cs="Arial"/>
        </w:rPr>
      </w:pPr>
      <w:r w:rsidRPr="00F05EB2">
        <w:rPr>
          <w:rFonts w:cs="Arial"/>
        </w:rPr>
        <w:t xml:space="preserve">Obveznosti do občin – 25 % od letnega nadomestila prihodkov od prodaje lesa iz državnih gozdov izhajajo iz prvega odstavka 35. člena ZGGLRS. </w:t>
      </w:r>
    </w:p>
    <w:p w:rsidR="00A55CF0" w:rsidRPr="00F05EB2" w:rsidRDefault="00A55CF0" w:rsidP="00A55CF0">
      <w:pPr>
        <w:jc w:val="both"/>
        <w:rPr>
          <w:rFonts w:cs="Arial"/>
        </w:rPr>
      </w:pPr>
    </w:p>
    <w:p w:rsidR="00A55CF0" w:rsidRDefault="00A55CF0" w:rsidP="00A55CF0">
      <w:pPr>
        <w:jc w:val="both"/>
        <w:rPr>
          <w:rFonts w:cs="Arial"/>
        </w:rPr>
      </w:pPr>
      <w:r w:rsidRPr="00F05EB2">
        <w:rPr>
          <w:rFonts w:cs="Arial"/>
        </w:rPr>
        <w:t xml:space="preserve">Načrtovane obveznosti iz naslova davkov, prispevkov in drugih obveznih dajatev, ki izvirajo iz lastninske pravice na državnih gozdovih predstavljajo obveznost plačila pristojbine za vzdrževanje gozdnih cest za leto 2018 - končni obračun ter obveznost plačila akontacije navedene pristojbine za leto 2019. </w:t>
      </w:r>
    </w:p>
    <w:p w:rsidR="00A55CF0" w:rsidRPr="00F05EB2" w:rsidRDefault="00A55CF0" w:rsidP="00A55CF0">
      <w:pPr>
        <w:jc w:val="both"/>
        <w:rPr>
          <w:rFonts w:cs="Arial"/>
        </w:rPr>
      </w:pPr>
    </w:p>
    <w:p w:rsidR="00A55CF0" w:rsidRDefault="00A55CF0" w:rsidP="00A55CF0">
      <w:pPr>
        <w:jc w:val="both"/>
        <w:rPr>
          <w:rFonts w:cs="Arial"/>
        </w:rPr>
      </w:pPr>
      <w:r w:rsidRPr="00F05EB2">
        <w:rPr>
          <w:rFonts w:cs="Arial"/>
        </w:rPr>
        <w:t xml:space="preserve">Obveznosti Gozdnega sklada za promocijo rabe lesa in lesnih proizvodov ter gozdno lesnih verig je predpisal ZGGLRS. </w:t>
      </w:r>
      <w:r>
        <w:rPr>
          <w:rFonts w:cs="Arial"/>
        </w:rPr>
        <w:t>Za ta namen se namenja skupno 1.250.000,00 EUR, od tega za promocijske aktivnosti ministrstva, pristojnega za gozdarstvo, sredstva v višini 850.000,00 EUR in za promocijske aktivnosti ministrstva, pristojnega za lesarstvo, sredstva v višini 400.000,00 EUR.</w:t>
      </w:r>
    </w:p>
    <w:p w:rsidR="00A55CF0" w:rsidRPr="00F05EB2" w:rsidRDefault="00A55CF0" w:rsidP="00A55CF0">
      <w:pPr>
        <w:jc w:val="both"/>
        <w:rPr>
          <w:rFonts w:cs="Arial"/>
        </w:rPr>
      </w:pPr>
    </w:p>
    <w:p w:rsidR="00A55CF0" w:rsidRPr="00F05EB2" w:rsidRDefault="00A55CF0" w:rsidP="00A55CF0">
      <w:pPr>
        <w:jc w:val="both"/>
        <w:rPr>
          <w:rFonts w:cs="Arial"/>
        </w:rPr>
      </w:pPr>
      <w:r w:rsidRPr="00F05EB2">
        <w:rPr>
          <w:rFonts w:cs="Arial"/>
        </w:rPr>
        <w:t xml:space="preserve">SiDG izvaja tudi nekatere naloge v zvezi s prevozom, hrambo in prodajo zaseženih in odvzetih gozdnih lesnih </w:t>
      </w:r>
      <w:proofErr w:type="spellStart"/>
      <w:r w:rsidRPr="00F05EB2">
        <w:rPr>
          <w:rFonts w:cs="Arial"/>
        </w:rPr>
        <w:t>sortimentov</w:t>
      </w:r>
      <w:proofErr w:type="spellEnd"/>
      <w:r w:rsidRPr="00F05EB2">
        <w:rPr>
          <w:rFonts w:cs="Arial"/>
        </w:rPr>
        <w:t xml:space="preserve">. Obseg teh nalog v letu 2019 </w:t>
      </w:r>
      <w:r>
        <w:rPr>
          <w:rFonts w:cs="Arial"/>
        </w:rPr>
        <w:t>izhaja</w:t>
      </w:r>
      <w:r w:rsidRPr="00F05EB2">
        <w:rPr>
          <w:rFonts w:cs="Arial"/>
        </w:rPr>
        <w:t xml:space="preserve"> iz pogodbeno ocenjene vrednosti do 109.800 EUR</w:t>
      </w:r>
      <w:r>
        <w:rPr>
          <w:rFonts w:cs="Arial"/>
        </w:rPr>
        <w:t xml:space="preserve"> z DDV</w:t>
      </w:r>
      <w:r w:rsidRPr="00F05EB2">
        <w:rPr>
          <w:rFonts w:cs="Arial"/>
        </w:rPr>
        <w:t xml:space="preserve">. </w:t>
      </w:r>
    </w:p>
    <w:p w:rsidR="00A55CF0" w:rsidRPr="00F05EB2" w:rsidRDefault="00A55CF0" w:rsidP="00A55CF0">
      <w:pPr>
        <w:jc w:val="both"/>
        <w:rPr>
          <w:rFonts w:cs="Arial"/>
          <w:sz w:val="19"/>
          <w:szCs w:val="19"/>
        </w:rPr>
      </w:pPr>
    </w:p>
    <w:p w:rsidR="00A55CF0" w:rsidRPr="00FC7996" w:rsidRDefault="00A55CF0" w:rsidP="00A55CF0">
      <w:pPr>
        <w:jc w:val="both"/>
        <w:rPr>
          <w:rFonts w:cs="Arial"/>
          <w:szCs w:val="20"/>
        </w:rPr>
      </w:pPr>
      <w:r w:rsidRPr="00FC7996">
        <w:rPr>
          <w:rFonts w:cs="Arial"/>
          <w:szCs w:val="20"/>
        </w:rPr>
        <w:t xml:space="preserve">Razlika med skupaj razpoložljivimi sredstvi v letu 2019 in predvideno porabo, ki znaša </w:t>
      </w:r>
      <w:r w:rsidRPr="00FC7996">
        <w:rPr>
          <w:rFonts w:cs="Arial"/>
          <w:szCs w:val="20"/>
          <w:lang w:eastAsia="sl-SI"/>
        </w:rPr>
        <w:t>22.</w:t>
      </w:r>
      <w:r>
        <w:rPr>
          <w:rFonts w:cs="Arial"/>
          <w:szCs w:val="20"/>
          <w:lang w:eastAsia="sl-SI"/>
        </w:rPr>
        <w:t>672.199,64</w:t>
      </w:r>
      <w:r w:rsidRPr="00FC7996">
        <w:rPr>
          <w:rFonts w:cs="Arial"/>
          <w:szCs w:val="20"/>
        </w:rPr>
        <w:t xml:space="preserve"> EUR, ostaja nerazporejena in bo namenjena financiranju nepredvidenih obveznosti, ki izvirajo iz lastninske pravice Republike Slovenije na gozdovih, in za financiranje nalog Sklada kmetijskih zemljišč in gozdov Republike Slovenije po 36. členu ZGGLRS, in to šele po porabi sredstev, ki so za te namene zagotovljena na Skladu kmetijskih zemljišč in gozdov Republike Slovenije.</w:t>
      </w:r>
    </w:p>
    <w:p w:rsidR="006107C1" w:rsidRDefault="00BB3E6D" w:rsidP="00BB3E6D">
      <w:pPr>
        <w:tabs>
          <w:tab w:val="left" w:pos="7920"/>
        </w:tabs>
        <w:autoSpaceDE w:val="0"/>
        <w:autoSpaceDN w:val="0"/>
        <w:adjustRightInd w:val="0"/>
        <w:ind w:left="3400"/>
        <w:rPr>
          <w:rFonts w:cs="Arial"/>
          <w:szCs w:val="20"/>
        </w:rPr>
      </w:pPr>
      <w:r>
        <w:rPr>
          <w:rFonts w:cs="Arial"/>
        </w:rPr>
        <w:tab/>
      </w:r>
      <w:r>
        <w:rPr>
          <w:rFonts w:cs="Arial"/>
        </w:rPr>
        <w:tab/>
      </w:r>
    </w:p>
    <w:sectPr w:rsidR="006107C1" w:rsidSect="00BA1A8E">
      <w:headerReference w:type="first" r:id="rId13"/>
      <w:pgSz w:w="11900" w:h="16840" w:code="9"/>
      <w:pgMar w:top="1701" w:right="1701" w:bottom="1134" w:left="1701" w:header="993"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DAE" w:rsidRDefault="002B7DAE">
      <w:pPr>
        <w:spacing w:line="240" w:lineRule="auto"/>
      </w:pPr>
      <w:r>
        <w:separator/>
      </w:r>
    </w:p>
  </w:endnote>
  <w:endnote w:type="continuationSeparator" w:id="0">
    <w:p w:rsidR="002B7DAE" w:rsidRDefault="002B7D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CB0601" w:rsidP="00EC7A6D">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3C5145" w:rsidRDefault="003D487A" w:rsidP="00AC2363">
    <w:pPr>
      <w:pStyle w:val="Nog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Default="00CB0601" w:rsidP="002936C3">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3D487A">
      <w:rPr>
        <w:rStyle w:val="tevilkastrani"/>
        <w:noProof/>
      </w:rPr>
      <w:t>2</w:t>
    </w:r>
    <w:r>
      <w:rPr>
        <w:rStyle w:val="tevilkastrani"/>
      </w:rPr>
      <w:fldChar w:fldCharType="end"/>
    </w:r>
  </w:p>
  <w:p w:rsidR="003C5145" w:rsidRDefault="003D487A" w:rsidP="00AC2363">
    <w:pPr>
      <w:pStyle w:val="Nog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DAE" w:rsidRDefault="002B7DAE">
      <w:pPr>
        <w:spacing w:line="240" w:lineRule="auto"/>
      </w:pPr>
      <w:r>
        <w:separator/>
      </w:r>
    </w:p>
  </w:footnote>
  <w:footnote w:type="continuationSeparator" w:id="0">
    <w:p w:rsidR="002B7DAE" w:rsidRDefault="002B7DA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145" w:rsidRPr="00110CBD" w:rsidRDefault="003D487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865"/>
    </w:tblGrid>
    <w:tr w:rsidR="003C5145" w:rsidRPr="008F3500">
      <w:trPr>
        <w:cantSplit/>
        <w:trHeight w:hRule="exact" w:val="847"/>
      </w:trPr>
      <w:tc>
        <w:tcPr>
          <w:tcW w:w="567" w:type="dxa"/>
        </w:tcPr>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990D2C" w:rsidRPr="008F3500" w:rsidTr="00DD6502">
            <w:trPr>
              <w:cantSplit/>
              <w:trHeight w:hRule="exact" w:val="847"/>
            </w:trPr>
            <w:tc>
              <w:tcPr>
                <w:tcW w:w="567" w:type="dxa"/>
              </w:tcPr>
              <w:p w:rsidR="00990D2C" w:rsidRDefault="00CB0601" w:rsidP="00990D2C">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p w:rsidR="00990D2C" w:rsidRPr="006D42D9" w:rsidRDefault="003D487A" w:rsidP="00990D2C">
                <w:pPr>
                  <w:rPr>
                    <w:rFonts w:ascii="Republika" w:hAnsi="Republika"/>
                    <w:sz w:val="60"/>
                    <w:szCs w:val="60"/>
                  </w:rPr>
                </w:pPr>
              </w:p>
            </w:tc>
          </w:tr>
        </w:tbl>
        <w:p w:rsidR="003C5145" w:rsidRPr="008F3500" w:rsidRDefault="003D487A" w:rsidP="00D248DE">
          <w:pPr>
            <w:autoSpaceDE w:val="0"/>
            <w:autoSpaceDN w:val="0"/>
            <w:adjustRightInd w:val="0"/>
            <w:spacing w:line="240" w:lineRule="auto"/>
            <w:rPr>
              <w:rFonts w:ascii="Republika" w:hAnsi="Republika"/>
              <w:color w:val="529DBA"/>
              <w:sz w:val="60"/>
              <w:szCs w:val="60"/>
            </w:rPr>
          </w:pPr>
        </w:p>
      </w:tc>
    </w:tr>
  </w:tbl>
  <w:p w:rsidR="00990D2C" w:rsidRPr="00990D2C" w:rsidRDefault="00592FD2" w:rsidP="00990D2C">
    <w:pPr>
      <w:autoSpaceDE w:val="0"/>
      <w:autoSpaceDN w:val="0"/>
      <w:adjustRightInd w:val="0"/>
      <w:spacing w:line="240" w:lineRule="auto"/>
      <w:rPr>
        <w:rFonts w:ascii="Republika" w:hAnsi="Republika"/>
      </w:rPr>
    </w:pPr>
    <w:r w:rsidRPr="00990D2C">
      <w:rPr>
        <w:rFonts w:ascii="Republika" w:hAnsi="Republika"/>
        <w:noProof/>
        <w:szCs w:val="20"/>
        <w:lang w:eastAsia="sl-SI"/>
      </w:rPr>
      <mc:AlternateContent>
        <mc:Choice Requires="wps">
          <w:drawing>
            <wp:anchor distT="0" distB="0" distL="114300" distR="114300" simplePos="0" relativeHeight="251659264" behindDoc="1" locked="0" layoutInCell="0" allowOverlap="1" wp14:anchorId="17CD8E52" wp14:editId="43D9A4B9">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D390419"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00CB0601" w:rsidRPr="00990D2C">
      <w:rPr>
        <w:rFonts w:ascii="Republika" w:hAnsi="Republika"/>
      </w:rPr>
      <w:t>REPUBLIKA SLOVENIJA</w:t>
    </w:r>
  </w:p>
  <w:p w:rsidR="00990D2C" w:rsidRPr="00990D2C" w:rsidRDefault="00CB0601" w:rsidP="00990D2C">
    <w:pPr>
      <w:pStyle w:val="Glava"/>
      <w:tabs>
        <w:tab w:val="clear" w:pos="4320"/>
        <w:tab w:val="clear" w:pos="8640"/>
        <w:tab w:val="left" w:pos="5112"/>
      </w:tabs>
      <w:spacing w:after="120" w:line="240" w:lineRule="exact"/>
      <w:rPr>
        <w:rFonts w:ascii="Republika" w:hAnsi="Republika"/>
        <w:b/>
        <w:caps/>
      </w:rPr>
    </w:pPr>
    <w:r w:rsidRPr="00990D2C">
      <w:rPr>
        <w:rFonts w:ascii="Republika" w:hAnsi="Republika"/>
        <w:b/>
        <w:caps/>
      </w:rPr>
      <w:t>Ministrstvo za kmetijstvo,</w:t>
    </w:r>
    <w:r w:rsidRPr="00990D2C">
      <w:rPr>
        <w:rFonts w:ascii="Republika" w:hAnsi="Republika"/>
        <w:b/>
        <w:caps/>
      </w:rPr>
      <w:br/>
      <w:t>GOZDARSTVO IN PREHRANO</w:t>
    </w:r>
  </w:p>
  <w:p w:rsidR="003C5145" w:rsidRPr="008F3500" w:rsidRDefault="00CB0601" w:rsidP="00CE5238">
    <w:pPr>
      <w:pStyle w:val="Glava"/>
      <w:tabs>
        <w:tab w:val="clear" w:pos="4320"/>
        <w:tab w:val="clear" w:pos="8640"/>
        <w:tab w:val="left" w:pos="5112"/>
      </w:tabs>
      <w:spacing w:before="120" w:line="240" w:lineRule="exact"/>
      <w:rPr>
        <w:rFonts w:cs="Arial"/>
        <w:sz w:val="16"/>
      </w:rPr>
    </w:pPr>
    <w:r>
      <w:rPr>
        <w:rFonts w:cs="Arial"/>
        <w:sz w:val="16"/>
      </w:rPr>
      <w:t>Dunajska  cesta 22</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 xml:space="preserve">01 478 </w:t>
    </w:r>
    <w:r w:rsidRPr="0001550E">
      <w:rPr>
        <w:rFonts w:cs="Arial"/>
        <w:sz w:val="16"/>
      </w:rPr>
      <w:t>9000</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 xml:space="preserve">01 478 </w:t>
    </w:r>
    <w:r w:rsidRPr="00677197">
      <w:rPr>
        <w:rFonts w:cs="Arial"/>
        <w:sz w:val="16"/>
      </w:rPr>
      <w:t>9021</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gp.mkgp@gov.si</w:t>
    </w:r>
  </w:p>
  <w:p w:rsidR="003C5145" w:rsidRPr="008F3500" w:rsidRDefault="00CB0601" w:rsidP="00A770A6">
    <w:pPr>
      <w:pStyle w:val="Glava"/>
      <w:tabs>
        <w:tab w:val="clear" w:pos="4320"/>
        <w:tab w:val="clear" w:pos="8640"/>
        <w:tab w:val="left" w:pos="5112"/>
      </w:tabs>
      <w:spacing w:line="240" w:lineRule="exact"/>
      <w:rPr>
        <w:rFonts w:cs="Arial"/>
        <w:sz w:val="16"/>
      </w:rPr>
    </w:pPr>
    <w:r w:rsidRPr="008F3500">
      <w:rPr>
        <w:rFonts w:cs="Arial"/>
        <w:sz w:val="16"/>
      </w:rPr>
      <w:tab/>
    </w:r>
    <w:proofErr w:type="spellStart"/>
    <w:r>
      <w:rPr>
        <w:rFonts w:cs="Arial"/>
        <w:sz w:val="16"/>
      </w:rPr>
      <w:t>www.mkgp.gov.si</w:t>
    </w:r>
    <w:proofErr w:type="spellEnd"/>
  </w:p>
  <w:p w:rsidR="003C5145" w:rsidRPr="008F3500" w:rsidRDefault="003D487A" w:rsidP="007D75CF">
    <w:pPr>
      <w:pStyle w:val="Glava"/>
      <w:tabs>
        <w:tab w:val="clear" w:pos="4320"/>
        <w:tab w:val="clear" w:pos="8640"/>
        <w:tab w:val="left" w:pos="5112"/>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29B" w:rsidRDefault="003D48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347CB"/>
    <w:multiLevelType w:val="hybridMultilevel"/>
    <w:tmpl w:val="A53687DE"/>
    <w:lvl w:ilvl="0" w:tplc="CD086678">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4FE5C83"/>
    <w:multiLevelType w:val="hybridMultilevel"/>
    <w:tmpl w:val="613E218A"/>
    <w:lvl w:ilvl="0" w:tplc="DCBE0EE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0C5096"/>
    <w:multiLevelType w:val="hybridMultilevel"/>
    <w:tmpl w:val="EB26BA2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E762EA4"/>
    <w:multiLevelType w:val="hybridMultilevel"/>
    <w:tmpl w:val="9906FAA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38635FD6"/>
    <w:multiLevelType w:val="hybridMultilevel"/>
    <w:tmpl w:val="09A2F1C2"/>
    <w:lvl w:ilvl="0" w:tplc="5D04C1F6">
      <w:start w:val="1"/>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7">
    <w:nsid w:val="3D150E1F"/>
    <w:multiLevelType w:val="hybridMultilevel"/>
    <w:tmpl w:val="C6125AD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42E34E55"/>
    <w:multiLevelType w:val="hybridMultilevel"/>
    <w:tmpl w:val="B8B69066"/>
    <w:lvl w:ilvl="0" w:tplc="C7B635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0">
    <w:nsid w:val="4FFE7854"/>
    <w:multiLevelType w:val="hybridMultilevel"/>
    <w:tmpl w:val="A4C218A0"/>
    <w:lvl w:ilvl="0" w:tplc="5E76584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1">
    <w:nsid w:val="533559BE"/>
    <w:multiLevelType w:val="hybridMultilevel"/>
    <w:tmpl w:val="54A80F34"/>
    <w:lvl w:ilvl="0" w:tplc="7340B7B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2094904"/>
    <w:multiLevelType w:val="hybridMultilevel"/>
    <w:tmpl w:val="E24406DC"/>
    <w:lvl w:ilvl="0" w:tplc="76AC1A70">
      <w:start w:val="49"/>
      <w:numFmt w:val="bullet"/>
      <w:pStyle w:val="Oddelek"/>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6C427138"/>
    <w:multiLevelType w:val="hybridMultilevel"/>
    <w:tmpl w:val="3C5889E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3"/>
  </w:num>
  <w:num w:numId="3">
    <w:abstractNumId w:val="12"/>
  </w:num>
  <w:num w:numId="4">
    <w:abstractNumId w:val="1"/>
  </w:num>
  <w:num w:numId="5">
    <w:abstractNumId w:val="14"/>
  </w:num>
  <w:num w:numId="6">
    <w:abstractNumId w:val="16"/>
  </w:num>
  <w:num w:numId="7">
    <w:abstractNumId w:val="8"/>
  </w:num>
  <w:num w:numId="8">
    <w:abstractNumId w:val="3"/>
  </w:num>
  <w:num w:numId="9">
    <w:abstractNumId w:val="10"/>
  </w:num>
  <w:num w:numId="10">
    <w:abstractNumId w:val="2"/>
  </w:num>
  <w:num w:numId="11">
    <w:abstractNumId w:val="11"/>
  </w:num>
  <w:num w:numId="12">
    <w:abstractNumId w:val="9"/>
  </w:num>
  <w:num w:numId="13">
    <w:abstractNumId w:val="5"/>
  </w:num>
  <w:num w:numId="14">
    <w:abstractNumId w:val="4"/>
  </w:num>
  <w:num w:numId="15">
    <w:abstractNumId w:val="15"/>
  </w:num>
  <w:num w:numId="16">
    <w:abstractNumId w:val="7"/>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FD2"/>
    <w:rsid w:val="00005EFB"/>
    <w:rsid w:val="000218B6"/>
    <w:rsid w:val="0002650A"/>
    <w:rsid w:val="000318DC"/>
    <w:rsid w:val="00032A41"/>
    <w:rsid w:val="00044FD4"/>
    <w:rsid w:val="00054534"/>
    <w:rsid w:val="00072A38"/>
    <w:rsid w:val="000B1984"/>
    <w:rsid w:val="000C6817"/>
    <w:rsid w:val="000D61A4"/>
    <w:rsid w:val="000E21BD"/>
    <w:rsid w:val="000E3E94"/>
    <w:rsid w:val="000F44CF"/>
    <w:rsid w:val="0010163A"/>
    <w:rsid w:val="00103990"/>
    <w:rsid w:val="001175D8"/>
    <w:rsid w:val="001546A6"/>
    <w:rsid w:val="00187793"/>
    <w:rsid w:val="001B32D4"/>
    <w:rsid w:val="001E1801"/>
    <w:rsid w:val="001F052E"/>
    <w:rsid w:val="001F2B48"/>
    <w:rsid w:val="001F75B4"/>
    <w:rsid w:val="00233817"/>
    <w:rsid w:val="002655FB"/>
    <w:rsid w:val="002664B8"/>
    <w:rsid w:val="002A65D9"/>
    <w:rsid w:val="002B5CFF"/>
    <w:rsid w:val="002B7D47"/>
    <w:rsid w:val="002B7DAE"/>
    <w:rsid w:val="002D529D"/>
    <w:rsid w:val="002F2EB7"/>
    <w:rsid w:val="00302213"/>
    <w:rsid w:val="003343E8"/>
    <w:rsid w:val="00350298"/>
    <w:rsid w:val="0035170B"/>
    <w:rsid w:val="003764E3"/>
    <w:rsid w:val="00382D6C"/>
    <w:rsid w:val="00386B6A"/>
    <w:rsid w:val="00397E91"/>
    <w:rsid w:val="003D487A"/>
    <w:rsid w:val="003F4FAA"/>
    <w:rsid w:val="00445FF5"/>
    <w:rsid w:val="00496EA8"/>
    <w:rsid w:val="004A202B"/>
    <w:rsid w:val="004B0273"/>
    <w:rsid w:val="004C4740"/>
    <w:rsid w:val="004D394A"/>
    <w:rsid w:val="00512EA8"/>
    <w:rsid w:val="005149D8"/>
    <w:rsid w:val="005369AE"/>
    <w:rsid w:val="00541DDA"/>
    <w:rsid w:val="00543A6C"/>
    <w:rsid w:val="00544DD9"/>
    <w:rsid w:val="0055111B"/>
    <w:rsid w:val="0055402E"/>
    <w:rsid w:val="00565DFB"/>
    <w:rsid w:val="00592FD2"/>
    <w:rsid w:val="005B0DA2"/>
    <w:rsid w:val="005C7C75"/>
    <w:rsid w:val="005D2B4B"/>
    <w:rsid w:val="006107C1"/>
    <w:rsid w:val="00610C23"/>
    <w:rsid w:val="0064761D"/>
    <w:rsid w:val="006521F3"/>
    <w:rsid w:val="00694D67"/>
    <w:rsid w:val="00694F76"/>
    <w:rsid w:val="006B617E"/>
    <w:rsid w:val="0074500F"/>
    <w:rsid w:val="00757939"/>
    <w:rsid w:val="00776A98"/>
    <w:rsid w:val="00784828"/>
    <w:rsid w:val="007B09EA"/>
    <w:rsid w:val="007B7909"/>
    <w:rsid w:val="007C2FE9"/>
    <w:rsid w:val="007E1146"/>
    <w:rsid w:val="00806B30"/>
    <w:rsid w:val="00813747"/>
    <w:rsid w:val="00820BD1"/>
    <w:rsid w:val="00827070"/>
    <w:rsid w:val="00840605"/>
    <w:rsid w:val="008A1168"/>
    <w:rsid w:val="008C330E"/>
    <w:rsid w:val="008C6769"/>
    <w:rsid w:val="008D1E6F"/>
    <w:rsid w:val="008D492E"/>
    <w:rsid w:val="008D5CA5"/>
    <w:rsid w:val="009431EB"/>
    <w:rsid w:val="00963290"/>
    <w:rsid w:val="00993947"/>
    <w:rsid w:val="009960A4"/>
    <w:rsid w:val="009D48B3"/>
    <w:rsid w:val="009F7E0B"/>
    <w:rsid w:val="00A11B93"/>
    <w:rsid w:val="00A14296"/>
    <w:rsid w:val="00A30990"/>
    <w:rsid w:val="00A55CF0"/>
    <w:rsid w:val="00A57420"/>
    <w:rsid w:val="00AB47D3"/>
    <w:rsid w:val="00AC581F"/>
    <w:rsid w:val="00AD1BB5"/>
    <w:rsid w:val="00AE3BF0"/>
    <w:rsid w:val="00AE59EA"/>
    <w:rsid w:val="00B11AA5"/>
    <w:rsid w:val="00B12D9C"/>
    <w:rsid w:val="00B208E9"/>
    <w:rsid w:val="00B22133"/>
    <w:rsid w:val="00B27789"/>
    <w:rsid w:val="00B829E0"/>
    <w:rsid w:val="00BB3E6D"/>
    <w:rsid w:val="00BE0A91"/>
    <w:rsid w:val="00C12CB4"/>
    <w:rsid w:val="00C14F3D"/>
    <w:rsid w:val="00C51301"/>
    <w:rsid w:val="00C7526B"/>
    <w:rsid w:val="00C8654C"/>
    <w:rsid w:val="00C9529B"/>
    <w:rsid w:val="00C97A5C"/>
    <w:rsid w:val="00CA46F0"/>
    <w:rsid w:val="00CB0601"/>
    <w:rsid w:val="00CB0EA9"/>
    <w:rsid w:val="00CD05F2"/>
    <w:rsid w:val="00CE1FD7"/>
    <w:rsid w:val="00D13553"/>
    <w:rsid w:val="00D25676"/>
    <w:rsid w:val="00D26330"/>
    <w:rsid w:val="00D6054F"/>
    <w:rsid w:val="00D92D88"/>
    <w:rsid w:val="00D9443C"/>
    <w:rsid w:val="00DB63C0"/>
    <w:rsid w:val="00DD4252"/>
    <w:rsid w:val="00E07535"/>
    <w:rsid w:val="00E43E4E"/>
    <w:rsid w:val="00E563F2"/>
    <w:rsid w:val="00E73312"/>
    <w:rsid w:val="00E8354A"/>
    <w:rsid w:val="00E86561"/>
    <w:rsid w:val="00EA5345"/>
    <w:rsid w:val="00EB13D5"/>
    <w:rsid w:val="00EB6A3D"/>
    <w:rsid w:val="00EC1669"/>
    <w:rsid w:val="00EE0D08"/>
    <w:rsid w:val="00EF372E"/>
    <w:rsid w:val="00F57D7F"/>
    <w:rsid w:val="00F7055D"/>
    <w:rsid w:val="00FD4908"/>
    <w:rsid w:val="00FE0249"/>
    <w:rsid w:val="00FE0DA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2707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2707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92FD2"/>
    <w:pPr>
      <w:spacing w:after="0" w:line="260" w:lineRule="exact"/>
    </w:pPr>
    <w:rPr>
      <w:rFonts w:ascii="Arial" w:eastAsia="Times New Roman" w:hAnsi="Arial" w:cs="Times New Roman"/>
      <w:sz w:val="20"/>
      <w:szCs w:val="24"/>
    </w:rPr>
  </w:style>
  <w:style w:type="paragraph" w:styleId="Naslov1">
    <w:name w:val="heading 1"/>
    <w:aliases w:val="NASLOV,Heading 1 Char,Heading 1 Char1 Char1,Heading 1 Char Char Char1,Heading 1 Char1 Char1 Char Char,Heading 1 Char Char Char1 Char Char,Heading 1 Char Char1,Heading 1 Char1 Char1 Char1,Heading 1 Char Char Char1 Char1"/>
    <w:basedOn w:val="Navaden"/>
    <w:next w:val="Navaden"/>
    <w:link w:val="Naslov1Znak"/>
    <w:autoRedefine/>
    <w:qFormat/>
    <w:rsid w:val="00827070"/>
    <w:pPr>
      <w:widowControl w:val="0"/>
      <w:tabs>
        <w:tab w:val="left" w:pos="360"/>
      </w:tabs>
      <w:outlineLvl w:val="0"/>
    </w:pPr>
    <w:rPr>
      <w:rFonts w:cs="Arial"/>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Heading 1 Char Znak,Heading 1 Char1 Char1 Znak,Heading 1 Char Char Char1 Znak,Heading 1 Char1 Char1 Char Char Znak,Heading 1 Char Char Char1 Char Char Znak,Heading 1 Char Char1 Znak,Heading 1 Char1 Char1 Char1 Znak"/>
    <w:basedOn w:val="Privzetapisavaodstavka"/>
    <w:link w:val="Naslov1"/>
    <w:rsid w:val="00827070"/>
    <w:rPr>
      <w:rFonts w:ascii="Arial" w:eastAsia="Times New Roman" w:hAnsi="Arial" w:cs="Arial"/>
      <w:sz w:val="20"/>
      <w:szCs w:val="20"/>
      <w:lang w:eastAsia="sl-SI"/>
    </w:rPr>
  </w:style>
  <w:style w:type="paragraph" w:styleId="Glava">
    <w:name w:val="header"/>
    <w:basedOn w:val="Navaden"/>
    <w:link w:val="GlavaZnak"/>
    <w:rsid w:val="00592FD2"/>
    <w:pPr>
      <w:tabs>
        <w:tab w:val="center" w:pos="4320"/>
        <w:tab w:val="right" w:pos="8640"/>
      </w:tabs>
    </w:pPr>
  </w:style>
  <w:style w:type="character" w:customStyle="1" w:styleId="GlavaZnak">
    <w:name w:val="Glava Znak"/>
    <w:basedOn w:val="Privzetapisavaodstavka"/>
    <w:link w:val="Glava"/>
    <w:rsid w:val="00592FD2"/>
    <w:rPr>
      <w:rFonts w:ascii="Arial" w:eastAsia="Times New Roman" w:hAnsi="Arial" w:cs="Times New Roman"/>
      <w:sz w:val="20"/>
      <w:szCs w:val="24"/>
    </w:rPr>
  </w:style>
  <w:style w:type="paragraph" w:styleId="Noga">
    <w:name w:val="footer"/>
    <w:basedOn w:val="Navaden"/>
    <w:link w:val="NogaZnak"/>
    <w:semiHidden/>
    <w:rsid w:val="00592FD2"/>
    <w:pPr>
      <w:tabs>
        <w:tab w:val="center" w:pos="4320"/>
        <w:tab w:val="right" w:pos="8640"/>
      </w:tabs>
    </w:pPr>
  </w:style>
  <w:style w:type="character" w:customStyle="1" w:styleId="NogaZnak">
    <w:name w:val="Noga Znak"/>
    <w:basedOn w:val="Privzetapisavaodstavka"/>
    <w:link w:val="Noga"/>
    <w:semiHidden/>
    <w:rsid w:val="00592FD2"/>
    <w:rPr>
      <w:rFonts w:ascii="Arial" w:eastAsia="Times New Roman" w:hAnsi="Arial" w:cs="Times New Roman"/>
      <w:sz w:val="20"/>
      <w:szCs w:val="24"/>
    </w:rPr>
  </w:style>
  <w:style w:type="character" w:styleId="Hiperpovezava">
    <w:name w:val="Hyperlink"/>
    <w:rsid w:val="00592FD2"/>
    <w:rPr>
      <w:color w:val="0000FF"/>
      <w:u w:val="single"/>
    </w:rPr>
  </w:style>
  <w:style w:type="paragraph" w:customStyle="1" w:styleId="Neotevilenodstavek">
    <w:name w:val="Neoštevilčen odstavek"/>
    <w:basedOn w:val="Navaden"/>
    <w:link w:val="NeotevilenodstavekZnak"/>
    <w:qFormat/>
    <w:rsid w:val="00592FD2"/>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592FD2"/>
    <w:rPr>
      <w:rFonts w:ascii="Arial" w:eastAsia="Times New Roman" w:hAnsi="Arial" w:cs="Arial"/>
      <w:lang w:eastAsia="sl-SI"/>
    </w:rPr>
  </w:style>
  <w:style w:type="paragraph" w:customStyle="1" w:styleId="Oddelek">
    <w:name w:val="Oddelek"/>
    <w:basedOn w:val="Navaden"/>
    <w:link w:val="OddelekZnak1"/>
    <w:qFormat/>
    <w:rsid w:val="00592FD2"/>
    <w:pPr>
      <w:numPr>
        <w:numId w:val="2"/>
      </w:numPr>
      <w:suppressAutoHyphens/>
      <w:overflowPunct w:val="0"/>
      <w:autoSpaceDE w:val="0"/>
      <w:autoSpaceDN w:val="0"/>
      <w:adjustRightInd w:val="0"/>
      <w:spacing w:before="280" w:after="60" w:line="200" w:lineRule="exact"/>
      <w:jc w:val="center"/>
      <w:textAlignment w:val="baseline"/>
      <w:outlineLvl w:val="3"/>
    </w:pPr>
    <w:rPr>
      <w:rFonts w:cs="Arial"/>
      <w:b/>
      <w:sz w:val="22"/>
      <w:szCs w:val="22"/>
      <w:lang w:eastAsia="sl-SI"/>
    </w:rPr>
  </w:style>
  <w:style w:type="character" w:customStyle="1" w:styleId="OddelekZnak1">
    <w:name w:val="Oddelek Znak1"/>
    <w:link w:val="Oddelek"/>
    <w:rsid w:val="00592FD2"/>
    <w:rPr>
      <w:rFonts w:ascii="Arial" w:eastAsia="Times New Roman" w:hAnsi="Arial" w:cs="Arial"/>
      <w:b/>
      <w:lang w:eastAsia="sl-SI"/>
    </w:rPr>
  </w:style>
  <w:style w:type="paragraph" w:customStyle="1" w:styleId="Poglavje">
    <w:name w:val="Poglavje"/>
    <w:basedOn w:val="Navaden"/>
    <w:qFormat/>
    <w:rsid w:val="00592FD2"/>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Vrstapredpisa">
    <w:name w:val="Vrsta predpisa"/>
    <w:basedOn w:val="Navaden"/>
    <w:link w:val="VrstapredpisaZnak"/>
    <w:qFormat/>
    <w:rsid w:val="00592FD2"/>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592FD2"/>
    <w:rPr>
      <w:rFonts w:ascii="Arial" w:eastAsia="Times New Roman" w:hAnsi="Arial" w:cs="Arial"/>
      <w:b/>
      <w:bCs/>
      <w:color w:val="000000"/>
      <w:spacing w:val="40"/>
      <w:lang w:eastAsia="sl-SI"/>
    </w:rPr>
  </w:style>
  <w:style w:type="paragraph" w:customStyle="1" w:styleId="Naslovpredpisa">
    <w:name w:val="Naslov_predpisa"/>
    <w:basedOn w:val="Navaden"/>
    <w:link w:val="NaslovpredpisaZnak"/>
    <w:qFormat/>
    <w:rsid w:val="00592FD2"/>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592FD2"/>
    <w:rPr>
      <w:rFonts w:ascii="Arial" w:eastAsia="Times New Roman" w:hAnsi="Arial" w:cs="Arial"/>
      <w:b/>
      <w:lang w:eastAsia="sl-SI"/>
    </w:rPr>
  </w:style>
  <w:style w:type="paragraph" w:customStyle="1" w:styleId="Odstavekseznama1">
    <w:name w:val="Odstavek seznama1"/>
    <w:basedOn w:val="Navaden"/>
    <w:qFormat/>
    <w:rsid w:val="00592FD2"/>
    <w:pPr>
      <w:spacing w:line="240" w:lineRule="auto"/>
      <w:ind w:left="720"/>
      <w:contextualSpacing/>
    </w:pPr>
    <w:rPr>
      <w:rFonts w:ascii="Times New Roman" w:hAnsi="Times New Roman"/>
      <w:sz w:val="24"/>
      <w:lang w:eastAsia="sl-SI"/>
    </w:rPr>
  </w:style>
  <w:style w:type="character" w:styleId="tevilkastrani">
    <w:name w:val="page number"/>
    <w:rsid w:val="00592FD2"/>
    <w:rPr>
      <w:rFonts w:cs="Times New Roman"/>
    </w:rPr>
  </w:style>
  <w:style w:type="paragraph" w:customStyle="1" w:styleId="tevilnatoka1">
    <w:name w:val="tevilnatoka1"/>
    <w:basedOn w:val="Navaden"/>
    <w:rsid w:val="00592FD2"/>
    <w:pPr>
      <w:spacing w:line="240" w:lineRule="auto"/>
      <w:ind w:left="425" w:hanging="425"/>
      <w:jc w:val="both"/>
    </w:pPr>
    <w:rPr>
      <w:rFonts w:cs="Arial"/>
      <w:sz w:val="22"/>
      <w:szCs w:val="22"/>
      <w:lang w:eastAsia="sl-SI"/>
    </w:rPr>
  </w:style>
  <w:style w:type="paragraph" w:customStyle="1" w:styleId="align-justify">
    <w:name w:val="align-justify"/>
    <w:basedOn w:val="Navaden"/>
    <w:rsid w:val="0074500F"/>
    <w:pPr>
      <w:spacing w:before="100" w:beforeAutospacing="1" w:after="100" w:afterAutospacing="1" w:line="240" w:lineRule="auto"/>
      <w:jc w:val="both"/>
    </w:pPr>
    <w:rPr>
      <w:rFonts w:ascii="Times New Roman" w:hAnsi="Times New Roman"/>
      <w:sz w:val="24"/>
      <w:lang w:eastAsia="sl-SI"/>
    </w:rPr>
  </w:style>
  <w:style w:type="paragraph" w:styleId="Odstavekseznama">
    <w:name w:val="List Paragraph"/>
    <w:basedOn w:val="Navaden"/>
    <w:uiPriority w:val="34"/>
    <w:qFormat/>
    <w:rsid w:val="00E43E4E"/>
    <w:pPr>
      <w:ind w:left="720"/>
      <w:contextualSpacing/>
    </w:pPr>
  </w:style>
  <w:style w:type="paragraph" w:styleId="Besedilooblaka">
    <w:name w:val="Balloon Text"/>
    <w:basedOn w:val="Navaden"/>
    <w:link w:val="BesedilooblakaZnak"/>
    <w:uiPriority w:val="99"/>
    <w:semiHidden/>
    <w:unhideWhenUsed/>
    <w:rsid w:val="00DD425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D425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87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12</Pages>
  <Words>4012</Words>
  <Characters>22869</Characters>
  <Application>Microsoft Office Word</Application>
  <DocSecurity>0</DocSecurity>
  <Lines>190</Lines>
  <Paragraphs>53</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26828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sidg009</dc:creator>
  <cp:lastModifiedBy>Gašper Bevc</cp:lastModifiedBy>
  <cp:revision>61</cp:revision>
  <cp:lastPrinted>2019-03-18T13:17:00Z</cp:lastPrinted>
  <dcterms:created xsi:type="dcterms:W3CDTF">2019-03-13T10:52:00Z</dcterms:created>
  <dcterms:modified xsi:type="dcterms:W3CDTF">2019-04-24T07:11:00Z</dcterms:modified>
</cp:coreProperties>
</file>