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50463" w14:textId="77777777" w:rsidR="00A674B9" w:rsidRPr="00A674B9" w:rsidRDefault="00A674B9" w:rsidP="009A0736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LiberationSans" w:hAnsi="Arial" w:cs="Arial"/>
          <w:sz w:val="20"/>
          <w:szCs w:val="20"/>
        </w:rPr>
      </w:pPr>
      <w:bookmarkStart w:id="0" w:name="_GoBack"/>
      <w:bookmarkEnd w:id="0"/>
      <w:r w:rsidRPr="00A674B9">
        <w:rPr>
          <w:rFonts w:ascii="Arial" w:eastAsia="Calibri" w:hAnsi="Arial" w:cs="Arial"/>
          <w:b/>
          <w:sz w:val="20"/>
          <w:szCs w:val="20"/>
          <w:lang w:eastAsia="sl-SI"/>
        </w:rPr>
        <w:t xml:space="preserve">PRILOGA 4 </w:t>
      </w:r>
    </w:p>
    <w:p w14:paraId="19E5F93F" w14:textId="77777777" w:rsidR="00A674B9" w:rsidRPr="00A674B9" w:rsidRDefault="00A674B9" w:rsidP="00A674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LiberationSans" w:hAnsi="Arial" w:cs="Arial"/>
          <w:sz w:val="20"/>
          <w:szCs w:val="20"/>
        </w:rPr>
      </w:pPr>
    </w:p>
    <w:p w14:paraId="2697B0F7" w14:textId="77777777" w:rsidR="00A674B9" w:rsidRPr="00A674B9" w:rsidRDefault="00A674B9" w:rsidP="00A674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LiberationSans" w:hAnsi="Arial" w:cs="Arial"/>
          <w:sz w:val="20"/>
          <w:szCs w:val="20"/>
        </w:rPr>
      </w:pPr>
    </w:p>
    <w:p w14:paraId="246CCDB9" w14:textId="253B5860" w:rsidR="00A674B9" w:rsidRPr="00A674B9" w:rsidRDefault="00A674B9" w:rsidP="00A674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LiberationSans" w:hAnsi="Arial" w:cs="Arial"/>
          <w:sz w:val="20"/>
          <w:szCs w:val="20"/>
        </w:rPr>
      </w:pPr>
      <w:r w:rsidRPr="00A674B9">
        <w:rPr>
          <w:rFonts w:ascii="Arial" w:eastAsia="LiberationSans" w:hAnsi="Arial" w:cs="Arial"/>
          <w:sz w:val="20"/>
          <w:szCs w:val="20"/>
        </w:rPr>
        <w:t xml:space="preserve">Na podlagi sedmega in osmega odstavka </w:t>
      </w:r>
      <w:proofErr w:type="spellStart"/>
      <w:r w:rsidRPr="00A674B9">
        <w:rPr>
          <w:rFonts w:ascii="Arial" w:eastAsia="LiberationSans" w:hAnsi="Arial" w:cs="Arial"/>
          <w:sz w:val="20"/>
          <w:szCs w:val="20"/>
        </w:rPr>
        <w:t>256.b</w:t>
      </w:r>
      <w:proofErr w:type="spellEnd"/>
      <w:r w:rsidRPr="00A674B9">
        <w:rPr>
          <w:rFonts w:ascii="Arial" w:eastAsia="LiberationSans" w:hAnsi="Arial" w:cs="Arial"/>
          <w:sz w:val="20"/>
          <w:szCs w:val="20"/>
        </w:rPr>
        <w:t xml:space="preserve"> člena, šestega odstavka </w:t>
      </w:r>
      <w:proofErr w:type="spellStart"/>
      <w:r w:rsidRPr="00A674B9">
        <w:rPr>
          <w:rFonts w:ascii="Arial" w:eastAsia="LiberationSans" w:hAnsi="Arial" w:cs="Arial"/>
          <w:sz w:val="20"/>
          <w:szCs w:val="20"/>
        </w:rPr>
        <w:t>257.a</w:t>
      </w:r>
      <w:proofErr w:type="spellEnd"/>
      <w:r w:rsidRPr="00A674B9">
        <w:rPr>
          <w:rFonts w:ascii="Arial" w:eastAsia="LiberationSans" w:hAnsi="Arial" w:cs="Arial"/>
          <w:sz w:val="20"/>
          <w:szCs w:val="20"/>
        </w:rPr>
        <w:t xml:space="preserve"> člena in petega odstavka </w:t>
      </w:r>
      <w:proofErr w:type="spellStart"/>
      <w:r w:rsidRPr="00A674B9">
        <w:rPr>
          <w:rFonts w:ascii="Arial" w:eastAsia="LiberationSans" w:hAnsi="Arial" w:cs="Arial"/>
          <w:sz w:val="20"/>
          <w:szCs w:val="20"/>
        </w:rPr>
        <w:t>258.b</w:t>
      </w:r>
      <w:proofErr w:type="spellEnd"/>
      <w:r w:rsidRPr="00A674B9">
        <w:rPr>
          <w:rFonts w:ascii="Arial" w:eastAsia="LiberationSans" w:hAnsi="Arial" w:cs="Arial"/>
          <w:sz w:val="20"/>
          <w:szCs w:val="20"/>
        </w:rPr>
        <w:t xml:space="preserve"> člena Zakona o davčnem postopku (</w:t>
      </w:r>
      <w:r w:rsidRPr="00A674B9">
        <w:rPr>
          <w:rFonts w:ascii="Arial" w:eastAsia="Calibri" w:hAnsi="Arial" w:cs="Arial"/>
          <w:bCs/>
          <w:sz w:val="20"/>
          <w:szCs w:val="20"/>
        </w:rPr>
        <w:t xml:space="preserve">Uradni list RS, št. </w:t>
      </w:r>
      <w:hyperlink r:id="rId12" w:tgtFrame="_blank" w:tooltip="Zakon o davčnem postopku (uradno prečiščeno besedilo)" w:history="1">
        <w:r w:rsidRPr="00A674B9">
          <w:rPr>
            <w:rFonts w:ascii="Arial" w:eastAsia="Calibri" w:hAnsi="Arial" w:cs="Arial"/>
            <w:bCs/>
            <w:sz w:val="20"/>
            <w:szCs w:val="20"/>
          </w:rPr>
          <w:t>13/11</w:t>
        </w:r>
      </w:hyperlink>
      <w:r w:rsidRPr="00A674B9">
        <w:rPr>
          <w:rFonts w:ascii="Arial" w:eastAsia="Calibri" w:hAnsi="Arial" w:cs="Arial"/>
          <w:bCs/>
          <w:sz w:val="20"/>
          <w:szCs w:val="20"/>
        </w:rPr>
        <w:t xml:space="preserve"> – uradno prečiščeno besedilo, </w:t>
      </w:r>
      <w:hyperlink r:id="rId13" w:tgtFrame="_blank" w:tooltip="Zakon o spremembah in dopolnitvah Zakona o davčnem postopku" w:history="1">
        <w:r w:rsidRPr="00A674B9">
          <w:rPr>
            <w:rFonts w:ascii="Arial" w:eastAsia="Calibri" w:hAnsi="Arial" w:cs="Arial"/>
            <w:bCs/>
            <w:sz w:val="20"/>
            <w:szCs w:val="20"/>
          </w:rPr>
          <w:t>32/12</w:t>
        </w:r>
      </w:hyperlink>
      <w:r w:rsidRPr="00A674B9">
        <w:rPr>
          <w:rFonts w:ascii="Arial" w:eastAsia="Calibri" w:hAnsi="Arial" w:cs="Arial"/>
          <w:bCs/>
          <w:sz w:val="20"/>
          <w:szCs w:val="20"/>
        </w:rPr>
        <w:t xml:space="preserve">, </w:t>
      </w:r>
      <w:hyperlink r:id="rId14" w:tgtFrame="_blank" w:tooltip="Zakon o spremembah in dopolnitvah Zakona o davčnem postopku" w:history="1">
        <w:r w:rsidRPr="00A674B9">
          <w:rPr>
            <w:rFonts w:ascii="Arial" w:eastAsia="Calibri" w:hAnsi="Arial" w:cs="Arial"/>
            <w:bCs/>
            <w:sz w:val="20"/>
            <w:szCs w:val="20"/>
          </w:rPr>
          <w:t>94/12</w:t>
        </w:r>
      </w:hyperlink>
      <w:r w:rsidRPr="00A674B9">
        <w:rPr>
          <w:rFonts w:ascii="Arial" w:eastAsia="Calibri" w:hAnsi="Arial" w:cs="Arial"/>
          <w:bCs/>
          <w:sz w:val="20"/>
          <w:szCs w:val="20"/>
        </w:rPr>
        <w:t xml:space="preserve">, </w:t>
      </w:r>
      <w:hyperlink r:id="rId15" w:tgtFrame="_blank" w:tooltip="Zakon o davku na nepremičnine" w:history="1">
        <w:r w:rsidRPr="00A674B9">
          <w:rPr>
            <w:rFonts w:ascii="Arial" w:eastAsia="Calibri" w:hAnsi="Arial" w:cs="Arial"/>
            <w:bCs/>
            <w:sz w:val="20"/>
            <w:szCs w:val="20"/>
          </w:rPr>
          <w:t>101/13</w:t>
        </w:r>
      </w:hyperlink>
      <w:r w:rsidRPr="00A674B9">
        <w:rPr>
          <w:rFonts w:ascii="Arial" w:eastAsia="Calibri" w:hAnsi="Arial" w:cs="Arial"/>
          <w:bCs/>
          <w:sz w:val="20"/>
          <w:szCs w:val="20"/>
        </w:rPr>
        <w:t xml:space="preserve"> – </w:t>
      </w:r>
      <w:proofErr w:type="spellStart"/>
      <w:r w:rsidRPr="00A674B9">
        <w:rPr>
          <w:rFonts w:ascii="Arial" w:eastAsia="Calibri" w:hAnsi="Arial" w:cs="Arial"/>
          <w:bCs/>
          <w:sz w:val="20"/>
          <w:szCs w:val="20"/>
        </w:rPr>
        <w:t>ZDavNepr</w:t>
      </w:r>
      <w:proofErr w:type="spellEnd"/>
      <w:r w:rsidRPr="00A674B9">
        <w:rPr>
          <w:rFonts w:ascii="Arial" w:eastAsia="Calibri" w:hAnsi="Arial" w:cs="Arial"/>
          <w:bCs/>
          <w:sz w:val="20"/>
          <w:szCs w:val="20"/>
        </w:rPr>
        <w:t xml:space="preserve">, </w:t>
      </w:r>
      <w:hyperlink r:id="rId16" w:tgtFrame="_blank" w:tooltip="Zakon o spremembah in dopolnitvah Zakona o davčnem postopku" w:history="1">
        <w:r w:rsidRPr="00A674B9">
          <w:rPr>
            <w:rFonts w:ascii="Arial" w:eastAsia="Calibri" w:hAnsi="Arial" w:cs="Arial"/>
            <w:bCs/>
            <w:sz w:val="20"/>
            <w:szCs w:val="20"/>
          </w:rPr>
          <w:t>111/13</w:t>
        </w:r>
      </w:hyperlink>
      <w:r w:rsidRPr="00A674B9">
        <w:rPr>
          <w:rFonts w:ascii="Arial" w:eastAsia="Calibri" w:hAnsi="Arial" w:cs="Arial"/>
          <w:bCs/>
          <w:sz w:val="20"/>
          <w:szCs w:val="20"/>
        </w:rPr>
        <w:t xml:space="preserve">, </w:t>
      </w:r>
      <w:r w:rsidR="00E83E3A">
        <w:rPr>
          <w:rFonts w:ascii="Arial" w:eastAsia="Calibri" w:hAnsi="Arial" w:cs="Arial"/>
          <w:bCs/>
          <w:sz w:val="20"/>
          <w:szCs w:val="20"/>
        </w:rPr>
        <w:t xml:space="preserve">22/14 </w:t>
      </w:r>
      <w:r w:rsidR="00E83E3A" w:rsidRPr="00A674B9">
        <w:rPr>
          <w:rFonts w:ascii="Arial" w:eastAsia="Calibri" w:hAnsi="Arial" w:cs="Arial"/>
          <w:bCs/>
          <w:sz w:val="20"/>
          <w:szCs w:val="20"/>
        </w:rPr>
        <w:t xml:space="preserve">– </w:t>
      </w:r>
      <w:proofErr w:type="spellStart"/>
      <w:r w:rsidR="00E83E3A">
        <w:rPr>
          <w:rFonts w:ascii="Arial" w:eastAsia="Calibri" w:hAnsi="Arial" w:cs="Arial"/>
          <w:bCs/>
          <w:sz w:val="20"/>
          <w:szCs w:val="20"/>
        </w:rPr>
        <w:t>odl</w:t>
      </w:r>
      <w:proofErr w:type="spellEnd"/>
      <w:r w:rsidR="00E83E3A">
        <w:rPr>
          <w:rFonts w:ascii="Arial" w:eastAsia="Calibri" w:hAnsi="Arial" w:cs="Arial"/>
          <w:bCs/>
          <w:sz w:val="20"/>
          <w:szCs w:val="20"/>
        </w:rPr>
        <w:t xml:space="preserve">. US, </w:t>
      </w:r>
      <w:hyperlink r:id="rId17" w:tgtFrame="_blank" w:tooltip="Zakon o finančni upravi" w:history="1">
        <w:r w:rsidRPr="00A674B9">
          <w:rPr>
            <w:rFonts w:ascii="Arial" w:eastAsia="Calibri" w:hAnsi="Arial" w:cs="Arial"/>
            <w:bCs/>
            <w:sz w:val="20"/>
            <w:szCs w:val="20"/>
          </w:rPr>
          <w:t>25/14</w:t>
        </w:r>
      </w:hyperlink>
      <w:r w:rsidRPr="00A674B9">
        <w:rPr>
          <w:rFonts w:ascii="Arial" w:eastAsia="Calibri" w:hAnsi="Arial" w:cs="Arial"/>
          <w:bCs/>
          <w:sz w:val="20"/>
          <w:szCs w:val="20"/>
        </w:rPr>
        <w:t xml:space="preserve"> – ZFU, </w:t>
      </w:r>
      <w:hyperlink r:id="rId18" w:tgtFrame="_blank" w:tooltip="Zakon o spremembah in dopolnitvah Zakona o inšpekcijskem nadzoru" w:history="1">
        <w:r w:rsidRPr="00A674B9">
          <w:rPr>
            <w:rFonts w:ascii="Arial" w:eastAsia="Calibri" w:hAnsi="Arial" w:cs="Arial"/>
            <w:bCs/>
            <w:sz w:val="20"/>
            <w:szCs w:val="20"/>
          </w:rPr>
          <w:t>40/14</w:t>
        </w:r>
      </w:hyperlink>
      <w:r w:rsidRPr="00A674B9">
        <w:rPr>
          <w:rFonts w:ascii="Arial" w:eastAsia="Calibri" w:hAnsi="Arial" w:cs="Arial"/>
          <w:bCs/>
          <w:sz w:val="20"/>
          <w:szCs w:val="20"/>
        </w:rPr>
        <w:t xml:space="preserve"> – ZIN-B, </w:t>
      </w:r>
      <w:hyperlink r:id="rId19" w:tgtFrame="_blank" w:tooltip="Zakon o spremembah in dopolnitvah Zakona o davčnem postopku" w:history="1">
        <w:r w:rsidRPr="00A674B9">
          <w:rPr>
            <w:rFonts w:ascii="Arial" w:eastAsia="Calibri" w:hAnsi="Arial" w:cs="Arial"/>
            <w:bCs/>
            <w:sz w:val="20"/>
            <w:szCs w:val="20"/>
          </w:rPr>
          <w:t>90/14</w:t>
        </w:r>
      </w:hyperlink>
      <w:r w:rsidRPr="00A674B9">
        <w:rPr>
          <w:rFonts w:ascii="Arial" w:eastAsia="Calibri" w:hAnsi="Arial" w:cs="Arial"/>
          <w:bCs/>
          <w:sz w:val="20"/>
          <w:szCs w:val="20"/>
        </w:rPr>
        <w:t xml:space="preserve">, </w:t>
      </w:r>
      <w:hyperlink r:id="rId20" w:tgtFrame="_blank" w:tooltip="Zakon o spremembah in dopolnitvah Zakona o davčnem postopku" w:history="1">
        <w:r w:rsidRPr="00A674B9">
          <w:rPr>
            <w:rFonts w:ascii="Arial" w:eastAsia="Calibri" w:hAnsi="Arial" w:cs="Arial"/>
            <w:bCs/>
            <w:sz w:val="20"/>
            <w:szCs w:val="20"/>
          </w:rPr>
          <w:t>91/15</w:t>
        </w:r>
      </w:hyperlink>
      <w:r w:rsidRPr="00A674B9">
        <w:rPr>
          <w:rFonts w:ascii="Arial" w:eastAsia="Calibri" w:hAnsi="Arial" w:cs="Arial"/>
          <w:bCs/>
          <w:sz w:val="20"/>
          <w:szCs w:val="20"/>
        </w:rPr>
        <w:t xml:space="preserve">, </w:t>
      </w:r>
      <w:hyperlink r:id="rId21" w:tgtFrame="_blank" w:tooltip="Zakon o spremembah in dopolnitvah Zakona o davčnem postopku" w:history="1">
        <w:r w:rsidRPr="00A674B9">
          <w:rPr>
            <w:rFonts w:ascii="Arial" w:eastAsia="Calibri" w:hAnsi="Arial" w:cs="Arial"/>
            <w:bCs/>
            <w:sz w:val="20"/>
            <w:szCs w:val="20"/>
          </w:rPr>
          <w:t>63/16</w:t>
        </w:r>
      </w:hyperlink>
      <w:r w:rsidRPr="00A674B9">
        <w:rPr>
          <w:rFonts w:ascii="Arial" w:eastAsia="Calibri" w:hAnsi="Arial" w:cs="Arial"/>
          <w:bCs/>
          <w:sz w:val="20"/>
          <w:szCs w:val="20"/>
        </w:rPr>
        <w:t xml:space="preserve">, </w:t>
      </w:r>
      <w:hyperlink r:id="rId22" w:tgtFrame="_blank" w:tooltip="Zakon o spremembah in dopolnitvah Zakona o davčnem postopku" w:history="1">
        <w:r w:rsidRPr="00A674B9">
          <w:rPr>
            <w:rFonts w:ascii="Arial" w:eastAsia="Calibri" w:hAnsi="Arial" w:cs="Arial"/>
            <w:bCs/>
            <w:sz w:val="20"/>
            <w:szCs w:val="20"/>
          </w:rPr>
          <w:t>69/17</w:t>
        </w:r>
      </w:hyperlink>
      <w:r w:rsidRPr="00A674B9">
        <w:rPr>
          <w:rFonts w:ascii="Arial" w:eastAsia="Calibri" w:hAnsi="Arial" w:cs="Arial"/>
          <w:bCs/>
          <w:sz w:val="20"/>
          <w:szCs w:val="20"/>
        </w:rPr>
        <w:t xml:space="preserve"> in </w:t>
      </w:r>
      <w:hyperlink r:id="rId23" w:tgtFrame="_blank" w:tooltip="Zakon o spremembah in dopolnitvah Zakona o javnih financah" w:history="1">
        <w:r w:rsidRPr="00A674B9">
          <w:rPr>
            <w:rFonts w:ascii="Arial" w:eastAsia="Calibri" w:hAnsi="Arial" w:cs="Arial"/>
            <w:bCs/>
            <w:sz w:val="20"/>
            <w:szCs w:val="20"/>
          </w:rPr>
          <w:t>13/18</w:t>
        </w:r>
      </w:hyperlink>
      <w:r w:rsidRPr="00A674B9">
        <w:rPr>
          <w:rFonts w:ascii="Arial" w:eastAsia="Calibri" w:hAnsi="Arial" w:cs="Arial"/>
          <w:bCs/>
          <w:sz w:val="20"/>
          <w:szCs w:val="20"/>
        </w:rPr>
        <w:t xml:space="preserve"> – ZJF-H) izdaja minister za finance </w:t>
      </w:r>
    </w:p>
    <w:p w14:paraId="7D1CEB73" w14:textId="77777777" w:rsidR="00A674B9" w:rsidRPr="00A674B9" w:rsidRDefault="00A674B9" w:rsidP="00A674B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9819249" w14:textId="77777777" w:rsidR="00A674B9" w:rsidRPr="00A674B9" w:rsidRDefault="00A674B9" w:rsidP="00A674B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674B9">
        <w:rPr>
          <w:rFonts w:ascii="Arial" w:eastAsia="Calibri" w:hAnsi="Arial" w:cs="Arial"/>
          <w:b/>
          <w:sz w:val="20"/>
          <w:szCs w:val="20"/>
        </w:rPr>
        <w:t>Pravilnik o postopku skupnega dogovarjanja v skladu z mednarodno pogodbo</w:t>
      </w:r>
    </w:p>
    <w:p w14:paraId="5AD5EFEE" w14:textId="77777777" w:rsidR="00A674B9" w:rsidRPr="00A674B9" w:rsidRDefault="00A674B9" w:rsidP="00A674B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C626F80" w14:textId="77777777" w:rsidR="00A674B9" w:rsidRPr="00A674B9" w:rsidRDefault="00A674B9" w:rsidP="00A674B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LiberationSans" w:hAnsi="Arial" w:cs="Arial"/>
          <w:b/>
          <w:sz w:val="20"/>
          <w:szCs w:val="20"/>
        </w:rPr>
      </w:pPr>
      <w:r w:rsidRPr="00A674B9">
        <w:rPr>
          <w:rFonts w:ascii="Arial" w:eastAsia="LiberationSans" w:hAnsi="Arial" w:cs="Arial"/>
          <w:b/>
          <w:sz w:val="20"/>
          <w:szCs w:val="20"/>
        </w:rPr>
        <w:t>člen</w:t>
      </w:r>
    </w:p>
    <w:p w14:paraId="475C6CDF" w14:textId="77777777" w:rsidR="00A674B9" w:rsidRPr="00A674B9" w:rsidRDefault="00A674B9" w:rsidP="00A674B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3FC98C04" w14:textId="77777777" w:rsidR="00A674B9" w:rsidRPr="00A674B9" w:rsidRDefault="00A674B9" w:rsidP="00A674B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674B9">
        <w:rPr>
          <w:rFonts w:ascii="Arial" w:eastAsia="Calibri" w:hAnsi="Arial" w:cs="Arial"/>
          <w:sz w:val="20"/>
          <w:szCs w:val="20"/>
        </w:rPr>
        <w:t>Ta pravilnik podrobneje ureja izvajanje postopka skupnega dogovarjanja.</w:t>
      </w:r>
    </w:p>
    <w:p w14:paraId="320D4999" w14:textId="77777777" w:rsidR="00A674B9" w:rsidRPr="00A674B9" w:rsidRDefault="00A674B9" w:rsidP="00A674B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2CD4BBF" w14:textId="77777777" w:rsidR="00A674B9" w:rsidRPr="00A674B9" w:rsidRDefault="00A674B9" w:rsidP="00A674B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DFBE12" w14:textId="77777777" w:rsidR="00A674B9" w:rsidRPr="00A674B9" w:rsidRDefault="00A674B9" w:rsidP="00A674B9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A674B9">
        <w:rPr>
          <w:rFonts w:ascii="Arial" w:eastAsia="Calibri" w:hAnsi="Arial" w:cs="Arial"/>
          <w:b/>
          <w:sz w:val="20"/>
          <w:szCs w:val="20"/>
        </w:rPr>
        <w:t>člen</w:t>
      </w:r>
    </w:p>
    <w:p w14:paraId="1A8B90A8" w14:textId="77777777" w:rsidR="00A674B9" w:rsidRPr="00A674B9" w:rsidRDefault="00A674B9" w:rsidP="00A674B9">
      <w:pPr>
        <w:spacing w:after="0" w:line="240" w:lineRule="auto"/>
        <w:ind w:firstLine="1021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b/>
          <w:sz w:val="20"/>
          <w:szCs w:val="20"/>
          <w:lang w:eastAsia="sl-SI"/>
        </w:rPr>
        <w:t>(sestavine zahteve za začetek postopka skupnega dogovarjanja</w:t>
      </w:r>
      <w:r w:rsidRPr="00A674B9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773947E2" w14:textId="77777777" w:rsidR="00A674B9" w:rsidRPr="00A674B9" w:rsidRDefault="00A674B9" w:rsidP="00A674B9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B87948C" w14:textId="77777777" w:rsidR="00A674B9" w:rsidRPr="00A674B9" w:rsidRDefault="00A674B9" w:rsidP="00A674B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674B9">
        <w:rPr>
          <w:rFonts w:ascii="Arial" w:eastAsia="Calibri" w:hAnsi="Arial" w:cs="Arial"/>
          <w:sz w:val="20"/>
          <w:szCs w:val="20"/>
        </w:rPr>
        <w:t xml:space="preserve">(1) Davčni zavezanec vloži pri davčnem organu pisno zahtevo za začetek postopka skupnega dogovarjanja s pristojnim organom druge države (v nadaljevanjem besedilu: zahteva), ki mora vsebovati podatke, ki jih določa peti odstavek </w:t>
      </w:r>
      <w:proofErr w:type="spellStart"/>
      <w:r w:rsidRPr="00A674B9">
        <w:rPr>
          <w:rFonts w:ascii="Arial" w:eastAsia="Calibri" w:hAnsi="Arial" w:cs="Arial"/>
          <w:sz w:val="20"/>
          <w:szCs w:val="20"/>
        </w:rPr>
        <w:t>256.b</w:t>
      </w:r>
      <w:proofErr w:type="spellEnd"/>
      <w:r w:rsidRPr="00A674B9">
        <w:rPr>
          <w:rFonts w:ascii="Arial" w:eastAsia="Calibri" w:hAnsi="Arial" w:cs="Arial"/>
          <w:sz w:val="20"/>
          <w:szCs w:val="20"/>
        </w:rPr>
        <w:t xml:space="preserve"> člena ZDavP-2.</w:t>
      </w:r>
    </w:p>
    <w:p w14:paraId="4B5AAAFB" w14:textId="77777777" w:rsidR="00A674B9" w:rsidRPr="00A674B9" w:rsidRDefault="00A674B9" w:rsidP="00A674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5E3D37" w14:textId="77777777" w:rsidR="00A674B9" w:rsidRPr="00A674B9" w:rsidRDefault="00A674B9" w:rsidP="00A674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sz w:val="20"/>
          <w:szCs w:val="20"/>
          <w:lang w:eastAsia="sl-SI"/>
        </w:rPr>
        <w:t xml:space="preserve">(2) Identifikacijski podatki davčnega zavezanca in drugih relevantnih oseb vsebujejo ime, naslov, davčno številko in druge podatke, potrebne za identifikacijo osebe, za katero se uporabljajo določbe posamezne mednarodne pogodbe o izogibanju dvojnega obdavčevanja, ki je vložila zahtevek pri pristojnem organu, ter morebitnih drugih relevantnih oseb. </w:t>
      </w:r>
    </w:p>
    <w:p w14:paraId="6A5F659B" w14:textId="77777777" w:rsidR="00A674B9" w:rsidRPr="00A674B9" w:rsidRDefault="00A674B9" w:rsidP="00A674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8C9EA9C" w14:textId="77777777" w:rsidR="00A674B9" w:rsidRPr="00A674B9" w:rsidRDefault="00A674B9" w:rsidP="00A674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sz w:val="20"/>
          <w:szCs w:val="20"/>
          <w:lang w:eastAsia="sl-SI"/>
        </w:rPr>
        <w:t>(3) Davčni zavezanec mora v zahtevi izkazati dejstva, dokaze in okoliščine, odločilne za presojo o vprašanju obdavčitve, ki vključujejo podrobnosti o:</w:t>
      </w:r>
    </w:p>
    <w:p w14:paraId="253A53D1" w14:textId="77777777" w:rsidR="00A674B9" w:rsidRPr="00A674B9" w:rsidRDefault="00A674B9" w:rsidP="00A674B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sz w:val="20"/>
          <w:szCs w:val="20"/>
          <w:lang w:eastAsia="sl-SI"/>
        </w:rPr>
        <w:t xml:space="preserve">strukturi transakcije, </w:t>
      </w:r>
    </w:p>
    <w:p w14:paraId="49AE370B" w14:textId="77777777" w:rsidR="00A674B9" w:rsidRPr="00A674B9" w:rsidRDefault="00A674B9" w:rsidP="00A674B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sz w:val="20"/>
          <w:szCs w:val="20"/>
          <w:lang w:eastAsia="sl-SI"/>
        </w:rPr>
        <w:t xml:space="preserve">razmerjih med osebo, ki je vložila zahtevek pri pristojnem organu in drugimi strankami relevantnih transakcij; </w:t>
      </w:r>
    </w:p>
    <w:p w14:paraId="3B826ABA" w14:textId="77777777" w:rsidR="00A674B9" w:rsidRPr="00A674B9" w:rsidRDefault="00A674B9" w:rsidP="00A674B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sz w:val="20"/>
          <w:szCs w:val="20"/>
          <w:lang w:eastAsia="sl-SI"/>
        </w:rPr>
        <w:t>naravi in datumu dejanj, zaradi katerih je nastalo vprašanje spora (če je relevantno pa tudi podrobnosti o istem dohodku, prejetem v drugi državi, in o vključitvi takšnega dohodka v obdavčljivi dohodek v drugi državi ter o davku, ki je bil ali bo obračunan v zvezi s takšnimi dohodki v drugi državi) ter s tem povezanih zneskih v valutah relevantnih držav (vključno s kopijami morebitnih spremnih dokumentov).</w:t>
      </w:r>
    </w:p>
    <w:p w14:paraId="15453139" w14:textId="77777777" w:rsidR="00A674B9" w:rsidRPr="00A674B9" w:rsidRDefault="00A674B9" w:rsidP="00A674B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A7E0E68" w14:textId="77777777" w:rsidR="00A674B9" w:rsidRPr="00A674B9" w:rsidRDefault="00A674B9" w:rsidP="00A674B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674B9">
        <w:rPr>
          <w:rFonts w:ascii="Arial" w:eastAsia="Calibri" w:hAnsi="Arial" w:cs="Arial"/>
          <w:sz w:val="20"/>
          <w:szCs w:val="20"/>
        </w:rPr>
        <w:t xml:space="preserve">(4) Pri navedbi predpisov in mednarodne pogodbe, ki se uporablja oziroma je pomembna v konkretnem primeru, ki se razlaga in uporablja v povezavi z vprašanjem obdavčitve je treba, če se uporablja več kot ena mednarodna pogodba, navesti katera mednarodna pogodba se razlaga v povezavi z vprašanjem obdavčitve, </w:t>
      </w:r>
    </w:p>
    <w:p w14:paraId="70FB762F" w14:textId="77777777" w:rsidR="00A674B9" w:rsidRPr="00A674B9" w:rsidRDefault="00A674B9" w:rsidP="00A674B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9F1D112" w14:textId="77777777" w:rsidR="00A674B9" w:rsidRPr="00A674B9" w:rsidRDefault="00A674B9" w:rsidP="00A674B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674B9">
        <w:rPr>
          <w:rFonts w:ascii="Arial" w:eastAsia="Calibri" w:hAnsi="Arial" w:cs="Arial"/>
          <w:sz w:val="20"/>
          <w:szCs w:val="20"/>
        </w:rPr>
        <w:t xml:space="preserve">(5) Seznanitev pristojnega organa o obračunu ali odločbi, s katero je bil obračunan ali odmerjen davek, obsega podrobnosti o obračunu ali odločbi, ki se nanaša na vprašanje obdavčitve in priloži kopijo obračuna ali odločbe o odmeri davka v obliki končnega uradnega obvestila o odmeri davka, poročila davčnega inšpekcijskega nadzora ali drugega enakovrednega dokumenta, ki sproža vprašanje obdavčitve, in kopije kakršnih koli drugih relevantnih dokumentov, ko jih je izdal davčni organ v zvezi z vprašanjem obdavčitve. </w:t>
      </w:r>
    </w:p>
    <w:p w14:paraId="4CEEA43D" w14:textId="77777777" w:rsidR="00A674B9" w:rsidRPr="00A674B9" w:rsidRDefault="00A674B9" w:rsidP="00A674B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A1F8602" w14:textId="77777777" w:rsidR="00A674B9" w:rsidRPr="00A674B9" w:rsidRDefault="00A674B9" w:rsidP="00A674B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674B9">
        <w:rPr>
          <w:rFonts w:ascii="Arial" w:eastAsia="Calibri" w:hAnsi="Arial" w:cs="Arial"/>
          <w:sz w:val="20"/>
          <w:szCs w:val="20"/>
        </w:rPr>
        <w:t xml:space="preserve">(6) Seznanitev pristojnega organa o vloženih pravnih sredstvih in o izdanih upravnih odločbah in sodb obsega podrobnosti o morebitnih upravnih in sodnih postopkih, ki jih je davčni zavezanec začel v zvezi z relevantnimi transakcijami oziroma vprašanju obdavčitve, podrobnosti o upravnih ali sodnih odločbah, ki se nanašajo na vprašanje obdavčitve, in kopije končne odločbe o odmeri davka v obliki končnega uradnega obvestila o odmeri davka, poročila davčnega inšpekcijskega nadzora ali drugega enakovrednega dokumenta, ki sproža vprašanje obdavčitve, in kopije kakršnih koli drugih relevantnih dokumentov, ko so jih davčni organi izdali v zvezi z vprašanjem obdavčitve.«. </w:t>
      </w:r>
    </w:p>
    <w:p w14:paraId="2664F05E" w14:textId="77777777" w:rsidR="00A674B9" w:rsidRPr="00A674B9" w:rsidRDefault="00A674B9" w:rsidP="00A674B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2EB4E7" w14:textId="77777777" w:rsidR="00A674B9" w:rsidRPr="00A674B9" w:rsidRDefault="00A674B9" w:rsidP="00A674B9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člen</w:t>
      </w:r>
    </w:p>
    <w:p w14:paraId="7FDEB970" w14:textId="77777777" w:rsidR="00A674B9" w:rsidRPr="00A674B9" w:rsidRDefault="00A674B9" w:rsidP="00A674B9">
      <w:pPr>
        <w:spacing w:after="0" w:line="240" w:lineRule="auto"/>
        <w:ind w:firstLine="1021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(vrsta informacij in način pošiljanja informacij med ministrstvom) </w:t>
      </w:r>
    </w:p>
    <w:p w14:paraId="1E7CEE62" w14:textId="77777777" w:rsidR="00A674B9" w:rsidRPr="00A674B9" w:rsidRDefault="00A674B9" w:rsidP="00A674B9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sz w:val="20"/>
          <w:szCs w:val="20"/>
          <w:lang w:eastAsia="sl-SI"/>
        </w:rPr>
        <w:lastRenderedPageBreak/>
        <w:t>Ministrstvo za finance in Finančna uprava Republike Slovenije si pošiljata informacije za namene vodenja postopka po IV. poglavju 1. podpoglavju, ki ureja izvajanje mednarodnih pogodb, ki se nanašajo na:</w:t>
      </w:r>
    </w:p>
    <w:p w14:paraId="39D1E045" w14:textId="77777777" w:rsidR="00A674B9" w:rsidRPr="00A674B9" w:rsidRDefault="00A674B9" w:rsidP="00A674B9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sz w:val="20"/>
          <w:szCs w:val="20"/>
          <w:lang w:eastAsia="sl-SI"/>
        </w:rPr>
        <w:t>podatke, ki so pomembne za preizkus, ali je zahtevo vložila upravičena oseba, ali je zahteva pravočasna, popolna, dovoljena in ali se zahteva nanaša na obdavčitev po mednarodni pogodbi,</w:t>
      </w:r>
    </w:p>
    <w:p w14:paraId="43959986" w14:textId="77777777" w:rsidR="00A674B9" w:rsidRPr="00A674B9" w:rsidRDefault="00A674B9" w:rsidP="00A674B9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sz w:val="20"/>
          <w:szCs w:val="20"/>
          <w:lang w:eastAsia="sl-SI"/>
        </w:rPr>
        <w:t>umik zahteve,</w:t>
      </w:r>
    </w:p>
    <w:p w14:paraId="5D2F7714" w14:textId="77777777" w:rsidR="00A674B9" w:rsidRPr="00A674B9" w:rsidRDefault="00A674B9" w:rsidP="00A674B9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sz w:val="20"/>
          <w:szCs w:val="20"/>
          <w:lang w:eastAsia="sl-SI"/>
        </w:rPr>
        <w:t>prekinitev davčnega in sodnega postopka,</w:t>
      </w:r>
    </w:p>
    <w:p w14:paraId="00F82C76" w14:textId="77777777" w:rsidR="00A674B9" w:rsidRPr="00A674B9" w:rsidRDefault="00A674B9" w:rsidP="00A674B9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sz w:val="20"/>
          <w:szCs w:val="20"/>
          <w:lang w:eastAsia="sl-SI"/>
        </w:rPr>
        <w:t>uveljavitev skupnega dogovora in</w:t>
      </w:r>
    </w:p>
    <w:p w14:paraId="4BCE5773" w14:textId="77777777" w:rsidR="00A674B9" w:rsidRPr="00A674B9" w:rsidRDefault="00A674B9" w:rsidP="00A674B9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sz w:val="20"/>
          <w:szCs w:val="20"/>
          <w:lang w:eastAsia="sl-SI"/>
        </w:rPr>
        <w:t xml:space="preserve">objavo mnenja svetovalne komisije ali komisije za alternativno reševanje sporov. </w:t>
      </w:r>
    </w:p>
    <w:p w14:paraId="45FDB38A" w14:textId="77777777" w:rsidR="00A674B9" w:rsidRPr="00A674B9" w:rsidRDefault="00A674B9" w:rsidP="00A674B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0DD957E" w14:textId="77777777" w:rsidR="00A674B9" w:rsidRPr="00A674B9" w:rsidRDefault="00A674B9" w:rsidP="00A674B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674B9">
        <w:rPr>
          <w:rFonts w:ascii="Arial" w:eastAsia="Calibri" w:hAnsi="Arial" w:cs="Arial"/>
          <w:sz w:val="20"/>
          <w:szCs w:val="20"/>
        </w:rPr>
        <w:t>Informacije se pošiljajo v elektronski obliki.</w:t>
      </w:r>
    </w:p>
    <w:p w14:paraId="3FBCCCE1" w14:textId="77777777" w:rsidR="00A674B9" w:rsidRPr="00A674B9" w:rsidRDefault="00A674B9" w:rsidP="00A674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90C9FDD" w14:textId="77777777" w:rsidR="00A674B9" w:rsidRPr="00A674B9" w:rsidRDefault="00A674B9" w:rsidP="00A674B9">
      <w:pPr>
        <w:spacing w:after="0" w:line="240" w:lineRule="auto"/>
        <w:ind w:left="108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b/>
          <w:sz w:val="20"/>
          <w:szCs w:val="20"/>
          <w:lang w:eastAsia="sl-SI"/>
        </w:rPr>
        <w:t>4. člen</w:t>
      </w:r>
    </w:p>
    <w:p w14:paraId="045DD01C" w14:textId="77777777" w:rsidR="00A674B9" w:rsidRPr="00A674B9" w:rsidRDefault="00A674B9" w:rsidP="00A674B9">
      <w:pPr>
        <w:spacing w:after="0" w:line="240" w:lineRule="auto"/>
        <w:ind w:left="108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b/>
          <w:sz w:val="20"/>
          <w:szCs w:val="20"/>
          <w:lang w:eastAsia="sl-SI"/>
        </w:rPr>
        <w:t>(način imenovanja ugledne neodvisne osebe)</w:t>
      </w:r>
    </w:p>
    <w:p w14:paraId="1E056817" w14:textId="77777777" w:rsidR="00A674B9" w:rsidRPr="00A674B9" w:rsidRDefault="00A674B9" w:rsidP="00A674B9">
      <w:pPr>
        <w:spacing w:after="0" w:line="240" w:lineRule="auto"/>
        <w:ind w:left="108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076EA62" w14:textId="77777777" w:rsidR="00A674B9" w:rsidRPr="00A674B9" w:rsidRDefault="00A674B9" w:rsidP="00A674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sz w:val="20"/>
          <w:szCs w:val="20"/>
          <w:lang w:eastAsia="sl-SI"/>
        </w:rPr>
        <w:t>(1) Ministrstvo za finance (v nadaljnjem besedilu: ministrstvo) z javnim pozivom povabi zainteresirane osebe, da pri ministrstvu vložijo vlogo za imenovanje za ugledno neodvisno osebo.</w:t>
      </w:r>
    </w:p>
    <w:p w14:paraId="7D0A9BFF" w14:textId="77777777" w:rsidR="00A674B9" w:rsidRPr="00A674B9" w:rsidRDefault="00A674B9" w:rsidP="00A674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B0F8325" w14:textId="77777777" w:rsidR="00A674B9" w:rsidRPr="00A674B9" w:rsidRDefault="00A674B9" w:rsidP="00A674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(2) Po objavi javnega poziva oseba, ki želi biti imenovana (v nadaljnjem besedilu: kandidat), vloži vlogo pri ministrstvu, z navedbo osebnih podatkov. </w:t>
      </w:r>
      <w:r w:rsidRPr="00A674B9">
        <w:rPr>
          <w:rFonts w:ascii="Arial" w:eastAsia="Times New Roman" w:hAnsi="Arial" w:cs="Arial"/>
          <w:sz w:val="20"/>
          <w:szCs w:val="20"/>
          <w:lang w:eastAsia="sl-SI"/>
        </w:rPr>
        <w:t xml:space="preserve">Javni poziv se objavi v Uradnem listu Republike Slovenije in na spletni strani ministrstva. </w:t>
      </w:r>
    </w:p>
    <w:p w14:paraId="3D26DF82" w14:textId="77777777" w:rsidR="00A674B9" w:rsidRPr="00A674B9" w:rsidRDefault="00A674B9" w:rsidP="00A674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1759597E" w14:textId="64B0B3DB" w:rsidR="00A674B9" w:rsidRPr="00A674B9" w:rsidRDefault="00A674B9" w:rsidP="00A674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(3) Kandidat mora vlogi iz prejšnjega odstavka priložiti dokazila, s katerimi izkazuje izpolnjevanje zakonskih pogojev. </w:t>
      </w:r>
      <w:r w:rsidR="00946E0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Razkriti mora tudi vse svoje interese, razmerja in druge zadeve, ki bi lahko vplivali na njeno neodvisnost ali nepristranskost ali ki bi lahko utemeljeno vzbujali vtis pristranskosti v postopkih.</w:t>
      </w:r>
    </w:p>
    <w:p w14:paraId="59CAF364" w14:textId="77777777" w:rsidR="00A674B9" w:rsidRPr="00A674B9" w:rsidRDefault="00A674B9" w:rsidP="00A674B9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highlight w:val="yellow"/>
          <w:lang w:eastAsia="sl-SI"/>
        </w:rPr>
      </w:pPr>
    </w:p>
    <w:p w14:paraId="59E81B25" w14:textId="77777777" w:rsidR="00A674B9" w:rsidRPr="00A674B9" w:rsidRDefault="00A674B9" w:rsidP="00A674B9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A674B9">
        <w:rPr>
          <w:rFonts w:ascii="Arial" w:eastAsia="Calibri" w:hAnsi="Arial" w:cs="Arial"/>
          <w:sz w:val="20"/>
          <w:szCs w:val="20"/>
          <w:lang w:eastAsia="sl-SI"/>
        </w:rPr>
        <w:t xml:space="preserve">(4) Če je kandidat izobrazbo pridobil v tujini, mora k vlogi priložiti tujo listino o izobraževanju in mnenje o izobraževanju po zakonu, ki ureja vrednotenje in priznavanje izobraževanja, ali odločbo o nostrifikaciji. </w:t>
      </w:r>
    </w:p>
    <w:p w14:paraId="38662FC9" w14:textId="77777777" w:rsidR="00A674B9" w:rsidRPr="00A674B9" w:rsidRDefault="00A674B9" w:rsidP="00A674B9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43440796" w14:textId="77777777" w:rsidR="00A674B9" w:rsidRPr="00A674B9" w:rsidRDefault="00A674B9" w:rsidP="00A674B9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A674B9">
        <w:rPr>
          <w:rFonts w:ascii="Arial" w:eastAsia="Calibri" w:hAnsi="Arial" w:cs="Arial"/>
          <w:sz w:val="20"/>
          <w:szCs w:val="20"/>
          <w:lang w:eastAsia="sl-SI"/>
        </w:rPr>
        <w:t xml:space="preserve">(5) Kot dokazilo o delovnih izkušnjah se šteje potrdilo ali izjava z natančno navedbo področja in trajanja poklicnih izkušenj in zaposlitve kandidata. </w:t>
      </w:r>
    </w:p>
    <w:p w14:paraId="23E3EFF8" w14:textId="77777777" w:rsidR="00A674B9" w:rsidRPr="00A674B9" w:rsidRDefault="00A674B9" w:rsidP="00A674B9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6EFBEAF4" w14:textId="4A66966D" w:rsidR="00946E00" w:rsidRDefault="00A674B9" w:rsidP="00A674B9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A674B9">
        <w:rPr>
          <w:rFonts w:ascii="Arial" w:eastAsia="Calibri" w:hAnsi="Arial" w:cs="Arial"/>
          <w:sz w:val="20"/>
          <w:szCs w:val="20"/>
          <w:lang w:eastAsia="sl-SI"/>
        </w:rPr>
        <w:t>(6) Potrdilo o znanju angleškega jezika mora izkazovati znanje po Lestvici Skupnega evropskega jezikovnega okvira raven B 2.</w:t>
      </w:r>
    </w:p>
    <w:p w14:paraId="2A1B7B57" w14:textId="77777777" w:rsidR="00A674B9" w:rsidRPr="00A674B9" w:rsidRDefault="00A674B9" w:rsidP="00A674B9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sz w:val="20"/>
          <w:szCs w:val="20"/>
          <w:lang w:eastAsia="sl-SI"/>
        </w:rPr>
        <w:t xml:space="preserve">(7) Ugledno neodvisno osebo imenuje minister, pristojen za finance, z odločbo, zoper katero ni pritožbe. </w:t>
      </w:r>
      <w:r w:rsidRPr="00A674B9">
        <w:rPr>
          <w:rFonts w:ascii="Arial" w:eastAsia="Calibri" w:hAnsi="Arial" w:cs="Arial"/>
          <w:sz w:val="20"/>
          <w:szCs w:val="20"/>
          <w:lang w:val="x-none" w:eastAsia="sl-SI"/>
        </w:rPr>
        <w:t xml:space="preserve">Imenuje </w:t>
      </w:r>
      <w:r w:rsidRPr="00A674B9">
        <w:rPr>
          <w:rFonts w:ascii="Arial" w:eastAsia="Calibri" w:hAnsi="Arial" w:cs="Arial"/>
          <w:sz w:val="20"/>
          <w:szCs w:val="20"/>
          <w:lang w:eastAsia="sl-SI"/>
        </w:rPr>
        <w:t>jo</w:t>
      </w:r>
      <w:r w:rsidRPr="00A674B9">
        <w:rPr>
          <w:rFonts w:ascii="Arial" w:eastAsia="Calibri" w:hAnsi="Arial" w:cs="Arial"/>
          <w:sz w:val="20"/>
          <w:szCs w:val="20"/>
          <w:lang w:val="x-none" w:eastAsia="sl-SI"/>
        </w:rPr>
        <w:t xml:space="preserve"> za nedoločen čas.</w:t>
      </w:r>
    </w:p>
    <w:p w14:paraId="7B578D59" w14:textId="77777777" w:rsidR="00A674B9" w:rsidRPr="00A674B9" w:rsidRDefault="00A674B9" w:rsidP="00A674B9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8D679E1" w14:textId="77777777" w:rsidR="00A674B9" w:rsidRPr="00A674B9" w:rsidRDefault="00A674B9" w:rsidP="00A674B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b/>
          <w:sz w:val="20"/>
          <w:szCs w:val="20"/>
          <w:lang w:eastAsia="sl-SI"/>
        </w:rPr>
        <w:t>5. člen</w:t>
      </w:r>
    </w:p>
    <w:p w14:paraId="070E91F8" w14:textId="77777777" w:rsidR="00A674B9" w:rsidRPr="00A674B9" w:rsidRDefault="00A674B9" w:rsidP="00A674B9">
      <w:pPr>
        <w:spacing w:after="0" w:line="240" w:lineRule="auto"/>
        <w:ind w:left="108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b/>
          <w:sz w:val="20"/>
          <w:szCs w:val="20"/>
          <w:lang w:eastAsia="sl-SI"/>
        </w:rPr>
        <w:t>(način razrešitve ugledne neodvisne osebe)</w:t>
      </w:r>
    </w:p>
    <w:p w14:paraId="550299C7" w14:textId="471CBA81" w:rsidR="00A674B9" w:rsidRPr="00A674B9" w:rsidRDefault="00A674B9" w:rsidP="00A674B9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sz w:val="20"/>
          <w:szCs w:val="20"/>
          <w:lang w:eastAsia="sl-SI"/>
        </w:rPr>
        <w:t xml:space="preserve">(1) Ministrstvo pošlje ugledni neodvisni osebi, zoper katerega je zaradi okoliščin iz </w:t>
      </w:r>
      <w:r w:rsidR="00946E00">
        <w:rPr>
          <w:rFonts w:ascii="Arial" w:eastAsia="Times New Roman" w:hAnsi="Arial" w:cs="Arial"/>
          <w:sz w:val="20"/>
          <w:szCs w:val="20"/>
          <w:lang w:eastAsia="sl-SI"/>
        </w:rPr>
        <w:t>sedmega</w:t>
      </w:r>
      <w:r w:rsidRPr="00A674B9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r w:rsidR="00946E00">
        <w:rPr>
          <w:rFonts w:ascii="Arial" w:eastAsia="Times New Roman" w:hAnsi="Arial" w:cs="Arial"/>
          <w:sz w:val="20"/>
          <w:szCs w:val="20"/>
          <w:lang w:eastAsia="sl-SI"/>
        </w:rPr>
        <w:t>osmega</w:t>
      </w:r>
      <w:r w:rsidRPr="00A674B9">
        <w:rPr>
          <w:rFonts w:ascii="Arial" w:eastAsia="Times New Roman" w:hAnsi="Arial" w:cs="Arial"/>
          <w:sz w:val="20"/>
          <w:szCs w:val="20"/>
          <w:lang w:eastAsia="sl-SI"/>
        </w:rPr>
        <w:t xml:space="preserve"> odstavka </w:t>
      </w:r>
      <w:proofErr w:type="spellStart"/>
      <w:r w:rsidRPr="00A674B9">
        <w:rPr>
          <w:rFonts w:ascii="Arial" w:eastAsia="Times New Roman" w:hAnsi="Arial" w:cs="Arial"/>
          <w:sz w:val="20"/>
          <w:szCs w:val="20"/>
          <w:lang w:eastAsia="sl-SI"/>
        </w:rPr>
        <w:t>257.a</w:t>
      </w:r>
      <w:proofErr w:type="spellEnd"/>
      <w:r w:rsidRPr="00A674B9">
        <w:rPr>
          <w:rFonts w:ascii="Arial" w:eastAsia="Times New Roman" w:hAnsi="Arial" w:cs="Arial"/>
          <w:sz w:val="20"/>
          <w:szCs w:val="20"/>
          <w:lang w:eastAsia="sl-SI"/>
        </w:rPr>
        <w:t xml:space="preserve"> člena Zakona o davčnem postopku začelo postopek razrešitve, obvestilo o začetku postopka z obrazložitvijo razlogov o razrešitvi.</w:t>
      </w:r>
      <w:r w:rsidR="00946E0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5FD25A75" w14:textId="77777777" w:rsidR="00A674B9" w:rsidRPr="00A674B9" w:rsidRDefault="00A674B9" w:rsidP="00A674B9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sz w:val="20"/>
          <w:szCs w:val="20"/>
          <w:lang w:eastAsia="sl-SI"/>
        </w:rPr>
        <w:t xml:space="preserve">(2) Rok za odgovor, ki ne sme biti krajši od osmih in ne daljši od 30 dni, teče od dneva, ko je ugledni neodvisni osebi vročeno obvestilo o začetku postopka razrešitve. </w:t>
      </w:r>
    </w:p>
    <w:p w14:paraId="23E51B50" w14:textId="77777777" w:rsidR="00A674B9" w:rsidRPr="00A674B9" w:rsidRDefault="00A674B9" w:rsidP="00A674B9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sz w:val="20"/>
          <w:szCs w:val="20"/>
          <w:lang w:eastAsia="sl-SI"/>
        </w:rPr>
        <w:t xml:space="preserve">(3) Ugledno neodvisno osebo razreši minister, pristojen za finance, z odločbo, zoper katero ni pritožbe. </w:t>
      </w:r>
    </w:p>
    <w:p w14:paraId="2755999D" w14:textId="77777777" w:rsidR="00A674B9" w:rsidRPr="00A674B9" w:rsidRDefault="00A674B9" w:rsidP="00A674B9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sz w:val="20"/>
          <w:szCs w:val="20"/>
          <w:lang w:eastAsia="sl-SI"/>
        </w:rPr>
        <w:t>(4) Ugledna oseba je razrešena z dnem vročitve odločbe o razrešitvi.</w:t>
      </w:r>
    </w:p>
    <w:p w14:paraId="19F2F5CD" w14:textId="77777777" w:rsidR="00A674B9" w:rsidRPr="00A674B9" w:rsidRDefault="00A674B9" w:rsidP="00A674B9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sz w:val="20"/>
          <w:szCs w:val="20"/>
          <w:lang w:eastAsia="sl-SI"/>
        </w:rPr>
        <w:t>(5) Tretji in četrti odstavek tega člena velja tudi, če neodvisna oseba sama zahteva razrešitev.</w:t>
      </w:r>
    </w:p>
    <w:p w14:paraId="18CC842E" w14:textId="77777777" w:rsidR="00A674B9" w:rsidRPr="00A674B9" w:rsidRDefault="00A674B9" w:rsidP="00A674B9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8F78FDB" w14:textId="77777777" w:rsidR="00A674B9" w:rsidRPr="00A674B9" w:rsidRDefault="00A674B9" w:rsidP="00A674B9">
      <w:pPr>
        <w:spacing w:after="0" w:line="240" w:lineRule="auto"/>
        <w:ind w:left="1080"/>
        <w:contextualSpacing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C56B8C6" w14:textId="77777777" w:rsidR="00A674B9" w:rsidRPr="00A674B9" w:rsidRDefault="00A674B9" w:rsidP="00A674B9">
      <w:pPr>
        <w:spacing w:after="0" w:line="240" w:lineRule="auto"/>
        <w:ind w:left="108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b/>
          <w:sz w:val="20"/>
          <w:szCs w:val="20"/>
          <w:lang w:eastAsia="sl-SI"/>
        </w:rPr>
        <w:t>6. člen</w:t>
      </w:r>
    </w:p>
    <w:p w14:paraId="35FB5348" w14:textId="77777777" w:rsidR="00A674B9" w:rsidRPr="00A674B9" w:rsidRDefault="00A674B9" w:rsidP="00A674B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b/>
          <w:sz w:val="20"/>
          <w:szCs w:val="20"/>
          <w:lang w:eastAsia="sl-SI"/>
        </w:rPr>
        <w:lastRenderedPageBreak/>
        <w:t>(upravljanje podatkov za vzpostavitev in vodenje seznama uglednih neodvisnih oseb)</w:t>
      </w:r>
    </w:p>
    <w:p w14:paraId="05B6B259" w14:textId="77777777" w:rsidR="00A674B9" w:rsidRPr="00A674B9" w:rsidRDefault="00A674B9" w:rsidP="00A674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CE4B4DB" w14:textId="77777777" w:rsidR="00A674B9" w:rsidRPr="00A674B9" w:rsidRDefault="00A674B9" w:rsidP="00A674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sz w:val="20"/>
          <w:szCs w:val="20"/>
          <w:lang w:eastAsia="sl-SI"/>
        </w:rPr>
        <w:t xml:space="preserve">(1) Evropska komisija na podlagi podatkov pristojnega organa vzpostavi in vodi seznam uglednih neodvisnih oseb, ki so jih imenovali pristojni organi držav članic Evropske unije. </w:t>
      </w:r>
    </w:p>
    <w:p w14:paraId="7CFB1C0F" w14:textId="77777777" w:rsidR="00A674B9" w:rsidRPr="00A674B9" w:rsidRDefault="00A674B9" w:rsidP="00A674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7057DF" w14:textId="77777777" w:rsidR="00A674B9" w:rsidRPr="00A674B9" w:rsidRDefault="00A674B9" w:rsidP="00A674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sz w:val="20"/>
          <w:szCs w:val="20"/>
          <w:lang w:eastAsia="sl-SI"/>
        </w:rPr>
        <w:t>(2) Ministrstvo v evidenci vzpostavi in posodablja podatke za vzpostavitev in vodenje seznama uglednih neodvisnih oseb. Evidenca vsebuje podatke o:</w:t>
      </w:r>
    </w:p>
    <w:p w14:paraId="18E7D98F" w14:textId="77777777" w:rsidR="00A674B9" w:rsidRPr="00A674B9" w:rsidRDefault="00A674B9" w:rsidP="00A674B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sz w:val="20"/>
          <w:szCs w:val="20"/>
          <w:lang w:eastAsia="sl-SI"/>
        </w:rPr>
        <w:t>osebnem imenu in prebivališču imenovane in razrešene ugledne neodvisne osebe,</w:t>
      </w:r>
    </w:p>
    <w:p w14:paraId="11920ABC" w14:textId="77777777" w:rsidR="00A674B9" w:rsidRPr="00A674B9" w:rsidRDefault="00A674B9" w:rsidP="00A674B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sz w:val="20"/>
          <w:szCs w:val="20"/>
          <w:lang w:eastAsia="sl-SI"/>
        </w:rPr>
        <w:t>državljanstvu,</w:t>
      </w:r>
    </w:p>
    <w:p w14:paraId="2AB28239" w14:textId="77777777" w:rsidR="00A674B9" w:rsidRPr="00A674B9" w:rsidRDefault="00A674B9" w:rsidP="00A674B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sz w:val="20"/>
          <w:szCs w:val="20"/>
          <w:lang w:eastAsia="sl-SI"/>
        </w:rPr>
        <w:t xml:space="preserve">znanstvenem in strokovnem nazivu, </w:t>
      </w:r>
    </w:p>
    <w:p w14:paraId="1D3A99D4" w14:textId="77777777" w:rsidR="00A674B9" w:rsidRPr="00A674B9" w:rsidRDefault="00A674B9" w:rsidP="00A674B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sz w:val="20"/>
          <w:szCs w:val="20"/>
          <w:lang w:eastAsia="sl-SI"/>
        </w:rPr>
        <w:t xml:space="preserve">izobrazbi in znanju angleškega jezika, </w:t>
      </w:r>
    </w:p>
    <w:p w14:paraId="6C2C1AAD" w14:textId="77777777" w:rsidR="00A674B9" w:rsidRPr="00A674B9" w:rsidRDefault="00A674B9" w:rsidP="00A674B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sz w:val="20"/>
          <w:szCs w:val="20"/>
          <w:lang w:eastAsia="sl-SI"/>
        </w:rPr>
        <w:t xml:space="preserve">datumu imenovanja in </w:t>
      </w:r>
    </w:p>
    <w:p w14:paraId="730855AE" w14:textId="77777777" w:rsidR="00A674B9" w:rsidRDefault="00A674B9" w:rsidP="00A674B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sz w:val="20"/>
          <w:szCs w:val="20"/>
          <w:lang w:eastAsia="sl-SI"/>
        </w:rPr>
        <w:t>datumu razrešitve.</w:t>
      </w:r>
    </w:p>
    <w:p w14:paraId="1ED64342" w14:textId="13FD0327" w:rsidR="00293065" w:rsidRDefault="00293065" w:rsidP="0029306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1012534" w14:textId="76F2428B" w:rsidR="00293065" w:rsidRPr="00A674B9" w:rsidRDefault="00293065" w:rsidP="00293065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(3) Če Evropska komisija obvesti pristojni organ, da </w:t>
      </w:r>
      <w:r w:rsidR="00E74814">
        <w:rPr>
          <w:rFonts w:ascii="Arial" w:eastAsia="Times New Roman" w:hAnsi="Arial" w:cs="Arial"/>
          <w:sz w:val="20"/>
          <w:szCs w:val="20"/>
          <w:lang w:eastAsia="sl-SI"/>
        </w:rPr>
        <w:t>pristojni organ druge države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ugovarja, da bi bila ugledna neodvisna oseba, ki jo je imenoval pristojni organ, na seznamu, pristojni organ v šestih mesecih od prejema obvestila </w:t>
      </w:r>
      <w:r w:rsidR="00E74814">
        <w:rPr>
          <w:rFonts w:ascii="Arial" w:eastAsia="Times New Roman" w:hAnsi="Arial" w:cs="Arial"/>
          <w:sz w:val="20"/>
          <w:szCs w:val="20"/>
          <w:lang w:eastAsia="sl-SI"/>
        </w:rPr>
        <w:t xml:space="preserve">o tem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odloči </w:t>
      </w:r>
    </w:p>
    <w:p w14:paraId="21CBF7B6" w14:textId="77777777" w:rsidR="00A674B9" w:rsidRPr="00A674B9" w:rsidRDefault="00A674B9" w:rsidP="00A674B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AD291" w14:textId="07945DD2" w:rsidR="00A674B9" w:rsidRPr="00A674B9" w:rsidRDefault="00E74814" w:rsidP="00A674B9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(4</w:t>
      </w:r>
      <w:r w:rsidR="00A674B9" w:rsidRPr="00A674B9">
        <w:rPr>
          <w:rFonts w:ascii="Arial" w:eastAsia="Times New Roman" w:hAnsi="Arial" w:cs="Arial"/>
          <w:sz w:val="20"/>
          <w:szCs w:val="20"/>
          <w:lang w:eastAsia="sl-SI"/>
        </w:rPr>
        <w:t>) Pristojni organ podatke o imenovanju ali razrešitvi uglednih neodvisnih oseb sporoči Evropski komisiji.</w:t>
      </w:r>
      <w:r w:rsidR="006C22C1">
        <w:rPr>
          <w:rFonts w:ascii="Arial" w:eastAsia="Times New Roman" w:hAnsi="Arial" w:cs="Arial"/>
          <w:sz w:val="20"/>
          <w:szCs w:val="20"/>
          <w:lang w:eastAsia="sl-SI"/>
        </w:rPr>
        <w:t xml:space="preserve"> Hkrati sporoči, katera izmed teh oseb je lahko imenovana za predsednika svetovalne komisije.</w:t>
      </w:r>
    </w:p>
    <w:p w14:paraId="539CC929" w14:textId="77777777" w:rsidR="00A674B9" w:rsidRPr="00A674B9" w:rsidRDefault="00A674B9" w:rsidP="00A674B9">
      <w:pPr>
        <w:spacing w:after="0" w:line="240" w:lineRule="auto"/>
        <w:ind w:left="1080"/>
        <w:contextualSpacing/>
        <w:jc w:val="both"/>
        <w:rPr>
          <w:rFonts w:ascii="Arial" w:eastAsia="Calibri" w:hAnsi="Arial" w:cs="Arial"/>
          <w:i/>
          <w:sz w:val="20"/>
          <w:szCs w:val="20"/>
          <w:lang w:eastAsia="sl-SI"/>
        </w:rPr>
      </w:pPr>
    </w:p>
    <w:p w14:paraId="40DE047C" w14:textId="77777777" w:rsidR="00A674B9" w:rsidRPr="00A674B9" w:rsidRDefault="00A674B9" w:rsidP="00A674B9">
      <w:pPr>
        <w:spacing w:after="0" w:line="240" w:lineRule="auto"/>
        <w:ind w:left="1080"/>
        <w:contextualSpacing/>
        <w:jc w:val="both"/>
        <w:rPr>
          <w:rFonts w:ascii="Arial" w:eastAsia="Calibri" w:hAnsi="Arial" w:cs="Arial"/>
          <w:i/>
          <w:color w:val="1F497D"/>
          <w:sz w:val="20"/>
          <w:szCs w:val="20"/>
        </w:rPr>
      </w:pPr>
    </w:p>
    <w:p w14:paraId="205ED3AD" w14:textId="77777777" w:rsidR="00A674B9" w:rsidRPr="00A674B9" w:rsidRDefault="00A674B9" w:rsidP="00A674B9">
      <w:pPr>
        <w:spacing w:after="0" w:line="240" w:lineRule="auto"/>
        <w:ind w:left="108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b/>
          <w:sz w:val="20"/>
          <w:szCs w:val="20"/>
          <w:lang w:eastAsia="sl-SI"/>
        </w:rPr>
        <w:t>7. člen</w:t>
      </w:r>
    </w:p>
    <w:p w14:paraId="70EB6A63" w14:textId="77777777" w:rsidR="00A674B9" w:rsidRPr="00A674B9" w:rsidRDefault="00A674B9" w:rsidP="00A674B9">
      <w:pPr>
        <w:spacing w:after="0" w:line="240" w:lineRule="auto"/>
        <w:ind w:left="108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b/>
          <w:sz w:val="20"/>
          <w:szCs w:val="20"/>
          <w:lang w:eastAsia="sl-SI"/>
        </w:rPr>
        <w:t>(višina stroškov skupnega dogovarjanja)</w:t>
      </w:r>
    </w:p>
    <w:p w14:paraId="125D504E" w14:textId="77777777" w:rsidR="00A674B9" w:rsidRPr="00A674B9" w:rsidRDefault="00A674B9" w:rsidP="00A674B9">
      <w:pPr>
        <w:spacing w:after="0" w:line="240" w:lineRule="auto"/>
        <w:ind w:left="1080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14:paraId="6CA52E18" w14:textId="77777777" w:rsidR="00330D51" w:rsidRDefault="00330D51" w:rsidP="00330D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(1) Pristojni organ sproti evidentira dejanske stroške, ki mu nastanejo med ali zaradi posameznega postopka skupnega dogovarjanja ter dejanske stroške svetovalne komisije ali komisije za alternativno reševanje sporov. </w:t>
      </w:r>
    </w:p>
    <w:p w14:paraId="17E63E24" w14:textId="77777777" w:rsidR="00330D51" w:rsidRDefault="00330D51" w:rsidP="00330D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76EAA272" w14:textId="77777777" w:rsidR="00330D51" w:rsidRDefault="00330D51" w:rsidP="00330D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(2) Pri evidentiranju stroškov ugledne neodvisne osebe pristojni organ upošteva:</w:t>
      </w:r>
    </w:p>
    <w:p w14:paraId="2266F889" w14:textId="74F17731" w:rsidR="00330D51" w:rsidRPr="003B185F" w:rsidRDefault="00330D51" w:rsidP="00330D5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3B185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dejanske stroške, ki jih je ugledna neodvisna oseba imela zaradi sodelovanja v </w:t>
      </w:r>
      <w:r w:rsidR="004443F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postopku </w:t>
      </w:r>
      <w:r w:rsidRPr="003B185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skupnega dogovarjanja (kot npr. prevozni stroški ali kilometrina, povračilo stroškov prenočitve, dnevnica, kot je določena po predpisih, ki urejajo službena potovanja javnih uslužbencev po Sloveniji ali v tujino in</w:t>
      </w:r>
    </w:p>
    <w:p w14:paraId="635962D4" w14:textId="77777777" w:rsidR="00330D51" w:rsidRPr="003B185F" w:rsidRDefault="00330D51" w:rsidP="00330D5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3B185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nadomestilo za sodelovanje v postopku skupnega d</w:t>
      </w:r>
      <w:r w:rsidRPr="007258E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ogovarjanja, ki ne sme biti višje od 1000</w:t>
      </w:r>
      <w:r w:rsidRPr="003B185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3B185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eur</w:t>
      </w:r>
      <w:proofErr w:type="spellEnd"/>
      <w:r w:rsidRPr="003B185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za vsak dan seje svetovalne komisije ali komisije za alternativno reševanje sporov.</w:t>
      </w:r>
    </w:p>
    <w:p w14:paraId="77314EA8" w14:textId="77777777" w:rsidR="00330D51" w:rsidRDefault="00330D51" w:rsidP="00330D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39A37599" w14:textId="5E9739A9" w:rsidR="00330D51" w:rsidRDefault="00330D51" w:rsidP="00330D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(3) Ugledna neodvisna oseba mora za povrnitev stroškov iz </w:t>
      </w:r>
      <w:r w:rsidR="007258E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prve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alineje prejšnjega odstavka pristojnemu organu predložiti ustrezna dokazila v </w:t>
      </w:r>
      <w:r w:rsidR="007258E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30.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dneh po zaključku postopka skupnega dogovarjanja. Če ugledna neod</w:t>
      </w:r>
      <w:r w:rsidR="007258E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vi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sna oseb</w:t>
      </w:r>
      <w:r w:rsidR="007258E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 ne predloži ustreznih dokazil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ji za kritje </w:t>
      </w:r>
      <w:r w:rsidR="007258E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dejanskih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stroškov sodelovanja v postopku skupnega dogovarjanja pripada dnevnica kot je določena po predpisih, ki urejajo službena potovanja javnih uslužbencev po Sloveniji ali v tujino in sicer dve dnevnici za vsak dan seje svetovalne komisije ali komisije za alternativno reševanje sporov.</w:t>
      </w:r>
    </w:p>
    <w:p w14:paraId="4EE33E15" w14:textId="77777777" w:rsidR="00330D51" w:rsidRDefault="00330D51" w:rsidP="00330D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7ED17AC0" w14:textId="518B883B" w:rsidR="00330D51" w:rsidRPr="00305BD3" w:rsidRDefault="00330D51" w:rsidP="00330D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(4) Stroški, evidentirani v skladu s tem členom, so podlaga za dogovor </w:t>
      </w:r>
      <w:r w:rsidR="007258E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med pristojnima organoma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o delitvi stroškov iz prvega odstavka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258.b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člena ZDavP-2</w:t>
      </w:r>
      <w:r w:rsidR="007258E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dogovor za kritje stroškov ugledne neodvisne osebe, sklenjen med pristojnim organom in ugledno neodvisno osebo</w:t>
      </w:r>
      <w:r w:rsidR="00021A1C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  <w:r w:rsidR="007258E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ter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za izdajo odločbe iz četrtega odstavka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258.b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člena ZDavP-2.</w:t>
      </w:r>
    </w:p>
    <w:p w14:paraId="455F10C2" w14:textId="77777777" w:rsidR="00330D51" w:rsidRPr="00A674B9" w:rsidRDefault="00330D51" w:rsidP="00330D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0ABAB739" w14:textId="77777777" w:rsidR="00A674B9" w:rsidRPr="00A674B9" w:rsidRDefault="00A674B9" w:rsidP="00A674B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p w14:paraId="3813C6AC" w14:textId="77777777" w:rsidR="00A674B9" w:rsidRPr="00A674B9" w:rsidRDefault="00A674B9" w:rsidP="00A674B9">
      <w:pPr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b/>
          <w:sz w:val="20"/>
          <w:szCs w:val="20"/>
          <w:lang w:eastAsia="sl-SI"/>
        </w:rPr>
        <w:t>8. člen</w:t>
      </w:r>
    </w:p>
    <w:p w14:paraId="69B97A77" w14:textId="77777777" w:rsidR="00A674B9" w:rsidRPr="00A674B9" w:rsidRDefault="00A674B9" w:rsidP="00A674B9">
      <w:pPr>
        <w:spacing w:after="0" w:line="240" w:lineRule="auto"/>
        <w:ind w:left="108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b/>
          <w:sz w:val="20"/>
          <w:szCs w:val="20"/>
          <w:lang w:eastAsia="sl-SI"/>
        </w:rPr>
        <w:t>(prenos pristojnosti)</w:t>
      </w:r>
    </w:p>
    <w:p w14:paraId="0B9C1A19" w14:textId="77777777" w:rsidR="00A674B9" w:rsidRPr="00A674B9" w:rsidRDefault="00A674B9" w:rsidP="00A674B9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sz w:val="20"/>
          <w:szCs w:val="20"/>
          <w:lang w:val="x-none" w:eastAsia="sl-SI"/>
        </w:rPr>
        <w:t>(1) V skladu s prvim odstavkom 265. členom ZDavP-2 minister, pristojen za finance, pooblašča GFU FURS, da:</w:t>
      </w:r>
    </w:p>
    <w:p w14:paraId="7EA1F603" w14:textId="77777777" w:rsidR="00A674B9" w:rsidRPr="00A674B9" w:rsidRDefault="00A674B9" w:rsidP="00A674B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sz w:val="20"/>
          <w:szCs w:val="20"/>
          <w:lang w:val="x-none" w:eastAsia="sl-SI"/>
        </w:rPr>
        <w:t>izmenjuje podatke po mednarodnih pogodbah o izogibanju dvojnega obdavčevanja in mednarodnih pogodbah o izmenjavi informacij za davčne namene,</w:t>
      </w:r>
    </w:p>
    <w:p w14:paraId="2667D57D" w14:textId="77777777" w:rsidR="00A674B9" w:rsidRPr="00A674B9" w:rsidRDefault="00A674B9" w:rsidP="00A674B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sz w:val="20"/>
          <w:szCs w:val="20"/>
          <w:lang w:val="x-none" w:eastAsia="sl-SI"/>
        </w:rPr>
        <w:t>opravlja naloge v okviru nudenja pomoči pri pobiranju davkov po mednarodnih pogodbah o izogibanju dvojnega obdavčevanja in</w:t>
      </w:r>
    </w:p>
    <w:p w14:paraId="7875F4BF" w14:textId="77777777" w:rsidR="00A674B9" w:rsidRPr="00A674B9" w:rsidRDefault="00A674B9" w:rsidP="00A674B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sz w:val="20"/>
          <w:szCs w:val="20"/>
          <w:lang w:val="x-none" w:eastAsia="sl-SI"/>
        </w:rPr>
        <w:lastRenderedPageBreak/>
        <w:t>opravlja naloge v okviru nudenja pomoči pri davčnih zadevah po Konvenciji o medsebojni upravni pomoči pri davčnih zadevah in Protokola o spremembi Konvencije o medsebojni upravni pomoči pri davčnih zadevah (Uradni list RS – Mednarodne pogodbe, št. 22/10).</w:t>
      </w:r>
    </w:p>
    <w:p w14:paraId="603B4982" w14:textId="77777777" w:rsidR="00A674B9" w:rsidRPr="00A674B9" w:rsidRDefault="00A674B9" w:rsidP="00A674B9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sz w:val="20"/>
          <w:szCs w:val="20"/>
          <w:lang w:val="x-none" w:eastAsia="sl-SI"/>
        </w:rPr>
        <w:t>(2) V skladu z drugim odstavkom 265. člena ZDavP-2 minister, pristojen za finance, pooblašča GFU FURS za opravljanje nalog v zvezi s postopki skupnega dogovora, ki se vodijo zaradi sklenitve dvostranskih ali večstranskih APA sporazumov, s pristojnimi organi drugih držav po mednarodnih pogodbah o izogibanju dvojnega obdavčevanja, ki obvezujejo Republiko Slovenijo in tako dogovarjanje omogočajo.</w:t>
      </w:r>
      <w:r w:rsidRPr="00A674B9">
        <w:rPr>
          <w:rFonts w:ascii="Arial" w:eastAsia="Times New Roman" w:hAnsi="Arial" w:cs="Arial"/>
          <w:sz w:val="20"/>
          <w:szCs w:val="20"/>
          <w:lang w:eastAsia="sl-SI"/>
        </w:rPr>
        <w:t>«.</w:t>
      </w:r>
    </w:p>
    <w:p w14:paraId="5D7FDF75" w14:textId="77777777" w:rsidR="00A674B9" w:rsidRPr="00A674B9" w:rsidRDefault="00A674B9" w:rsidP="00A674B9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b/>
          <w:sz w:val="20"/>
          <w:szCs w:val="20"/>
          <w:lang w:eastAsia="sl-SI"/>
        </w:rPr>
        <w:t>9. člen</w:t>
      </w:r>
    </w:p>
    <w:p w14:paraId="0DAC868A" w14:textId="77777777" w:rsidR="00A674B9" w:rsidRPr="00A674B9" w:rsidRDefault="00A674B9" w:rsidP="00A674B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2EB2195A" w14:textId="77777777" w:rsidR="00A674B9" w:rsidRPr="00A674B9" w:rsidRDefault="00A674B9" w:rsidP="00A674B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674B9">
        <w:rPr>
          <w:rFonts w:ascii="Arial" w:eastAsia="Calibri" w:hAnsi="Arial" w:cs="Arial"/>
          <w:sz w:val="20"/>
          <w:szCs w:val="20"/>
        </w:rPr>
        <w:t xml:space="preserve">V Pravilniku o izvajanju Zakona o davčnem postopku </w:t>
      </w:r>
      <w:r w:rsidRPr="00A674B9">
        <w:rPr>
          <w:rFonts w:ascii="Arial" w:eastAsia="Calibri" w:hAnsi="Arial" w:cs="Arial"/>
          <w:bCs/>
          <w:sz w:val="20"/>
          <w:szCs w:val="20"/>
        </w:rPr>
        <w:t xml:space="preserve">(Uradni list RS, št. </w:t>
      </w:r>
      <w:hyperlink r:id="rId24" w:tgtFrame="_blank" w:tooltip="Pravilnik o izvajanju Zakona o davčnem postopku" w:history="1">
        <w:r w:rsidRPr="00A674B9">
          <w:rPr>
            <w:rFonts w:ascii="Arial" w:eastAsia="Calibri" w:hAnsi="Arial" w:cs="Arial"/>
            <w:bCs/>
            <w:sz w:val="20"/>
            <w:szCs w:val="20"/>
          </w:rPr>
          <w:t>141/06</w:t>
        </w:r>
      </w:hyperlink>
      <w:r w:rsidRPr="00A674B9">
        <w:rPr>
          <w:rFonts w:ascii="Arial" w:eastAsia="Calibri" w:hAnsi="Arial" w:cs="Arial"/>
          <w:bCs/>
          <w:sz w:val="20"/>
          <w:szCs w:val="20"/>
        </w:rPr>
        <w:t xml:space="preserve">, </w:t>
      </w:r>
      <w:hyperlink r:id="rId25" w:tgtFrame="_blank" w:tooltip="Pravilnik o spremembah in dopolnitvah Pravilnika o izvajanju Zakona o davčnem postopku" w:history="1">
        <w:r w:rsidRPr="00A674B9">
          <w:rPr>
            <w:rFonts w:ascii="Arial" w:eastAsia="Calibri" w:hAnsi="Arial" w:cs="Arial"/>
            <w:bCs/>
            <w:sz w:val="20"/>
            <w:szCs w:val="20"/>
          </w:rPr>
          <w:t>46/07</w:t>
        </w:r>
      </w:hyperlink>
      <w:r w:rsidRPr="00A674B9">
        <w:rPr>
          <w:rFonts w:ascii="Arial" w:eastAsia="Calibri" w:hAnsi="Arial" w:cs="Arial"/>
          <w:bCs/>
          <w:sz w:val="20"/>
          <w:szCs w:val="20"/>
        </w:rPr>
        <w:t xml:space="preserve">, </w:t>
      </w:r>
      <w:hyperlink r:id="rId26" w:tgtFrame="_blank" w:tooltip="Pravilnik o spremembah in dopolnitvi Pravilnika o izvajanju Zakona o davčnem postopku" w:history="1">
        <w:r w:rsidRPr="00A674B9">
          <w:rPr>
            <w:rFonts w:ascii="Arial" w:eastAsia="Calibri" w:hAnsi="Arial" w:cs="Arial"/>
            <w:bCs/>
            <w:sz w:val="20"/>
            <w:szCs w:val="20"/>
          </w:rPr>
          <w:t>102/07</w:t>
        </w:r>
      </w:hyperlink>
      <w:r w:rsidRPr="00A674B9">
        <w:rPr>
          <w:rFonts w:ascii="Arial" w:eastAsia="Calibri" w:hAnsi="Arial" w:cs="Arial"/>
          <w:bCs/>
          <w:sz w:val="20"/>
          <w:szCs w:val="20"/>
        </w:rPr>
        <w:t xml:space="preserve">, </w:t>
      </w:r>
      <w:hyperlink r:id="rId27" w:tgtFrame="_blank" w:tooltip="Pravilnik o spremembah Pravilnika o izvajanju Zakona o davčnem postopku" w:history="1">
        <w:r w:rsidRPr="00A674B9">
          <w:rPr>
            <w:rFonts w:ascii="Arial" w:eastAsia="Calibri" w:hAnsi="Arial" w:cs="Arial"/>
            <w:bCs/>
            <w:sz w:val="20"/>
            <w:szCs w:val="20"/>
          </w:rPr>
          <w:t>28/09</w:t>
        </w:r>
      </w:hyperlink>
      <w:r w:rsidRPr="00A674B9">
        <w:rPr>
          <w:rFonts w:ascii="Arial" w:eastAsia="Calibri" w:hAnsi="Arial" w:cs="Arial"/>
          <w:bCs/>
          <w:sz w:val="20"/>
          <w:szCs w:val="20"/>
        </w:rPr>
        <w:t xml:space="preserve">, </w:t>
      </w:r>
      <w:hyperlink r:id="rId28" w:tgtFrame="_blank" w:tooltip="Pravilnik o spremembah in dopolnitvah Pravilnika o izvajanju Zakona o davčnem postopku" w:history="1">
        <w:r w:rsidRPr="00A674B9">
          <w:rPr>
            <w:rFonts w:ascii="Arial" w:eastAsia="Calibri" w:hAnsi="Arial" w:cs="Arial"/>
            <w:bCs/>
            <w:sz w:val="20"/>
            <w:szCs w:val="20"/>
          </w:rPr>
          <w:t>101/11</w:t>
        </w:r>
      </w:hyperlink>
      <w:r w:rsidRPr="00A674B9">
        <w:rPr>
          <w:rFonts w:ascii="Arial" w:eastAsia="Calibri" w:hAnsi="Arial" w:cs="Arial"/>
          <w:bCs/>
          <w:sz w:val="20"/>
          <w:szCs w:val="20"/>
        </w:rPr>
        <w:t xml:space="preserve">, </w:t>
      </w:r>
      <w:hyperlink r:id="rId29" w:tgtFrame="_blank" w:tooltip="Pravilnik o spremembah Pravilnika o izvajanju Zakona o davčnem postopku" w:history="1">
        <w:r w:rsidRPr="00A674B9">
          <w:rPr>
            <w:rFonts w:ascii="Arial" w:eastAsia="Calibri" w:hAnsi="Arial" w:cs="Arial"/>
            <w:bCs/>
            <w:sz w:val="20"/>
            <w:szCs w:val="20"/>
          </w:rPr>
          <w:t>24/12</w:t>
        </w:r>
      </w:hyperlink>
      <w:r w:rsidRPr="00A674B9">
        <w:rPr>
          <w:rFonts w:ascii="Arial" w:eastAsia="Calibri" w:hAnsi="Arial" w:cs="Arial"/>
          <w:bCs/>
          <w:sz w:val="20"/>
          <w:szCs w:val="20"/>
        </w:rPr>
        <w:t xml:space="preserve">, </w:t>
      </w:r>
      <w:hyperlink r:id="rId30" w:tgtFrame="_blank" w:tooltip="Zakon o spremembah in dopolnitvah Zakona o davčnem postopku" w:history="1">
        <w:r w:rsidRPr="00A674B9">
          <w:rPr>
            <w:rFonts w:ascii="Arial" w:eastAsia="Calibri" w:hAnsi="Arial" w:cs="Arial"/>
            <w:bCs/>
            <w:sz w:val="20"/>
            <w:szCs w:val="20"/>
          </w:rPr>
          <w:t>32/12</w:t>
        </w:r>
      </w:hyperlink>
      <w:r w:rsidRPr="00A674B9">
        <w:rPr>
          <w:rFonts w:ascii="Arial" w:eastAsia="Calibri" w:hAnsi="Arial" w:cs="Arial"/>
          <w:bCs/>
          <w:sz w:val="20"/>
          <w:szCs w:val="20"/>
        </w:rPr>
        <w:t xml:space="preserve"> – ZDavP-2E, </w:t>
      </w:r>
      <w:hyperlink r:id="rId31" w:tgtFrame="_blank" w:tooltip="Pravilnik o spremembah in dopolnitvah Pravilnika o izvajanju Zakona o davčnem postopku" w:history="1">
        <w:r w:rsidRPr="00A674B9">
          <w:rPr>
            <w:rFonts w:ascii="Arial" w:eastAsia="Calibri" w:hAnsi="Arial" w:cs="Arial"/>
            <w:bCs/>
            <w:sz w:val="20"/>
            <w:szCs w:val="20"/>
          </w:rPr>
          <w:t>19/13</w:t>
        </w:r>
      </w:hyperlink>
      <w:r w:rsidRPr="00A674B9">
        <w:rPr>
          <w:rFonts w:ascii="Arial" w:eastAsia="Calibri" w:hAnsi="Arial" w:cs="Arial"/>
          <w:bCs/>
          <w:sz w:val="20"/>
          <w:szCs w:val="20"/>
        </w:rPr>
        <w:t xml:space="preserve">, </w:t>
      </w:r>
      <w:hyperlink r:id="rId32" w:tgtFrame="_blank" w:tooltip="Pravilnik o dopolnitvah Pravilnika o izvajanju Zakona o davčnem postopku" w:history="1">
        <w:r w:rsidRPr="00A674B9">
          <w:rPr>
            <w:rFonts w:ascii="Arial" w:eastAsia="Calibri" w:hAnsi="Arial" w:cs="Arial"/>
            <w:bCs/>
            <w:sz w:val="20"/>
            <w:szCs w:val="20"/>
          </w:rPr>
          <w:t>45/14</w:t>
        </w:r>
      </w:hyperlink>
      <w:r w:rsidRPr="00A674B9">
        <w:rPr>
          <w:rFonts w:ascii="Arial" w:eastAsia="Calibri" w:hAnsi="Arial" w:cs="Arial"/>
          <w:bCs/>
          <w:sz w:val="20"/>
          <w:szCs w:val="20"/>
        </w:rPr>
        <w:t xml:space="preserve">, </w:t>
      </w:r>
      <w:hyperlink r:id="rId33" w:tgtFrame="_blank" w:tooltip="Pravilnik o spremembah in dopolnitvah Pravilnika o izvajanju Zakona o davčnem postopku" w:history="1">
        <w:r w:rsidRPr="00A674B9">
          <w:rPr>
            <w:rFonts w:ascii="Arial" w:eastAsia="Calibri" w:hAnsi="Arial" w:cs="Arial"/>
            <w:bCs/>
            <w:sz w:val="20"/>
            <w:szCs w:val="20"/>
          </w:rPr>
          <w:t>97/14</w:t>
        </w:r>
      </w:hyperlink>
      <w:r w:rsidRPr="00A674B9">
        <w:rPr>
          <w:rFonts w:ascii="Arial" w:eastAsia="Calibri" w:hAnsi="Arial" w:cs="Arial"/>
          <w:bCs/>
          <w:sz w:val="20"/>
          <w:szCs w:val="20"/>
        </w:rPr>
        <w:t xml:space="preserve">, </w:t>
      </w:r>
      <w:hyperlink r:id="rId34" w:tgtFrame="_blank" w:tooltip="Pravilnik o dopolnitvah Pravilnika o izvajanju Zakona o davčnem postopku" w:history="1">
        <w:r w:rsidRPr="00A674B9">
          <w:rPr>
            <w:rFonts w:ascii="Arial" w:eastAsia="Calibri" w:hAnsi="Arial" w:cs="Arial"/>
            <w:bCs/>
            <w:sz w:val="20"/>
            <w:szCs w:val="20"/>
          </w:rPr>
          <w:t>39/15</w:t>
        </w:r>
      </w:hyperlink>
      <w:r w:rsidRPr="00A674B9">
        <w:rPr>
          <w:rFonts w:ascii="Arial" w:eastAsia="Calibri" w:hAnsi="Arial" w:cs="Arial"/>
          <w:bCs/>
          <w:sz w:val="20"/>
          <w:szCs w:val="20"/>
        </w:rPr>
        <w:t xml:space="preserve">, </w:t>
      </w:r>
      <w:hyperlink r:id="rId35" w:tgtFrame="_blank" w:tooltip="Pravilnik o spremembah in dopolnitvah Pravilnika o izvajanju Zakona o davčnem postopku" w:history="1">
        <w:r w:rsidRPr="00A674B9">
          <w:rPr>
            <w:rFonts w:ascii="Arial" w:eastAsia="Calibri" w:hAnsi="Arial" w:cs="Arial"/>
            <w:bCs/>
            <w:sz w:val="20"/>
            <w:szCs w:val="20"/>
          </w:rPr>
          <w:t>40/16</w:t>
        </w:r>
      </w:hyperlink>
      <w:r w:rsidRPr="00A674B9">
        <w:rPr>
          <w:rFonts w:ascii="Arial" w:eastAsia="Calibri" w:hAnsi="Arial" w:cs="Arial"/>
          <w:bCs/>
          <w:sz w:val="20"/>
          <w:szCs w:val="20"/>
        </w:rPr>
        <w:t xml:space="preserve">, </w:t>
      </w:r>
      <w:hyperlink r:id="rId36" w:tgtFrame="_blank" w:tooltip="Pravilnik o spremembah in dopolnitvah Pravilnika o izvajanju Zakona o davčnem postopku" w:history="1">
        <w:r w:rsidRPr="00A674B9">
          <w:rPr>
            <w:rFonts w:ascii="Arial" w:eastAsia="Calibri" w:hAnsi="Arial" w:cs="Arial"/>
            <w:bCs/>
            <w:sz w:val="20"/>
            <w:szCs w:val="20"/>
          </w:rPr>
          <w:t>85/16</w:t>
        </w:r>
      </w:hyperlink>
      <w:r w:rsidRPr="00A674B9">
        <w:rPr>
          <w:rFonts w:ascii="Arial" w:eastAsia="Calibri" w:hAnsi="Arial" w:cs="Arial"/>
          <w:bCs/>
          <w:sz w:val="20"/>
          <w:szCs w:val="20"/>
        </w:rPr>
        <w:t xml:space="preserve">, </w:t>
      </w:r>
      <w:hyperlink r:id="rId37" w:tgtFrame="_blank" w:tooltip="Pravilnik o spremembah in dopolnitvah Pravilnika o izvajanju Zakona o davčnem postopku" w:history="1">
        <w:r w:rsidRPr="00A674B9">
          <w:rPr>
            <w:rFonts w:ascii="Arial" w:eastAsia="Calibri" w:hAnsi="Arial" w:cs="Arial"/>
            <w:bCs/>
            <w:sz w:val="20"/>
            <w:szCs w:val="20"/>
          </w:rPr>
          <w:t>30/17</w:t>
        </w:r>
      </w:hyperlink>
      <w:r w:rsidRPr="00A674B9">
        <w:rPr>
          <w:rFonts w:ascii="Arial" w:eastAsia="Calibri" w:hAnsi="Arial" w:cs="Arial"/>
          <w:bCs/>
          <w:sz w:val="20"/>
          <w:szCs w:val="20"/>
        </w:rPr>
        <w:t xml:space="preserve"> in </w:t>
      </w:r>
      <w:hyperlink r:id="rId38" w:tgtFrame="_blank" w:tooltip="Pravilnik o spremembah in dopolnitvah Pravilnika o izvajanju Zakona o davčnem postopku" w:history="1">
        <w:r w:rsidRPr="00A674B9">
          <w:rPr>
            <w:rFonts w:ascii="Arial" w:eastAsia="Calibri" w:hAnsi="Arial" w:cs="Arial"/>
            <w:bCs/>
            <w:sz w:val="20"/>
            <w:szCs w:val="20"/>
          </w:rPr>
          <w:t>37/18</w:t>
        </w:r>
      </w:hyperlink>
      <w:r w:rsidRPr="00A674B9">
        <w:rPr>
          <w:rFonts w:ascii="Arial" w:eastAsia="Calibri" w:hAnsi="Arial" w:cs="Arial"/>
          <w:bCs/>
          <w:sz w:val="20"/>
          <w:szCs w:val="20"/>
        </w:rPr>
        <w:t>)</w:t>
      </w:r>
      <w:r w:rsidRPr="00A674B9">
        <w:rPr>
          <w:rFonts w:ascii="Arial" w:eastAsia="Calibri" w:hAnsi="Arial" w:cs="Arial"/>
          <w:sz w:val="20"/>
          <w:szCs w:val="20"/>
        </w:rPr>
        <w:t xml:space="preserve"> se črta naslov poglavja IV. »Pristojni organ za izmenjavo podatkov v skladu z mednarodnimi pogodbami o </w:t>
      </w:r>
      <w:proofErr w:type="spellStart"/>
      <w:r w:rsidRPr="00A674B9">
        <w:rPr>
          <w:rFonts w:ascii="Arial" w:eastAsia="Calibri" w:hAnsi="Arial" w:cs="Arial"/>
          <w:sz w:val="20"/>
          <w:szCs w:val="20"/>
        </w:rPr>
        <w:t>izogibu</w:t>
      </w:r>
      <w:proofErr w:type="spellEnd"/>
      <w:r w:rsidRPr="00A674B9">
        <w:rPr>
          <w:rFonts w:ascii="Arial" w:eastAsia="Calibri" w:hAnsi="Arial" w:cs="Arial"/>
          <w:sz w:val="20"/>
          <w:szCs w:val="20"/>
        </w:rPr>
        <w:t xml:space="preserve"> dvojnega obdavčevanja« in 86. člen.</w:t>
      </w:r>
    </w:p>
    <w:p w14:paraId="01835489" w14:textId="77777777" w:rsidR="00A674B9" w:rsidRPr="00A674B9" w:rsidRDefault="00A674B9" w:rsidP="00A674B9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674B9">
        <w:rPr>
          <w:rFonts w:ascii="Arial" w:eastAsia="Times New Roman" w:hAnsi="Arial" w:cs="Arial"/>
          <w:b/>
          <w:sz w:val="20"/>
          <w:szCs w:val="20"/>
          <w:lang w:eastAsia="sl-SI"/>
        </w:rPr>
        <w:t>10. člen</w:t>
      </w:r>
    </w:p>
    <w:p w14:paraId="264EC025" w14:textId="77777777" w:rsidR="00A674B9" w:rsidRPr="00A674B9" w:rsidRDefault="00A674B9" w:rsidP="00A674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14:paraId="362E2402" w14:textId="77777777" w:rsidR="00A674B9" w:rsidRPr="00D467D4" w:rsidRDefault="00A674B9" w:rsidP="00A674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467D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Ta pravilnik začne veljati petnajsti dan po objavi v Uradnem listu Republike Slovenije. </w:t>
      </w:r>
    </w:p>
    <w:p w14:paraId="23283A88" w14:textId="77777777" w:rsidR="00A674B9" w:rsidRPr="00D467D4" w:rsidRDefault="00A674B9" w:rsidP="00A674B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595A2E73" w14:textId="77777777" w:rsidR="00A674B9" w:rsidRPr="00D467D4" w:rsidRDefault="00A674B9" w:rsidP="00A674B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73B4D0B5" w14:textId="77777777" w:rsidR="00A674B9" w:rsidRPr="00D467D4" w:rsidRDefault="00A674B9" w:rsidP="00A674B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467D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Št. IPP </w:t>
      </w:r>
    </w:p>
    <w:p w14:paraId="7AB7B546" w14:textId="77777777" w:rsidR="00A674B9" w:rsidRPr="00D467D4" w:rsidRDefault="00A674B9" w:rsidP="00A674B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467D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Ljubljana, dne </w:t>
      </w:r>
    </w:p>
    <w:p w14:paraId="74B232A4" w14:textId="77777777" w:rsidR="00A674B9" w:rsidRPr="00D467D4" w:rsidRDefault="00A674B9" w:rsidP="00A674B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467D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EVA </w:t>
      </w:r>
    </w:p>
    <w:p w14:paraId="734DB34A" w14:textId="77777777" w:rsidR="00A674B9" w:rsidRPr="00D467D4" w:rsidRDefault="00A674B9" w:rsidP="00A674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467D4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                                                                                          dr. Andrej Bertoncelj</w:t>
      </w:r>
      <w:r w:rsidRPr="00D467D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l.r. </w:t>
      </w:r>
    </w:p>
    <w:p w14:paraId="06E40583" w14:textId="77777777" w:rsidR="00A674B9" w:rsidRPr="00D467D4" w:rsidRDefault="00A674B9" w:rsidP="00A674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467D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                                                                                       Minister za finance </w:t>
      </w:r>
    </w:p>
    <w:p w14:paraId="7E32038C" w14:textId="77777777" w:rsidR="00B94F79" w:rsidRPr="00D467D4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7E32038D" w14:textId="77777777" w:rsidR="00B94F79" w:rsidRP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7E32038E" w14:textId="77777777" w:rsid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7E32038F" w14:textId="77777777" w:rsid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7E320390" w14:textId="77777777" w:rsid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7E320391" w14:textId="77777777" w:rsid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7E320392" w14:textId="77777777" w:rsid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7E320393" w14:textId="77777777" w:rsid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7E320394" w14:textId="77777777" w:rsid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7E320395" w14:textId="77777777" w:rsid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7E320396" w14:textId="77777777" w:rsid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7E320397" w14:textId="77777777" w:rsid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7E320398" w14:textId="77777777" w:rsid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7E320399" w14:textId="77777777" w:rsid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7E32039A" w14:textId="77777777" w:rsid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7E32039B" w14:textId="77777777" w:rsid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7E32039C" w14:textId="77777777" w:rsid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7E32039D" w14:textId="77777777" w:rsidR="009034F0" w:rsidRDefault="009034F0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7E32039E" w14:textId="77777777" w:rsidR="00B94F79" w:rsidRPr="00B94F79" w:rsidRDefault="00B94F79" w:rsidP="00B94F79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27E18BE1" w14:textId="1054795A" w:rsidR="00D467D4" w:rsidRPr="00D467D4" w:rsidRDefault="009E15BF" w:rsidP="00D467D4">
      <w:pPr>
        <w:pStyle w:val="EnvelopeReturn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D467D4" w:rsidRPr="00D467D4">
        <w:rPr>
          <w:rFonts w:ascii="Arial" w:hAnsi="Arial" w:cs="Arial"/>
        </w:rPr>
        <w:lastRenderedPageBreak/>
        <w:t xml:space="preserve">Na podlagi 14., 17., 36., 37., 51., 57., 61., 79., 101., 102., 124., 138., 152., 207., 266., </w:t>
      </w:r>
      <w:smartTag w:uri="urn:schemas-microsoft-com:office:smarttags" w:element="metricconverter">
        <w:smartTagPr>
          <w:attr w:name="ProductID" w:val="297. in"/>
        </w:smartTagPr>
        <w:r w:rsidR="00D467D4" w:rsidRPr="00D467D4">
          <w:rPr>
            <w:rFonts w:ascii="Arial" w:hAnsi="Arial" w:cs="Arial"/>
          </w:rPr>
          <w:t>297. in</w:t>
        </w:r>
      </w:smartTag>
      <w:r w:rsidR="00D467D4" w:rsidRPr="00D467D4">
        <w:rPr>
          <w:rFonts w:ascii="Arial" w:hAnsi="Arial" w:cs="Arial"/>
        </w:rPr>
        <w:t xml:space="preserve"> 358. člena Zakona o davčnem postopku</w:t>
      </w:r>
      <w:r w:rsidR="00D467D4" w:rsidRPr="00D467D4">
        <w:rPr>
          <w:rFonts w:ascii="Arial" w:hAnsi="Arial" w:cs="Arial"/>
          <w:bCs/>
        </w:rPr>
        <w:t xml:space="preserve"> (Uradni list RS, št. </w:t>
      </w:r>
      <w:hyperlink r:id="rId39" w:tgtFrame="_blank" w:tooltip="Zakon o davčnem postopku (uradno prečiščeno besedilo)" w:history="1">
        <w:r w:rsidR="00D467D4" w:rsidRPr="00D467D4">
          <w:rPr>
            <w:rFonts w:ascii="Arial" w:hAnsi="Arial" w:cs="Arial"/>
            <w:bCs/>
          </w:rPr>
          <w:t>13/11</w:t>
        </w:r>
      </w:hyperlink>
      <w:r w:rsidR="00D467D4" w:rsidRPr="00D467D4">
        <w:rPr>
          <w:rFonts w:ascii="Arial" w:hAnsi="Arial" w:cs="Arial"/>
          <w:bCs/>
        </w:rPr>
        <w:t xml:space="preserve"> – uradno prečiščeno besedilo, </w:t>
      </w:r>
      <w:hyperlink r:id="rId40" w:tgtFrame="_blank" w:tooltip="Zakon o spremembah in dopolnitvah Zakona o davčnem postopku" w:history="1">
        <w:r w:rsidR="00D467D4" w:rsidRPr="00D467D4">
          <w:rPr>
            <w:rFonts w:ascii="Arial" w:hAnsi="Arial" w:cs="Arial"/>
            <w:bCs/>
          </w:rPr>
          <w:t>32/12</w:t>
        </w:r>
      </w:hyperlink>
      <w:r w:rsidR="00D467D4" w:rsidRPr="00D467D4">
        <w:rPr>
          <w:rFonts w:ascii="Arial" w:hAnsi="Arial" w:cs="Arial"/>
          <w:bCs/>
        </w:rPr>
        <w:t xml:space="preserve">, </w:t>
      </w:r>
      <w:hyperlink r:id="rId41" w:tgtFrame="_blank" w:tooltip="Zakon o spremembah in dopolnitvah Zakona o davčnem postopku" w:history="1">
        <w:r w:rsidR="00D467D4" w:rsidRPr="00D467D4">
          <w:rPr>
            <w:rFonts w:ascii="Arial" w:hAnsi="Arial" w:cs="Arial"/>
            <w:bCs/>
          </w:rPr>
          <w:t>94/12</w:t>
        </w:r>
      </w:hyperlink>
      <w:r w:rsidR="00D467D4" w:rsidRPr="00D467D4">
        <w:rPr>
          <w:rFonts w:ascii="Arial" w:hAnsi="Arial" w:cs="Arial"/>
          <w:bCs/>
        </w:rPr>
        <w:t xml:space="preserve">, </w:t>
      </w:r>
      <w:hyperlink r:id="rId42" w:tgtFrame="_blank" w:tooltip="Zakon o davku na nepremičnine" w:history="1">
        <w:r w:rsidR="00D467D4" w:rsidRPr="00D467D4">
          <w:rPr>
            <w:rFonts w:ascii="Arial" w:hAnsi="Arial" w:cs="Arial"/>
            <w:bCs/>
          </w:rPr>
          <w:t>101/13</w:t>
        </w:r>
      </w:hyperlink>
      <w:r w:rsidR="00D467D4" w:rsidRPr="00D467D4">
        <w:rPr>
          <w:rFonts w:ascii="Arial" w:hAnsi="Arial" w:cs="Arial"/>
          <w:bCs/>
        </w:rPr>
        <w:t xml:space="preserve"> – </w:t>
      </w:r>
      <w:proofErr w:type="spellStart"/>
      <w:r w:rsidR="00D467D4" w:rsidRPr="00D467D4">
        <w:rPr>
          <w:rFonts w:ascii="Arial" w:hAnsi="Arial" w:cs="Arial"/>
          <w:bCs/>
        </w:rPr>
        <w:t>ZDavNepr</w:t>
      </w:r>
      <w:proofErr w:type="spellEnd"/>
      <w:r w:rsidR="00D467D4" w:rsidRPr="00D467D4">
        <w:rPr>
          <w:rFonts w:ascii="Arial" w:hAnsi="Arial" w:cs="Arial"/>
          <w:bCs/>
        </w:rPr>
        <w:t xml:space="preserve">, </w:t>
      </w:r>
      <w:hyperlink r:id="rId43" w:tgtFrame="_blank" w:tooltip="Zakon o spremembah in dopolnitvah Zakona o davčnem postopku" w:history="1">
        <w:r w:rsidR="00D467D4" w:rsidRPr="00D467D4">
          <w:rPr>
            <w:rFonts w:ascii="Arial" w:hAnsi="Arial" w:cs="Arial"/>
            <w:bCs/>
          </w:rPr>
          <w:t>111/13</w:t>
        </w:r>
      </w:hyperlink>
      <w:r w:rsidR="00D467D4" w:rsidRPr="00D467D4">
        <w:rPr>
          <w:rFonts w:ascii="Arial" w:hAnsi="Arial" w:cs="Arial"/>
          <w:bCs/>
        </w:rPr>
        <w:t xml:space="preserve">, </w:t>
      </w:r>
      <w:r w:rsidR="00E83E3A">
        <w:rPr>
          <w:rFonts w:ascii="Arial" w:eastAsia="Calibri" w:hAnsi="Arial" w:cs="Arial"/>
          <w:bCs/>
        </w:rPr>
        <w:t xml:space="preserve">22/14 </w:t>
      </w:r>
      <w:r w:rsidR="00E83E3A" w:rsidRPr="00A674B9">
        <w:rPr>
          <w:rFonts w:ascii="Arial" w:eastAsia="Calibri" w:hAnsi="Arial" w:cs="Arial"/>
          <w:bCs/>
        </w:rPr>
        <w:t xml:space="preserve">– </w:t>
      </w:r>
      <w:proofErr w:type="spellStart"/>
      <w:r w:rsidR="00E83E3A">
        <w:rPr>
          <w:rFonts w:ascii="Arial" w:eastAsia="Calibri" w:hAnsi="Arial" w:cs="Arial"/>
          <w:bCs/>
        </w:rPr>
        <w:t>odl</w:t>
      </w:r>
      <w:proofErr w:type="spellEnd"/>
      <w:r w:rsidR="00E83E3A">
        <w:rPr>
          <w:rFonts w:ascii="Arial" w:eastAsia="Calibri" w:hAnsi="Arial" w:cs="Arial"/>
          <w:bCs/>
        </w:rPr>
        <w:t>. US,</w:t>
      </w:r>
      <w:r w:rsidR="00E83E3A">
        <w:t xml:space="preserve"> </w:t>
      </w:r>
      <w:hyperlink r:id="rId44" w:tgtFrame="_blank" w:tooltip="Zakon o finančni upravi" w:history="1">
        <w:r w:rsidR="00D467D4" w:rsidRPr="00D467D4">
          <w:rPr>
            <w:rFonts w:ascii="Arial" w:hAnsi="Arial" w:cs="Arial"/>
            <w:bCs/>
          </w:rPr>
          <w:t>25/14</w:t>
        </w:r>
      </w:hyperlink>
      <w:r w:rsidR="00D467D4" w:rsidRPr="00D467D4">
        <w:rPr>
          <w:rFonts w:ascii="Arial" w:hAnsi="Arial" w:cs="Arial"/>
          <w:bCs/>
        </w:rPr>
        <w:t xml:space="preserve"> – ZFU, </w:t>
      </w:r>
      <w:hyperlink r:id="rId45" w:tgtFrame="_blank" w:tooltip="Zakon o spremembah in dopolnitvah Zakona o inšpekcijskem nadzoru" w:history="1">
        <w:r w:rsidR="00D467D4" w:rsidRPr="00D467D4">
          <w:rPr>
            <w:rFonts w:ascii="Arial" w:hAnsi="Arial" w:cs="Arial"/>
            <w:bCs/>
          </w:rPr>
          <w:t>40/14</w:t>
        </w:r>
      </w:hyperlink>
      <w:r w:rsidR="00D467D4" w:rsidRPr="00D467D4">
        <w:rPr>
          <w:rFonts w:ascii="Arial" w:hAnsi="Arial" w:cs="Arial"/>
          <w:bCs/>
        </w:rPr>
        <w:t xml:space="preserve"> – ZIN-B, </w:t>
      </w:r>
      <w:hyperlink r:id="rId46" w:tgtFrame="_blank" w:tooltip="Zakon o spremembah in dopolnitvah Zakona o davčnem postopku" w:history="1">
        <w:r w:rsidR="00D467D4" w:rsidRPr="00D467D4">
          <w:rPr>
            <w:rFonts w:ascii="Arial" w:hAnsi="Arial" w:cs="Arial"/>
            <w:bCs/>
          </w:rPr>
          <w:t>90/14</w:t>
        </w:r>
      </w:hyperlink>
      <w:r w:rsidR="00D467D4" w:rsidRPr="00D467D4">
        <w:rPr>
          <w:rFonts w:ascii="Arial" w:hAnsi="Arial" w:cs="Arial"/>
          <w:bCs/>
        </w:rPr>
        <w:t xml:space="preserve">, </w:t>
      </w:r>
      <w:hyperlink r:id="rId47" w:tgtFrame="_blank" w:tooltip="Zakon o spremembah in dopolnitvah Zakona o davčnem postopku" w:history="1">
        <w:r w:rsidR="00D467D4" w:rsidRPr="00D467D4">
          <w:rPr>
            <w:rFonts w:ascii="Arial" w:hAnsi="Arial" w:cs="Arial"/>
            <w:bCs/>
          </w:rPr>
          <w:t>91/15</w:t>
        </w:r>
      </w:hyperlink>
      <w:r w:rsidR="00D467D4" w:rsidRPr="00D467D4">
        <w:rPr>
          <w:rFonts w:ascii="Arial" w:hAnsi="Arial" w:cs="Arial"/>
          <w:bCs/>
        </w:rPr>
        <w:t xml:space="preserve">, </w:t>
      </w:r>
      <w:hyperlink r:id="rId48" w:tgtFrame="_blank" w:tooltip="Zakon o spremembah in dopolnitvah Zakona o davčnem postopku" w:history="1">
        <w:r w:rsidR="00D467D4" w:rsidRPr="00D467D4">
          <w:rPr>
            <w:rFonts w:ascii="Arial" w:hAnsi="Arial" w:cs="Arial"/>
            <w:bCs/>
          </w:rPr>
          <w:t>63/16</w:t>
        </w:r>
      </w:hyperlink>
      <w:r w:rsidR="00D467D4" w:rsidRPr="00D467D4">
        <w:rPr>
          <w:rFonts w:ascii="Arial" w:hAnsi="Arial" w:cs="Arial"/>
          <w:bCs/>
        </w:rPr>
        <w:t xml:space="preserve">, </w:t>
      </w:r>
      <w:hyperlink r:id="rId49" w:tgtFrame="_blank" w:tooltip="Zakon o spremembah in dopolnitvah Zakona o davčnem postopku" w:history="1">
        <w:r w:rsidR="00D467D4" w:rsidRPr="00D467D4">
          <w:rPr>
            <w:rFonts w:ascii="Arial" w:hAnsi="Arial" w:cs="Arial"/>
            <w:bCs/>
          </w:rPr>
          <w:t>69/17</w:t>
        </w:r>
      </w:hyperlink>
      <w:r w:rsidR="00D467D4" w:rsidRPr="00D467D4">
        <w:rPr>
          <w:rFonts w:ascii="Arial" w:hAnsi="Arial" w:cs="Arial"/>
          <w:bCs/>
        </w:rPr>
        <w:t xml:space="preserve">, </w:t>
      </w:r>
      <w:hyperlink r:id="rId50" w:tgtFrame="_blank" w:tooltip="Zakon o spremembah in dopolnitvah Zakona o javnih financah" w:history="1">
        <w:r w:rsidR="00D467D4" w:rsidRPr="00D467D4">
          <w:rPr>
            <w:rFonts w:ascii="Arial" w:hAnsi="Arial" w:cs="Arial"/>
            <w:bCs/>
          </w:rPr>
          <w:t>13/18</w:t>
        </w:r>
      </w:hyperlink>
      <w:r w:rsidR="00D467D4" w:rsidRPr="00D467D4">
        <w:rPr>
          <w:rFonts w:ascii="Arial" w:hAnsi="Arial" w:cs="Arial"/>
          <w:bCs/>
        </w:rPr>
        <w:t xml:space="preserve"> – ZJF-H in ... /19)</w:t>
      </w:r>
      <w:r w:rsidR="00D467D4" w:rsidRPr="00D467D4">
        <w:rPr>
          <w:rFonts w:ascii="Arial" w:hAnsi="Arial" w:cs="Arial"/>
        </w:rPr>
        <w:t xml:space="preserve"> izdaja minister za finance</w:t>
      </w:r>
    </w:p>
    <w:p w14:paraId="6A96EE79" w14:textId="77777777" w:rsidR="00D467D4" w:rsidRPr="00D467D4" w:rsidRDefault="00D467D4" w:rsidP="00D467D4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B478F52" w14:textId="77777777" w:rsidR="00D467D4" w:rsidRPr="00D467D4" w:rsidRDefault="00D467D4" w:rsidP="00D467D4">
      <w:pPr>
        <w:spacing w:after="0" w:line="276" w:lineRule="auto"/>
        <w:ind w:left="720" w:hanging="720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467D4">
        <w:rPr>
          <w:rFonts w:ascii="Arial" w:eastAsia="Times New Roman" w:hAnsi="Arial" w:cs="Arial"/>
          <w:b/>
          <w:sz w:val="20"/>
          <w:szCs w:val="20"/>
          <w:lang w:eastAsia="sl-SI"/>
        </w:rPr>
        <w:t>P R A V I L N I K</w:t>
      </w:r>
    </w:p>
    <w:p w14:paraId="4351FDD4" w14:textId="77777777" w:rsidR="00D467D4" w:rsidRPr="00D467D4" w:rsidRDefault="00D467D4" w:rsidP="00D467D4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467D4">
        <w:rPr>
          <w:rFonts w:ascii="Arial" w:eastAsia="Times New Roman" w:hAnsi="Arial" w:cs="Arial"/>
          <w:b/>
          <w:sz w:val="20"/>
          <w:szCs w:val="20"/>
          <w:lang w:eastAsia="sl-SI"/>
        </w:rPr>
        <w:t>o dopolnitvah Pravilnika o izvajanju Zakona o davčnem postopku</w:t>
      </w:r>
    </w:p>
    <w:p w14:paraId="3B837AF8" w14:textId="77777777" w:rsidR="00D467D4" w:rsidRPr="00D467D4" w:rsidRDefault="00D467D4" w:rsidP="00D467D4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E11447A" w14:textId="77777777" w:rsidR="00D467D4" w:rsidRDefault="00D467D4" w:rsidP="00D467D4">
      <w:pPr>
        <w:numPr>
          <w:ilvl w:val="0"/>
          <w:numId w:val="21"/>
        </w:numPr>
        <w:spacing w:after="200" w:line="276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bookmarkStart w:id="1" w:name="_Ref306103007"/>
      <w:r w:rsidRPr="00D467D4">
        <w:rPr>
          <w:rFonts w:ascii="Arial" w:eastAsia="Calibri" w:hAnsi="Arial" w:cs="Arial"/>
          <w:b/>
          <w:sz w:val="20"/>
          <w:szCs w:val="20"/>
        </w:rPr>
        <w:t>člen</w:t>
      </w:r>
      <w:bookmarkEnd w:id="1"/>
    </w:p>
    <w:p w14:paraId="370A91AB" w14:textId="77777777" w:rsidR="00D467D4" w:rsidRPr="00D467D4" w:rsidRDefault="00D467D4" w:rsidP="00D467D4">
      <w:pPr>
        <w:spacing w:after="200" w:line="276" w:lineRule="auto"/>
        <w:ind w:left="928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377CC1A1" w14:textId="77777777" w:rsidR="00D467D4" w:rsidRPr="00D467D4" w:rsidRDefault="00D467D4" w:rsidP="00D467D4">
      <w:pPr>
        <w:spacing w:after="200"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467D4">
        <w:rPr>
          <w:rFonts w:ascii="Arial" w:eastAsia="Calibri" w:hAnsi="Arial" w:cs="Arial"/>
          <w:sz w:val="20"/>
          <w:szCs w:val="20"/>
        </w:rPr>
        <w:t xml:space="preserve">V Pravilniku o izvajanju Zakona o davčnem postopku </w:t>
      </w:r>
      <w:r w:rsidRPr="00D467D4">
        <w:rPr>
          <w:rFonts w:ascii="Arial" w:eastAsia="Calibri" w:hAnsi="Arial" w:cs="Arial"/>
          <w:bCs/>
          <w:sz w:val="20"/>
          <w:szCs w:val="20"/>
        </w:rPr>
        <w:t xml:space="preserve">(Uradni list RS, št. </w:t>
      </w:r>
      <w:hyperlink r:id="rId51" w:tgtFrame="_blank" w:tooltip="Pravilnik o izvajanju Zakona o davčnem postopku" w:history="1">
        <w:r w:rsidRPr="00D467D4">
          <w:rPr>
            <w:rFonts w:ascii="Arial" w:eastAsia="Calibri" w:hAnsi="Arial" w:cs="Arial"/>
            <w:bCs/>
            <w:sz w:val="20"/>
            <w:szCs w:val="20"/>
          </w:rPr>
          <w:t>141/06</w:t>
        </w:r>
      </w:hyperlink>
      <w:r w:rsidRPr="00D467D4">
        <w:rPr>
          <w:rFonts w:ascii="Arial" w:eastAsia="Calibri" w:hAnsi="Arial" w:cs="Arial"/>
          <w:bCs/>
          <w:sz w:val="20"/>
          <w:szCs w:val="20"/>
        </w:rPr>
        <w:t xml:space="preserve">, </w:t>
      </w:r>
      <w:hyperlink r:id="rId52" w:tgtFrame="_blank" w:tooltip="Pravilnik o spremembah in dopolnitvah Pravilnika o izvajanju Zakona o davčnem postopku" w:history="1">
        <w:r w:rsidRPr="00D467D4">
          <w:rPr>
            <w:rFonts w:ascii="Arial" w:eastAsia="Calibri" w:hAnsi="Arial" w:cs="Arial"/>
            <w:bCs/>
            <w:sz w:val="20"/>
            <w:szCs w:val="20"/>
          </w:rPr>
          <w:t>46/07</w:t>
        </w:r>
      </w:hyperlink>
      <w:r w:rsidRPr="00D467D4">
        <w:rPr>
          <w:rFonts w:ascii="Arial" w:eastAsia="Calibri" w:hAnsi="Arial" w:cs="Arial"/>
          <w:bCs/>
          <w:sz w:val="20"/>
          <w:szCs w:val="20"/>
        </w:rPr>
        <w:t xml:space="preserve">, </w:t>
      </w:r>
      <w:hyperlink r:id="rId53" w:tgtFrame="_blank" w:tooltip="Pravilnik o spremembah in dopolnitvi Pravilnika o izvajanju Zakona o davčnem postopku" w:history="1">
        <w:r w:rsidRPr="00D467D4">
          <w:rPr>
            <w:rFonts w:ascii="Arial" w:eastAsia="Calibri" w:hAnsi="Arial" w:cs="Arial"/>
            <w:bCs/>
            <w:sz w:val="20"/>
            <w:szCs w:val="20"/>
          </w:rPr>
          <w:t>102/07</w:t>
        </w:r>
      </w:hyperlink>
      <w:r w:rsidRPr="00D467D4">
        <w:rPr>
          <w:rFonts w:ascii="Arial" w:eastAsia="Calibri" w:hAnsi="Arial" w:cs="Arial"/>
          <w:bCs/>
          <w:sz w:val="20"/>
          <w:szCs w:val="20"/>
        </w:rPr>
        <w:t xml:space="preserve">, </w:t>
      </w:r>
      <w:hyperlink r:id="rId54" w:tgtFrame="_blank" w:tooltip="Pravilnik o spremembah Pravilnika o izvajanju Zakona o davčnem postopku" w:history="1">
        <w:r w:rsidRPr="00D467D4">
          <w:rPr>
            <w:rFonts w:ascii="Arial" w:eastAsia="Calibri" w:hAnsi="Arial" w:cs="Arial"/>
            <w:bCs/>
            <w:sz w:val="20"/>
            <w:szCs w:val="20"/>
          </w:rPr>
          <w:t>28/09</w:t>
        </w:r>
      </w:hyperlink>
      <w:r w:rsidRPr="00D467D4">
        <w:rPr>
          <w:rFonts w:ascii="Arial" w:eastAsia="Calibri" w:hAnsi="Arial" w:cs="Arial"/>
          <w:bCs/>
          <w:sz w:val="20"/>
          <w:szCs w:val="20"/>
        </w:rPr>
        <w:t xml:space="preserve">, </w:t>
      </w:r>
      <w:hyperlink r:id="rId55" w:tgtFrame="_blank" w:tooltip="Pravilnik o spremembah in dopolnitvah Pravilnika o izvajanju Zakona o davčnem postopku" w:history="1">
        <w:r w:rsidRPr="00D467D4">
          <w:rPr>
            <w:rFonts w:ascii="Arial" w:eastAsia="Calibri" w:hAnsi="Arial" w:cs="Arial"/>
            <w:bCs/>
            <w:sz w:val="20"/>
            <w:szCs w:val="20"/>
          </w:rPr>
          <w:t>101/11</w:t>
        </w:r>
      </w:hyperlink>
      <w:r w:rsidRPr="00D467D4">
        <w:rPr>
          <w:rFonts w:ascii="Arial" w:eastAsia="Calibri" w:hAnsi="Arial" w:cs="Arial"/>
          <w:bCs/>
          <w:sz w:val="20"/>
          <w:szCs w:val="20"/>
        </w:rPr>
        <w:t xml:space="preserve">, </w:t>
      </w:r>
      <w:hyperlink r:id="rId56" w:tgtFrame="_blank" w:tooltip="Pravilnik o spremembah Pravilnika o izvajanju Zakona o davčnem postopku" w:history="1">
        <w:r w:rsidRPr="00D467D4">
          <w:rPr>
            <w:rFonts w:ascii="Arial" w:eastAsia="Calibri" w:hAnsi="Arial" w:cs="Arial"/>
            <w:bCs/>
            <w:sz w:val="20"/>
            <w:szCs w:val="20"/>
          </w:rPr>
          <w:t>24/12</w:t>
        </w:r>
      </w:hyperlink>
      <w:r w:rsidRPr="00D467D4">
        <w:rPr>
          <w:rFonts w:ascii="Arial" w:eastAsia="Calibri" w:hAnsi="Arial" w:cs="Arial"/>
          <w:bCs/>
          <w:sz w:val="20"/>
          <w:szCs w:val="20"/>
        </w:rPr>
        <w:t xml:space="preserve">, </w:t>
      </w:r>
      <w:hyperlink r:id="rId57" w:tgtFrame="_blank" w:tooltip="Zakon o spremembah in dopolnitvah Zakona o davčnem postopku" w:history="1">
        <w:r w:rsidRPr="00D467D4">
          <w:rPr>
            <w:rFonts w:ascii="Arial" w:eastAsia="Calibri" w:hAnsi="Arial" w:cs="Arial"/>
            <w:bCs/>
            <w:sz w:val="20"/>
            <w:szCs w:val="20"/>
          </w:rPr>
          <w:t>32/12</w:t>
        </w:r>
      </w:hyperlink>
      <w:r w:rsidRPr="00D467D4">
        <w:rPr>
          <w:rFonts w:ascii="Arial" w:eastAsia="Calibri" w:hAnsi="Arial" w:cs="Arial"/>
          <w:bCs/>
          <w:sz w:val="20"/>
          <w:szCs w:val="20"/>
        </w:rPr>
        <w:t xml:space="preserve"> – ZDavP-2E, </w:t>
      </w:r>
      <w:hyperlink r:id="rId58" w:tgtFrame="_blank" w:tooltip="Pravilnik o spremembah in dopolnitvah Pravilnika o izvajanju Zakona o davčnem postopku" w:history="1">
        <w:r w:rsidRPr="00D467D4">
          <w:rPr>
            <w:rFonts w:ascii="Arial" w:eastAsia="Calibri" w:hAnsi="Arial" w:cs="Arial"/>
            <w:bCs/>
            <w:sz w:val="20"/>
            <w:szCs w:val="20"/>
          </w:rPr>
          <w:t>19/13</w:t>
        </w:r>
      </w:hyperlink>
      <w:r w:rsidRPr="00D467D4">
        <w:rPr>
          <w:rFonts w:ascii="Arial" w:eastAsia="Calibri" w:hAnsi="Arial" w:cs="Arial"/>
          <w:bCs/>
          <w:sz w:val="20"/>
          <w:szCs w:val="20"/>
        </w:rPr>
        <w:t xml:space="preserve">, </w:t>
      </w:r>
      <w:hyperlink r:id="rId59" w:tgtFrame="_blank" w:tooltip="Pravilnik o dopolnitvah Pravilnika o izvajanju Zakona o davčnem postopku" w:history="1">
        <w:r w:rsidRPr="00D467D4">
          <w:rPr>
            <w:rFonts w:ascii="Arial" w:eastAsia="Calibri" w:hAnsi="Arial" w:cs="Arial"/>
            <w:bCs/>
            <w:sz w:val="20"/>
            <w:szCs w:val="20"/>
          </w:rPr>
          <w:t>45/14</w:t>
        </w:r>
      </w:hyperlink>
      <w:r w:rsidRPr="00D467D4">
        <w:rPr>
          <w:rFonts w:ascii="Arial" w:eastAsia="Calibri" w:hAnsi="Arial" w:cs="Arial"/>
          <w:bCs/>
          <w:sz w:val="20"/>
          <w:szCs w:val="20"/>
        </w:rPr>
        <w:t xml:space="preserve">, </w:t>
      </w:r>
      <w:hyperlink r:id="rId60" w:tgtFrame="_blank" w:tooltip="Pravilnik o spremembah in dopolnitvah Pravilnika o izvajanju Zakona o davčnem postopku" w:history="1">
        <w:r w:rsidRPr="00D467D4">
          <w:rPr>
            <w:rFonts w:ascii="Arial" w:eastAsia="Calibri" w:hAnsi="Arial" w:cs="Arial"/>
            <w:bCs/>
            <w:sz w:val="20"/>
            <w:szCs w:val="20"/>
          </w:rPr>
          <w:t>97/14</w:t>
        </w:r>
      </w:hyperlink>
      <w:r w:rsidRPr="00D467D4">
        <w:rPr>
          <w:rFonts w:ascii="Arial" w:eastAsia="Calibri" w:hAnsi="Arial" w:cs="Arial"/>
          <w:bCs/>
          <w:sz w:val="20"/>
          <w:szCs w:val="20"/>
        </w:rPr>
        <w:t xml:space="preserve">, </w:t>
      </w:r>
      <w:hyperlink r:id="rId61" w:tgtFrame="_blank" w:tooltip="Pravilnik o dopolnitvah Pravilnika o izvajanju Zakona o davčnem postopku" w:history="1">
        <w:r w:rsidRPr="00D467D4">
          <w:rPr>
            <w:rFonts w:ascii="Arial" w:eastAsia="Calibri" w:hAnsi="Arial" w:cs="Arial"/>
            <w:bCs/>
            <w:sz w:val="20"/>
            <w:szCs w:val="20"/>
          </w:rPr>
          <w:t>39/15</w:t>
        </w:r>
      </w:hyperlink>
      <w:r w:rsidRPr="00D467D4">
        <w:rPr>
          <w:rFonts w:ascii="Arial" w:eastAsia="Calibri" w:hAnsi="Arial" w:cs="Arial"/>
          <w:bCs/>
          <w:sz w:val="20"/>
          <w:szCs w:val="20"/>
        </w:rPr>
        <w:t xml:space="preserve">, </w:t>
      </w:r>
      <w:hyperlink r:id="rId62" w:tgtFrame="_blank" w:tooltip="Pravilnik o spremembah in dopolnitvah Pravilnika o izvajanju Zakona o davčnem postopku" w:history="1">
        <w:r w:rsidRPr="00D467D4">
          <w:rPr>
            <w:rFonts w:ascii="Arial" w:eastAsia="Calibri" w:hAnsi="Arial" w:cs="Arial"/>
            <w:bCs/>
            <w:sz w:val="20"/>
            <w:szCs w:val="20"/>
          </w:rPr>
          <w:t>40/16</w:t>
        </w:r>
      </w:hyperlink>
      <w:r w:rsidRPr="00D467D4">
        <w:rPr>
          <w:rFonts w:ascii="Arial" w:eastAsia="Calibri" w:hAnsi="Arial" w:cs="Arial"/>
          <w:bCs/>
          <w:sz w:val="20"/>
          <w:szCs w:val="20"/>
        </w:rPr>
        <w:t xml:space="preserve">, </w:t>
      </w:r>
      <w:hyperlink r:id="rId63" w:tgtFrame="_blank" w:tooltip="Pravilnik o spremembah in dopolnitvah Pravilnika o izvajanju Zakona o davčnem postopku" w:history="1">
        <w:r w:rsidRPr="00D467D4">
          <w:rPr>
            <w:rFonts w:ascii="Arial" w:eastAsia="Calibri" w:hAnsi="Arial" w:cs="Arial"/>
            <w:bCs/>
            <w:sz w:val="20"/>
            <w:szCs w:val="20"/>
          </w:rPr>
          <w:t>85/16</w:t>
        </w:r>
      </w:hyperlink>
      <w:r w:rsidRPr="00D467D4">
        <w:rPr>
          <w:rFonts w:ascii="Arial" w:eastAsia="Calibri" w:hAnsi="Arial" w:cs="Arial"/>
          <w:bCs/>
          <w:sz w:val="20"/>
          <w:szCs w:val="20"/>
        </w:rPr>
        <w:t xml:space="preserve">, </w:t>
      </w:r>
      <w:hyperlink r:id="rId64" w:tgtFrame="_blank" w:tooltip="Pravilnik o spremembah in dopolnitvah Pravilnika o izvajanju Zakona o davčnem postopku" w:history="1">
        <w:r w:rsidRPr="00D467D4">
          <w:rPr>
            <w:rFonts w:ascii="Arial" w:eastAsia="Calibri" w:hAnsi="Arial" w:cs="Arial"/>
            <w:bCs/>
            <w:sz w:val="20"/>
            <w:szCs w:val="20"/>
          </w:rPr>
          <w:t>30/17</w:t>
        </w:r>
      </w:hyperlink>
      <w:r w:rsidRPr="00D467D4">
        <w:rPr>
          <w:rFonts w:ascii="Arial" w:eastAsia="Calibri" w:hAnsi="Arial" w:cs="Arial"/>
          <w:bCs/>
          <w:sz w:val="20"/>
          <w:szCs w:val="20"/>
        </w:rPr>
        <w:t xml:space="preserve"> in </w:t>
      </w:r>
      <w:hyperlink r:id="rId65" w:tgtFrame="_blank" w:tooltip="Pravilnik o spremembah in dopolnitvah Pravilnika o izvajanju Zakona o davčnem postopku" w:history="1">
        <w:r w:rsidRPr="00D467D4">
          <w:rPr>
            <w:rFonts w:ascii="Arial" w:eastAsia="Calibri" w:hAnsi="Arial" w:cs="Arial"/>
            <w:bCs/>
            <w:sz w:val="20"/>
            <w:szCs w:val="20"/>
          </w:rPr>
          <w:t>37/18</w:t>
        </w:r>
      </w:hyperlink>
      <w:r w:rsidRPr="00D467D4">
        <w:rPr>
          <w:rFonts w:ascii="Arial" w:eastAsia="Calibri" w:hAnsi="Arial" w:cs="Arial"/>
          <w:bCs/>
          <w:sz w:val="20"/>
          <w:szCs w:val="20"/>
        </w:rPr>
        <w:t xml:space="preserve">) se naslov petega dela spremeni tako, da se glasi: </w:t>
      </w:r>
    </w:p>
    <w:p w14:paraId="481D1800" w14:textId="77777777" w:rsidR="00D467D4" w:rsidRPr="00D467D4" w:rsidRDefault="00D467D4" w:rsidP="00D467D4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467D4">
        <w:rPr>
          <w:rFonts w:ascii="Arial" w:eastAsia="Calibri" w:hAnsi="Arial" w:cs="Arial"/>
          <w:sz w:val="20"/>
          <w:szCs w:val="20"/>
        </w:rPr>
        <w:t>»</w:t>
      </w:r>
      <w:r w:rsidRPr="00D467D4">
        <w:rPr>
          <w:rFonts w:ascii="Arial" w:eastAsia="Calibri" w:hAnsi="Arial" w:cs="Arial"/>
          <w:sz w:val="20"/>
          <w:szCs w:val="20"/>
          <w:lang w:val="x-none"/>
        </w:rPr>
        <w:t>PREDLOŽITEV OBRAČUNA DAVKA NA PODLAGI SAMOPRIJAVE</w:t>
      </w:r>
      <w:r w:rsidRPr="00D467D4">
        <w:rPr>
          <w:rFonts w:ascii="Arial" w:eastAsia="Calibri" w:hAnsi="Arial" w:cs="Arial"/>
          <w:sz w:val="20"/>
          <w:szCs w:val="20"/>
        </w:rPr>
        <w:t>, ODLOČITVE SODIŠČA OZIROMA SKLENJENE IZVENSODNE PORAVNAVE</w:t>
      </w:r>
      <w:r w:rsidRPr="00D467D4">
        <w:rPr>
          <w:rFonts w:ascii="Arial" w:eastAsia="Calibri" w:hAnsi="Arial" w:cs="Arial"/>
          <w:sz w:val="20"/>
          <w:szCs w:val="20"/>
          <w:lang w:val="x-none"/>
        </w:rPr>
        <w:t xml:space="preserve"> IN V POSTOPKU DAVČNEGA INŠPEKCIJSKEGA NADZORA</w:t>
      </w:r>
      <w:r w:rsidRPr="00D467D4">
        <w:rPr>
          <w:rFonts w:ascii="Arial" w:eastAsia="Calibri" w:hAnsi="Arial" w:cs="Arial"/>
          <w:sz w:val="20"/>
          <w:szCs w:val="20"/>
        </w:rPr>
        <w:t>«</w:t>
      </w:r>
    </w:p>
    <w:p w14:paraId="1F2EA207" w14:textId="77777777" w:rsidR="00D467D4" w:rsidRDefault="00D467D4" w:rsidP="00D467D4">
      <w:pPr>
        <w:numPr>
          <w:ilvl w:val="0"/>
          <w:numId w:val="21"/>
        </w:numPr>
        <w:spacing w:before="240" w:after="200" w:line="24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D467D4">
        <w:rPr>
          <w:rFonts w:ascii="Arial" w:eastAsia="Calibri" w:hAnsi="Arial" w:cs="Arial"/>
          <w:b/>
          <w:sz w:val="20"/>
          <w:szCs w:val="20"/>
        </w:rPr>
        <w:t>člen</w:t>
      </w:r>
    </w:p>
    <w:p w14:paraId="2B8317AD" w14:textId="77777777" w:rsidR="00D467D4" w:rsidRPr="00D467D4" w:rsidRDefault="00D467D4" w:rsidP="00D467D4">
      <w:pPr>
        <w:spacing w:before="240" w:after="200" w:line="240" w:lineRule="auto"/>
        <w:ind w:left="568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5B0A9AD7" w14:textId="77777777" w:rsidR="00D467D4" w:rsidRPr="00D467D4" w:rsidRDefault="00D467D4" w:rsidP="00D467D4">
      <w:pPr>
        <w:shd w:val="clear" w:color="auto" w:fill="FFFFFF"/>
        <w:spacing w:before="240" w:after="0" w:line="24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D467D4">
        <w:rPr>
          <w:rFonts w:ascii="Arial" w:eastAsia="Calibri" w:hAnsi="Arial" w:cs="Arial"/>
          <w:bCs/>
          <w:sz w:val="20"/>
          <w:szCs w:val="20"/>
          <w:lang w:val="x-none" w:eastAsia="sl-SI"/>
        </w:rPr>
        <w:t>26. člen</w:t>
      </w:r>
      <w:r w:rsidRPr="00D467D4">
        <w:rPr>
          <w:rFonts w:ascii="Arial" w:eastAsia="Calibri" w:hAnsi="Arial" w:cs="Arial"/>
          <w:bCs/>
          <w:sz w:val="20"/>
          <w:szCs w:val="20"/>
          <w:lang w:eastAsia="sl-SI"/>
        </w:rPr>
        <w:t xml:space="preserve"> se spremeni tako, da se glasi: </w:t>
      </w:r>
    </w:p>
    <w:p w14:paraId="40E32211" w14:textId="77777777" w:rsidR="00D467D4" w:rsidRPr="00D467D4" w:rsidRDefault="00D467D4" w:rsidP="00D467D4">
      <w:pPr>
        <w:shd w:val="clear" w:color="auto" w:fill="FFFFFF"/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D467D4">
        <w:rPr>
          <w:rFonts w:ascii="Arial" w:eastAsia="Calibri" w:hAnsi="Arial" w:cs="Arial"/>
          <w:sz w:val="20"/>
          <w:szCs w:val="20"/>
          <w:lang w:eastAsia="sl-SI"/>
        </w:rPr>
        <w:t>»</w:t>
      </w:r>
      <w:r w:rsidRPr="00D467D4">
        <w:rPr>
          <w:rFonts w:ascii="Arial" w:eastAsia="Calibri" w:hAnsi="Arial" w:cs="Arial"/>
          <w:sz w:val="20"/>
          <w:szCs w:val="20"/>
          <w:lang w:val="x-none" w:eastAsia="sl-SI"/>
        </w:rPr>
        <w:t xml:space="preserve">(1) Davčni zavezanec prikaže premalo obračunane davke in pripadajoče obresti v zvezi s predložitvijo davčnega obračuna na podlagi </w:t>
      </w:r>
      <w:proofErr w:type="spellStart"/>
      <w:r w:rsidRPr="00D467D4">
        <w:rPr>
          <w:rFonts w:ascii="Arial" w:eastAsia="Calibri" w:hAnsi="Arial" w:cs="Arial"/>
          <w:sz w:val="20"/>
          <w:szCs w:val="20"/>
          <w:lang w:val="x-none" w:eastAsia="sl-SI"/>
        </w:rPr>
        <w:t>samoprijave</w:t>
      </w:r>
      <w:proofErr w:type="spellEnd"/>
      <w:r w:rsidRPr="00D467D4">
        <w:rPr>
          <w:rFonts w:ascii="Arial" w:eastAsia="Calibri" w:hAnsi="Arial" w:cs="Arial"/>
          <w:sz w:val="20"/>
          <w:szCs w:val="20"/>
          <w:lang w:eastAsia="sl-SI"/>
        </w:rPr>
        <w:t xml:space="preserve">, odločitve sodišča oziroma sklenjene izvensodne poravnave </w:t>
      </w:r>
      <w:r w:rsidRPr="00D467D4">
        <w:rPr>
          <w:rFonts w:ascii="Arial" w:eastAsia="Calibri" w:hAnsi="Arial" w:cs="Arial"/>
          <w:sz w:val="20"/>
          <w:szCs w:val="20"/>
          <w:lang w:val="x-none" w:eastAsia="sl-SI"/>
        </w:rPr>
        <w:t>ali predložitvijo davčnega obračuna v postopku davčnega inšpekcijskega nadzora, ki vsebujeta podatke o:</w:t>
      </w:r>
    </w:p>
    <w:p w14:paraId="649EB898" w14:textId="77777777" w:rsidR="00D467D4" w:rsidRPr="00D467D4" w:rsidRDefault="00D467D4" w:rsidP="00D467D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D467D4">
        <w:rPr>
          <w:rFonts w:ascii="Arial" w:eastAsia="Calibri" w:hAnsi="Arial" w:cs="Arial"/>
          <w:sz w:val="20"/>
          <w:szCs w:val="20"/>
          <w:lang w:val="x-none" w:eastAsia="sl-SI"/>
        </w:rPr>
        <w:t>davčnem zavezancu (potrebne za identifikacijo vložnika),</w:t>
      </w:r>
    </w:p>
    <w:p w14:paraId="381C97EE" w14:textId="77777777" w:rsidR="00D467D4" w:rsidRPr="00D467D4" w:rsidRDefault="00D467D4" w:rsidP="00D467D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D467D4">
        <w:rPr>
          <w:rFonts w:ascii="Arial" w:eastAsia="Calibri" w:hAnsi="Arial" w:cs="Arial"/>
          <w:sz w:val="20"/>
          <w:szCs w:val="20"/>
          <w:lang w:val="x-none" w:eastAsia="sl-SI"/>
        </w:rPr>
        <w:t>vrsti obračuna,</w:t>
      </w:r>
    </w:p>
    <w:p w14:paraId="3BFD50D7" w14:textId="77777777" w:rsidR="00D467D4" w:rsidRPr="00D467D4" w:rsidRDefault="00D467D4" w:rsidP="00D467D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D467D4">
        <w:rPr>
          <w:rFonts w:ascii="Arial" w:eastAsia="Calibri" w:hAnsi="Arial" w:cs="Arial"/>
          <w:sz w:val="20"/>
          <w:szCs w:val="20"/>
          <w:lang w:val="x-none" w:eastAsia="sl-SI"/>
        </w:rPr>
        <w:t>vrsti obveznosti,</w:t>
      </w:r>
    </w:p>
    <w:p w14:paraId="0013179C" w14:textId="77777777" w:rsidR="00D467D4" w:rsidRPr="00D467D4" w:rsidRDefault="00D467D4" w:rsidP="00D467D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D467D4">
        <w:rPr>
          <w:rFonts w:ascii="Arial" w:eastAsia="Calibri" w:hAnsi="Arial" w:cs="Arial"/>
          <w:sz w:val="20"/>
          <w:szCs w:val="20"/>
          <w:lang w:val="x-none" w:eastAsia="sl-SI"/>
        </w:rPr>
        <w:t>številki inšpekcijske zadeve, če se predlaga obračun v postopku davčnega inšpekcijskega</w:t>
      </w:r>
      <w:r w:rsidRPr="00D467D4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Pr="00D467D4">
        <w:rPr>
          <w:rFonts w:ascii="Arial" w:eastAsia="Calibri" w:hAnsi="Arial" w:cs="Arial"/>
          <w:sz w:val="20"/>
          <w:szCs w:val="20"/>
          <w:lang w:val="x-none" w:eastAsia="sl-SI"/>
        </w:rPr>
        <w:t>nadzora,</w:t>
      </w:r>
    </w:p>
    <w:p w14:paraId="777D646E" w14:textId="77777777" w:rsidR="00D467D4" w:rsidRPr="00D467D4" w:rsidRDefault="00D467D4" w:rsidP="00D467D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D467D4">
        <w:rPr>
          <w:rFonts w:ascii="Arial" w:eastAsia="Calibri" w:hAnsi="Arial" w:cs="Arial"/>
          <w:sz w:val="20"/>
          <w:szCs w:val="20"/>
          <w:lang w:val="x-none" w:eastAsia="sl-SI"/>
        </w:rPr>
        <w:t xml:space="preserve">obdobju, višini davka in roku za plačilo premalo obračunanega oziroma </w:t>
      </w:r>
      <w:proofErr w:type="spellStart"/>
      <w:r w:rsidRPr="00D467D4">
        <w:rPr>
          <w:rFonts w:ascii="Arial" w:eastAsia="Calibri" w:hAnsi="Arial" w:cs="Arial"/>
          <w:sz w:val="20"/>
          <w:szCs w:val="20"/>
          <w:lang w:val="x-none" w:eastAsia="sl-SI"/>
        </w:rPr>
        <w:t>neobračunanega</w:t>
      </w:r>
      <w:proofErr w:type="spellEnd"/>
      <w:r w:rsidRPr="00D467D4">
        <w:rPr>
          <w:rFonts w:ascii="Arial" w:eastAsia="Calibri" w:hAnsi="Arial" w:cs="Arial"/>
          <w:sz w:val="20"/>
          <w:szCs w:val="20"/>
          <w:lang w:val="x-none" w:eastAsia="sl-SI"/>
        </w:rPr>
        <w:t xml:space="preserve"> davka,</w:t>
      </w:r>
    </w:p>
    <w:p w14:paraId="2082C8F9" w14:textId="77777777" w:rsidR="00D467D4" w:rsidRPr="00D467D4" w:rsidRDefault="00D467D4" w:rsidP="00D467D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D467D4">
        <w:rPr>
          <w:rFonts w:ascii="Arial" w:eastAsia="Calibri" w:hAnsi="Arial" w:cs="Arial"/>
          <w:sz w:val="20"/>
          <w:szCs w:val="20"/>
          <w:lang w:val="x-none" w:eastAsia="sl-SI"/>
        </w:rPr>
        <w:t xml:space="preserve">znesku obresti od poteka roka za plačilo do plačila davka na podlagi </w:t>
      </w:r>
      <w:proofErr w:type="spellStart"/>
      <w:r w:rsidRPr="00D467D4">
        <w:rPr>
          <w:rFonts w:ascii="Arial" w:eastAsia="Calibri" w:hAnsi="Arial" w:cs="Arial"/>
          <w:sz w:val="20"/>
          <w:szCs w:val="20"/>
          <w:lang w:val="x-none" w:eastAsia="sl-SI"/>
        </w:rPr>
        <w:t>samoprijave</w:t>
      </w:r>
      <w:proofErr w:type="spellEnd"/>
      <w:r w:rsidRPr="00D467D4">
        <w:rPr>
          <w:rFonts w:ascii="Arial" w:eastAsia="Calibri" w:hAnsi="Arial" w:cs="Arial"/>
          <w:sz w:val="20"/>
          <w:szCs w:val="20"/>
          <w:lang w:eastAsia="sl-SI"/>
        </w:rPr>
        <w:t>, odločitve sodišča oziroma sklenjene izvensodne poravnave</w:t>
      </w:r>
      <w:r w:rsidRPr="00D467D4">
        <w:rPr>
          <w:rFonts w:ascii="Arial" w:eastAsia="Calibri" w:hAnsi="Arial" w:cs="Arial"/>
          <w:sz w:val="20"/>
          <w:szCs w:val="20"/>
          <w:lang w:val="x-none" w:eastAsia="sl-SI"/>
        </w:rPr>
        <w:t xml:space="preserve"> ali v postopku davčnega inšpekcijskega nadzora,</w:t>
      </w:r>
    </w:p>
    <w:p w14:paraId="5464C70E" w14:textId="77777777" w:rsidR="00D467D4" w:rsidRPr="00D467D4" w:rsidRDefault="00D467D4" w:rsidP="00D467D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D467D4">
        <w:rPr>
          <w:rFonts w:ascii="Arial" w:eastAsia="Calibri" w:hAnsi="Arial" w:cs="Arial"/>
          <w:sz w:val="20"/>
          <w:szCs w:val="20"/>
          <w:lang w:val="x-none" w:eastAsia="sl-SI"/>
        </w:rPr>
        <w:t>datum plačila davka in obresti,</w:t>
      </w:r>
    </w:p>
    <w:p w14:paraId="393552AE" w14:textId="77777777" w:rsidR="00D467D4" w:rsidRPr="00D467D4" w:rsidRDefault="00D467D4" w:rsidP="00D467D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D467D4">
        <w:rPr>
          <w:rFonts w:ascii="Arial" w:eastAsia="Calibri" w:hAnsi="Arial" w:cs="Arial"/>
          <w:sz w:val="20"/>
          <w:szCs w:val="20"/>
          <w:lang w:val="x-none" w:eastAsia="sl-SI"/>
        </w:rPr>
        <w:t xml:space="preserve">kraju in datumu predložitve obračuna davka na podlagi </w:t>
      </w:r>
      <w:proofErr w:type="spellStart"/>
      <w:r w:rsidRPr="00D467D4">
        <w:rPr>
          <w:rFonts w:ascii="Arial" w:eastAsia="Calibri" w:hAnsi="Arial" w:cs="Arial"/>
          <w:sz w:val="20"/>
          <w:szCs w:val="20"/>
          <w:lang w:val="x-none" w:eastAsia="sl-SI"/>
        </w:rPr>
        <w:t>samoprijave</w:t>
      </w:r>
      <w:proofErr w:type="spellEnd"/>
      <w:r w:rsidRPr="00D467D4">
        <w:rPr>
          <w:rFonts w:ascii="Arial" w:eastAsia="Calibri" w:hAnsi="Arial" w:cs="Arial"/>
          <w:sz w:val="20"/>
          <w:szCs w:val="20"/>
          <w:lang w:eastAsia="sl-SI"/>
        </w:rPr>
        <w:t>, odločitve sodišča oziroma sklenjene izvensodne poravnave</w:t>
      </w:r>
      <w:r w:rsidRPr="00D467D4">
        <w:rPr>
          <w:rFonts w:ascii="Arial" w:eastAsia="Calibri" w:hAnsi="Arial" w:cs="Arial"/>
          <w:sz w:val="20"/>
          <w:szCs w:val="20"/>
          <w:lang w:val="x-none" w:eastAsia="sl-SI"/>
        </w:rPr>
        <w:t xml:space="preserve"> ali v postopku davčnega inšpekcijskega nadzora.</w:t>
      </w:r>
    </w:p>
    <w:p w14:paraId="4DB1BAF2" w14:textId="77777777" w:rsidR="00D467D4" w:rsidRPr="00D467D4" w:rsidRDefault="00D467D4" w:rsidP="00D467D4">
      <w:pPr>
        <w:shd w:val="clear" w:color="auto" w:fill="FFFFFF"/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D467D4">
        <w:rPr>
          <w:rFonts w:ascii="Arial" w:eastAsia="Calibri" w:hAnsi="Arial" w:cs="Arial"/>
          <w:sz w:val="20"/>
          <w:szCs w:val="20"/>
          <w:lang w:val="x-none" w:eastAsia="sl-SI"/>
        </w:rPr>
        <w:t xml:space="preserve">(2) Obrazca za predložitev podatkov iz prejšnjega odstavka »Podatki v zvezi s predložitvijo obračuna na podlagi </w:t>
      </w:r>
      <w:proofErr w:type="spellStart"/>
      <w:r w:rsidRPr="00D467D4">
        <w:rPr>
          <w:rFonts w:ascii="Arial" w:eastAsia="Calibri" w:hAnsi="Arial" w:cs="Arial"/>
          <w:sz w:val="20"/>
          <w:szCs w:val="20"/>
          <w:lang w:val="x-none" w:eastAsia="sl-SI"/>
        </w:rPr>
        <w:t>samoprijave</w:t>
      </w:r>
      <w:proofErr w:type="spellEnd"/>
      <w:r w:rsidRPr="00D467D4">
        <w:rPr>
          <w:rFonts w:ascii="Arial" w:eastAsia="Calibri" w:hAnsi="Arial" w:cs="Arial"/>
          <w:sz w:val="20"/>
          <w:szCs w:val="20"/>
          <w:lang w:eastAsia="sl-SI"/>
        </w:rPr>
        <w:t>, odločitve sodišča oziroma sklenjene izvensodne poravnave</w:t>
      </w:r>
      <w:r w:rsidRPr="00D467D4">
        <w:rPr>
          <w:rFonts w:ascii="Arial" w:eastAsia="Calibri" w:hAnsi="Arial" w:cs="Arial"/>
          <w:sz w:val="20"/>
          <w:szCs w:val="20"/>
          <w:lang w:val="x-none" w:eastAsia="sl-SI"/>
        </w:rPr>
        <w:t xml:space="preserve"> oziroma v postopku DIN« oziroma »Obračun DDV in DFS v postopku DIN« sta objavljena na spletni strani finančne uprave.</w:t>
      </w:r>
      <w:r w:rsidRPr="00D467D4">
        <w:rPr>
          <w:rFonts w:ascii="Arial" w:eastAsia="Calibri" w:hAnsi="Arial" w:cs="Arial"/>
          <w:sz w:val="20"/>
          <w:szCs w:val="20"/>
          <w:lang w:eastAsia="sl-SI"/>
        </w:rPr>
        <w:t>«.</w:t>
      </w:r>
    </w:p>
    <w:p w14:paraId="365DB8AC" w14:textId="77777777" w:rsidR="00D467D4" w:rsidRPr="00D467D4" w:rsidRDefault="00D467D4" w:rsidP="00D467D4">
      <w:pPr>
        <w:shd w:val="clear" w:color="auto" w:fill="FFFFFF"/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44826165" w14:textId="77777777" w:rsidR="00D467D4" w:rsidRDefault="00D467D4" w:rsidP="00D467D4">
      <w:pPr>
        <w:numPr>
          <w:ilvl w:val="0"/>
          <w:numId w:val="21"/>
        </w:numPr>
        <w:spacing w:after="200" w:line="276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D467D4">
        <w:rPr>
          <w:rFonts w:ascii="Arial" w:eastAsia="Calibri" w:hAnsi="Arial" w:cs="Arial"/>
          <w:b/>
          <w:sz w:val="20"/>
          <w:szCs w:val="20"/>
        </w:rPr>
        <w:t xml:space="preserve">člen </w:t>
      </w:r>
    </w:p>
    <w:p w14:paraId="5F30176C" w14:textId="77777777" w:rsidR="00D467D4" w:rsidRPr="00D467D4" w:rsidRDefault="00D467D4" w:rsidP="00D467D4">
      <w:pPr>
        <w:spacing w:after="200" w:line="276" w:lineRule="auto"/>
        <w:ind w:left="928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58DF4166" w14:textId="77777777" w:rsidR="00D467D4" w:rsidRPr="00D467D4" w:rsidRDefault="00D467D4" w:rsidP="00D467D4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D467D4">
        <w:rPr>
          <w:rFonts w:ascii="Arial" w:eastAsia="Calibri" w:hAnsi="Arial" w:cs="Arial"/>
          <w:sz w:val="20"/>
          <w:szCs w:val="20"/>
        </w:rPr>
        <w:t>Ta pravilnik začne veljati naslednji dan po objavi v Uradnem listu Republike Slovenije.</w:t>
      </w:r>
    </w:p>
    <w:p w14:paraId="07DCBA81" w14:textId="77777777" w:rsidR="00D467D4" w:rsidRPr="00D467D4" w:rsidRDefault="00D467D4" w:rsidP="00D467D4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D467D4">
        <w:rPr>
          <w:rFonts w:ascii="Arial" w:eastAsia="Calibri" w:hAnsi="Arial" w:cs="Arial"/>
          <w:sz w:val="20"/>
          <w:szCs w:val="20"/>
        </w:rPr>
        <w:t>Številka 007-766/2018</w:t>
      </w:r>
    </w:p>
    <w:p w14:paraId="39EB8F2D" w14:textId="77777777" w:rsidR="00D467D4" w:rsidRPr="00D467D4" w:rsidRDefault="00D467D4" w:rsidP="00D467D4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D467D4">
        <w:rPr>
          <w:rFonts w:ascii="Arial" w:eastAsia="Calibri" w:hAnsi="Arial" w:cs="Arial"/>
          <w:sz w:val="20"/>
          <w:szCs w:val="20"/>
        </w:rPr>
        <w:t>Ljubljana, dne ....... junija 2019</w:t>
      </w:r>
    </w:p>
    <w:p w14:paraId="1CE0808D" w14:textId="77777777" w:rsidR="00D467D4" w:rsidRPr="00D467D4" w:rsidRDefault="00D467D4" w:rsidP="00D467D4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D467D4">
        <w:rPr>
          <w:rFonts w:ascii="Arial" w:eastAsia="Calibri" w:hAnsi="Arial" w:cs="Arial"/>
          <w:sz w:val="20"/>
          <w:szCs w:val="20"/>
        </w:rPr>
        <w:t>EVA 2018-1611-0073</w:t>
      </w:r>
    </w:p>
    <w:p w14:paraId="6BB05479" w14:textId="77777777" w:rsidR="00D467D4" w:rsidRPr="00D467D4" w:rsidRDefault="00D467D4" w:rsidP="00D467D4">
      <w:pPr>
        <w:spacing w:after="0" w:line="240" w:lineRule="auto"/>
        <w:ind w:left="5664" w:firstLine="708"/>
        <w:rPr>
          <w:rFonts w:ascii="Arial" w:eastAsia="Calibri" w:hAnsi="Arial" w:cs="Arial"/>
          <w:sz w:val="20"/>
          <w:szCs w:val="20"/>
        </w:rPr>
      </w:pPr>
      <w:r w:rsidRPr="00D467D4">
        <w:rPr>
          <w:rFonts w:ascii="Arial" w:eastAsia="Calibri" w:hAnsi="Arial" w:cs="Arial"/>
          <w:sz w:val="20"/>
          <w:szCs w:val="20"/>
        </w:rPr>
        <w:t xml:space="preserve">   dr. Andrej Bertoncelj</w:t>
      </w:r>
    </w:p>
    <w:p w14:paraId="66A58916" w14:textId="643579E2" w:rsidR="00D467D4" w:rsidRPr="00D467D4" w:rsidRDefault="00D467D4" w:rsidP="00D467D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D467D4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            </w:t>
      </w:r>
      <w:r w:rsidRPr="00D467D4">
        <w:rPr>
          <w:rFonts w:ascii="Arial" w:eastAsia="Calibri" w:hAnsi="Arial" w:cs="Arial"/>
          <w:sz w:val="20"/>
          <w:szCs w:val="20"/>
        </w:rPr>
        <w:t>Minister za finance</w:t>
      </w:r>
    </w:p>
    <w:p w14:paraId="7E32039F" w14:textId="77777777" w:rsidR="009E15BF" w:rsidRPr="00D467D4" w:rsidRDefault="009E15BF">
      <w:pPr>
        <w:rPr>
          <w:rFonts w:ascii="Arial" w:hAnsi="Arial" w:cs="Arial"/>
          <w:b/>
          <w:sz w:val="20"/>
          <w:szCs w:val="20"/>
        </w:rPr>
      </w:pPr>
    </w:p>
    <w:sectPr w:rsidR="009E15BF" w:rsidRPr="00D467D4">
      <w:footerReference w:type="default" r:id="rId6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203D3" w14:textId="77777777" w:rsidR="00971FAF" w:rsidRDefault="00971FAF">
      <w:pPr>
        <w:spacing w:after="0" w:line="240" w:lineRule="auto"/>
      </w:pPr>
      <w:r>
        <w:separator/>
      </w:r>
    </w:p>
  </w:endnote>
  <w:endnote w:type="continuationSeparator" w:id="0">
    <w:p w14:paraId="7E3203D4" w14:textId="77777777" w:rsidR="00971FAF" w:rsidRDefault="0097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203D5" w14:textId="77777777" w:rsidR="00474A15" w:rsidRDefault="00094255">
    <w:pPr>
      <w:pStyle w:val="Footer"/>
      <w:jc w:val="right"/>
    </w:pPr>
  </w:p>
  <w:p w14:paraId="7E3203D6" w14:textId="77777777" w:rsidR="00FC270D" w:rsidRDefault="00094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203D1" w14:textId="77777777" w:rsidR="00971FAF" w:rsidRDefault="00971FAF">
      <w:pPr>
        <w:spacing w:after="0" w:line="240" w:lineRule="auto"/>
      </w:pPr>
      <w:r>
        <w:separator/>
      </w:r>
    </w:p>
  </w:footnote>
  <w:footnote w:type="continuationSeparator" w:id="0">
    <w:p w14:paraId="7E3203D2" w14:textId="77777777" w:rsidR="00971FAF" w:rsidRDefault="00971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E4C"/>
    <w:multiLevelType w:val="hybridMultilevel"/>
    <w:tmpl w:val="04906DC6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782F6D"/>
    <w:multiLevelType w:val="hybridMultilevel"/>
    <w:tmpl w:val="54689016"/>
    <w:lvl w:ilvl="0" w:tplc="2B247F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54AEB"/>
    <w:multiLevelType w:val="hybridMultilevel"/>
    <w:tmpl w:val="C544543E"/>
    <w:lvl w:ilvl="0" w:tplc="7F4609E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17C4"/>
    <w:multiLevelType w:val="hybridMultilevel"/>
    <w:tmpl w:val="0708F82E"/>
    <w:lvl w:ilvl="0" w:tplc="849E05B4"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64517DB"/>
    <w:multiLevelType w:val="hybridMultilevel"/>
    <w:tmpl w:val="2B42ECD8"/>
    <w:lvl w:ilvl="0" w:tplc="2B247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6308A"/>
    <w:multiLevelType w:val="hybridMultilevel"/>
    <w:tmpl w:val="CF78EE3E"/>
    <w:lvl w:ilvl="0" w:tplc="DEFABA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E39DC"/>
    <w:multiLevelType w:val="hybridMultilevel"/>
    <w:tmpl w:val="965485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F11B3"/>
    <w:multiLevelType w:val="hybridMultilevel"/>
    <w:tmpl w:val="2D4C0C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B2AA6"/>
    <w:multiLevelType w:val="hybridMultilevel"/>
    <w:tmpl w:val="7814F2B4"/>
    <w:lvl w:ilvl="0" w:tplc="0424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1623D8"/>
    <w:multiLevelType w:val="hybridMultilevel"/>
    <w:tmpl w:val="D5384812"/>
    <w:lvl w:ilvl="0" w:tplc="99D62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5629F"/>
    <w:multiLevelType w:val="hybridMultilevel"/>
    <w:tmpl w:val="58FE79BC"/>
    <w:lvl w:ilvl="0" w:tplc="DEFABA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71572"/>
    <w:multiLevelType w:val="hybridMultilevel"/>
    <w:tmpl w:val="287C88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4687F"/>
    <w:multiLevelType w:val="hybridMultilevel"/>
    <w:tmpl w:val="37FC4B48"/>
    <w:lvl w:ilvl="0" w:tplc="B88C7D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E64C0E"/>
    <w:multiLevelType w:val="hybridMultilevel"/>
    <w:tmpl w:val="16D07FB2"/>
    <w:lvl w:ilvl="0" w:tplc="DEFABA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E6474"/>
    <w:multiLevelType w:val="hybridMultilevel"/>
    <w:tmpl w:val="1C844536"/>
    <w:lvl w:ilvl="0" w:tplc="03AE75EC">
      <w:numFmt w:val="bullet"/>
      <w:lvlText w:val="-"/>
      <w:lvlJc w:val="left"/>
      <w:pPr>
        <w:ind w:left="1288" w:hanging="360"/>
      </w:pPr>
      <w:rPr>
        <w:rFonts w:ascii="Arial" w:eastAsiaTheme="minorHAnsi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84AE8"/>
    <w:multiLevelType w:val="hybridMultilevel"/>
    <w:tmpl w:val="09F2FECA"/>
    <w:lvl w:ilvl="0" w:tplc="CAE695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E74897"/>
    <w:multiLevelType w:val="hybridMultilevel"/>
    <w:tmpl w:val="F05EEC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0840"/>
    <w:multiLevelType w:val="hybridMultilevel"/>
    <w:tmpl w:val="3A0A2112"/>
    <w:lvl w:ilvl="0" w:tplc="2C58A66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D5731"/>
    <w:multiLevelType w:val="hybridMultilevel"/>
    <w:tmpl w:val="7B308688"/>
    <w:lvl w:ilvl="0" w:tplc="DB74A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B5158"/>
    <w:multiLevelType w:val="hybridMultilevel"/>
    <w:tmpl w:val="A2ECE0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773FB"/>
    <w:multiLevelType w:val="hybridMultilevel"/>
    <w:tmpl w:val="5388F7BE"/>
    <w:lvl w:ilvl="0" w:tplc="97A0505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16"/>
  </w:num>
  <w:num w:numId="8">
    <w:abstractNumId w:val="18"/>
  </w:num>
  <w:num w:numId="9">
    <w:abstractNumId w:val="0"/>
  </w:num>
  <w:num w:numId="10">
    <w:abstractNumId w:val="3"/>
  </w:num>
  <w:num w:numId="11">
    <w:abstractNumId w:val="6"/>
  </w:num>
  <w:num w:numId="12">
    <w:abstractNumId w:val="1"/>
  </w:num>
  <w:num w:numId="13">
    <w:abstractNumId w:val="2"/>
  </w:num>
  <w:num w:numId="14">
    <w:abstractNumId w:val="21"/>
  </w:num>
  <w:num w:numId="15">
    <w:abstractNumId w:val="17"/>
  </w:num>
  <w:num w:numId="16">
    <w:abstractNumId w:val="14"/>
  </w:num>
  <w:num w:numId="17">
    <w:abstractNumId w:val="5"/>
  </w:num>
  <w:num w:numId="18">
    <w:abstractNumId w:val="10"/>
  </w:num>
  <w:num w:numId="19">
    <w:abstractNumId w:val="20"/>
  </w:num>
  <w:num w:numId="20">
    <w:abstractNumId w:val="12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38"/>
    <w:rsid w:val="00021A1C"/>
    <w:rsid w:val="00043FDC"/>
    <w:rsid w:val="0007378B"/>
    <w:rsid w:val="00075C76"/>
    <w:rsid w:val="000B49CE"/>
    <w:rsid w:val="000D5F56"/>
    <w:rsid w:val="001973E4"/>
    <w:rsid w:val="00211370"/>
    <w:rsid w:val="00293065"/>
    <w:rsid w:val="00320BB6"/>
    <w:rsid w:val="00321A64"/>
    <w:rsid w:val="00330D51"/>
    <w:rsid w:val="003326BC"/>
    <w:rsid w:val="003448D4"/>
    <w:rsid w:val="003B7438"/>
    <w:rsid w:val="003D346C"/>
    <w:rsid w:val="00443F58"/>
    <w:rsid w:val="004443F9"/>
    <w:rsid w:val="005122F4"/>
    <w:rsid w:val="005433B3"/>
    <w:rsid w:val="005579C8"/>
    <w:rsid w:val="00597BDE"/>
    <w:rsid w:val="00695EC3"/>
    <w:rsid w:val="006C22C1"/>
    <w:rsid w:val="007258EB"/>
    <w:rsid w:val="007B7334"/>
    <w:rsid w:val="007C0B58"/>
    <w:rsid w:val="007D2C93"/>
    <w:rsid w:val="007E5D15"/>
    <w:rsid w:val="0082502D"/>
    <w:rsid w:val="00836F49"/>
    <w:rsid w:val="0084530F"/>
    <w:rsid w:val="008C7D52"/>
    <w:rsid w:val="008D49C8"/>
    <w:rsid w:val="008F210F"/>
    <w:rsid w:val="00901D0C"/>
    <w:rsid w:val="009034F0"/>
    <w:rsid w:val="00946E00"/>
    <w:rsid w:val="00971FAF"/>
    <w:rsid w:val="00990888"/>
    <w:rsid w:val="009A0736"/>
    <w:rsid w:val="009E15BF"/>
    <w:rsid w:val="00A46A05"/>
    <w:rsid w:val="00A674B9"/>
    <w:rsid w:val="00A67F04"/>
    <w:rsid w:val="00AF6AFE"/>
    <w:rsid w:val="00B10561"/>
    <w:rsid w:val="00B15BF1"/>
    <w:rsid w:val="00B379A0"/>
    <w:rsid w:val="00B94F79"/>
    <w:rsid w:val="00BC1355"/>
    <w:rsid w:val="00C24B2C"/>
    <w:rsid w:val="00C3258E"/>
    <w:rsid w:val="00C44C5F"/>
    <w:rsid w:val="00D17038"/>
    <w:rsid w:val="00D467D4"/>
    <w:rsid w:val="00E74814"/>
    <w:rsid w:val="00E83E3A"/>
    <w:rsid w:val="00F54630"/>
    <w:rsid w:val="00FB397B"/>
    <w:rsid w:val="00FB550D"/>
    <w:rsid w:val="00F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320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438"/>
    <w:pPr>
      <w:ind w:left="720"/>
      <w:contextualSpacing/>
    </w:pPr>
  </w:style>
  <w:style w:type="paragraph" w:customStyle="1" w:styleId="tevilkanakoncupredpisa1">
    <w:name w:val="tevilkanakoncupredpisa1"/>
    <w:basedOn w:val="Normal"/>
    <w:rsid w:val="003B7438"/>
    <w:pPr>
      <w:spacing w:before="480" w:after="0" w:line="240" w:lineRule="auto"/>
      <w:jc w:val="both"/>
    </w:pPr>
    <w:rPr>
      <w:rFonts w:ascii="Arial" w:eastAsia="Times New Roman" w:hAnsi="Arial" w:cs="Arial"/>
      <w:color w:val="000000"/>
      <w:lang w:eastAsia="sl-SI"/>
    </w:rPr>
  </w:style>
  <w:style w:type="paragraph" w:customStyle="1" w:styleId="datumsprejetja1">
    <w:name w:val="datumsprejetja1"/>
    <w:basedOn w:val="Normal"/>
    <w:rsid w:val="003B7438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sl-SI"/>
    </w:rPr>
  </w:style>
  <w:style w:type="paragraph" w:customStyle="1" w:styleId="eva1">
    <w:name w:val="eva1"/>
    <w:basedOn w:val="Normal"/>
    <w:rsid w:val="003B7438"/>
    <w:p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customStyle="1" w:styleId="imeorgana1">
    <w:name w:val="imeorgana1"/>
    <w:basedOn w:val="Normal"/>
    <w:rsid w:val="003B7438"/>
    <w:pPr>
      <w:spacing w:before="480" w:after="0" w:line="240" w:lineRule="auto"/>
      <w:ind w:left="5670"/>
      <w:jc w:val="center"/>
    </w:pPr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ormal"/>
    <w:qFormat/>
    <w:rsid w:val="003B74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1">
    <w:name w:val="odstavek1"/>
    <w:basedOn w:val="Normal"/>
    <w:rsid w:val="003B7438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vrstapredpisa1">
    <w:name w:val="vrstapredpisa1"/>
    <w:basedOn w:val="Normal"/>
    <w:rsid w:val="003B7438"/>
    <w:pPr>
      <w:spacing w:before="480" w:after="0" w:line="240" w:lineRule="auto"/>
      <w:jc w:val="center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1">
    <w:name w:val="naslovpredpisa1"/>
    <w:basedOn w:val="Normal"/>
    <w:rsid w:val="003B7438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len1">
    <w:name w:val="len1"/>
    <w:basedOn w:val="Normal"/>
    <w:rsid w:val="003B7438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alineazaodstavkom1">
    <w:name w:val="alineazaodstavkom1"/>
    <w:basedOn w:val="Normal"/>
    <w:rsid w:val="003B7438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38"/>
  </w:style>
  <w:style w:type="paragraph" w:styleId="BalloonText">
    <w:name w:val="Balloon Text"/>
    <w:basedOn w:val="Normal"/>
    <w:link w:val="BalloonTextChar"/>
    <w:uiPriority w:val="99"/>
    <w:semiHidden/>
    <w:unhideWhenUsed/>
    <w:rsid w:val="00F5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5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C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C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C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C93"/>
  </w:style>
  <w:style w:type="paragraph" w:styleId="EnvelopeReturn">
    <w:name w:val="envelope return"/>
    <w:basedOn w:val="Normal"/>
    <w:uiPriority w:val="99"/>
    <w:semiHidden/>
    <w:unhideWhenUsed/>
    <w:rsid w:val="00D467D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438"/>
    <w:pPr>
      <w:ind w:left="720"/>
      <w:contextualSpacing/>
    </w:pPr>
  </w:style>
  <w:style w:type="paragraph" w:customStyle="1" w:styleId="tevilkanakoncupredpisa1">
    <w:name w:val="tevilkanakoncupredpisa1"/>
    <w:basedOn w:val="Normal"/>
    <w:rsid w:val="003B7438"/>
    <w:pPr>
      <w:spacing w:before="480" w:after="0" w:line="240" w:lineRule="auto"/>
      <w:jc w:val="both"/>
    </w:pPr>
    <w:rPr>
      <w:rFonts w:ascii="Arial" w:eastAsia="Times New Roman" w:hAnsi="Arial" w:cs="Arial"/>
      <w:color w:val="000000"/>
      <w:lang w:eastAsia="sl-SI"/>
    </w:rPr>
  </w:style>
  <w:style w:type="paragraph" w:customStyle="1" w:styleId="datumsprejetja1">
    <w:name w:val="datumsprejetja1"/>
    <w:basedOn w:val="Normal"/>
    <w:rsid w:val="003B7438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sl-SI"/>
    </w:rPr>
  </w:style>
  <w:style w:type="paragraph" w:customStyle="1" w:styleId="eva1">
    <w:name w:val="eva1"/>
    <w:basedOn w:val="Normal"/>
    <w:rsid w:val="003B7438"/>
    <w:p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customStyle="1" w:styleId="imeorgana1">
    <w:name w:val="imeorgana1"/>
    <w:basedOn w:val="Normal"/>
    <w:rsid w:val="003B7438"/>
    <w:pPr>
      <w:spacing w:before="480" w:after="0" w:line="240" w:lineRule="auto"/>
      <w:ind w:left="5670"/>
      <w:jc w:val="center"/>
    </w:pPr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ormal"/>
    <w:qFormat/>
    <w:rsid w:val="003B74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1">
    <w:name w:val="odstavek1"/>
    <w:basedOn w:val="Normal"/>
    <w:rsid w:val="003B7438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vrstapredpisa1">
    <w:name w:val="vrstapredpisa1"/>
    <w:basedOn w:val="Normal"/>
    <w:rsid w:val="003B7438"/>
    <w:pPr>
      <w:spacing w:before="480" w:after="0" w:line="240" w:lineRule="auto"/>
      <w:jc w:val="center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1">
    <w:name w:val="naslovpredpisa1"/>
    <w:basedOn w:val="Normal"/>
    <w:rsid w:val="003B7438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len1">
    <w:name w:val="len1"/>
    <w:basedOn w:val="Normal"/>
    <w:rsid w:val="003B7438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alineazaodstavkom1">
    <w:name w:val="alineazaodstavkom1"/>
    <w:basedOn w:val="Normal"/>
    <w:rsid w:val="003B7438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38"/>
  </w:style>
  <w:style w:type="paragraph" w:styleId="BalloonText">
    <w:name w:val="Balloon Text"/>
    <w:basedOn w:val="Normal"/>
    <w:link w:val="BalloonTextChar"/>
    <w:uiPriority w:val="99"/>
    <w:semiHidden/>
    <w:unhideWhenUsed/>
    <w:rsid w:val="00F5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5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C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C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C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C93"/>
  </w:style>
  <w:style w:type="paragraph" w:styleId="EnvelopeReturn">
    <w:name w:val="envelope return"/>
    <w:basedOn w:val="Normal"/>
    <w:uiPriority w:val="99"/>
    <w:semiHidden/>
    <w:unhideWhenUsed/>
    <w:rsid w:val="00D467D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2-01-1402" TargetMode="External"/><Relationship Id="rId18" Type="http://schemas.openxmlformats.org/officeDocument/2006/relationships/hyperlink" Target="http://www.uradni-list.si/1/objava.jsp?sop=2014-01-1619" TargetMode="External"/><Relationship Id="rId26" Type="http://schemas.openxmlformats.org/officeDocument/2006/relationships/hyperlink" Target="http://www.uradni-list.si/1/objava.jsp?sop=2007-01-5128" TargetMode="External"/><Relationship Id="rId39" Type="http://schemas.openxmlformats.org/officeDocument/2006/relationships/hyperlink" Target="http://www.uradni-list.si/1/objava.jsp?sop=2011-01-0553" TargetMode="External"/><Relationship Id="rId21" Type="http://schemas.openxmlformats.org/officeDocument/2006/relationships/hyperlink" Target="http://www.uradni-list.si/1/objava.jsp?sop=2016-01-2685" TargetMode="External"/><Relationship Id="rId34" Type="http://schemas.openxmlformats.org/officeDocument/2006/relationships/hyperlink" Target="http://www.uradni-list.si/1/objava.jsp?sop=2015-01-1618" TargetMode="External"/><Relationship Id="rId42" Type="http://schemas.openxmlformats.org/officeDocument/2006/relationships/hyperlink" Target="http://www.uradni-list.si/1/objava.jsp?sop=2013-01-3676" TargetMode="External"/><Relationship Id="rId47" Type="http://schemas.openxmlformats.org/officeDocument/2006/relationships/hyperlink" Target="http://www.uradni-list.si/1/objava.jsp?sop=2015-01-3571" TargetMode="External"/><Relationship Id="rId50" Type="http://schemas.openxmlformats.org/officeDocument/2006/relationships/hyperlink" Target="http://www.uradni-list.si/1/objava.jsp?sop=2018-01-0544" TargetMode="External"/><Relationship Id="rId55" Type="http://schemas.openxmlformats.org/officeDocument/2006/relationships/hyperlink" Target="http://www.uradni-list.si/1/objava.jsp?sop=2011-01-4337" TargetMode="External"/><Relationship Id="rId63" Type="http://schemas.openxmlformats.org/officeDocument/2006/relationships/hyperlink" Target="http://www.uradni-list.si/1/objava.jsp?sop=2016-01-3704" TargetMode="External"/><Relationship Id="rId68" Type="http://schemas.openxmlformats.org/officeDocument/2006/relationships/theme" Target="theme/theme1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13-01-4127" TargetMode="External"/><Relationship Id="rId29" Type="http://schemas.openxmlformats.org/officeDocument/2006/relationships/hyperlink" Target="http://www.uradni-list.si/1/objava.jsp?sop=2012-01-092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uradni-list.si/1/objava.jsp?sop=2006-01-6164" TargetMode="External"/><Relationship Id="rId32" Type="http://schemas.openxmlformats.org/officeDocument/2006/relationships/hyperlink" Target="http://www.uradni-list.si/1/objava.jsp?sop=2014-01-1838" TargetMode="External"/><Relationship Id="rId37" Type="http://schemas.openxmlformats.org/officeDocument/2006/relationships/hyperlink" Target="http://www.uradni-list.si/1/objava.jsp?sop=2017-01-1605" TargetMode="External"/><Relationship Id="rId40" Type="http://schemas.openxmlformats.org/officeDocument/2006/relationships/hyperlink" Target="http://www.uradni-list.si/1/objava.jsp?sop=2012-01-1402" TargetMode="External"/><Relationship Id="rId45" Type="http://schemas.openxmlformats.org/officeDocument/2006/relationships/hyperlink" Target="http://www.uradni-list.si/1/objava.jsp?sop=2014-01-1619" TargetMode="External"/><Relationship Id="rId53" Type="http://schemas.openxmlformats.org/officeDocument/2006/relationships/hyperlink" Target="http://www.uradni-list.si/1/objava.jsp?sop=2007-01-5128" TargetMode="External"/><Relationship Id="rId58" Type="http://schemas.openxmlformats.org/officeDocument/2006/relationships/hyperlink" Target="http://www.uradni-list.si/1/objava.jsp?sop=2013-01-0659" TargetMode="External"/><Relationship Id="rId66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13-01-3676" TargetMode="External"/><Relationship Id="rId23" Type="http://schemas.openxmlformats.org/officeDocument/2006/relationships/hyperlink" Target="http://www.uradni-list.si/1/objava.jsp?sop=2018-01-0544" TargetMode="External"/><Relationship Id="rId28" Type="http://schemas.openxmlformats.org/officeDocument/2006/relationships/hyperlink" Target="http://www.uradni-list.si/1/objava.jsp?sop=2011-01-4337" TargetMode="External"/><Relationship Id="rId36" Type="http://schemas.openxmlformats.org/officeDocument/2006/relationships/hyperlink" Target="http://www.uradni-list.si/1/objava.jsp?sop=2016-01-3704" TargetMode="External"/><Relationship Id="rId49" Type="http://schemas.openxmlformats.org/officeDocument/2006/relationships/hyperlink" Target="http://www.uradni-list.si/1/objava.jsp?sop=2017-01-3269" TargetMode="External"/><Relationship Id="rId57" Type="http://schemas.openxmlformats.org/officeDocument/2006/relationships/hyperlink" Target="http://www.uradni-list.si/1/objava.jsp?sop=2012-01-1402" TargetMode="External"/><Relationship Id="rId61" Type="http://schemas.openxmlformats.org/officeDocument/2006/relationships/hyperlink" Target="http://www.uradni-list.si/1/objava.jsp?sop=2015-01-1618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uradni-list.si/1/objava.jsp?sop=2014-01-3647" TargetMode="External"/><Relationship Id="rId31" Type="http://schemas.openxmlformats.org/officeDocument/2006/relationships/hyperlink" Target="http://www.uradni-list.si/1/objava.jsp?sop=2013-01-0659" TargetMode="External"/><Relationship Id="rId44" Type="http://schemas.openxmlformats.org/officeDocument/2006/relationships/hyperlink" Target="http://www.uradni-list.si/1/objava.jsp?sop=2014-01-0961" TargetMode="External"/><Relationship Id="rId52" Type="http://schemas.openxmlformats.org/officeDocument/2006/relationships/hyperlink" Target="http://www.uradni-list.si/1/objava.jsp?sop=2007-01-2513" TargetMode="External"/><Relationship Id="rId60" Type="http://schemas.openxmlformats.org/officeDocument/2006/relationships/hyperlink" Target="http://www.uradni-list.si/1/objava.jsp?sop=2014-01-4077" TargetMode="External"/><Relationship Id="rId65" Type="http://schemas.openxmlformats.org/officeDocument/2006/relationships/hyperlink" Target="http://www.uradni-list.si/1/objava.jsp?sop=2018-01-1843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uradni-list.si/1/objava.jsp?sop=2012-01-3643" TargetMode="External"/><Relationship Id="rId22" Type="http://schemas.openxmlformats.org/officeDocument/2006/relationships/hyperlink" Target="http://www.uradni-list.si/1/objava.jsp?sop=2017-01-3269" TargetMode="External"/><Relationship Id="rId27" Type="http://schemas.openxmlformats.org/officeDocument/2006/relationships/hyperlink" Target="http://www.uradni-list.si/1/objava.jsp?sop=2009-01-1193" TargetMode="External"/><Relationship Id="rId30" Type="http://schemas.openxmlformats.org/officeDocument/2006/relationships/hyperlink" Target="http://www.uradni-list.si/1/objava.jsp?sop=2012-01-1402" TargetMode="External"/><Relationship Id="rId35" Type="http://schemas.openxmlformats.org/officeDocument/2006/relationships/hyperlink" Target="http://www.uradni-list.si/1/objava.jsp?sop=2016-01-1765" TargetMode="External"/><Relationship Id="rId43" Type="http://schemas.openxmlformats.org/officeDocument/2006/relationships/hyperlink" Target="http://www.uradni-list.si/1/objava.jsp?sop=2013-01-4127" TargetMode="External"/><Relationship Id="rId48" Type="http://schemas.openxmlformats.org/officeDocument/2006/relationships/hyperlink" Target="http://www.uradni-list.si/1/objava.jsp?sop=2016-01-2685" TargetMode="External"/><Relationship Id="rId56" Type="http://schemas.openxmlformats.org/officeDocument/2006/relationships/hyperlink" Target="http://www.uradni-list.si/1/objava.jsp?sop=2012-01-0925" TargetMode="External"/><Relationship Id="rId64" Type="http://schemas.openxmlformats.org/officeDocument/2006/relationships/hyperlink" Target="http://www.uradni-list.si/1/objava.jsp?sop=2017-01-1605" TargetMode="External"/><Relationship Id="rId8" Type="http://schemas.openxmlformats.org/officeDocument/2006/relationships/settings" Target="settings.xml"/><Relationship Id="rId51" Type="http://schemas.openxmlformats.org/officeDocument/2006/relationships/hyperlink" Target="http://www.uradni-list.si/1/objava.jsp?sop=2006-01-6164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uradni-list.si/1/objava.jsp?sop=2011-01-0553" TargetMode="External"/><Relationship Id="rId17" Type="http://schemas.openxmlformats.org/officeDocument/2006/relationships/hyperlink" Target="http://www.uradni-list.si/1/objava.jsp?sop=2014-01-0961" TargetMode="External"/><Relationship Id="rId25" Type="http://schemas.openxmlformats.org/officeDocument/2006/relationships/hyperlink" Target="http://www.uradni-list.si/1/objava.jsp?sop=2007-01-2513" TargetMode="External"/><Relationship Id="rId33" Type="http://schemas.openxmlformats.org/officeDocument/2006/relationships/hyperlink" Target="http://www.uradni-list.si/1/objava.jsp?sop=2014-01-4077" TargetMode="External"/><Relationship Id="rId38" Type="http://schemas.openxmlformats.org/officeDocument/2006/relationships/hyperlink" Target="http://www.uradni-list.si/1/objava.jsp?sop=2018-01-1843" TargetMode="External"/><Relationship Id="rId46" Type="http://schemas.openxmlformats.org/officeDocument/2006/relationships/hyperlink" Target="http://www.uradni-list.si/1/objava.jsp?sop=2014-01-3647" TargetMode="External"/><Relationship Id="rId59" Type="http://schemas.openxmlformats.org/officeDocument/2006/relationships/hyperlink" Target="http://www.uradni-list.si/1/objava.jsp?sop=2014-01-1838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uradni-list.si/1/objava.jsp?sop=2015-01-3571" TargetMode="External"/><Relationship Id="rId41" Type="http://schemas.openxmlformats.org/officeDocument/2006/relationships/hyperlink" Target="http://www.uradni-list.si/1/objava.jsp?sop=2012-01-3643" TargetMode="External"/><Relationship Id="rId54" Type="http://schemas.openxmlformats.org/officeDocument/2006/relationships/hyperlink" Target="http://www.uradni-list.si/1/objava.jsp?sop=2009-01-1193" TargetMode="External"/><Relationship Id="rId62" Type="http://schemas.openxmlformats.org/officeDocument/2006/relationships/hyperlink" Target="http://www.uradni-list.si/1/objava.jsp?sop=2016-01-176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d885e1-f2d7-4ffc-80f5-e7c266c6408c">YPDRX2FCMFN4-31-1019</_dlc_DocId>
    <_dlc_DocIdUrl xmlns="45d885e1-f2d7-4ffc-80f5-e7c266c6408c">
      <Url>https://iportal.mf.si/podrocja/davkicarine/Dokumenti_skupni_rabi_DSDCJP/_layouts/15/DocIdRedir.aspx?ID=YPDRX2FCMFN4-31-1019</Url>
      <Description>YPDRX2FCMFN4-31-1019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42A6AA591E6448262066C1D2F96B8" ma:contentTypeVersion="0" ma:contentTypeDescription="Ustvari nov dokument." ma:contentTypeScope="" ma:versionID="0939215f063735e4a6899037bf79b3f7">
  <xsd:schema xmlns:xsd="http://www.w3.org/2001/XMLSchema" xmlns:xs="http://www.w3.org/2001/XMLSchema" xmlns:p="http://schemas.microsoft.com/office/2006/metadata/properties" xmlns:ns2="45d885e1-f2d7-4ffc-80f5-e7c266c6408c" targetNamespace="http://schemas.microsoft.com/office/2006/metadata/properties" ma:root="true" ma:fieldsID="106b85407a65db458b3181becf7ea192" ns2:_="">
    <xsd:import namespace="45d885e1-f2d7-4ffc-80f5-e7c266c640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885e1-f2d7-4ffc-80f5-e7c266c640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B9EFF-D4BD-4223-8D62-DBC43F8EFF4F}">
  <ds:schemaRefs>
    <ds:schemaRef ds:uri="45d885e1-f2d7-4ffc-80f5-e7c266c6408c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E762A7-7479-4029-B048-769A324D1B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56687A-6DF1-4706-B955-D937231C39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966E60-23A3-4F70-98E2-41B1E8D4B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885e1-f2d7-4ffc-80f5-e7c266c64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3255</Words>
  <Characters>18557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21769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Pernuš</dc:creator>
  <cp:lastModifiedBy>Administrator</cp:lastModifiedBy>
  <cp:revision>2</cp:revision>
  <cp:lastPrinted>2019-03-01T07:32:00Z</cp:lastPrinted>
  <dcterms:created xsi:type="dcterms:W3CDTF">2019-03-04T07:00:00Z</dcterms:created>
  <dcterms:modified xsi:type="dcterms:W3CDTF">2019-03-04T07:00:00Z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0x01010014F42A6AA591E6448262066C1D2F96B8</vt:lpwstr>
  </property>
  <property fmtid="{D5CDD505-2E9C-101B-9397-08002B2CF9AE}" pid="3" name="_dlc_DocIdItemGuid">
    <vt:lpwstr>0db15bfa-f384-42e9-b903-454ee5ecc453</vt:lpwstr>
  </property>
</Properties>
</file>