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B" w:rsidRPr="005429C5" w:rsidRDefault="00D85387" w:rsidP="005429C5">
      <w:pPr>
        <w:pStyle w:val="Odstavekseznama1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FEB" w:rsidRPr="005429C5" w:rsidRDefault="00D85387" w:rsidP="005429C5">
      <w:pPr>
        <w:pStyle w:val="Glava"/>
        <w:tabs>
          <w:tab w:val="clear" w:pos="4320"/>
          <w:tab w:val="clear" w:pos="8640"/>
          <w:tab w:val="left" w:pos="5112"/>
        </w:tabs>
        <w:spacing w:before="120" w:line="276" w:lineRule="auto"/>
        <w:ind w:left="284"/>
        <w:rPr>
          <w:rFonts w:cs="Arial"/>
          <w:szCs w:val="20"/>
          <w:lang w:val="it-IT"/>
        </w:rPr>
      </w:pPr>
      <w:r>
        <w:rPr>
          <w:rFonts w:cs="Arial"/>
          <w:noProof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C4FEB" w:rsidRPr="005429C5">
        <w:rPr>
          <w:rFonts w:cs="Arial"/>
          <w:szCs w:val="20"/>
          <w:lang w:val="it-IT"/>
        </w:rPr>
        <w:t>Maistrova</w:t>
      </w:r>
      <w:proofErr w:type="spellEnd"/>
      <w:r w:rsidR="00FC4FEB" w:rsidRPr="005429C5">
        <w:rPr>
          <w:rFonts w:cs="Arial"/>
          <w:szCs w:val="20"/>
          <w:lang w:val="it-IT"/>
        </w:rPr>
        <w:t xml:space="preserve"> </w:t>
      </w:r>
      <w:proofErr w:type="spellStart"/>
      <w:r w:rsidR="00FC4FEB" w:rsidRPr="005429C5">
        <w:rPr>
          <w:rFonts w:cs="Arial"/>
          <w:szCs w:val="20"/>
          <w:lang w:val="it-IT"/>
        </w:rPr>
        <w:t>ulica</w:t>
      </w:r>
      <w:proofErr w:type="spellEnd"/>
      <w:r w:rsidR="00FC4FEB" w:rsidRPr="005429C5">
        <w:rPr>
          <w:rFonts w:cs="Arial"/>
          <w:szCs w:val="20"/>
          <w:lang w:val="it-IT"/>
        </w:rPr>
        <w:t xml:space="preserve"> </w:t>
      </w:r>
      <w:proofErr w:type="gramStart"/>
      <w:r w:rsidR="00FC4FEB" w:rsidRPr="005429C5">
        <w:rPr>
          <w:rFonts w:cs="Arial"/>
          <w:szCs w:val="20"/>
          <w:lang w:val="it-IT"/>
        </w:rPr>
        <w:t>10</w:t>
      </w:r>
      <w:proofErr w:type="gramEnd"/>
      <w:r w:rsidR="00FC4FEB" w:rsidRPr="005429C5">
        <w:rPr>
          <w:rFonts w:cs="Arial"/>
          <w:szCs w:val="20"/>
          <w:lang w:val="it-IT"/>
        </w:rPr>
        <w:t xml:space="preserve">, 1000 </w:t>
      </w:r>
      <w:proofErr w:type="spellStart"/>
      <w:r w:rsidR="00FC4FEB" w:rsidRPr="005429C5">
        <w:rPr>
          <w:rFonts w:cs="Arial"/>
          <w:szCs w:val="20"/>
          <w:lang w:val="it-IT"/>
        </w:rPr>
        <w:t>Ljubljana</w:t>
      </w:r>
      <w:proofErr w:type="spellEnd"/>
      <w:r w:rsidR="00FC4FEB" w:rsidRPr="005429C5">
        <w:rPr>
          <w:rFonts w:cs="Arial"/>
          <w:szCs w:val="20"/>
          <w:lang w:val="it-IT"/>
        </w:rPr>
        <w:tab/>
        <w:t xml:space="preserve">T: </w:t>
      </w:r>
      <w:proofErr w:type="gramStart"/>
      <w:r w:rsidR="00FC4FEB" w:rsidRPr="005429C5">
        <w:rPr>
          <w:rFonts w:cs="Arial"/>
          <w:szCs w:val="20"/>
          <w:lang w:val="it-IT"/>
        </w:rPr>
        <w:t>01</w:t>
      </w:r>
      <w:proofErr w:type="gramEnd"/>
      <w:r w:rsidR="00FC4FEB" w:rsidRPr="005429C5">
        <w:rPr>
          <w:rFonts w:cs="Arial"/>
          <w:szCs w:val="20"/>
          <w:lang w:val="it-IT"/>
        </w:rPr>
        <w:t xml:space="preserve"> 369 59 00</w:t>
      </w:r>
    </w:p>
    <w:p w:rsidR="00FC4FEB" w:rsidRPr="005429C5" w:rsidRDefault="00FC4FEB" w:rsidP="005429C5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ind w:left="284"/>
        <w:rPr>
          <w:rFonts w:cs="Arial"/>
          <w:szCs w:val="20"/>
          <w:lang w:val="it-IT"/>
        </w:rPr>
      </w:pPr>
      <w:r w:rsidRPr="005429C5">
        <w:rPr>
          <w:rFonts w:cs="Arial"/>
          <w:szCs w:val="20"/>
          <w:lang w:val="it-IT"/>
        </w:rPr>
        <w:tab/>
        <w:t xml:space="preserve">F: </w:t>
      </w:r>
      <w:proofErr w:type="gramStart"/>
      <w:r w:rsidRPr="005429C5">
        <w:rPr>
          <w:rFonts w:cs="Arial"/>
          <w:szCs w:val="20"/>
          <w:lang w:val="it-IT"/>
        </w:rPr>
        <w:t>01</w:t>
      </w:r>
      <w:proofErr w:type="gramEnd"/>
      <w:r w:rsidRPr="005429C5">
        <w:rPr>
          <w:rFonts w:cs="Arial"/>
          <w:szCs w:val="20"/>
          <w:lang w:val="it-IT"/>
        </w:rPr>
        <w:t xml:space="preserve"> 369 59 01</w:t>
      </w:r>
    </w:p>
    <w:p w:rsidR="00FC4FEB" w:rsidRPr="005429C5" w:rsidRDefault="00FC4FEB" w:rsidP="005429C5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ind w:left="284"/>
        <w:rPr>
          <w:rFonts w:cs="Arial"/>
          <w:szCs w:val="20"/>
          <w:lang w:val="it-IT"/>
        </w:rPr>
      </w:pPr>
      <w:r w:rsidRPr="005429C5">
        <w:rPr>
          <w:rFonts w:cs="Arial"/>
          <w:szCs w:val="20"/>
          <w:lang w:val="it-IT"/>
        </w:rPr>
        <w:tab/>
        <w:t>E: gp.mk@gov.si</w:t>
      </w:r>
    </w:p>
    <w:p w:rsidR="00FC4FEB" w:rsidRPr="005429C5" w:rsidRDefault="00FC4FEB" w:rsidP="005429C5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ind w:left="284"/>
        <w:rPr>
          <w:rFonts w:cs="Arial"/>
          <w:szCs w:val="20"/>
          <w:lang w:val="it-IT"/>
        </w:rPr>
      </w:pPr>
      <w:r w:rsidRPr="005429C5">
        <w:rPr>
          <w:rFonts w:cs="Arial"/>
          <w:szCs w:val="20"/>
          <w:lang w:val="it-IT"/>
        </w:rPr>
        <w:tab/>
      </w:r>
      <w:proofErr w:type="gramStart"/>
      <w:r w:rsidRPr="005429C5">
        <w:rPr>
          <w:rFonts w:cs="Arial"/>
          <w:szCs w:val="20"/>
          <w:lang w:val="it-IT"/>
        </w:rPr>
        <w:t>www.mk.gov.si</w:t>
      </w:r>
      <w:proofErr w:type="gramEnd"/>
    </w:p>
    <w:p w:rsidR="00FC4FEB" w:rsidRPr="005429C5" w:rsidRDefault="00FC4FEB" w:rsidP="005429C5">
      <w:pPr>
        <w:pStyle w:val="Odstavekseznama1"/>
        <w:spacing w:line="276" w:lineRule="auto"/>
        <w:ind w:left="0" w:firstLine="708"/>
        <w:rPr>
          <w:rFonts w:ascii="Arial" w:hAnsi="Arial" w:cs="Arial"/>
          <w:b/>
          <w:sz w:val="20"/>
          <w:szCs w:val="20"/>
        </w:rPr>
      </w:pPr>
    </w:p>
    <w:p w:rsidR="00644E67" w:rsidRPr="005429C5" w:rsidRDefault="00644E67" w:rsidP="005429C5">
      <w:pPr>
        <w:pStyle w:val="Odstavekseznama1"/>
        <w:spacing w:line="276" w:lineRule="auto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429C5" w:rsidRPr="005429C5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5429C5" w:rsidRDefault="00644E67" w:rsidP="005429C5">
            <w:pPr>
              <w:pStyle w:val="Neotevilenodstavek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429C5">
              <w:rPr>
                <w:sz w:val="20"/>
                <w:szCs w:val="20"/>
              </w:rPr>
              <w:t xml:space="preserve">Številka: </w:t>
            </w:r>
            <w:r w:rsidR="009F7A7C" w:rsidRPr="005429C5">
              <w:rPr>
                <w:sz w:val="20"/>
                <w:szCs w:val="20"/>
              </w:rPr>
              <w:t>510-74/2018</w:t>
            </w:r>
            <w:r w:rsidR="002D03C8">
              <w:rPr>
                <w:sz w:val="20"/>
                <w:szCs w:val="20"/>
              </w:rPr>
              <w:t>/</w:t>
            </w:r>
            <w:r w:rsidR="00B71F68">
              <w:rPr>
                <w:sz w:val="20"/>
                <w:szCs w:val="20"/>
              </w:rPr>
              <w:t>21</w:t>
            </w:r>
          </w:p>
        </w:tc>
      </w:tr>
      <w:tr w:rsidR="005429C5" w:rsidRPr="005429C5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5429C5" w:rsidRDefault="00644E67" w:rsidP="00A26F78">
            <w:pPr>
              <w:pStyle w:val="Neotevilenodstavek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429C5">
              <w:rPr>
                <w:sz w:val="20"/>
                <w:szCs w:val="20"/>
              </w:rPr>
              <w:t xml:space="preserve">Ljubljana, </w:t>
            </w:r>
            <w:r w:rsidR="00A26F78">
              <w:rPr>
                <w:sz w:val="20"/>
                <w:szCs w:val="20"/>
              </w:rPr>
              <w:t>7</w:t>
            </w:r>
            <w:r w:rsidR="005F1AFB" w:rsidRPr="005429C5">
              <w:rPr>
                <w:sz w:val="20"/>
                <w:szCs w:val="20"/>
              </w:rPr>
              <w:t xml:space="preserve">. </w:t>
            </w:r>
            <w:r w:rsidR="009B359B">
              <w:rPr>
                <w:sz w:val="20"/>
                <w:szCs w:val="20"/>
              </w:rPr>
              <w:t>1</w:t>
            </w:r>
            <w:r w:rsidR="00A26F78">
              <w:rPr>
                <w:sz w:val="20"/>
                <w:szCs w:val="20"/>
              </w:rPr>
              <w:t>2</w:t>
            </w:r>
            <w:r w:rsidR="005F1AFB" w:rsidRPr="005429C5">
              <w:rPr>
                <w:sz w:val="20"/>
                <w:szCs w:val="20"/>
              </w:rPr>
              <w:t>. 2018</w:t>
            </w:r>
          </w:p>
        </w:tc>
      </w:tr>
      <w:tr w:rsidR="005429C5" w:rsidRPr="005429C5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5429C5" w:rsidRDefault="00644E67" w:rsidP="005429C5">
            <w:pPr>
              <w:pStyle w:val="Neotevilenodstavek"/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429C5" w:rsidRPr="005429C5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5429C5" w:rsidRDefault="00644E67" w:rsidP="005429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E67" w:rsidRPr="005429C5" w:rsidRDefault="00644E67" w:rsidP="005429C5">
            <w:pPr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644E67" w:rsidRPr="005429C5" w:rsidRDefault="00764246" w:rsidP="005429C5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44E67" w:rsidRPr="005429C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Gp.gs@gov.si</w:t>
              </w:r>
            </w:hyperlink>
          </w:p>
          <w:p w:rsidR="00644E67" w:rsidRPr="005429C5" w:rsidRDefault="00644E67" w:rsidP="0054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C5" w:rsidRPr="005429C5" w:rsidTr="00956616">
        <w:tc>
          <w:tcPr>
            <w:tcW w:w="9163" w:type="dxa"/>
            <w:gridSpan w:val="4"/>
          </w:tcPr>
          <w:p w:rsidR="00644E67" w:rsidRPr="005429C5" w:rsidRDefault="003E0AEA" w:rsidP="003E0AEA">
            <w:pPr>
              <w:pStyle w:val="Naslovpredpisa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D94279">
              <w:rPr>
                <w:sz w:val="20"/>
                <w:szCs w:val="20"/>
              </w:rPr>
              <w:t xml:space="preserve">Informacija o </w:t>
            </w:r>
            <w:r w:rsidR="00CF0A5E" w:rsidRPr="005429C5">
              <w:rPr>
                <w:sz w:val="20"/>
                <w:szCs w:val="20"/>
              </w:rPr>
              <w:t>začetk</w:t>
            </w:r>
            <w:r w:rsidR="00D94279">
              <w:rPr>
                <w:sz w:val="20"/>
                <w:szCs w:val="20"/>
              </w:rPr>
              <w:t>u</w:t>
            </w:r>
            <w:r w:rsidR="00CF0A5E" w:rsidRPr="005429C5">
              <w:rPr>
                <w:sz w:val="20"/>
                <w:szCs w:val="20"/>
              </w:rPr>
              <w:t xml:space="preserve"> postopka izbora mesta za naslov </w:t>
            </w:r>
            <w:r w:rsidR="00777BD3">
              <w:rPr>
                <w:sz w:val="20"/>
                <w:szCs w:val="20"/>
              </w:rPr>
              <w:t>»</w:t>
            </w:r>
            <w:r w:rsidR="00CF0A5E" w:rsidRPr="005429C5">
              <w:rPr>
                <w:sz w:val="20"/>
                <w:szCs w:val="20"/>
              </w:rPr>
              <w:t>Evropska prestolnica</w:t>
            </w:r>
            <w:r>
              <w:rPr>
                <w:sz w:val="20"/>
                <w:szCs w:val="20"/>
              </w:rPr>
              <w:t xml:space="preserve"> </w:t>
            </w:r>
            <w:r w:rsidR="00CF0A5E" w:rsidRPr="005429C5">
              <w:rPr>
                <w:sz w:val="20"/>
                <w:szCs w:val="20"/>
              </w:rPr>
              <w:t>kulture 2025</w:t>
            </w:r>
            <w:r w:rsidR="00777BD3">
              <w:rPr>
                <w:sz w:val="20"/>
                <w:szCs w:val="20"/>
              </w:rPr>
              <w:t>«</w:t>
            </w:r>
            <w:r w:rsidR="004819DD">
              <w:rPr>
                <w:sz w:val="20"/>
                <w:szCs w:val="20"/>
              </w:rPr>
              <w:t xml:space="preserve"> </w:t>
            </w:r>
            <w:r w:rsidR="00644E67" w:rsidRPr="005429C5">
              <w:rPr>
                <w:sz w:val="20"/>
                <w:szCs w:val="20"/>
              </w:rPr>
              <w:t>– predlog za obravnavo</w:t>
            </w:r>
          </w:p>
        </w:tc>
      </w:tr>
      <w:tr w:rsidR="005429C5" w:rsidRPr="005429C5" w:rsidTr="00956616">
        <w:tc>
          <w:tcPr>
            <w:tcW w:w="9163" w:type="dxa"/>
            <w:gridSpan w:val="4"/>
          </w:tcPr>
          <w:p w:rsidR="00644E67" w:rsidRPr="005429C5" w:rsidRDefault="00644E67" w:rsidP="0070166E">
            <w:pPr>
              <w:pStyle w:val="Poglavje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5429C5">
              <w:rPr>
                <w:sz w:val="20"/>
                <w:szCs w:val="20"/>
              </w:rPr>
              <w:t>1. Predlog sklepov vlade:</w:t>
            </w:r>
          </w:p>
        </w:tc>
      </w:tr>
      <w:tr w:rsidR="005429C5" w:rsidRPr="005429C5" w:rsidTr="00956616">
        <w:tc>
          <w:tcPr>
            <w:tcW w:w="9163" w:type="dxa"/>
            <w:gridSpan w:val="4"/>
          </w:tcPr>
          <w:p w:rsidR="00704EF2" w:rsidRDefault="00704EF2" w:rsidP="003F60EC">
            <w:pPr>
              <w:widowControl w:val="0"/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0A5E" w:rsidRDefault="00CF0A5E" w:rsidP="003F60EC">
            <w:pPr>
              <w:widowControl w:val="0"/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29C5">
              <w:rPr>
                <w:rFonts w:ascii="Arial" w:hAnsi="Arial" w:cs="Arial"/>
                <w:bCs/>
                <w:sz w:val="20"/>
                <w:szCs w:val="20"/>
              </w:rPr>
              <w:t xml:space="preserve">Vlada Republike Slovenije je na podlagi 2. </w:t>
            </w:r>
            <w:r w:rsidR="00D94279">
              <w:rPr>
                <w:rFonts w:ascii="Arial" w:hAnsi="Arial" w:cs="Arial"/>
                <w:bCs/>
                <w:sz w:val="20"/>
                <w:szCs w:val="20"/>
              </w:rPr>
              <w:t xml:space="preserve">člena </w:t>
            </w:r>
            <w:r w:rsidRPr="005429C5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="00D94279">
              <w:rPr>
                <w:rFonts w:ascii="Arial" w:hAnsi="Arial" w:cs="Arial"/>
                <w:bCs/>
                <w:sz w:val="20"/>
                <w:szCs w:val="20"/>
              </w:rPr>
              <w:t xml:space="preserve">šestega odstavka </w:t>
            </w:r>
            <w:r w:rsidRPr="005429C5">
              <w:rPr>
                <w:rFonts w:ascii="Arial" w:hAnsi="Arial" w:cs="Arial"/>
                <w:bCs/>
                <w:sz w:val="20"/>
                <w:szCs w:val="20"/>
              </w:rPr>
              <w:t>21. člena Zakona o Vladi  Republike Slovenije (Uradni list RS, št. 24/05 – uradno prečiščeno besedilo, 109/08, 38/10 – ZUKN, 8/12, 21/13, 47/13 – ZDU-1G</w:t>
            </w:r>
            <w:r w:rsidR="00513AE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5429C5">
              <w:rPr>
                <w:rFonts w:ascii="Arial" w:hAnsi="Arial" w:cs="Arial"/>
                <w:bCs/>
                <w:sz w:val="20"/>
                <w:szCs w:val="20"/>
              </w:rPr>
              <w:t>65/14</w:t>
            </w:r>
            <w:r w:rsidR="00513AE4">
              <w:rPr>
                <w:rFonts w:ascii="Arial" w:hAnsi="Arial" w:cs="Arial"/>
                <w:bCs/>
                <w:sz w:val="20"/>
                <w:szCs w:val="20"/>
              </w:rPr>
              <w:t xml:space="preserve"> in 55/17</w:t>
            </w:r>
            <w:r w:rsidRPr="005429C5">
              <w:rPr>
                <w:rFonts w:ascii="Arial" w:hAnsi="Arial" w:cs="Arial"/>
                <w:bCs/>
                <w:sz w:val="20"/>
                <w:szCs w:val="20"/>
              </w:rPr>
              <w:t>) na seji … dne ... sprejela naslednj</w:t>
            </w:r>
            <w:r w:rsidR="00D94279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5429C5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D94279" w:rsidRDefault="00D94279" w:rsidP="003F60EC">
            <w:pPr>
              <w:widowControl w:val="0"/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4A24" w:rsidRDefault="00D94279" w:rsidP="003815A7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SKLEP</w:t>
            </w:r>
          </w:p>
          <w:p w:rsidR="00597306" w:rsidRPr="005429C5" w:rsidRDefault="00CF0A5E" w:rsidP="003F60EC">
            <w:pPr>
              <w:ind w:left="705" w:right="311" w:hanging="7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>1</w:t>
            </w:r>
            <w:r w:rsidRPr="005429C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429C5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Vlada Republike Slovenije </w:t>
            </w:r>
            <w:r w:rsidR="00851BED">
              <w:rPr>
                <w:rFonts w:ascii="Arial" w:hAnsi="Arial" w:cs="Arial"/>
                <w:bCs/>
                <w:sz w:val="20"/>
                <w:szCs w:val="20"/>
              </w:rPr>
              <w:t>se je seznanila z</w:t>
            </w:r>
            <w:r w:rsidRPr="005429C5">
              <w:rPr>
                <w:rFonts w:ascii="Arial" w:hAnsi="Arial" w:cs="Arial"/>
                <w:bCs/>
                <w:sz w:val="20"/>
                <w:szCs w:val="20"/>
              </w:rPr>
              <w:t xml:space="preserve"> informacijo o postopkih v zvezi z Evropsko prestolnico kulture v </w:t>
            </w:r>
            <w:r w:rsidR="00D94279">
              <w:rPr>
                <w:rFonts w:ascii="Arial" w:hAnsi="Arial" w:cs="Arial"/>
                <w:bCs/>
                <w:sz w:val="20"/>
                <w:szCs w:val="20"/>
              </w:rPr>
              <w:t xml:space="preserve">Republiki </w:t>
            </w:r>
            <w:r w:rsidRPr="005429C5">
              <w:rPr>
                <w:rFonts w:ascii="Arial" w:hAnsi="Arial" w:cs="Arial"/>
                <w:bCs/>
                <w:sz w:val="20"/>
                <w:szCs w:val="20"/>
              </w:rPr>
              <w:t>Sloveniji leta 2025.</w:t>
            </w:r>
          </w:p>
          <w:p w:rsidR="00CF0A5E" w:rsidRPr="00F339E9" w:rsidRDefault="00CF0A5E" w:rsidP="003F60EC">
            <w:pPr>
              <w:ind w:left="705" w:right="311" w:hanging="7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29C5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Pr="005429C5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Vlada Republike Slovenije pooblašča Ministrstvo za kulturo za </w:t>
            </w:r>
            <w:r w:rsidR="001E2E74">
              <w:rPr>
                <w:rFonts w:ascii="Arial" w:hAnsi="Arial" w:cs="Arial"/>
                <w:bCs/>
                <w:sz w:val="20"/>
                <w:szCs w:val="20"/>
              </w:rPr>
              <w:t>izvedbo</w:t>
            </w:r>
            <w:r w:rsidRPr="005429C5">
              <w:rPr>
                <w:rFonts w:ascii="Arial" w:hAnsi="Arial" w:cs="Arial"/>
                <w:bCs/>
                <w:sz w:val="20"/>
                <w:szCs w:val="20"/>
              </w:rPr>
              <w:t xml:space="preserve"> postopka </w:t>
            </w:r>
            <w:r w:rsidRPr="00F339E9">
              <w:rPr>
                <w:rFonts w:ascii="Arial" w:hAnsi="Arial" w:cs="Arial"/>
                <w:bCs/>
                <w:sz w:val="20"/>
                <w:szCs w:val="20"/>
              </w:rPr>
              <w:t xml:space="preserve">izbora mesta za naslov </w:t>
            </w:r>
            <w:r w:rsidR="00777BD3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 w:rsidRPr="00F339E9">
              <w:rPr>
                <w:rFonts w:ascii="Arial" w:hAnsi="Arial" w:cs="Arial"/>
                <w:bCs/>
                <w:sz w:val="20"/>
                <w:szCs w:val="20"/>
              </w:rPr>
              <w:t>Evropska prestolnica kulture 2025</w:t>
            </w:r>
            <w:r w:rsidR="00777BD3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F339E9">
              <w:rPr>
                <w:rFonts w:ascii="Arial" w:hAnsi="Arial" w:cs="Arial"/>
                <w:bCs/>
                <w:sz w:val="20"/>
                <w:szCs w:val="20"/>
              </w:rPr>
              <w:t xml:space="preserve"> v Sloveniji. </w:t>
            </w:r>
          </w:p>
          <w:p w:rsidR="005916D0" w:rsidRPr="005429C5" w:rsidRDefault="00851BED" w:rsidP="003F60EC">
            <w:pPr>
              <w:ind w:left="705" w:right="311" w:hanging="7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E9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Pr="00F339E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015DE4">
              <w:rPr>
                <w:rFonts w:ascii="Arial" w:hAnsi="Arial" w:cs="Arial"/>
                <w:bCs/>
                <w:sz w:val="20"/>
                <w:szCs w:val="20"/>
              </w:rPr>
              <w:t>Vlada Republike Slovenije nalaga Ministrstvu za kulturo, da skupaj z Ministrstvom za finance, Ministrstvom za go</w:t>
            </w:r>
            <w:r w:rsidR="001E2E74" w:rsidRPr="00015DE4">
              <w:rPr>
                <w:rFonts w:ascii="Arial" w:hAnsi="Arial" w:cs="Arial"/>
                <w:bCs/>
                <w:sz w:val="20"/>
                <w:szCs w:val="20"/>
              </w:rPr>
              <w:t>spodarski razvoj in tehnologijo ter</w:t>
            </w:r>
            <w:r w:rsidRPr="00015DE4">
              <w:rPr>
                <w:rFonts w:ascii="Arial" w:hAnsi="Arial" w:cs="Arial"/>
                <w:bCs/>
                <w:sz w:val="20"/>
                <w:szCs w:val="20"/>
              </w:rPr>
              <w:t xml:space="preserve"> Službo Vlade R</w:t>
            </w:r>
            <w:r w:rsidR="00777BD3">
              <w:rPr>
                <w:rFonts w:ascii="Arial" w:hAnsi="Arial" w:cs="Arial"/>
                <w:bCs/>
                <w:sz w:val="20"/>
                <w:szCs w:val="20"/>
              </w:rPr>
              <w:t xml:space="preserve">epublike </w:t>
            </w:r>
            <w:r w:rsidRPr="00015DE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77BD3">
              <w:rPr>
                <w:rFonts w:ascii="Arial" w:hAnsi="Arial" w:cs="Arial"/>
                <w:bCs/>
                <w:sz w:val="20"/>
                <w:szCs w:val="20"/>
              </w:rPr>
              <w:t>lovenije</w:t>
            </w:r>
            <w:r w:rsidRPr="00015DE4">
              <w:rPr>
                <w:rFonts w:ascii="Arial" w:hAnsi="Arial" w:cs="Arial"/>
                <w:bCs/>
                <w:sz w:val="20"/>
                <w:szCs w:val="20"/>
              </w:rPr>
              <w:t xml:space="preserve"> za razvoj in evrops</w:t>
            </w:r>
            <w:r w:rsidR="00DA69FD">
              <w:rPr>
                <w:rFonts w:ascii="Arial" w:hAnsi="Arial" w:cs="Arial"/>
                <w:bCs/>
                <w:sz w:val="20"/>
                <w:szCs w:val="20"/>
              </w:rPr>
              <w:t xml:space="preserve">ko kohezijsko politiko do </w:t>
            </w:r>
            <w:r w:rsidR="000F30C4"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="009B359B">
              <w:rPr>
                <w:rFonts w:ascii="Arial" w:hAnsi="Arial" w:cs="Arial"/>
                <w:bCs/>
                <w:sz w:val="20"/>
                <w:szCs w:val="20"/>
              </w:rPr>
              <w:t>. 1</w:t>
            </w:r>
            <w:r w:rsidR="00DA69FD">
              <w:rPr>
                <w:rFonts w:ascii="Arial" w:hAnsi="Arial" w:cs="Arial"/>
                <w:bCs/>
                <w:sz w:val="20"/>
                <w:szCs w:val="20"/>
              </w:rPr>
              <w:t>. 2019</w:t>
            </w:r>
            <w:r w:rsidRPr="00015DE4">
              <w:rPr>
                <w:rFonts w:ascii="Arial" w:hAnsi="Arial" w:cs="Arial"/>
                <w:bCs/>
                <w:sz w:val="20"/>
                <w:szCs w:val="20"/>
              </w:rPr>
              <w:t xml:space="preserve"> pripravi usklajen predlog o nacionalnem </w:t>
            </w:r>
            <w:r w:rsidR="002A21CA" w:rsidRPr="00015DE4">
              <w:rPr>
                <w:rFonts w:ascii="Arial" w:hAnsi="Arial" w:cs="Arial"/>
                <w:bCs/>
                <w:sz w:val="20"/>
                <w:szCs w:val="20"/>
              </w:rPr>
              <w:t>vložku</w:t>
            </w:r>
            <w:r w:rsidRPr="00015DE4">
              <w:rPr>
                <w:rFonts w:ascii="Arial" w:hAnsi="Arial" w:cs="Arial"/>
                <w:bCs/>
                <w:sz w:val="20"/>
                <w:szCs w:val="20"/>
              </w:rPr>
              <w:t xml:space="preserve"> za izvedbo projekta </w:t>
            </w:r>
            <w:r w:rsidR="00777BD3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 w:rsidRPr="00015DE4">
              <w:rPr>
                <w:rFonts w:ascii="Arial" w:hAnsi="Arial" w:cs="Arial"/>
                <w:bCs/>
                <w:sz w:val="20"/>
                <w:szCs w:val="20"/>
              </w:rPr>
              <w:t>Evropska prestolnica kulture 2025</w:t>
            </w:r>
            <w:r w:rsidR="00777BD3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="001E2E74" w:rsidRPr="00015DE4">
              <w:rPr>
                <w:rFonts w:ascii="Arial" w:hAnsi="Arial" w:cs="Arial"/>
                <w:bCs/>
                <w:sz w:val="20"/>
                <w:szCs w:val="20"/>
              </w:rPr>
              <w:t xml:space="preserve"> v Sloveniji</w:t>
            </w:r>
            <w:r w:rsidRPr="00015D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13AE4" w:rsidRDefault="00851BED" w:rsidP="00513AE4">
            <w:pPr>
              <w:ind w:left="705" w:right="311" w:hanging="7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F0A5E" w:rsidRPr="005429C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F0A5E" w:rsidRPr="005429C5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Vlada Republike Slovenije pooblašča Ministrstvo za kulturo, da v imenu Republike Slovenije </w:t>
            </w:r>
            <w:r w:rsidR="00777BD3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="00CF0A5E" w:rsidRPr="005429C5">
              <w:rPr>
                <w:rFonts w:ascii="Arial" w:hAnsi="Arial" w:cs="Arial"/>
                <w:bCs/>
                <w:sz w:val="20"/>
                <w:szCs w:val="20"/>
              </w:rPr>
              <w:t>sklad</w:t>
            </w:r>
            <w:r w:rsidR="00777BD3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CF0A5E" w:rsidRPr="005429C5">
              <w:rPr>
                <w:rFonts w:ascii="Arial" w:hAnsi="Arial" w:cs="Arial"/>
                <w:bCs/>
                <w:sz w:val="20"/>
                <w:szCs w:val="20"/>
              </w:rPr>
              <w:t xml:space="preserve"> s </w:t>
            </w:r>
            <w:r w:rsidR="001E2E74">
              <w:rPr>
                <w:rFonts w:ascii="Arial" w:hAnsi="Arial" w:cs="Arial"/>
                <w:noProof/>
                <w:sz w:val="20"/>
                <w:szCs w:val="20"/>
              </w:rPr>
              <w:t>Sklepom</w:t>
            </w:r>
            <w:r w:rsidR="001E2E74" w:rsidRPr="005429C5">
              <w:rPr>
                <w:rFonts w:ascii="Arial" w:hAnsi="Arial" w:cs="Arial"/>
                <w:noProof/>
                <w:sz w:val="20"/>
                <w:szCs w:val="20"/>
              </w:rPr>
              <w:t xml:space="preserve"> št. 445/2014/EU</w:t>
            </w:r>
            <w:r w:rsidR="00513AE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77BD3">
              <w:rPr>
                <w:rFonts w:ascii="Arial" w:hAnsi="Arial" w:cs="Arial"/>
                <w:noProof/>
                <w:sz w:val="20"/>
                <w:szCs w:val="20"/>
              </w:rPr>
              <w:t xml:space="preserve">Evropskega parlamenta </w:t>
            </w:r>
            <w:r w:rsidR="00513AE4">
              <w:rPr>
                <w:rFonts w:ascii="Arial" w:hAnsi="Arial" w:cs="Arial"/>
                <w:noProof/>
                <w:sz w:val="20"/>
                <w:szCs w:val="20"/>
              </w:rPr>
              <w:t>in Sveta z dne 16. april 2014 o vzpostavitvi aktivnosti Unije za Evropske prestolnice kulture za leta od 2020 do 2033 in o razveljavitvi Sklepa št. 1622/2006/ES</w:t>
            </w:r>
            <w:r w:rsidR="00777BD3">
              <w:rPr>
                <w:rFonts w:ascii="Arial" w:hAnsi="Arial" w:cs="Arial"/>
                <w:noProof/>
                <w:sz w:val="20"/>
                <w:szCs w:val="20"/>
              </w:rPr>
              <w:t xml:space="preserve"> (v nadaljnjem besdilu: Sklep 445/2014/EU)</w:t>
            </w:r>
            <w:r w:rsidR="003B4D00">
              <w:rPr>
                <w:rFonts w:ascii="Arial" w:hAnsi="Arial" w:cs="Arial"/>
                <w:noProof/>
                <w:sz w:val="20"/>
                <w:szCs w:val="20"/>
              </w:rPr>
              <w:t xml:space="preserve"> ter</w:t>
            </w:r>
            <w:r w:rsidR="001E2E74" w:rsidRPr="005429C5">
              <w:rPr>
                <w:rFonts w:ascii="Arial" w:hAnsi="Arial" w:cs="Arial"/>
                <w:noProof/>
                <w:sz w:val="20"/>
                <w:szCs w:val="20"/>
              </w:rPr>
              <w:t xml:space="preserve"> Sklepom (EU) št. 2017/1545</w:t>
            </w:r>
            <w:r w:rsidR="003B4D00">
              <w:rPr>
                <w:rFonts w:ascii="Arial" w:hAnsi="Arial" w:cs="Arial"/>
                <w:noProof/>
                <w:sz w:val="20"/>
                <w:szCs w:val="20"/>
              </w:rPr>
              <w:t xml:space="preserve"> Evropskega parlamenta in Sveta z dne 13. september 2017 o spremembi Sklepa št. 445/2014/EU o vzpostavitvi aktivnosti Unije za Evropske prestolnice kulture za leta od 2020 do 2033</w:t>
            </w:r>
            <w:r w:rsidR="0088348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F0A5E" w:rsidRPr="005429C5">
              <w:rPr>
                <w:rFonts w:ascii="Arial" w:hAnsi="Arial" w:cs="Arial"/>
                <w:bCs/>
                <w:sz w:val="20"/>
                <w:szCs w:val="20"/>
              </w:rPr>
              <w:t xml:space="preserve">določi postopek izbora mesta za naslov </w:t>
            </w:r>
            <w:r w:rsidR="00777BD3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 w:rsidR="00CF0A5E" w:rsidRPr="005429C5">
              <w:rPr>
                <w:rFonts w:ascii="Arial" w:hAnsi="Arial" w:cs="Arial"/>
                <w:bCs/>
                <w:sz w:val="20"/>
                <w:szCs w:val="20"/>
              </w:rPr>
              <w:t>Evro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pska prestolnica kulture 2025</w:t>
            </w:r>
            <w:r w:rsidR="00777BD3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="001E2E74">
              <w:rPr>
                <w:rFonts w:ascii="Arial" w:hAnsi="Arial" w:cs="Arial"/>
                <w:bCs/>
                <w:sz w:val="20"/>
                <w:szCs w:val="20"/>
              </w:rPr>
              <w:t xml:space="preserve"> v Sloveniji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13AE4" w:rsidRPr="005429C5" w:rsidRDefault="003B4D00" w:rsidP="00513AE4">
            <w:pPr>
              <w:ind w:left="705" w:right="311" w:hanging="70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   </w:t>
            </w:r>
            <w:r w:rsidR="00D1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13AE4" w:rsidRPr="00D16241">
              <w:rPr>
                <w:rFonts w:ascii="Arial" w:hAnsi="Arial" w:cs="Arial"/>
                <w:noProof/>
                <w:sz w:val="20"/>
                <w:szCs w:val="20"/>
              </w:rPr>
              <w:t>Vlada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Republike Slovenije pooblasti Ministrstvo za kulturo, da v svet neodvisnih strokovnjak</w:t>
            </w:r>
            <w:r w:rsidR="00AB275A">
              <w:rPr>
                <w:rFonts w:ascii="Arial" w:hAnsi="Arial" w:cs="Arial"/>
                <w:bCs/>
                <w:sz w:val="20"/>
                <w:szCs w:val="20"/>
              </w:rPr>
              <w:t xml:space="preserve">ov, ki se imenuje </w:t>
            </w:r>
            <w:r w:rsidR="00777BD3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="00AB275A">
              <w:rPr>
                <w:rFonts w:ascii="Arial" w:hAnsi="Arial" w:cs="Arial"/>
                <w:bCs/>
                <w:sz w:val="20"/>
                <w:szCs w:val="20"/>
              </w:rPr>
              <w:t>sklad</w:t>
            </w:r>
            <w:r w:rsidR="00777BD3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AB275A">
              <w:rPr>
                <w:rFonts w:ascii="Arial" w:hAnsi="Arial" w:cs="Arial"/>
                <w:bCs/>
                <w:sz w:val="20"/>
                <w:szCs w:val="20"/>
              </w:rPr>
              <w:t xml:space="preserve"> s </w:t>
            </w:r>
            <w:r w:rsidR="00777BD3">
              <w:rPr>
                <w:rFonts w:ascii="Arial" w:hAnsi="Arial" w:cs="Arial"/>
                <w:bCs/>
                <w:sz w:val="20"/>
                <w:szCs w:val="20"/>
              </w:rPr>
              <w:t xml:space="preserve">četrtim odstavkom 6. </w:t>
            </w:r>
            <w:r w:rsidR="00AB275A">
              <w:rPr>
                <w:rFonts w:ascii="Arial" w:hAnsi="Arial" w:cs="Arial"/>
                <w:bCs/>
                <w:sz w:val="20"/>
                <w:szCs w:val="20"/>
              </w:rPr>
              <w:t>člen</w:t>
            </w:r>
            <w:r w:rsidR="00777B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AB27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77BD3">
              <w:rPr>
                <w:rFonts w:ascii="Arial" w:hAnsi="Arial" w:cs="Arial"/>
                <w:bCs/>
                <w:sz w:val="20"/>
                <w:szCs w:val="20"/>
              </w:rPr>
              <w:t>Sklepa 445/2014/EU</w:t>
            </w:r>
            <w:r w:rsidR="006349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B275A">
              <w:rPr>
                <w:rFonts w:ascii="Arial" w:hAnsi="Arial" w:cs="Arial"/>
                <w:bCs/>
                <w:sz w:val="20"/>
                <w:szCs w:val="20"/>
              </w:rPr>
              <w:t xml:space="preserve">za izvajanje postopkov izbora in spremljanja </w:t>
            </w:r>
            <w:r w:rsidR="00D85387">
              <w:rPr>
                <w:rFonts w:ascii="Arial" w:hAnsi="Arial" w:cs="Arial"/>
                <w:bCs/>
                <w:sz w:val="20"/>
                <w:szCs w:val="20"/>
              </w:rPr>
              <w:t>mesta</w:t>
            </w:r>
            <w:r w:rsidR="00AB27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1030C">
              <w:rPr>
                <w:rFonts w:ascii="Arial" w:hAnsi="Arial" w:cs="Arial"/>
                <w:bCs/>
                <w:sz w:val="20"/>
                <w:szCs w:val="20"/>
              </w:rPr>
              <w:t xml:space="preserve">lahko </w:t>
            </w:r>
            <w:r w:rsidR="00AB275A">
              <w:rPr>
                <w:rFonts w:ascii="Arial" w:hAnsi="Arial" w:cs="Arial"/>
                <w:bCs/>
                <w:sz w:val="20"/>
                <w:szCs w:val="20"/>
              </w:rPr>
              <w:t xml:space="preserve">imenuje največ dva </w:t>
            </w:r>
            <w:r w:rsidR="00AB27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strokovnjaka</w:t>
            </w:r>
            <w:r w:rsidR="00D85387">
              <w:rPr>
                <w:rFonts w:ascii="Arial" w:hAnsi="Arial" w:cs="Arial"/>
                <w:bCs/>
                <w:sz w:val="20"/>
                <w:szCs w:val="20"/>
              </w:rPr>
              <w:t xml:space="preserve"> iz Slovenije</w:t>
            </w:r>
            <w:r w:rsidR="00AB275A">
              <w:rPr>
                <w:rFonts w:ascii="Arial" w:hAnsi="Arial" w:cs="Arial"/>
                <w:bCs/>
                <w:sz w:val="20"/>
                <w:szCs w:val="20"/>
              </w:rPr>
              <w:t>. Sredstva za delo teh strokovnjakov zagotovi Ministrstvo za kulturo.</w:t>
            </w:r>
          </w:p>
          <w:p w:rsidR="003F60EC" w:rsidRDefault="003F60EC" w:rsidP="003F60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F4553" w:rsidRPr="00CE2BDE" w:rsidRDefault="006F4553" w:rsidP="006F455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2B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CE2BDE">
              <w:rPr>
                <w:rFonts w:ascii="Arial" w:eastAsia="Times New Roman" w:hAnsi="Arial" w:cs="Arial"/>
                <w:sz w:val="20"/>
                <w:szCs w:val="20"/>
              </w:rPr>
              <w:t>Stojan Tramte</w:t>
            </w:r>
          </w:p>
          <w:p w:rsidR="006F4553" w:rsidRPr="00CE2BDE" w:rsidRDefault="006F4553" w:rsidP="006F455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2B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GENERALNI SEKRETAR </w:t>
            </w:r>
          </w:p>
          <w:p w:rsidR="00B23C76" w:rsidRDefault="00B23C76" w:rsidP="003F60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7306" w:rsidRPr="005429C5" w:rsidRDefault="00597306" w:rsidP="003F60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29C5">
              <w:rPr>
                <w:rFonts w:ascii="Arial" w:hAnsi="Arial" w:cs="Arial"/>
                <w:bCs/>
                <w:sz w:val="20"/>
                <w:szCs w:val="20"/>
              </w:rPr>
              <w:t>Priloga:</w:t>
            </w:r>
          </w:p>
          <w:p w:rsidR="00597306" w:rsidRPr="005429C5" w:rsidRDefault="00597306" w:rsidP="005429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29C5">
              <w:rPr>
                <w:rFonts w:ascii="Arial" w:hAnsi="Arial" w:cs="Arial"/>
                <w:bCs/>
                <w:sz w:val="20"/>
                <w:szCs w:val="20"/>
              </w:rPr>
              <w:t>- informacija iz 1. točke sklepa (priloga 1).</w:t>
            </w:r>
          </w:p>
          <w:p w:rsidR="00597306" w:rsidRPr="005429C5" w:rsidRDefault="00597306" w:rsidP="005429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29C5">
              <w:rPr>
                <w:rFonts w:ascii="Arial" w:hAnsi="Arial" w:cs="Arial"/>
                <w:bCs/>
                <w:sz w:val="20"/>
                <w:szCs w:val="20"/>
              </w:rPr>
              <w:t xml:space="preserve">Sklep prejmejo: </w:t>
            </w:r>
          </w:p>
          <w:p w:rsidR="00597306" w:rsidRPr="005429C5" w:rsidRDefault="00597306" w:rsidP="005429C5">
            <w:pPr>
              <w:widowControl w:val="0"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3F60EC">
              <w:rPr>
                <w:rFonts w:ascii="Arial" w:hAnsi="Arial" w:cs="Arial"/>
                <w:bCs/>
                <w:sz w:val="20"/>
                <w:szCs w:val="20"/>
              </w:rPr>
              <w:t>Vsa ministrstva in vladne službe</w:t>
            </w:r>
          </w:p>
          <w:p w:rsidR="00597306" w:rsidRDefault="00597306" w:rsidP="005429C5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3F60EC" w:rsidRPr="005429C5" w:rsidRDefault="003F60EC" w:rsidP="005429C5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</w:tc>
      </w:tr>
      <w:tr w:rsidR="005429C5" w:rsidRPr="005429C5" w:rsidTr="00956616">
        <w:tc>
          <w:tcPr>
            <w:tcW w:w="9163" w:type="dxa"/>
            <w:gridSpan w:val="4"/>
          </w:tcPr>
          <w:p w:rsidR="00644E67" w:rsidRPr="005429C5" w:rsidRDefault="00644E67" w:rsidP="005429C5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5429C5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5429C5" w:rsidRPr="005429C5" w:rsidTr="00956616">
        <w:tc>
          <w:tcPr>
            <w:tcW w:w="9163" w:type="dxa"/>
            <w:gridSpan w:val="4"/>
          </w:tcPr>
          <w:p w:rsidR="00644E67" w:rsidRPr="005429C5" w:rsidRDefault="00597306" w:rsidP="005429C5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/</w:t>
            </w:r>
          </w:p>
        </w:tc>
      </w:tr>
      <w:tr w:rsidR="005429C5" w:rsidRPr="005429C5" w:rsidTr="00956616">
        <w:tc>
          <w:tcPr>
            <w:tcW w:w="9163" w:type="dxa"/>
            <w:gridSpan w:val="4"/>
          </w:tcPr>
          <w:p w:rsidR="00644E67" w:rsidRPr="005429C5" w:rsidRDefault="00644E67" w:rsidP="005429C5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proofErr w:type="spellStart"/>
            <w:r w:rsidRPr="005429C5">
              <w:rPr>
                <w:b/>
                <w:sz w:val="20"/>
                <w:szCs w:val="20"/>
              </w:rPr>
              <w:t>3.a</w:t>
            </w:r>
            <w:proofErr w:type="spellEnd"/>
            <w:r w:rsidRPr="005429C5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5429C5" w:rsidRPr="005429C5" w:rsidTr="00956616">
        <w:tc>
          <w:tcPr>
            <w:tcW w:w="9163" w:type="dxa"/>
            <w:gridSpan w:val="4"/>
          </w:tcPr>
          <w:p w:rsidR="00644E67" w:rsidRPr="005429C5" w:rsidRDefault="00CF0A5E" w:rsidP="005429C5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 xml:space="preserve">Katarina </w:t>
            </w:r>
            <w:proofErr w:type="spellStart"/>
            <w:r w:rsidRPr="005429C5">
              <w:rPr>
                <w:iCs/>
                <w:sz w:val="20"/>
                <w:szCs w:val="20"/>
              </w:rPr>
              <w:t>Culiberg</w:t>
            </w:r>
            <w:proofErr w:type="spellEnd"/>
            <w:r w:rsidRPr="005429C5">
              <w:rPr>
                <w:iCs/>
                <w:sz w:val="20"/>
                <w:szCs w:val="20"/>
              </w:rPr>
              <w:t>, vodja Službe za evropske zadeve in mednarodno sodelovanje</w:t>
            </w:r>
            <w:r w:rsidR="00597306" w:rsidRPr="005429C5">
              <w:rPr>
                <w:iCs/>
                <w:sz w:val="20"/>
                <w:szCs w:val="20"/>
              </w:rPr>
              <w:t>;</w:t>
            </w:r>
          </w:p>
          <w:p w:rsidR="00597306" w:rsidRPr="005429C5" w:rsidRDefault="00597306" w:rsidP="005429C5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Urška Zupanec, podsekretarka, Služba za evropske zadeve in mednarodno sodelovanje.</w:t>
            </w:r>
          </w:p>
        </w:tc>
      </w:tr>
      <w:tr w:rsidR="005429C5" w:rsidRPr="005429C5" w:rsidTr="00956616">
        <w:tc>
          <w:tcPr>
            <w:tcW w:w="9163" w:type="dxa"/>
            <w:gridSpan w:val="4"/>
          </w:tcPr>
          <w:p w:rsidR="00644E67" w:rsidRPr="005429C5" w:rsidRDefault="00644E67" w:rsidP="005429C5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proofErr w:type="spellStart"/>
            <w:r w:rsidRPr="005429C5"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Pr="005429C5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429C5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5429C5" w:rsidRPr="005429C5" w:rsidTr="00956616">
        <w:tc>
          <w:tcPr>
            <w:tcW w:w="9163" w:type="dxa"/>
            <w:gridSpan w:val="4"/>
          </w:tcPr>
          <w:p w:rsidR="00597306" w:rsidRPr="005429C5" w:rsidRDefault="00597306" w:rsidP="005429C5">
            <w:pPr>
              <w:pStyle w:val="Neotevilenodstavek"/>
              <w:spacing w:before="0" w:after="0" w:line="276" w:lineRule="auto"/>
              <w:rPr>
                <w:b/>
                <w:sz w:val="20"/>
                <w:szCs w:val="20"/>
              </w:rPr>
            </w:pPr>
            <w:r w:rsidRPr="005429C5">
              <w:rPr>
                <w:b/>
                <w:sz w:val="20"/>
                <w:szCs w:val="20"/>
              </w:rPr>
              <w:t>/</w:t>
            </w:r>
          </w:p>
        </w:tc>
      </w:tr>
      <w:tr w:rsidR="005429C5" w:rsidRPr="005429C5" w:rsidTr="00956616">
        <w:tc>
          <w:tcPr>
            <w:tcW w:w="9163" w:type="dxa"/>
            <w:gridSpan w:val="4"/>
          </w:tcPr>
          <w:p w:rsidR="00644E67" w:rsidRPr="005429C5" w:rsidRDefault="00644E67" w:rsidP="005429C5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5429C5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5429C5" w:rsidRPr="005429C5" w:rsidTr="00956616">
        <w:tc>
          <w:tcPr>
            <w:tcW w:w="9163" w:type="dxa"/>
            <w:gridSpan w:val="4"/>
          </w:tcPr>
          <w:p w:rsidR="00644E67" w:rsidRPr="005429C5" w:rsidRDefault="00597306" w:rsidP="005429C5">
            <w:pPr>
              <w:pStyle w:val="Neotevilenodstavek"/>
              <w:spacing w:before="0" w:after="0" w:line="276" w:lineRule="auto"/>
              <w:rPr>
                <w:b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/</w:t>
            </w:r>
          </w:p>
        </w:tc>
      </w:tr>
      <w:tr w:rsidR="005429C5" w:rsidRPr="005429C5" w:rsidTr="00956616">
        <w:tc>
          <w:tcPr>
            <w:tcW w:w="9163" w:type="dxa"/>
            <w:gridSpan w:val="4"/>
          </w:tcPr>
          <w:p w:rsidR="00644E67" w:rsidRPr="005429C5" w:rsidRDefault="00644E67" w:rsidP="005429C5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429C5">
              <w:rPr>
                <w:sz w:val="20"/>
                <w:szCs w:val="20"/>
              </w:rPr>
              <w:t>5. Kratek povzetek gradiva:</w:t>
            </w:r>
          </w:p>
        </w:tc>
      </w:tr>
      <w:tr w:rsidR="005429C5" w:rsidRPr="005429C5" w:rsidTr="00956616">
        <w:tc>
          <w:tcPr>
            <w:tcW w:w="9163" w:type="dxa"/>
            <w:gridSpan w:val="4"/>
          </w:tcPr>
          <w:p w:rsidR="00644E67" w:rsidRPr="005429C5" w:rsidRDefault="00C873FE" w:rsidP="00661225">
            <w:pPr>
              <w:jc w:val="both"/>
              <w:rPr>
                <w:iCs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 xml:space="preserve">Aktivnost </w:t>
            </w:r>
            <w:r w:rsidR="00D95FA6">
              <w:rPr>
                <w:rFonts w:ascii="Arial" w:hAnsi="Arial" w:cs="Arial"/>
                <w:sz w:val="20"/>
                <w:szCs w:val="20"/>
              </w:rPr>
              <w:t>E</w:t>
            </w:r>
            <w:r w:rsidRPr="005429C5">
              <w:rPr>
                <w:rFonts w:ascii="Arial" w:hAnsi="Arial" w:cs="Arial"/>
                <w:sz w:val="20"/>
                <w:szCs w:val="20"/>
              </w:rPr>
              <w:t xml:space="preserve">vropska prestolnica kulture je pobuda Evropske unije, ki jo ureja </w:t>
            </w:r>
            <w:r w:rsidRPr="005429C5">
              <w:rPr>
                <w:rFonts w:ascii="Arial" w:hAnsi="Arial" w:cs="Arial"/>
                <w:noProof/>
                <w:sz w:val="20"/>
                <w:szCs w:val="20"/>
              </w:rPr>
              <w:t>Sklep št. 445/2014/EU,</w:t>
            </w:r>
            <w:r w:rsidR="00D95FA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5429C5">
              <w:rPr>
                <w:rFonts w:ascii="Arial" w:hAnsi="Arial" w:cs="Arial"/>
                <w:noProof/>
                <w:sz w:val="20"/>
                <w:szCs w:val="20"/>
              </w:rPr>
              <w:t>spremenjen s Sklepom (EU) št. 2017/1545</w:t>
            </w:r>
            <w:r w:rsidR="00AB275A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5429C5">
              <w:rPr>
                <w:rFonts w:ascii="Arial" w:hAnsi="Arial" w:cs="Arial"/>
                <w:noProof/>
                <w:sz w:val="20"/>
                <w:szCs w:val="20"/>
              </w:rPr>
              <w:t xml:space="preserve"> za nazive od </w:t>
            </w:r>
            <w:r w:rsidRPr="005429C5">
              <w:rPr>
                <w:rFonts w:ascii="Arial" w:hAnsi="Arial" w:cs="Arial"/>
                <w:sz w:val="20"/>
                <w:szCs w:val="20"/>
              </w:rPr>
              <w:t>2020 do 2033</w:t>
            </w:r>
            <w:r w:rsidR="002A21C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E0A33">
              <w:rPr>
                <w:rFonts w:ascii="Arial" w:hAnsi="Arial" w:cs="Arial"/>
                <w:sz w:val="20"/>
                <w:szCs w:val="20"/>
              </w:rPr>
              <w:t>Vladno gradivo je</w:t>
            </w:r>
            <w:r w:rsidR="00D9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0A33">
              <w:rPr>
                <w:rFonts w:ascii="Arial" w:hAnsi="Arial" w:cs="Arial"/>
                <w:sz w:val="20"/>
                <w:szCs w:val="20"/>
              </w:rPr>
              <w:t xml:space="preserve">namenjeno </w:t>
            </w:r>
            <w:r w:rsidR="00AE0A33">
              <w:rPr>
                <w:rFonts w:ascii="Arial" w:hAnsi="Arial" w:cs="Arial"/>
                <w:noProof/>
                <w:sz w:val="20"/>
                <w:szCs w:val="20"/>
              </w:rPr>
              <w:t xml:space="preserve">seznanitvi </w:t>
            </w:r>
            <w:r w:rsidR="00AE0A33" w:rsidRPr="004D5087">
              <w:rPr>
                <w:rFonts w:ascii="Arial" w:hAnsi="Arial" w:cs="Arial"/>
                <w:noProof/>
                <w:sz w:val="20"/>
                <w:szCs w:val="20"/>
              </w:rPr>
              <w:t>Vlade Republike Slovenije z informacijo o postopkih v zvezi z Evropsko</w:t>
            </w:r>
            <w:r w:rsidR="00D95FA6" w:rsidRPr="004D508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E0A33" w:rsidRPr="004D5087">
              <w:rPr>
                <w:rFonts w:ascii="Arial" w:hAnsi="Arial" w:cs="Arial"/>
                <w:noProof/>
                <w:sz w:val="20"/>
                <w:szCs w:val="20"/>
              </w:rPr>
              <w:t>prestolnico kulture v Sloveniji leta 2025</w:t>
            </w:r>
            <w:r w:rsidR="002A21CA" w:rsidRPr="004D5087">
              <w:rPr>
                <w:rFonts w:ascii="Arial" w:hAnsi="Arial" w:cs="Arial"/>
                <w:noProof/>
                <w:sz w:val="20"/>
                <w:szCs w:val="20"/>
              </w:rPr>
              <w:t xml:space="preserve"> ter pooblašča Ministrstvo za kulturo RS za izvedbo postopka</w:t>
            </w:r>
            <w:r w:rsidR="00D95FA6" w:rsidRPr="004D508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A21CA" w:rsidRPr="004D5087">
              <w:rPr>
                <w:rFonts w:ascii="Arial" w:hAnsi="Arial" w:cs="Arial"/>
                <w:noProof/>
                <w:sz w:val="20"/>
                <w:szCs w:val="20"/>
              </w:rPr>
              <w:t xml:space="preserve">izbora mesta za naslov </w:t>
            </w:r>
            <w:r w:rsidR="00661225" w:rsidRPr="004D5087">
              <w:rPr>
                <w:rFonts w:ascii="Arial" w:hAnsi="Arial" w:cs="Arial"/>
                <w:noProof/>
                <w:sz w:val="20"/>
                <w:szCs w:val="20"/>
              </w:rPr>
              <w:t>»Evropska prestolnica kulture 2025«</w:t>
            </w:r>
            <w:r w:rsidR="002A21CA" w:rsidRPr="004D5087">
              <w:rPr>
                <w:rFonts w:ascii="Arial" w:hAnsi="Arial" w:cs="Arial"/>
                <w:noProof/>
                <w:sz w:val="20"/>
                <w:szCs w:val="20"/>
              </w:rPr>
              <w:t xml:space="preserve"> v Sloveniji. Sklepi tudi nalagajo</w:t>
            </w:r>
            <w:r w:rsidR="003877B6" w:rsidRPr="004D508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A21CA" w:rsidRPr="004D5087">
              <w:rPr>
                <w:rFonts w:ascii="Arial" w:hAnsi="Arial" w:cs="Arial"/>
                <w:noProof/>
                <w:sz w:val="20"/>
                <w:szCs w:val="20"/>
              </w:rPr>
              <w:t>Ministrstvu za kulturo, da skupaj z Ministrstvom za finance, Ministrstvom za gospodarski razvoj in</w:t>
            </w:r>
            <w:r w:rsidR="00934F7A" w:rsidRPr="004D508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A21CA" w:rsidRPr="004D5087">
              <w:rPr>
                <w:rFonts w:ascii="Arial" w:hAnsi="Arial" w:cs="Arial"/>
                <w:noProof/>
                <w:sz w:val="20"/>
                <w:szCs w:val="20"/>
              </w:rPr>
              <w:t xml:space="preserve">tehnologijo ter Službo Vlade </w:t>
            </w:r>
            <w:r w:rsidR="00EE6A9E" w:rsidRPr="004D5087">
              <w:rPr>
                <w:rFonts w:ascii="Arial" w:hAnsi="Arial" w:cs="Arial"/>
                <w:noProof/>
                <w:sz w:val="20"/>
                <w:szCs w:val="20"/>
              </w:rPr>
              <w:t>R</w:t>
            </w:r>
            <w:r w:rsidR="002A21CA" w:rsidRPr="004D5087">
              <w:rPr>
                <w:rFonts w:ascii="Arial" w:hAnsi="Arial" w:cs="Arial"/>
                <w:noProof/>
                <w:sz w:val="20"/>
                <w:szCs w:val="20"/>
              </w:rPr>
              <w:t xml:space="preserve">S za razvoj in evropsko kohezijsko politiko do </w:t>
            </w:r>
            <w:r w:rsidR="00384D46" w:rsidRPr="004D508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2A21CA" w:rsidRPr="004D5087">
              <w:rPr>
                <w:rFonts w:ascii="Arial" w:hAnsi="Arial" w:cs="Arial"/>
                <w:noProof/>
                <w:sz w:val="20"/>
                <w:szCs w:val="20"/>
              </w:rPr>
              <w:t>5. 1. 201</w:t>
            </w:r>
            <w:r w:rsidR="00384D46" w:rsidRPr="004D5087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="002A21CA" w:rsidRPr="004D5087">
              <w:rPr>
                <w:rFonts w:ascii="Arial" w:hAnsi="Arial" w:cs="Arial"/>
                <w:noProof/>
                <w:sz w:val="20"/>
                <w:szCs w:val="20"/>
              </w:rPr>
              <w:t xml:space="preserve"> pripravi</w:t>
            </w:r>
            <w:r w:rsidR="00384D46" w:rsidRPr="004D508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A21CA" w:rsidRPr="004D5087">
              <w:rPr>
                <w:rFonts w:ascii="Arial" w:hAnsi="Arial" w:cs="Arial"/>
                <w:noProof/>
                <w:sz w:val="20"/>
                <w:szCs w:val="20"/>
              </w:rPr>
              <w:t xml:space="preserve">usklajen predlog o nacionalnem vložku za izvedbo projekta </w:t>
            </w:r>
            <w:r w:rsidR="00661225" w:rsidRPr="004D5087">
              <w:rPr>
                <w:rFonts w:ascii="Arial" w:hAnsi="Arial" w:cs="Arial"/>
                <w:noProof/>
                <w:sz w:val="20"/>
                <w:szCs w:val="20"/>
              </w:rPr>
              <w:t xml:space="preserve">»Evropska prestolnica kulture 2025« </w:t>
            </w:r>
            <w:r w:rsidR="002A21CA" w:rsidRPr="004D5087">
              <w:rPr>
                <w:rFonts w:ascii="Arial" w:hAnsi="Arial" w:cs="Arial"/>
                <w:noProof/>
                <w:sz w:val="20"/>
                <w:szCs w:val="20"/>
              </w:rPr>
              <w:t>v Sloveniji.</w:t>
            </w:r>
            <w:r w:rsidR="0045427A" w:rsidRPr="004D5087">
              <w:rPr>
                <w:rFonts w:ascii="Arial" w:hAnsi="Arial" w:cs="Arial"/>
                <w:noProof/>
                <w:sz w:val="20"/>
                <w:szCs w:val="20"/>
              </w:rPr>
              <w:t xml:space="preserve"> Sklepi pooblaščajo Ministrstvo za kulturo RS, da skladno s </w:t>
            </w:r>
            <w:r w:rsidR="0045427A" w:rsidRPr="005429C5">
              <w:rPr>
                <w:rFonts w:ascii="Arial" w:hAnsi="Arial" w:cs="Arial"/>
                <w:noProof/>
                <w:sz w:val="20"/>
                <w:szCs w:val="20"/>
              </w:rPr>
              <w:t>Sklep</w:t>
            </w:r>
            <w:r w:rsidR="0045427A">
              <w:rPr>
                <w:rFonts w:ascii="Arial" w:hAnsi="Arial" w:cs="Arial"/>
                <w:noProof/>
                <w:sz w:val="20"/>
                <w:szCs w:val="20"/>
              </w:rPr>
              <w:t>om</w:t>
            </w:r>
            <w:r w:rsidR="0045427A" w:rsidRPr="005429C5">
              <w:rPr>
                <w:rFonts w:ascii="Arial" w:hAnsi="Arial" w:cs="Arial"/>
                <w:noProof/>
                <w:sz w:val="20"/>
                <w:szCs w:val="20"/>
              </w:rPr>
              <w:t xml:space="preserve"> št. 445/2014/EU, spremenjen</w:t>
            </w:r>
            <w:r w:rsidR="0045427A">
              <w:rPr>
                <w:rFonts w:ascii="Arial" w:hAnsi="Arial" w:cs="Arial"/>
                <w:noProof/>
                <w:sz w:val="20"/>
                <w:szCs w:val="20"/>
              </w:rPr>
              <w:t>im</w:t>
            </w:r>
            <w:r w:rsidR="0045427A" w:rsidRPr="005429C5">
              <w:rPr>
                <w:rFonts w:ascii="Arial" w:hAnsi="Arial" w:cs="Arial"/>
                <w:noProof/>
                <w:sz w:val="20"/>
                <w:szCs w:val="20"/>
              </w:rPr>
              <w:t xml:space="preserve"> s Sklepom (EU) št. 2017/1545</w:t>
            </w:r>
            <w:r w:rsidR="0045427A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="0045427A" w:rsidRPr="004D5087">
              <w:rPr>
                <w:rFonts w:ascii="Arial" w:hAnsi="Arial" w:cs="Arial"/>
                <w:noProof/>
                <w:sz w:val="20"/>
                <w:szCs w:val="20"/>
              </w:rPr>
              <w:t>v svet neodvisnih strokovnjakov za izvajanje postopkov izbora in spremljanja mesta, lahko imenuje največ dva stroko</w:t>
            </w:r>
            <w:proofErr w:type="spellStart"/>
            <w:r w:rsidR="0045427A">
              <w:rPr>
                <w:rFonts w:ascii="Arial" w:hAnsi="Arial" w:cs="Arial"/>
                <w:bCs/>
                <w:sz w:val="20"/>
                <w:szCs w:val="20"/>
              </w:rPr>
              <w:t>vnjaka</w:t>
            </w:r>
            <w:proofErr w:type="spellEnd"/>
            <w:r w:rsidR="0045427A">
              <w:rPr>
                <w:rFonts w:ascii="Arial" w:hAnsi="Arial" w:cs="Arial"/>
                <w:bCs/>
                <w:sz w:val="20"/>
                <w:szCs w:val="20"/>
              </w:rPr>
              <w:t xml:space="preserve"> iz Slovenije.</w:t>
            </w:r>
          </w:p>
        </w:tc>
      </w:tr>
      <w:tr w:rsidR="005429C5" w:rsidRPr="005429C5" w:rsidTr="00956616">
        <w:tc>
          <w:tcPr>
            <w:tcW w:w="9163" w:type="dxa"/>
            <w:gridSpan w:val="4"/>
          </w:tcPr>
          <w:p w:rsidR="00644E67" w:rsidRPr="00EE3F94" w:rsidRDefault="00644E67" w:rsidP="005429C5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EE3F94">
              <w:rPr>
                <w:sz w:val="20"/>
                <w:szCs w:val="20"/>
              </w:rPr>
              <w:t>6. Presoja posledic za:</w:t>
            </w:r>
          </w:p>
        </w:tc>
      </w:tr>
      <w:tr w:rsidR="005429C5" w:rsidRPr="005429C5" w:rsidTr="00956616">
        <w:tc>
          <w:tcPr>
            <w:tcW w:w="1448" w:type="dxa"/>
          </w:tcPr>
          <w:p w:rsidR="00644E67" w:rsidRPr="005429C5" w:rsidRDefault="00644E67" w:rsidP="005429C5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644E67" w:rsidRPr="00EE3F94" w:rsidRDefault="00644E67" w:rsidP="005429C5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 w:rsidRPr="00EE3F94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644E67" w:rsidRPr="00EE3F94" w:rsidRDefault="00644E67" w:rsidP="005429C5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EE3F94">
              <w:rPr>
                <w:sz w:val="20"/>
                <w:szCs w:val="20"/>
              </w:rPr>
              <w:t>DA/</w:t>
            </w:r>
            <w:r w:rsidRPr="00EE3F94">
              <w:rPr>
                <w:b/>
                <w:sz w:val="20"/>
                <w:szCs w:val="20"/>
              </w:rPr>
              <w:t>NE</w:t>
            </w:r>
          </w:p>
        </w:tc>
      </w:tr>
      <w:tr w:rsidR="005429C5" w:rsidRPr="005429C5" w:rsidTr="00956616">
        <w:tc>
          <w:tcPr>
            <w:tcW w:w="1448" w:type="dxa"/>
          </w:tcPr>
          <w:p w:rsidR="00644E67" w:rsidRPr="005429C5" w:rsidRDefault="00644E67" w:rsidP="005429C5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644E67" w:rsidRPr="00EE3F94" w:rsidRDefault="00644E67" w:rsidP="005429C5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EE3F94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644E67" w:rsidRPr="00EE3F94" w:rsidRDefault="00644E67" w:rsidP="005429C5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EE3F94">
              <w:rPr>
                <w:sz w:val="20"/>
                <w:szCs w:val="20"/>
              </w:rPr>
              <w:t>DA/</w:t>
            </w:r>
            <w:r w:rsidRPr="00EE3F94">
              <w:rPr>
                <w:b/>
                <w:sz w:val="20"/>
                <w:szCs w:val="20"/>
              </w:rPr>
              <w:t>NE</w:t>
            </w:r>
          </w:p>
        </w:tc>
      </w:tr>
      <w:tr w:rsidR="005429C5" w:rsidRPr="005429C5" w:rsidTr="00956616">
        <w:tc>
          <w:tcPr>
            <w:tcW w:w="1448" w:type="dxa"/>
          </w:tcPr>
          <w:p w:rsidR="00644E67" w:rsidRPr="005429C5" w:rsidRDefault="00644E67" w:rsidP="005429C5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644E67" w:rsidRPr="00EE3F94" w:rsidRDefault="00644E67" w:rsidP="005429C5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EE3F94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644E67" w:rsidRPr="00EE3F94" w:rsidRDefault="00644E67" w:rsidP="005429C5">
            <w:pPr>
              <w:pStyle w:val="Neotevilenodstavek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EE3F94">
              <w:rPr>
                <w:sz w:val="20"/>
                <w:szCs w:val="20"/>
              </w:rPr>
              <w:t>DA/</w:t>
            </w:r>
            <w:r w:rsidRPr="00EE3F94">
              <w:rPr>
                <w:b/>
                <w:sz w:val="20"/>
                <w:szCs w:val="20"/>
              </w:rPr>
              <w:t>NE</w:t>
            </w:r>
          </w:p>
        </w:tc>
      </w:tr>
      <w:tr w:rsidR="005429C5" w:rsidRPr="005429C5" w:rsidTr="00956616">
        <w:tc>
          <w:tcPr>
            <w:tcW w:w="1448" w:type="dxa"/>
          </w:tcPr>
          <w:p w:rsidR="00644E67" w:rsidRPr="005429C5" w:rsidRDefault="00644E67" w:rsidP="005429C5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644E67" w:rsidRPr="00EE3F94" w:rsidRDefault="00644E67" w:rsidP="005429C5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EE3F94">
              <w:rPr>
                <w:sz w:val="20"/>
                <w:szCs w:val="20"/>
              </w:rPr>
              <w:t>gospodarstvo, zlasti</w:t>
            </w:r>
            <w:r w:rsidRPr="00EE3F94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644E67" w:rsidRPr="00EE3F94" w:rsidRDefault="00644E67" w:rsidP="005429C5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EE3F94">
              <w:rPr>
                <w:sz w:val="20"/>
                <w:szCs w:val="20"/>
              </w:rPr>
              <w:t>DA/</w:t>
            </w:r>
            <w:r w:rsidRPr="00EE3F94">
              <w:rPr>
                <w:b/>
                <w:sz w:val="20"/>
                <w:szCs w:val="20"/>
              </w:rPr>
              <w:t>NE</w:t>
            </w:r>
          </w:p>
        </w:tc>
      </w:tr>
      <w:tr w:rsidR="005429C5" w:rsidRPr="005429C5" w:rsidTr="00956616">
        <w:tc>
          <w:tcPr>
            <w:tcW w:w="1448" w:type="dxa"/>
          </w:tcPr>
          <w:p w:rsidR="00644E67" w:rsidRPr="005429C5" w:rsidRDefault="00644E67" w:rsidP="005429C5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644E67" w:rsidRPr="00EE3F94" w:rsidRDefault="00644E67" w:rsidP="005429C5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EE3F94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644E67" w:rsidRPr="00EE3F94" w:rsidRDefault="00644E67" w:rsidP="005429C5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EE3F94">
              <w:rPr>
                <w:sz w:val="20"/>
                <w:szCs w:val="20"/>
              </w:rPr>
              <w:t>DA/</w:t>
            </w:r>
            <w:r w:rsidRPr="00EE3F94">
              <w:rPr>
                <w:b/>
                <w:sz w:val="20"/>
                <w:szCs w:val="20"/>
              </w:rPr>
              <w:t>NE</w:t>
            </w:r>
          </w:p>
        </w:tc>
      </w:tr>
      <w:tr w:rsidR="005429C5" w:rsidRPr="005429C5" w:rsidTr="00956616">
        <w:tc>
          <w:tcPr>
            <w:tcW w:w="1448" w:type="dxa"/>
          </w:tcPr>
          <w:p w:rsidR="00644E67" w:rsidRPr="005429C5" w:rsidRDefault="00644E67" w:rsidP="005429C5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644E67" w:rsidRPr="00EE3F94" w:rsidRDefault="00644E67" w:rsidP="005429C5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EE3F94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644E67" w:rsidRPr="00EE3F94" w:rsidRDefault="00644E67" w:rsidP="005429C5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EE3F94">
              <w:rPr>
                <w:sz w:val="20"/>
                <w:szCs w:val="20"/>
              </w:rPr>
              <w:t>DA/</w:t>
            </w:r>
            <w:r w:rsidRPr="00EE3F94">
              <w:rPr>
                <w:b/>
                <w:sz w:val="20"/>
                <w:szCs w:val="20"/>
              </w:rPr>
              <w:t>NE</w:t>
            </w:r>
          </w:p>
        </w:tc>
      </w:tr>
      <w:tr w:rsidR="005429C5" w:rsidRPr="005429C5" w:rsidTr="00956616">
        <w:tc>
          <w:tcPr>
            <w:tcW w:w="1448" w:type="dxa"/>
            <w:tcBorders>
              <w:bottom w:val="single" w:sz="4" w:space="0" w:color="auto"/>
            </w:tcBorders>
          </w:tcPr>
          <w:p w:rsidR="00644E67" w:rsidRPr="005429C5" w:rsidRDefault="00644E67" w:rsidP="005429C5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644E67" w:rsidRPr="005429C5" w:rsidRDefault="00644E67" w:rsidP="005429C5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5429C5">
              <w:rPr>
                <w:bCs/>
                <w:sz w:val="20"/>
                <w:szCs w:val="20"/>
              </w:rPr>
              <w:t>dokumente razvojnega načrtovanja:</w:t>
            </w:r>
          </w:p>
          <w:p w:rsidR="00644E67" w:rsidRPr="005429C5" w:rsidRDefault="00644E67" w:rsidP="005429C5">
            <w:pPr>
              <w:pStyle w:val="Neotevilenodstavek"/>
              <w:numPr>
                <w:ilvl w:val="0"/>
                <w:numId w:val="34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5429C5">
              <w:rPr>
                <w:bCs/>
                <w:sz w:val="20"/>
                <w:szCs w:val="20"/>
              </w:rPr>
              <w:t>nacionalne dokumente razvojnega načrtovanja</w:t>
            </w:r>
          </w:p>
          <w:p w:rsidR="00644E67" w:rsidRPr="005429C5" w:rsidRDefault="00644E67" w:rsidP="005429C5">
            <w:pPr>
              <w:pStyle w:val="Neotevilenodstavek"/>
              <w:numPr>
                <w:ilvl w:val="0"/>
                <w:numId w:val="34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5429C5">
              <w:rPr>
                <w:bCs/>
                <w:sz w:val="20"/>
                <w:szCs w:val="20"/>
              </w:rPr>
              <w:lastRenderedPageBreak/>
              <w:t>razvojne politike na ravni programov po strukturi razvojne klasifikacije programskega proračuna</w:t>
            </w:r>
          </w:p>
          <w:p w:rsidR="00644E67" w:rsidRPr="005429C5" w:rsidRDefault="00644E67" w:rsidP="005429C5">
            <w:pPr>
              <w:pStyle w:val="Neotevilenodstavek"/>
              <w:numPr>
                <w:ilvl w:val="0"/>
                <w:numId w:val="34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5429C5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644E67" w:rsidRPr="00107322" w:rsidRDefault="00644E67" w:rsidP="005429C5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  <w:highlight w:val="yellow"/>
              </w:rPr>
            </w:pPr>
            <w:r w:rsidRPr="006D4F46">
              <w:rPr>
                <w:sz w:val="20"/>
                <w:szCs w:val="20"/>
              </w:rPr>
              <w:lastRenderedPageBreak/>
              <w:t>DA/</w:t>
            </w:r>
            <w:r w:rsidRPr="006D4F46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5429C5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7" w:rsidRPr="005429C5" w:rsidRDefault="00644E67" w:rsidP="005429C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5429C5">
              <w:rPr>
                <w:sz w:val="20"/>
                <w:szCs w:val="20"/>
              </w:rPr>
              <w:lastRenderedPageBreak/>
              <w:t>7.a</w:t>
            </w:r>
            <w:proofErr w:type="spellEnd"/>
            <w:r w:rsidRPr="005429C5">
              <w:rPr>
                <w:sz w:val="20"/>
                <w:szCs w:val="20"/>
              </w:rPr>
              <w:t xml:space="preserve"> Predstavitev ocene finančnih posledic nad 40.000 EUR:</w:t>
            </w:r>
          </w:p>
          <w:p w:rsidR="00644E67" w:rsidRPr="005429C5" w:rsidRDefault="00644E67" w:rsidP="005429C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5429C5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:rsidR="00644E67" w:rsidRPr="005429C5" w:rsidRDefault="00644E67" w:rsidP="005429C5">
      <w:pPr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429C5" w:rsidRPr="005429C5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5429C5" w:rsidRDefault="00644E67" w:rsidP="005429C5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5429C5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5429C5" w:rsidRPr="005429C5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5429C5" w:rsidRPr="005429C5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29C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5429C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5429C5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29C5" w:rsidRPr="005429C5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29C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5429C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5429C5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29C5" w:rsidRPr="005429C5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29C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5429C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5429C5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C5" w:rsidRPr="005429C5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29C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5429C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5429C5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C5" w:rsidRPr="005429C5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29C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5429C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5429C5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29C5" w:rsidRPr="005429C5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5429C5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5429C5" w:rsidRPr="005429C5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5429C5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5429C5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5429C5" w:rsidRPr="005429C5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429C5" w:rsidRPr="005429C5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429C5" w:rsidRPr="005429C5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429C5" w:rsidRPr="005429C5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429C5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5429C5" w:rsidRPr="005429C5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5429C5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5429C5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5429C5" w:rsidRPr="005429C5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429C5" w:rsidRPr="005429C5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429C5" w:rsidRPr="005429C5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429C5" w:rsidRPr="005429C5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429C5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5429C5" w:rsidRPr="005429C5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5429C5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5429C5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5429C5" w:rsidRPr="005429C5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429C5" w:rsidRPr="005429C5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429C5" w:rsidRPr="005429C5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429C5" w:rsidRPr="005429C5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429C5" w:rsidRPr="005429C5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429C5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5429C5" w:rsidRDefault="00644E67" w:rsidP="005429C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5429C5" w:rsidRPr="005429C5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644E67" w:rsidRPr="005429C5" w:rsidRDefault="00644E67" w:rsidP="005429C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429C5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:rsidR="00644E67" w:rsidRPr="005429C5" w:rsidRDefault="00644E67" w:rsidP="005429C5">
            <w:pPr>
              <w:widowControl w:val="0"/>
              <w:numPr>
                <w:ilvl w:val="0"/>
                <w:numId w:val="29"/>
              </w:numPr>
              <w:suppressAutoHyphens/>
              <w:spacing w:after="0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429C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644E67" w:rsidRPr="005429C5" w:rsidRDefault="00644E67" w:rsidP="005429C5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644E67" w:rsidRPr="005429C5" w:rsidRDefault="00644E67" w:rsidP="005429C5">
            <w:pPr>
              <w:widowControl w:val="0"/>
              <w:numPr>
                <w:ilvl w:val="0"/>
                <w:numId w:val="35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644E67" w:rsidRPr="005429C5" w:rsidRDefault="00644E67" w:rsidP="005429C5">
            <w:pPr>
              <w:widowControl w:val="0"/>
              <w:numPr>
                <w:ilvl w:val="0"/>
                <w:numId w:val="35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644E67" w:rsidRPr="005429C5" w:rsidRDefault="00644E67" w:rsidP="005429C5">
            <w:pPr>
              <w:widowControl w:val="0"/>
              <w:numPr>
                <w:ilvl w:val="0"/>
                <w:numId w:val="35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644E67" w:rsidRPr="005429C5" w:rsidRDefault="00644E67" w:rsidP="005429C5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644E67" w:rsidRPr="005429C5" w:rsidRDefault="00644E67" w:rsidP="005429C5">
            <w:pPr>
              <w:widowControl w:val="0"/>
              <w:numPr>
                <w:ilvl w:val="0"/>
                <w:numId w:val="29"/>
              </w:numPr>
              <w:suppressAutoHyphens/>
              <w:spacing w:after="0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429C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644E67" w:rsidRPr="005429C5" w:rsidRDefault="00644E67" w:rsidP="005429C5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644E67" w:rsidRPr="005429C5" w:rsidRDefault="00644E67" w:rsidP="005429C5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429C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5429C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644E67" w:rsidRPr="005429C5" w:rsidRDefault="00644E67" w:rsidP="005429C5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644E67" w:rsidRPr="005429C5" w:rsidRDefault="00644E67" w:rsidP="005429C5">
            <w:pPr>
              <w:widowControl w:val="0"/>
              <w:numPr>
                <w:ilvl w:val="0"/>
                <w:numId w:val="36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644E67" w:rsidRPr="005429C5" w:rsidRDefault="00644E67" w:rsidP="005429C5">
            <w:pPr>
              <w:widowControl w:val="0"/>
              <w:numPr>
                <w:ilvl w:val="0"/>
                <w:numId w:val="36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644E67" w:rsidRPr="005429C5" w:rsidRDefault="00644E67" w:rsidP="005429C5">
            <w:pPr>
              <w:widowControl w:val="0"/>
              <w:numPr>
                <w:ilvl w:val="0"/>
                <w:numId w:val="36"/>
              </w:num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644E67" w:rsidRPr="005429C5" w:rsidRDefault="00644E67" w:rsidP="005429C5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644E67" w:rsidRPr="005429C5" w:rsidRDefault="00644E67" w:rsidP="005429C5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429C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5429C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644E67" w:rsidRPr="005429C5" w:rsidRDefault="00644E67" w:rsidP="005429C5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644E67" w:rsidRPr="005429C5" w:rsidRDefault="00644E67" w:rsidP="005429C5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429C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5429C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644E67" w:rsidRPr="005429C5" w:rsidRDefault="00644E67" w:rsidP="005429C5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429C5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644E67" w:rsidRPr="005429C5" w:rsidRDefault="00644E67" w:rsidP="005429C5">
            <w:pPr>
              <w:pStyle w:val="Vrstapredpisa"/>
              <w:widowControl w:val="0"/>
              <w:spacing w:before="0"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429C5" w:rsidRPr="005429C5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C171E3" w:rsidRDefault="00644E67" w:rsidP="007F3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1E3">
              <w:rPr>
                <w:rFonts w:ascii="Arial" w:hAnsi="Arial" w:cs="Arial"/>
                <w:b/>
                <w:sz w:val="20"/>
                <w:szCs w:val="20"/>
              </w:rPr>
              <w:t>7.b</w:t>
            </w:r>
            <w:proofErr w:type="spellEnd"/>
            <w:r w:rsidRPr="00C171E3">
              <w:rPr>
                <w:rFonts w:ascii="Arial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:rsidR="007F3A1B" w:rsidRDefault="007F3A1B" w:rsidP="007F3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A33" w:rsidRDefault="00B1627E" w:rsidP="007F3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27E">
              <w:rPr>
                <w:rFonts w:ascii="Arial" w:hAnsi="Arial" w:cs="Arial"/>
                <w:b/>
                <w:sz w:val="20"/>
                <w:szCs w:val="20"/>
              </w:rPr>
              <w:t xml:space="preserve">Kratka obrazložitev: </w:t>
            </w:r>
            <w:r w:rsidRPr="00B1627E">
              <w:rPr>
                <w:rFonts w:ascii="Arial" w:hAnsi="Arial" w:cs="Arial"/>
                <w:sz w:val="20"/>
                <w:szCs w:val="20"/>
              </w:rPr>
              <w:t xml:space="preserve">Finančne posledice bodo povezane s stroški dela do dveh neodvisnih nacionalnih strokovnjakov, ki jih lahko država članica imenuje v strokovni svet za izvajanje postopkov </w:t>
            </w:r>
            <w:r w:rsidRPr="00B1627E">
              <w:rPr>
                <w:rFonts w:ascii="Arial" w:hAnsi="Arial" w:cs="Arial"/>
                <w:sz w:val="20"/>
                <w:szCs w:val="20"/>
              </w:rPr>
              <w:lastRenderedPageBreak/>
              <w:t xml:space="preserve">izbora in spremljanja Evropske prestolnice kulture (honorar, dnevnice, potni stroški) ter organizacijo več dogodkov v postopku izbora mesta za naslov </w:t>
            </w:r>
            <w:r w:rsidR="005B22B1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 w:rsidR="005B22B1" w:rsidRPr="00F339E9">
              <w:rPr>
                <w:rFonts w:ascii="Arial" w:hAnsi="Arial" w:cs="Arial"/>
                <w:bCs/>
                <w:sz w:val="20"/>
                <w:szCs w:val="20"/>
              </w:rPr>
              <w:t>Evropska prestolnica kulture 2025</w:t>
            </w:r>
            <w:r w:rsidR="005B22B1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B1627E">
              <w:rPr>
                <w:rFonts w:ascii="Arial" w:hAnsi="Arial" w:cs="Arial"/>
                <w:sz w:val="20"/>
                <w:szCs w:val="20"/>
              </w:rPr>
              <w:t xml:space="preserve">, in sicer informacijskega seminarja za zainteresirana mesta, sestanka za </w:t>
            </w:r>
            <w:proofErr w:type="spellStart"/>
            <w:r w:rsidRPr="00B1627E">
              <w:rPr>
                <w:rFonts w:ascii="Arial" w:hAnsi="Arial" w:cs="Arial"/>
                <w:sz w:val="20"/>
                <w:szCs w:val="20"/>
              </w:rPr>
              <w:t>predizbor</w:t>
            </w:r>
            <w:proofErr w:type="spellEnd"/>
            <w:r w:rsidRPr="00B1627E">
              <w:rPr>
                <w:rFonts w:ascii="Arial" w:hAnsi="Arial" w:cs="Arial"/>
                <w:sz w:val="20"/>
                <w:szCs w:val="20"/>
              </w:rPr>
              <w:t xml:space="preserve"> mest, obiskov mest v ožjem izboru ter sestanka za izbor mest. Sredstva so zagotovljena znotraj finančnega </w:t>
            </w:r>
            <w:r w:rsidR="00403BBF">
              <w:rPr>
                <w:rFonts w:ascii="Arial" w:hAnsi="Arial" w:cs="Arial"/>
                <w:sz w:val="20"/>
                <w:szCs w:val="20"/>
              </w:rPr>
              <w:t>načrta Ministrstva za kulturo</w:t>
            </w:r>
            <w:r w:rsidRPr="00B162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3A1B" w:rsidRPr="00AE0A33" w:rsidRDefault="007F3A1B" w:rsidP="007F3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</w:pPr>
          </w:p>
        </w:tc>
      </w:tr>
      <w:tr w:rsidR="005429C5" w:rsidRPr="005429C5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5429C5" w:rsidRDefault="00644E67" w:rsidP="005429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9C5">
              <w:rPr>
                <w:rFonts w:ascii="Arial" w:hAnsi="Arial" w:cs="Arial"/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5429C5" w:rsidRPr="005429C5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1"/>
                <w:numId w:val="35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pristojnosti občin,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1"/>
                <w:numId w:val="35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delovanje občin,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1"/>
                <w:numId w:val="35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financiranje občin.</w:t>
            </w: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5429C5">
              <w:rPr>
                <w:sz w:val="20"/>
                <w:szCs w:val="20"/>
              </w:rPr>
              <w:t>DA/</w:t>
            </w:r>
            <w:r w:rsidRPr="005429C5">
              <w:rPr>
                <w:b/>
                <w:sz w:val="20"/>
                <w:szCs w:val="20"/>
              </w:rPr>
              <w:t>NE</w:t>
            </w:r>
          </w:p>
        </w:tc>
      </w:tr>
      <w:tr w:rsidR="005429C5" w:rsidRPr="005429C5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Skupnosti občin Slovenije SOS: DA/NE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Združenju občin Slovenije ZOS: DA/NE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Združenju mestnih občin Slovenije ZMOS: DA/NE</w:t>
            </w: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v celoti,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večinoma,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delno,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niso bili upoštevani.</w:t>
            </w: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</w:tc>
      </w:tr>
      <w:tr w:rsidR="005429C5" w:rsidRPr="005429C5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  <w:r w:rsidRPr="005429C5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5429C5" w:rsidRPr="005429C5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5429C5">
              <w:rPr>
                <w:sz w:val="20"/>
                <w:szCs w:val="20"/>
              </w:rPr>
              <w:t>DA/</w:t>
            </w:r>
            <w:r w:rsidRPr="005429C5">
              <w:rPr>
                <w:b/>
                <w:sz w:val="20"/>
                <w:szCs w:val="20"/>
              </w:rPr>
              <w:t>NE</w:t>
            </w:r>
          </w:p>
        </w:tc>
      </w:tr>
      <w:tr w:rsidR="005429C5" w:rsidRPr="005429C5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5429C5" w:rsidRPr="005429C5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(Če je odgovor DA, navedite:</w:t>
            </w: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Datum objave: ………</w:t>
            </w: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 xml:space="preserve">nevladne organizacije, 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predstavniki zainteresirane javnosti,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predstavniki strokovne javnosti.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.</w:t>
            </w: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5429C5">
              <w:rPr>
                <w:sz w:val="20"/>
                <w:szCs w:val="20"/>
              </w:rPr>
              <w:t>(imen in priimkov fizičnih oseb, ki niso poslovni subjekti, ne navajajte</w:t>
            </w:r>
            <w:r w:rsidRPr="005429C5">
              <w:rPr>
                <w:iCs/>
                <w:sz w:val="20"/>
                <w:szCs w:val="20"/>
              </w:rPr>
              <w:t>):</w:t>
            </w: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Upoštevani so bili: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v celoti,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večinoma,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delno,</w:t>
            </w:r>
          </w:p>
          <w:p w:rsidR="00644E67" w:rsidRPr="005429C5" w:rsidRDefault="00644E67" w:rsidP="005429C5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niso bili upoštevani.</w:t>
            </w: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Poročilo je bilo dano ……………..</w:t>
            </w: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5429C5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644E67" w:rsidRDefault="00644E67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:rsidR="0094212A" w:rsidRPr="005429C5" w:rsidRDefault="0094212A" w:rsidP="005429C5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</w:p>
        </w:tc>
      </w:tr>
      <w:tr w:rsidR="005429C5" w:rsidRPr="005429C5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429C5"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5429C5">
              <w:rPr>
                <w:sz w:val="20"/>
                <w:szCs w:val="20"/>
              </w:rPr>
              <w:t>DA/</w:t>
            </w:r>
            <w:r w:rsidRPr="005429C5">
              <w:rPr>
                <w:b/>
                <w:sz w:val="20"/>
                <w:szCs w:val="20"/>
              </w:rPr>
              <w:t>NE</w:t>
            </w:r>
          </w:p>
        </w:tc>
      </w:tr>
      <w:tr w:rsidR="005429C5" w:rsidRPr="005429C5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  <w:r w:rsidRPr="005429C5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5429C5" w:rsidRDefault="00644E67" w:rsidP="005429C5">
            <w:pPr>
              <w:pStyle w:val="Neotevilenodstavek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5429C5">
              <w:rPr>
                <w:sz w:val="20"/>
                <w:szCs w:val="20"/>
              </w:rPr>
              <w:t>DA/</w:t>
            </w:r>
            <w:r w:rsidRPr="005429C5">
              <w:rPr>
                <w:b/>
                <w:sz w:val="20"/>
                <w:szCs w:val="20"/>
              </w:rPr>
              <w:t>NE</w:t>
            </w:r>
          </w:p>
        </w:tc>
      </w:tr>
      <w:tr w:rsidR="005429C5" w:rsidRPr="005429C5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Default="00644E67" w:rsidP="005429C5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  <w:p w:rsidR="00202211" w:rsidRDefault="00202211" w:rsidP="005429C5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  <w:p w:rsidR="00202211" w:rsidRDefault="00202211" w:rsidP="005429C5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  <w:p w:rsidR="00202211" w:rsidRDefault="00202211" w:rsidP="005429C5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  <w:p w:rsidR="00202211" w:rsidRPr="005429C5" w:rsidRDefault="00202211" w:rsidP="005429C5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  <w:p w:rsidR="00644E67" w:rsidRPr="005429C5" w:rsidRDefault="004B7566" w:rsidP="005429C5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="00597306" w:rsidRPr="005429C5">
              <w:rPr>
                <w:sz w:val="20"/>
                <w:szCs w:val="20"/>
              </w:rPr>
              <w:t xml:space="preserve">Dejan </w:t>
            </w:r>
            <w:proofErr w:type="spellStart"/>
            <w:r w:rsidR="00597306" w:rsidRPr="005429C5">
              <w:rPr>
                <w:sz w:val="20"/>
                <w:szCs w:val="20"/>
              </w:rPr>
              <w:t>Prešiček</w:t>
            </w:r>
            <w:proofErr w:type="spellEnd"/>
          </w:p>
          <w:p w:rsidR="00644E67" w:rsidRPr="005429C5" w:rsidRDefault="00202211" w:rsidP="005429C5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B7566">
              <w:rPr>
                <w:sz w:val="20"/>
                <w:szCs w:val="20"/>
              </w:rPr>
              <w:t xml:space="preserve">                                        </w:t>
            </w:r>
            <w:r w:rsidR="00644E67" w:rsidRPr="005429C5">
              <w:rPr>
                <w:sz w:val="20"/>
                <w:szCs w:val="20"/>
              </w:rPr>
              <w:t>MINISTER</w:t>
            </w:r>
          </w:p>
          <w:p w:rsidR="00644E67" w:rsidRPr="005429C5" w:rsidRDefault="00644E67" w:rsidP="005429C5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  <w:p w:rsidR="003E1285" w:rsidRDefault="003E1285" w:rsidP="005429C5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  <w:p w:rsidR="00FC672F" w:rsidRDefault="00FC672F" w:rsidP="005429C5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  <w:p w:rsidR="00FC672F" w:rsidRDefault="00FC672F" w:rsidP="005429C5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  <w:p w:rsidR="00FC672F" w:rsidRPr="005429C5" w:rsidRDefault="00FC672F" w:rsidP="005429C5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  <w:p w:rsidR="003E1285" w:rsidRPr="005429C5" w:rsidRDefault="003E1285" w:rsidP="005429C5">
            <w:pPr>
              <w:pStyle w:val="Poglavje"/>
              <w:widowControl w:val="0"/>
              <w:spacing w:before="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5429C5">
              <w:rPr>
                <w:b w:val="0"/>
                <w:sz w:val="20"/>
                <w:szCs w:val="20"/>
              </w:rPr>
              <w:t>Priloga: Informacija</w:t>
            </w:r>
          </w:p>
          <w:p w:rsidR="00644E67" w:rsidRPr="005429C5" w:rsidRDefault="00644E67" w:rsidP="005429C5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644E67" w:rsidRPr="005429C5" w:rsidRDefault="00644E67" w:rsidP="005429C5">
      <w:pPr>
        <w:keepLines/>
        <w:framePr w:w="9962" w:wrap="auto" w:hAnchor="text" w:x="1300"/>
        <w:rPr>
          <w:rFonts w:ascii="Arial" w:hAnsi="Arial" w:cs="Arial"/>
          <w:sz w:val="20"/>
          <w:szCs w:val="20"/>
        </w:rPr>
        <w:sectPr w:rsidR="00644E67" w:rsidRPr="005429C5" w:rsidSect="00956616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FA2B20" w:rsidRPr="005429C5" w:rsidRDefault="00FA2B20" w:rsidP="005429C5">
      <w:pPr>
        <w:tabs>
          <w:tab w:val="left" w:pos="708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CF16A6" w:rsidRDefault="00CF16A6" w:rsidP="005429C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29C5">
        <w:rPr>
          <w:rFonts w:ascii="Arial" w:hAnsi="Arial" w:cs="Arial"/>
          <w:b/>
          <w:bCs/>
          <w:sz w:val="20"/>
          <w:szCs w:val="20"/>
        </w:rPr>
        <w:t xml:space="preserve">Informacija o postopkih v zvezi z Evropsko prestolnico kulture v </w:t>
      </w:r>
      <w:r w:rsidR="00764246">
        <w:rPr>
          <w:rFonts w:ascii="Arial" w:hAnsi="Arial" w:cs="Arial"/>
          <w:b/>
          <w:bCs/>
          <w:sz w:val="20"/>
          <w:szCs w:val="20"/>
        </w:rPr>
        <w:t xml:space="preserve">Republiki </w:t>
      </w:r>
      <w:r w:rsidRPr="005429C5">
        <w:rPr>
          <w:rFonts w:ascii="Arial" w:hAnsi="Arial" w:cs="Arial"/>
          <w:b/>
          <w:bCs/>
          <w:sz w:val="20"/>
          <w:szCs w:val="20"/>
        </w:rPr>
        <w:t>Sloveniji leta 2025</w:t>
      </w:r>
    </w:p>
    <w:p w:rsidR="00CF16A6" w:rsidRPr="005429C5" w:rsidRDefault="00CF16A6" w:rsidP="005429C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429C5">
        <w:rPr>
          <w:rFonts w:ascii="Arial" w:hAnsi="Arial" w:cs="Arial"/>
          <w:sz w:val="20"/>
          <w:szCs w:val="20"/>
        </w:rPr>
        <w:t>Evropa je od nekdaj središče umetniškega razvoja</w:t>
      </w:r>
      <w:r w:rsidR="00120B84">
        <w:rPr>
          <w:rFonts w:ascii="Arial" w:hAnsi="Arial" w:cs="Arial"/>
          <w:sz w:val="20"/>
          <w:szCs w:val="20"/>
        </w:rPr>
        <w:t>,</w:t>
      </w:r>
      <w:r w:rsidRPr="005429C5">
        <w:rPr>
          <w:rFonts w:ascii="Arial" w:hAnsi="Arial" w:cs="Arial"/>
          <w:sz w:val="20"/>
          <w:szCs w:val="20"/>
        </w:rPr>
        <w:t xml:space="preserve"> izjemnega bogastva in velike raznolikosti, pri čemer imajo evropska mesta ključno vlogo pri nastajanju in širjenju kulture. </w:t>
      </w:r>
    </w:p>
    <w:p w:rsidR="00CF16A6" w:rsidRPr="005429C5" w:rsidRDefault="00CF16A6" w:rsidP="005429C5">
      <w:pPr>
        <w:jc w:val="both"/>
        <w:rPr>
          <w:rFonts w:ascii="Arial" w:hAnsi="Arial" w:cs="Arial"/>
          <w:sz w:val="20"/>
          <w:szCs w:val="20"/>
        </w:rPr>
      </w:pPr>
      <w:r w:rsidRPr="005429C5">
        <w:rPr>
          <w:rFonts w:ascii="Arial" w:hAnsi="Arial" w:cs="Arial"/>
          <w:sz w:val="20"/>
          <w:szCs w:val="20"/>
        </w:rPr>
        <w:t xml:space="preserve">Aktivnost </w:t>
      </w:r>
      <w:r w:rsidR="00AC47CA">
        <w:rPr>
          <w:rFonts w:ascii="Arial" w:hAnsi="Arial" w:cs="Arial"/>
          <w:sz w:val="20"/>
          <w:szCs w:val="20"/>
        </w:rPr>
        <w:t>E</w:t>
      </w:r>
      <w:r w:rsidRPr="005429C5">
        <w:rPr>
          <w:rFonts w:ascii="Arial" w:hAnsi="Arial" w:cs="Arial"/>
          <w:sz w:val="20"/>
          <w:szCs w:val="20"/>
        </w:rPr>
        <w:t xml:space="preserve">vropska prestolnica kulture je pobuda Evropske unije, ki jo ureja </w:t>
      </w:r>
      <w:r w:rsidRPr="005429C5">
        <w:rPr>
          <w:rFonts w:ascii="Arial" w:hAnsi="Arial" w:cs="Arial"/>
          <w:noProof/>
          <w:sz w:val="20"/>
          <w:szCs w:val="20"/>
        </w:rPr>
        <w:t>Sklep št. 445/2014/EU, kakor je bil spremenjen s Sklepom (EU) št. 2017/1545</w:t>
      </w:r>
      <w:r w:rsidRPr="005429C5">
        <w:rPr>
          <w:rStyle w:val="Sprotnaopomba-sklic"/>
          <w:rFonts w:ascii="Arial" w:hAnsi="Arial" w:cs="Arial"/>
          <w:noProof/>
          <w:sz w:val="20"/>
          <w:szCs w:val="20"/>
        </w:rPr>
        <w:footnoteReference w:id="1"/>
      </w:r>
      <w:r w:rsidRPr="005429C5">
        <w:rPr>
          <w:rFonts w:ascii="Arial" w:hAnsi="Arial" w:cs="Arial"/>
          <w:noProof/>
          <w:sz w:val="20"/>
          <w:szCs w:val="20"/>
        </w:rPr>
        <w:t xml:space="preserve"> za nazive od </w:t>
      </w:r>
      <w:r w:rsidRPr="005429C5">
        <w:rPr>
          <w:rFonts w:ascii="Arial" w:hAnsi="Arial" w:cs="Arial"/>
          <w:sz w:val="20"/>
          <w:szCs w:val="20"/>
        </w:rPr>
        <w:t>2020 do 2033, in ki je namenjena poudarjanju tega bogastva in raznolikosti ter skupnih kulturnih vidikov v Evropi, da bi pripomogla k zbližanju narodov Evrope in izboljšanju medsebojnega razumevanja.</w:t>
      </w:r>
    </w:p>
    <w:p w:rsidR="00CF16A6" w:rsidRPr="005429C5" w:rsidRDefault="00CF16A6" w:rsidP="005429C5">
      <w:pPr>
        <w:widowControl w:val="0"/>
        <w:tabs>
          <w:tab w:val="left" w:pos="0"/>
        </w:tabs>
        <w:jc w:val="both"/>
        <w:rPr>
          <w:rFonts w:ascii="Arial" w:hAnsi="Arial" w:cs="Arial"/>
          <w:noProof/>
          <w:sz w:val="20"/>
          <w:szCs w:val="20"/>
        </w:rPr>
      </w:pPr>
      <w:r w:rsidRPr="005429C5">
        <w:rPr>
          <w:rFonts w:ascii="Arial" w:hAnsi="Arial" w:cs="Arial"/>
          <w:sz w:val="20"/>
          <w:szCs w:val="20"/>
        </w:rPr>
        <w:t>Glede na navedeno so</w:t>
      </w:r>
      <w:r w:rsidRPr="005429C5">
        <w:rPr>
          <w:rFonts w:ascii="Arial" w:hAnsi="Arial" w:cs="Arial"/>
          <w:noProof/>
          <w:sz w:val="20"/>
          <w:szCs w:val="20"/>
        </w:rPr>
        <w:t xml:space="preserve"> splošni cilji </w:t>
      </w:r>
      <w:r w:rsidRPr="005429C5">
        <w:rPr>
          <w:rFonts w:ascii="Arial" w:hAnsi="Arial" w:cs="Arial"/>
          <w:sz w:val="20"/>
          <w:szCs w:val="20"/>
        </w:rPr>
        <w:t xml:space="preserve">aktivnosti </w:t>
      </w:r>
      <w:r w:rsidR="00120B84">
        <w:rPr>
          <w:rFonts w:ascii="Arial" w:hAnsi="Arial" w:cs="Arial"/>
          <w:sz w:val="20"/>
          <w:szCs w:val="20"/>
        </w:rPr>
        <w:t>E</w:t>
      </w:r>
      <w:r w:rsidRPr="005429C5">
        <w:rPr>
          <w:rFonts w:ascii="Arial" w:hAnsi="Arial" w:cs="Arial"/>
          <w:sz w:val="20"/>
          <w:szCs w:val="20"/>
        </w:rPr>
        <w:t>vropska prestolnica kulture</w:t>
      </w:r>
      <w:r w:rsidRPr="005429C5">
        <w:rPr>
          <w:rFonts w:ascii="Arial" w:hAnsi="Arial" w:cs="Arial"/>
          <w:noProof/>
          <w:sz w:val="20"/>
          <w:szCs w:val="20"/>
        </w:rPr>
        <w:t xml:space="preserve">: </w:t>
      </w:r>
      <w:r w:rsidRPr="005429C5">
        <w:rPr>
          <w:rFonts w:ascii="Arial" w:hAnsi="Arial" w:cs="Arial"/>
          <w:sz w:val="20"/>
          <w:szCs w:val="20"/>
        </w:rPr>
        <w:t>varovati in spodbujati</w:t>
      </w:r>
      <w:r w:rsidR="00120B84">
        <w:rPr>
          <w:rFonts w:ascii="Arial" w:hAnsi="Arial" w:cs="Arial"/>
          <w:sz w:val="20"/>
          <w:szCs w:val="20"/>
        </w:rPr>
        <w:t xml:space="preserve"> </w:t>
      </w:r>
      <w:r w:rsidRPr="005429C5">
        <w:rPr>
          <w:rFonts w:ascii="Arial" w:hAnsi="Arial" w:cs="Arial"/>
          <w:sz w:val="20"/>
          <w:szCs w:val="20"/>
        </w:rPr>
        <w:t>raznolikost kultur v Evropi ter poudariti skupne značilnosti in povečati občutek državljanov, da</w:t>
      </w:r>
      <w:r w:rsidR="00120B84">
        <w:rPr>
          <w:rFonts w:ascii="Arial" w:hAnsi="Arial" w:cs="Arial"/>
          <w:sz w:val="20"/>
          <w:szCs w:val="20"/>
        </w:rPr>
        <w:t xml:space="preserve"> </w:t>
      </w:r>
      <w:r w:rsidRPr="005429C5">
        <w:rPr>
          <w:rFonts w:ascii="Arial" w:hAnsi="Arial" w:cs="Arial"/>
          <w:sz w:val="20"/>
          <w:szCs w:val="20"/>
        </w:rPr>
        <w:t>pripadajo skupnemu kulturnemu prostoru, na eni strani</w:t>
      </w:r>
      <w:r w:rsidRPr="005429C5">
        <w:rPr>
          <w:rFonts w:ascii="Arial" w:hAnsi="Arial" w:cs="Arial"/>
          <w:noProof/>
          <w:sz w:val="20"/>
          <w:szCs w:val="20"/>
        </w:rPr>
        <w:t xml:space="preserve"> in spodbujati</w:t>
      </w:r>
      <w:r w:rsidRPr="005429C5">
        <w:rPr>
          <w:rFonts w:ascii="Arial" w:hAnsi="Arial" w:cs="Arial"/>
          <w:sz w:val="20"/>
          <w:szCs w:val="20"/>
        </w:rPr>
        <w:t xml:space="preserve"> prispevek kulture k dolgoročnemu</w:t>
      </w:r>
      <w:r w:rsidR="00120B84">
        <w:rPr>
          <w:rFonts w:ascii="Arial" w:hAnsi="Arial" w:cs="Arial"/>
          <w:sz w:val="20"/>
          <w:szCs w:val="20"/>
        </w:rPr>
        <w:t xml:space="preserve"> </w:t>
      </w:r>
      <w:r w:rsidRPr="005429C5">
        <w:rPr>
          <w:rFonts w:ascii="Arial" w:hAnsi="Arial" w:cs="Arial"/>
          <w:sz w:val="20"/>
          <w:szCs w:val="20"/>
        </w:rPr>
        <w:t xml:space="preserve">razvoju mest na gospodarski, socialni in mestni ravni v skladu z njihovimi strategijami in prednostnimi nalogami na drugi strani.  </w:t>
      </w:r>
    </w:p>
    <w:p w:rsidR="00CF16A6" w:rsidRPr="005429C5" w:rsidRDefault="00CF16A6" w:rsidP="005429C5">
      <w:pPr>
        <w:jc w:val="both"/>
        <w:rPr>
          <w:rFonts w:ascii="Arial" w:hAnsi="Arial" w:cs="Arial"/>
          <w:noProof/>
          <w:sz w:val="20"/>
          <w:szCs w:val="20"/>
        </w:rPr>
      </w:pPr>
      <w:r w:rsidRPr="005429C5">
        <w:rPr>
          <w:rFonts w:ascii="Arial" w:hAnsi="Arial" w:cs="Arial"/>
          <w:noProof/>
          <w:sz w:val="20"/>
          <w:szCs w:val="20"/>
        </w:rPr>
        <w:t xml:space="preserve">V skladu s temi cilji bodo dejavnosti, ki jih bo razvilo mesto, imenovano za </w:t>
      </w:r>
      <w:r w:rsidR="00120B84">
        <w:rPr>
          <w:rFonts w:ascii="Arial" w:hAnsi="Arial" w:cs="Arial"/>
          <w:noProof/>
          <w:sz w:val="20"/>
          <w:szCs w:val="20"/>
        </w:rPr>
        <w:t>E</w:t>
      </w:r>
      <w:r w:rsidRPr="005429C5">
        <w:rPr>
          <w:rFonts w:ascii="Arial" w:hAnsi="Arial" w:cs="Arial"/>
          <w:noProof/>
          <w:sz w:val="20"/>
          <w:szCs w:val="20"/>
        </w:rPr>
        <w:t>vropsko prestolnico kulture, usmerjene v krepitev obsega, raznolikosti in evropske razsežnosti njegove kulturne ponudbe, vključno z nadnacionalnim sodelovanjem; v razširitev dostopa do kulture in sodelovanje v njej; v okrepitev zmogljivosti njegovega kulturnega področja in njegovih povezav z drugimi področji ter v povečanje njegove mednarodne prepoznavnosti prek kulture.</w:t>
      </w:r>
    </w:p>
    <w:p w:rsidR="00BB0456" w:rsidRDefault="00CF16A6" w:rsidP="005429C5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5429C5">
        <w:rPr>
          <w:rFonts w:ascii="Arial" w:hAnsi="Arial" w:cs="Arial"/>
          <w:sz w:val="20"/>
          <w:szCs w:val="20"/>
        </w:rPr>
        <w:t xml:space="preserve">V skladu z razporedom iz </w:t>
      </w:r>
      <w:r w:rsidRPr="005429C5">
        <w:rPr>
          <w:rFonts w:ascii="Arial" w:hAnsi="Arial" w:cs="Arial"/>
          <w:noProof/>
          <w:sz w:val="20"/>
          <w:szCs w:val="20"/>
        </w:rPr>
        <w:t xml:space="preserve">priloge k Sklepu št. 445/2014/EU, kakor je bil spremenjen s Sklepom (EU) št. 2017/1545, se </w:t>
      </w:r>
      <w:r w:rsidRPr="005429C5">
        <w:rPr>
          <w:rFonts w:ascii="Arial" w:hAnsi="Arial" w:cs="Arial"/>
          <w:sz w:val="20"/>
          <w:szCs w:val="20"/>
        </w:rPr>
        <w:t xml:space="preserve">naziv </w:t>
      </w:r>
      <w:r w:rsidR="005C229F">
        <w:rPr>
          <w:rFonts w:ascii="Arial" w:hAnsi="Arial" w:cs="Arial"/>
          <w:sz w:val="20"/>
          <w:szCs w:val="20"/>
        </w:rPr>
        <w:t>E</w:t>
      </w:r>
      <w:r w:rsidRPr="005429C5">
        <w:rPr>
          <w:rFonts w:ascii="Arial" w:hAnsi="Arial" w:cs="Arial"/>
          <w:sz w:val="20"/>
          <w:szCs w:val="20"/>
        </w:rPr>
        <w:t>vropska prestolnica kulture v letu 2025 dodeli enemu mestu v Republiki Sloveniji in enemu mestu v Zvezni republiki Nemčiji.</w:t>
      </w:r>
    </w:p>
    <w:p w:rsidR="00BB0456" w:rsidRPr="005429C5" w:rsidRDefault="00BB0456" w:rsidP="005429C5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:rsidR="005429C5" w:rsidRPr="005429C5" w:rsidRDefault="005429C5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429C5">
        <w:rPr>
          <w:rFonts w:ascii="Arial" w:hAnsi="Arial" w:cs="Arial"/>
          <w:b/>
          <w:sz w:val="20"/>
          <w:szCs w:val="20"/>
        </w:rPr>
        <w:t xml:space="preserve">Natečaj </w:t>
      </w:r>
    </w:p>
    <w:p w:rsidR="00B1210A" w:rsidRPr="005429C5" w:rsidRDefault="00B1210A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429C5">
        <w:rPr>
          <w:rFonts w:ascii="Arial" w:hAnsi="Arial" w:cs="Arial"/>
          <w:sz w:val="20"/>
          <w:szCs w:val="20"/>
        </w:rPr>
        <w:t>Vsaka država članica je odgovorna za organizacijo natečaja med svojimi mesti v skladu z omenjenim razporedom.</w:t>
      </w:r>
      <w:r w:rsidR="005429C5">
        <w:rPr>
          <w:rFonts w:ascii="Arial" w:hAnsi="Arial" w:cs="Arial"/>
          <w:sz w:val="20"/>
          <w:szCs w:val="20"/>
        </w:rPr>
        <w:t xml:space="preserve"> </w:t>
      </w:r>
      <w:r w:rsidRPr="005429C5">
        <w:rPr>
          <w:rFonts w:ascii="Arial" w:hAnsi="Arial" w:cs="Arial"/>
          <w:sz w:val="20"/>
          <w:szCs w:val="20"/>
        </w:rPr>
        <w:t>Zadevne države članice objavijo razpis za predložitev prijav vsaj šest let pred letom naziva.</w:t>
      </w:r>
    </w:p>
    <w:p w:rsidR="00B1210A" w:rsidRPr="005429C5" w:rsidRDefault="00B1210A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429C5">
        <w:rPr>
          <w:rFonts w:ascii="Arial" w:hAnsi="Arial" w:cs="Arial"/>
          <w:sz w:val="20"/>
          <w:szCs w:val="20"/>
        </w:rPr>
        <w:t>Vsakemu razpisu za predložitev prijav se priloži obrazec za prijavo, ki ga pripravi Komisija na podlagi meril, ki jih opredeljuje pravna podlaga. Rok za predložitev prijav s strani mest, ki kandidirajo, v okviru vsakega od razpisov za predložitev prijav ni krajši od 10 mesecev po njegovi objavi.</w:t>
      </w:r>
    </w:p>
    <w:p w:rsidR="00B1210A" w:rsidRDefault="00B1210A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429C5">
        <w:rPr>
          <w:rFonts w:ascii="Arial" w:hAnsi="Arial" w:cs="Arial"/>
          <w:sz w:val="20"/>
          <w:szCs w:val="20"/>
        </w:rPr>
        <w:t>Zadevne države članice o prijavah uradno obvestijo Komisijo.</w:t>
      </w:r>
    </w:p>
    <w:p w:rsidR="00BB0456" w:rsidRDefault="00BB0456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5429C5" w:rsidRPr="005429C5" w:rsidRDefault="005429C5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5429C5">
        <w:rPr>
          <w:rFonts w:ascii="Arial" w:hAnsi="Arial" w:cs="Arial"/>
          <w:b/>
          <w:sz w:val="20"/>
          <w:szCs w:val="20"/>
        </w:rPr>
        <w:t>Predizbor</w:t>
      </w:r>
      <w:proofErr w:type="spellEnd"/>
    </w:p>
    <w:p w:rsidR="00B1210A" w:rsidRPr="005429C5" w:rsidRDefault="00B1210A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429C5">
        <w:rPr>
          <w:rFonts w:ascii="Arial" w:hAnsi="Arial" w:cs="Arial"/>
          <w:sz w:val="20"/>
          <w:szCs w:val="20"/>
        </w:rPr>
        <w:t xml:space="preserve">Vsaka zadevna država članica skliče sestanek </w:t>
      </w:r>
      <w:r w:rsidR="005429C5">
        <w:rPr>
          <w:rFonts w:ascii="Arial" w:hAnsi="Arial" w:cs="Arial"/>
          <w:sz w:val="20"/>
          <w:szCs w:val="20"/>
        </w:rPr>
        <w:t xml:space="preserve">strokovnega </w:t>
      </w:r>
      <w:r w:rsidRPr="005429C5">
        <w:rPr>
          <w:rFonts w:ascii="Arial" w:hAnsi="Arial" w:cs="Arial"/>
          <w:sz w:val="20"/>
          <w:szCs w:val="20"/>
        </w:rPr>
        <w:t>sveta</w:t>
      </w:r>
      <w:r w:rsidR="005429C5">
        <w:rPr>
          <w:rFonts w:ascii="Arial" w:hAnsi="Arial" w:cs="Arial"/>
          <w:sz w:val="20"/>
          <w:szCs w:val="20"/>
        </w:rPr>
        <w:t xml:space="preserve"> (v nadaljevanju: svet)</w:t>
      </w:r>
      <w:r w:rsidR="005429C5" w:rsidRPr="005429C5">
        <w:rPr>
          <w:rFonts w:ascii="Arial" w:hAnsi="Arial" w:cs="Arial"/>
          <w:sz w:val="20"/>
          <w:szCs w:val="20"/>
        </w:rPr>
        <w:t xml:space="preserve"> </w:t>
      </w:r>
      <w:r w:rsidRPr="005429C5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5429C5">
        <w:rPr>
          <w:rFonts w:ascii="Arial" w:hAnsi="Arial" w:cs="Arial"/>
          <w:sz w:val="20"/>
          <w:szCs w:val="20"/>
        </w:rPr>
        <w:t>predizbor</w:t>
      </w:r>
      <w:proofErr w:type="spellEnd"/>
      <w:r w:rsidRPr="005429C5">
        <w:rPr>
          <w:rFonts w:ascii="Arial" w:hAnsi="Arial" w:cs="Arial"/>
          <w:sz w:val="20"/>
          <w:szCs w:val="20"/>
        </w:rPr>
        <w:t xml:space="preserve"> z</w:t>
      </w:r>
      <w:r w:rsidR="000669DA">
        <w:rPr>
          <w:rFonts w:ascii="Arial" w:hAnsi="Arial" w:cs="Arial"/>
          <w:sz w:val="20"/>
          <w:szCs w:val="20"/>
        </w:rPr>
        <w:t xml:space="preserve"> </w:t>
      </w:r>
      <w:r w:rsidRPr="005429C5">
        <w:rPr>
          <w:rFonts w:ascii="Arial" w:hAnsi="Arial" w:cs="Arial"/>
          <w:sz w:val="20"/>
          <w:szCs w:val="20"/>
        </w:rPr>
        <w:t>mesti, ki kandidirajo, najpozneje pet let pred letom naziva.</w:t>
      </w:r>
    </w:p>
    <w:p w:rsidR="00B1210A" w:rsidRPr="005429C5" w:rsidRDefault="00B1210A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429C5">
        <w:rPr>
          <w:rFonts w:ascii="Arial" w:hAnsi="Arial" w:cs="Arial"/>
          <w:sz w:val="20"/>
          <w:szCs w:val="20"/>
        </w:rPr>
        <w:t>Prijave ocenjuje svet</w:t>
      </w:r>
      <w:r w:rsidR="005429C5">
        <w:rPr>
          <w:rFonts w:ascii="Arial" w:hAnsi="Arial" w:cs="Arial"/>
          <w:sz w:val="20"/>
          <w:szCs w:val="20"/>
        </w:rPr>
        <w:t xml:space="preserve"> 10 neodvisnih strokovnjakov, </w:t>
      </w:r>
      <w:r w:rsidRPr="005429C5">
        <w:rPr>
          <w:rFonts w:ascii="Arial" w:hAnsi="Arial" w:cs="Arial"/>
          <w:sz w:val="20"/>
          <w:szCs w:val="20"/>
        </w:rPr>
        <w:t xml:space="preserve">v katerega lahko zadevna država članica imenuje do dva </w:t>
      </w:r>
      <w:r w:rsidR="005429C5">
        <w:rPr>
          <w:rFonts w:ascii="Arial" w:hAnsi="Arial" w:cs="Arial"/>
          <w:sz w:val="20"/>
          <w:szCs w:val="20"/>
        </w:rPr>
        <w:t xml:space="preserve">neodvisna </w:t>
      </w:r>
      <w:r w:rsidRPr="005429C5">
        <w:rPr>
          <w:rFonts w:ascii="Arial" w:hAnsi="Arial" w:cs="Arial"/>
          <w:sz w:val="20"/>
          <w:szCs w:val="20"/>
        </w:rPr>
        <w:t xml:space="preserve">nacionalna strokovnjaka, ki lahko prispevata k izbirnemu postopku s poznavanjem nacionalnega konteksta. </w:t>
      </w:r>
      <w:r w:rsidR="005429C5">
        <w:rPr>
          <w:rFonts w:ascii="Arial" w:hAnsi="Arial" w:cs="Arial"/>
          <w:sz w:val="20"/>
          <w:szCs w:val="20"/>
        </w:rPr>
        <w:t>S</w:t>
      </w:r>
      <w:r w:rsidRPr="005429C5">
        <w:rPr>
          <w:rFonts w:ascii="Arial" w:hAnsi="Arial" w:cs="Arial"/>
          <w:sz w:val="20"/>
          <w:szCs w:val="20"/>
        </w:rPr>
        <w:t xml:space="preserve">vet se po oceni prijav v skladu z merili dogovori o seznamu mest, ki kandidirajo, v ožjem izboru in predloži poročilo o </w:t>
      </w:r>
      <w:proofErr w:type="spellStart"/>
      <w:r w:rsidRPr="005429C5">
        <w:rPr>
          <w:rFonts w:ascii="Arial" w:hAnsi="Arial" w:cs="Arial"/>
          <w:sz w:val="20"/>
          <w:szCs w:val="20"/>
        </w:rPr>
        <w:t>predizboru</w:t>
      </w:r>
      <w:proofErr w:type="spellEnd"/>
      <w:r w:rsidRPr="005429C5">
        <w:rPr>
          <w:rFonts w:ascii="Arial" w:hAnsi="Arial" w:cs="Arial"/>
          <w:sz w:val="20"/>
          <w:szCs w:val="20"/>
        </w:rPr>
        <w:t xml:space="preserve"> glede vseh prijav, pri čemer med drugim oblikuje priporočila za mesta, ki kandidirajo, v ožjem izboru. Svet predloži svoje poročilo o </w:t>
      </w:r>
      <w:proofErr w:type="spellStart"/>
      <w:r w:rsidRPr="005429C5">
        <w:rPr>
          <w:rFonts w:ascii="Arial" w:hAnsi="Arial" w:cs="Arial"/>
          <w:sz w:val="20"/>
          <w:szCs w:val="20"/>
        </w:rPr>
        <w:t>predizboru</w:t>
      </w:r>
      <w:proofErr w:type="spellEnd"/>
      <w:r w:rsidRPr="005429C5">
        <w:rPr>
          <w:rFonts w:ascii="Arial" w:hAnsi="Arial" w:cs="Arial"/>
          <w:sz w:val="20"/>
          <w:szCs w:val="20"/>
        </w:rPr>
        <w:t xml:space="preserve"> </w:t>
      </w:r>
      <w:r w:rsidRPr="005429C5">
        <w:rPr>
          <w:rFonts w:ascii="Arial" w:hAnsi="Arial" w:cs="Arial"/>
          <w:sz w:val="20"/>
          <w:szCs w:val="20"/>
        </w:rPr>
        <w:lastRenderedPageBreak/>
        <w:t>zadevnim državam članicam in Komisiji. Vsaka zadevna država članica uradno potrdi ožji izbor, ki temelji na poročilu sveta.</w:t>
      </w:r>
    </w:p>
    <w:p w:rsidR="005429C5" w:rsidRDefault="005429C5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5429C5" w:rsidRPr="005429C5" w:rsidRDefault="005429C5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429C5">
        <w:rPr>
          <w:rFonts w:ascii="Arial" w:hAnsi="Arial" w:cs="Arial"/>
          <w:b/>
          <w:sz w:val="20"/>
          <w:szCs w:val="20"/>
        </w:rPr>
        <w:t>Izbor</w:t>
      </w:r>
    </w:p>
    <w:p w:rsidR="00B1210A" w:rsidRPr="005429C5" w:rsidRDefault="00B1210A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429C5">
        <w:rPr>
          <w:rFonts w:ascii="Arial" w:hAnsi="Arial" w:cs="Arial"/>
          <w:sz w:val="20"/>
          <w:szCs w:val="20"/>
        </w:rPr>
        <w:t>Nato m</w:t>
      </w:r>
      <w:r w:rsidR="00BB0456">
        <w:rPr>
          <w:rFonts w:ascii="Arial" w:hAnsi="Arial" w:cs="Arial"/>
          <w:sz w:val="20"/>
          <w:szCs w:val="20"/>
        </w:rPr>
        <w:t>esta, ki kandidirajo</w:t>
      </w:r>
      <w:r w:rsidRPr="005429C5">
        <w:rPr>
          <w:rFonts w:ascii="Arial" w:hAnsi="Arial" w:cs="Arial"/>
          <w:sz w:val="20"/>
          <w:szCs w:val="20"/>
        </w:rPr>
        <w:t xml:space="preserve"> v ožjem izboru</w:t>
      </w:r>
      <w:r w:rsidR="00BB0456">
        <w:rPr>
          <w:rFonts w:ascii="Arial" w:hAnsi="Arial" w:cs="Arial"/>
          <w:sz w:val="20"/>
          <w:szCs w:val="20"/>
        </w:rPr>
        <w:t>,</w:t>
      </w:r>
      <w:r w:rsidRPr="005429C5">
        <w:rPr>
          <w:rFonts w:ascii="Arial" w:hAnsi="Arial" w:cs="Arial"/>
          <w:sz w:val="20"/>
          <w:szCs w:val="20"/>
        </w:rPr>
        <w:t xml:space="preserve"> dopolnijo in spremenijo svoje prijave, tako da so v skladu z merili in da upoštevajo priporočila iz poročila o </w:t>
      </w:r>
      <w:proofErr w:type="spellStart"/>
      <w:r w:rsidRPr="005429C5">
        <w:rPr>
          <w:rFonts w:ascii="Arial" w:hAnsi="Arial" w:cs="Arial"/>
          <w:sz w:val="20"/>
          <w:szCs w:val="20"/>
        </w:rPr>
        <w:t>predizboru</w:t>
      </w:r>
      <w:proofErr w:type="spellEnd"/>
      <w:r w:rsidRPr="005429C5">
        <w:rPr>
          <w:rFonts w:ascii="Arial" w:hAnsi="Arial" w:cs="Arial"/>
          <w:sz w:val="20"/>
          <w:szCs w:val="20"/>
        </w:rPr>
        <w:t>, ter jih predložijo zadevnim državam članicam, ki jih nato posredujejo Komisiji.</w:t>
      </w:r>
    </w:p>
    <w:p w:rsidR="00B1210A" w:rsidRPr="005429C5" w:rsidRDefault="00B1210A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429C5">
        <w:rPr>
          <w:rFonts w:ascii="Arial" w:hAnsi="Arial" w:cs="Arial"/>
          <w:sz w:val="20"/>
          <w:szCs w:val="20"/>
        </w:rPr>
        <w:t xml:space="preserve">Vsaka zadevna država članica skliče sestanek sveta za izbor z mesti, ki kandidirajo, v ožjem izboru najpozneje devet mesecev po sestanku za </w:t>
      </w:r>
      <w:proofErr w:type="spellStart"/>
      <w:r w:rsidRPr="005429C5">
        <w:rPr>
          <w:rFonts w:ascii="Arial" w:hAnsi="Arial" w:cs="Arial"/>
          <w:sz w:val="20"/>
          <w:szCs w:val="20"/>
        </w:rPr>
        <w:t>predizbor</w:t>
      </w:r>
      <w:proofErr w:type="spellEnd"/>
      <w:r w:rsidRPr="005429C5">
        <w:rPr>
          <w:rFonts w:ascii="Arial" w:hAnsi="Arial" w:cs="Arial"/>
          <w:sz w:val="20"/>
          <w:szCs w:val="20"/>
        </w:rPr>
        <w:t>.</w:t>
      </w:r>
    </w:p>
    <w:p w:rsidR="00B1210A" w:rsidRPr="005429C5" w:rsidRDefault="00B1210A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429C5">
        <w:rPr>
          <w:rFonts w:ascii="Arial" w:hAnsi="Arial" w:cs="Arial"/>
          <w:sz w:val="20"/>
          <w:szCs w:val="20"/>
        </w:rPr>
        <w:t>Kadar je potrebno, lahko zadevne države članice po posvetovanju s Komisijo podaljšajo ta devetmesečni rok za razumno obdobje.</w:t>
      </w:r>
    </w:p>
    <w:p w:rsidR="00B1210A" w:rsidRPr="005429C5" w:rsidRDefault="00B1210A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429C5">
        <w:rPr>
          <w:rFonts w:ascii="Arial" w:hAnsi="Arial" w:cs="Arial"/>
          <w:sz w:val="20"/>
          <w:szCs w:val="20"/>
        </w:rPr>
        <w:t>Svet oceni dopolnjene in spremenjene prijave in izda poročilo o izboru glede prijav mest, ki kandidirajo, v ožjem izboru, skupaj s priporočilom za imenovanje največ enega mesta v zadevni državi članici.</w:t>
      </w:r>
    </w:p>
    <w:p w:rsidR="00B1210A" w:rsidRPr="005429C5" w:rsidRDefault="00B1210A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429C5">
        <w:rPr>
          <w:rFonts w:ascii="Arial" w:hAnsi="Arial" w:cs="Arial"/>
          <w:sz w:val="20"/>
          <w:szCs w:val="20"/>
        </w:rPr>
        <w:t>Poročilo o izboru vsebuje tudi priporočila zadevnemu mestu v zvezi z napredkom, ki ga mora doseči do leta naziva. Svet predloži poročilo o izboru zadevni državi članici in Komisiji.</w:t>
      </w:r>
    </w:p>
    <w:p w:rsidR="00B1210A" w:rsidRDefault="00B1210A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429C5">
        <w:rPr>
          <w:rFonts w:ascii="Arial" w:hAnsi="Arial" w:cs="Arial"/>
          <w:sz w:val="20"/>
          <w:szCs w:val="20"/>
        </w:rPr>
        <w:t>Svet lahko tudi priporoči, da se naziv za zadevno leto ne podeli, če nobeno od mest, ki kandidirajo, ne izpolnjuje vseh meril.</w:t>
      </w:r>
    </w:p>
    <w:p w:rsidR="00BB0456" w:rsidRDefault="00BB0456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BB0456" w:rsidRPr="00BB0456" w:rsidRDefault="00BB0456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0456">
        <w:rPr>
          <w:rFonts w:ascii="Arial" w:hAnsi="Arial" w:cs="Arial"/>
          <w:b/>
          <w:sz w:val="20"/>
          <w:szCs w:val="20"/>
        </w:rPr>
        <w:t>Imenovanje</w:t>
      </w:r>
    </w:p>
    <w:p w:rsidR="00B1210A" w:rsidRPr="005429C5" w:rsidRDefault="00B1210A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429C5">
        <w:rPr>
          <w:rFonts w:ascii="Arial" w:hAnsi="Arial" w:cs="Arial"/>
          <w:sz w:val="20"/>
          <w:szCs w:val="20"/>
        </w:rPr>
        <w:t>Vsaka zadevna država članica imenuje eno mesto, ki bo nosilo naziv, na podlagi priporočil iz poročila sveta o izboru in o tem imenovanju najpozneje štiri leta pred letom naziva uradno obvesti Evropski parlament, Svet, Komisijo in Odbor regij. Imenovanju je priložena utemeljitev, pripravljena na podlagi poročil sveta.</w:t>
      </w:r>
      <w:r w:rsidR="005429C5" w:rsidRPr="005429C5">
        <w:rPr>
          <w:rFonts w:ascii="Arial" w:hAnsi="Arial" w:cs="Arial"/>
          <w:sz w:val="20"/>
          <w:szCs w:val="20"/>
        </w:rPr>
        <w:t xml:space="preserve"> </w:t>
      </w:r>
      <w:r w:rsidRPr="005429C5">
        <w:rPr>
          <w:rFonts w:ascii="Arial" w:hAnsi="Arial" w:cs="Arial"/>
          <w:sz w:val="20"/>
          <w:szCs w:val="20"/>
        </w:rPr>
        <w:t>Če mesto vključi svoje okoliško območje, se imenovanje nanaša na mesto.</w:t>
      </w:r>
      <w:r w:rsidR="005429C5" w:rsidRPr="005429C5">
        <w:rPr>
          <w:rFonts w:ascii="Arial" w:hAnsi="Arial" w:cs="Arial"/>
          <w:sz w:val="20"/>
          <w:szCs w:val="20"/>
        </w:rPr>
        <w:t xml:space="preserve"> </w:t>
      </w:r>
      <w:r w:rsidRPr="005429C5">
        <w:rPr>
          <w:rFonts w:ascii="Arial" w:hAnsi="Arial" w:cs="Arial"/>
          <w:sz w:val="20"/>
          <w:szCs w:val="20"/>
        </w:rPr>
        <w:t xml:space="preserve">Komisija v dveh mesecih po uradnem obvestilu o imenovanju objavi seznam mest, imenovanih za Evropske prestolnice kulture, v seriji C </w:t>
      </w:r>
      <w:r w:rsidRPr="005429C5">
        <w:rPr>
          <w:rStyle w:val="italic"/>
          <w:rFonts w:ascii="Arial" w:hAnsi="Arial" w:cs="Arial"/>
          <w:i/>
          <w:iCs/>
          <w:sz w:val="20"/>
          <w:szCs w:val="20"/>
        </w:rPr>
        <w:t>Uradnega lista Evropske unije</w:t>
      </w:r>
      <w:r w:rsidRPr="005429C5">
        <w:rPr>
          <w:rFonts w:ascii="Arial" w:hAnsi="Arial" w:cs="Arial"/>
          <w:sz w:val="20"/>
          <w:szCs w:val="20"/>
        </w:rPr>
        <w:t>.</w:t>
      </w:r>
    </w:p>
    <w:p w:rsidR="00BB0456" w:rsidRDefault="00BB0456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BB0456" w:rsidRPr="00BB0456" w:rsidRDefault="00BB0456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0456">
        <w:rPr>
          <w:rFonts w:ascii="Arial" w:hAnsi="Arial" w:cs="Arial"/>
          <w:b/>
          <w:sz w:val="20"/>
          <w:szCs w:val="20"/>
        </w:rPr>
        <w:t>Sodelovanje</w:t>
      </w:r>
    </w:p>
    <w:p w:rsidR="00B1210A" w:rsidRPr="005429C5" w:rsidRDefault="00B1210A" w:rsidP="005429C5">
      <w:pPr>
        <w:pStyle w:val="Navaden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429C5">
        <w:rPr>
          <w:rFonts w:ascii="Arial" w:hAnsi="Arial" w:cs="Arial"/>
          <w:sz w:val="20"/>
          <w:szCs w:val="20"/>
        </w:rPr>
        <w:t>Mesta, imenovana za isto leto, si prizadevajo vzpostaviti povezave med svojimi kulturnimi programi, tako sodelovanje pa se lahko upošteva v okviru postopka spremljanja</w:t>
      </w:r>
      <w:r w:rsidR="005429C5" w:rsidRPr="005429C5">
        <w:rPr>
          <w:rFonts w:ascii="Arial" w:hAnsi="Arial" w:cs="Arial"/>
          <w:sz w:val="20"/>
          <w:szCs w:val="20"/>
        </w:rPr>
        <w:t>.</w:t>
      </w:r>
    </w:p>
    <w:p w:rsidR="00BB0456" w:rsidRDefault="00BB0456" w:rsidP="005429C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B0456" w:rsidRPr="00BB0456" w:rsidRDefault="00BB0456" w:rsidP="005429C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B0456">
        <w:rPr>
          <w:rFonts w:ascii="Arial" w:eastAsia="Times New Roman" w:hAnsi="Arial" w:cs="Arial"/>
          <w:b/>
          <w:sz w:val="20"/>
          <w:szCs w:val="20"/>
          <w:lang w:eastAsia="sl-SI"/>
        </w:rPr>
        <w:t>Spremljanje</w:t>
      </w:r>
    </w:p>
    <w:p w:rsidR="005429C5" w:rsidRPr="005429C5" w:rsidRDefault="005429C5" w:rsidP="005429C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429C5">
        <w:rPr>
          <w:rFonts w:ascii="Arial" w:eastAsia="Times New Roman" w:hAnsi="Arial" w:cs="Arial"/>
          <w:sz w:val="20"/>
          <w:szCs w:val="20"/>
          <w:lang w:eastAsia="sl-SI"/>
        </w:rPr>
        <w:t>Svet spremlja pripravo imenovanih mest na leto naziva in jim zagotavlja podporo in smernice od njihovega imenovanja do začetka leta naziva. V ta namen Komisija skliče tri sestanke za spremljanje med svetom in imenovanimi mesti, kakor sledi: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235"/>
      </w:tblGrid>
      <w:tr w:rsidR="005429C5" w:rsidRPr="005429C5" w:rsidTr="00AE0A33">
        <w:tc>
          <w:tcPr>
            <w:tcW w:w="0" w:type="auto"/>
            <w:shd w:val="clear" w:color="auto" w:fill="auto"/>
            <w:hideMark/>
          </w:tcPr>
          <w:p w:rsidR="005429C5" w:rsidRPr="005429C5" w:rsidRDefault="005429C5" w:rsidP="005429C5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429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(a)</w:t>
            </w:r>
            <w:r w:rsidR="006829A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5429C5" w:rsidRPr="005429C5" w:rsidRDefault="005429C5" w:rsidP="005429C5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429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tri leta pred letom naziva;</w:t>
            </w:r>
          </w:p>
        </w:tc>
      </w:tr>
    </w:tbl>
    <w:p w:rsidR="005429C5" w:rsidRPr="005429C5" w:rsidRDefault="005429C5" w:rsidP="005429C5">
      <w:pPr>
        <w:shd w:val="clear" w:color="auto" w:fill="FFFFFF"/>
        <w:rPr>
          <w:rFonts w:ascii="Arial" w:eastAsia="Times New Roman" w:hAnsi="Arial" w:cs="Arial"/>
          <w:vanish/>
          <w:sz w:val="20"/>
          <w:szCs w:val="20"/>
          <w:lang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769"/>
      </w:tblGrid>
      <w:tr w:rsidR="005429C5" w:rsidRPr="005429C5" w:rsidTr="002A21CA">
        <w:tc>
          <w:tcPr>
            <w:tcW w:w="0" w:type="auto"/>
            <w:shd w:val="clear" w:color="auto" w:fill="auto"/>
            <w:hideMark/>
          </w:tcPr>
          <w:p w:rsidR="005429C5" w:rsidRPr="005429C5" w:rsidRDefault="005429C5" w:rsidP="005429C5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429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(b)</w:t>
            </w:r>
          </w:p>
        </w:tc>
        <w:tc>
          <w:tcPr>
            <w:tcW w:w="0" w:type="auto"/>
            <w:shd w:val="clear" w:color="auto" w:fill="auto"/>
            <w:hideMark/>
          </w:tcPr>
          <w:p w:rsidR="005429C5" w:rsidRPr="005429C5" w:rsidRDefault="005429C5" w:rsidP="005429C5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429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 mesecev pred letom naziva;</w:t>
            </w:r>
          </w:p>
        </w:tc>
      </w:tr>
    </w:tbl>
    <w:p w:rsidR="005429C5" w:rsidRPr="005429C5" w:rsidRDefault="005429C5" w:rsidP="005429C5">
      <w:pPr>
        <w:shd w:val="clear" w:color="auto" w:fill="FFFFFF"/>
        <w:rPr>
          <w:rFonts w:ascii="Arial" w:eastAsia="Times New Roman" w:hAnsi="Arial" w:cs="Arial"/>
          <w:vanish/>
          <w:sz w:val="20"/>
          <w:szCs w:val="20"/>
          <w:lang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2769"/>
      </w:tblGrid>
      <w:tr w:rsidR="005429C5" w:rsidRPr="005429C5" w:rsidTr="002A21CA">
        <w:tc>
          <w:tcPr>
            <w:tcW w:w="0" w:type="auto"/>
            <w:shd w:val="clear" w:color="auto" w:fill="auto"/>
            <w:hideMark/>
          </w:tcPr>
          <w:p w:rsidR="005429C5" w:rsidRPr="005429C5" w:rsidRDefault="005429C5" w:rsidP="005429C5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429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(c)</w:t>
            </w:r>
          </w:p>
        </w:tc>
        <w:tc>
          <w:tcPr>
            <w:tcW w:w="0" w:type="auto"/>
            <w:shd w:val="clear" w:color="auto" w:fill="auto"/>
            <w:hideMark/>
          </w:tcPr>
          <w:p w:rsidR="005429C5" w:rsidRPr="005429C5" w:rsidRDefault="005429C5" w:rsidP="005429C5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429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dva meseca pred letom naziva.</w:t>
            </w:r>
          </w:p>
        </w:tc>
      </w:tr>
    </w:tbl>
    <w:p w:rsidR="005429C5" w:rsidRPr="005429C5" w:rsidRDefault="005429C5" w:rsidP="005429C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429C5">
        <w:rPr>
          <w:rFonts w:ascii="Arial" w:eastAsia="Times New Roman" w:hAnsi="Arial" w:cs="Arial"/>
          <w:sz w:val="20"/>
          <w:szCs w:val="20"/>
          <w:lang w:eastAsia="sl-SI"/>
        </w:rPr>
        <w:t>Država članica ali zadevna država kandidatka oziroma potencialna kandidatka lahko imenuje opazovalca, ki se udeleži teh sestankov.</w:t>
      </w:r>
    </w:p>
    <w:p w:rsidR="005429C5" w:rsidRPr="005429C5" w:rsidRDefault="005429C5" w:rsidP="005429C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429C5">
        <w:rPr>
          <w:rFonts w:ascii="Arial" w:eastAsia="Times New Roman" w:hAnsi="Arial" w:cs="Arial"/>
          <w:sz w:val="20"/>
          <w:szCs w:val="20"/>
          <w:lang w:eastAsia="sl-SI"/>
        </w:rPr>
        <w:t>Imenovana mesta šest tednov pred vsakim sestankom za spremljanje predložijo Komisiji poročila o napredku.</w:t>
      </w:r>
    </w:p>
    <w:p w:rsidR="005429C5" w:rsidRPr="005429C5" w:rsidRDefault="005429C5" w:rsidP="005429C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429C5">
        <w:rPr>
          <w:rFonts w:ascii="Arial" w:eastAsia="Times New Roman" w:hAnsi="Arial" w:cs="Arial"/>
          <w:sz w:val="20"/>
          <w:szCs w:val="20"/>
          <w:lang w:eastAsia="sl-SI"/>
        </w:rPr>
        <w:t>Na sestankih za spremljanje svet pregleda stanje priprav in poda nasvete, da bi pomagal imenovanim mestom pri pripravi kakovostnega kulturnega programa in učinkovite strategije. Svet posebno pozornost nameni priporočilom iz poročil o izboru in morebitnih predhodnih poročil o spremljanju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Pr="005429C5">
        <w:rPr>
          <w:rFonts w:ascii="Arial" w:eastAsia="Times New Roman" w:hAnsi="Arial" w:cs="Arial"/>
          <w:sz w:val="20"/>
          <w:szCs w:val="20"/>
          <w:lang w:eastAsia="sl-SI"/>
        </w:rPr>
        <w:t xml:space="preserve">Svet </w:t>
      </w:r>
      <w:r w:rsidRPr="005429C5">
        <w:rPr>
          <w:rFonts w:ascii="Arial" w:eastAsia="Times New Roman" w:hAnsi="Arial" w:cs="Arial"/>
          <w:sz w:val="20"/>
          <w:szCs w:val="20"/>
          <w:lang w:eastAsia="sl-SI"/>
        </w:rPr>
        <w:lastRenderedPageBreak/>
        <w:t>po vsakem sestanku za spremljanje izda poročilo o spremljanju glede stanja priprav in vseh ukrepov, ki jih je treba sprejeti.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5429C5">
        <w:rPr>
          <w:rFonts w:ascii="Arial" w:eastAsia="Times New Roman" w:hAnsi="Arial" w:cs="Arial"/>
          <w:sz w:val="20"/>
          <w:szCs w:val="20"/>
          <w:lang w:eastAsia="sl-SI"/>
        </w:rPr>
        <w:t>Svet predloži svoja poročila o spremljanju Komisiji, kakor tudi imenovanim mestom in zadevni državi članici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5429C5">
        <w:rPr>
          <w:rFonts w:ascii="Arial" w:eastAsia="Times New Roman" w:hAnsi="Arial" w:cs="Arial"/>
          <w:sz w:val="20"/>
          <w:szCs w:val="20"/>
          <w:lang w:eastAsia="sl-SI"/>
        </w:rPr>
        <w:t> Poleg sestankov za spremljanje lahko Komisija vedno, kadar je to potrebno, organizira tudi obiske sveta v imenovanih mestih.</w:t>
      </w:r>
    </w:p>
    <w:p w:rsidR="00BB0456" w:rsidRDefault="00BB0456" w:rsidP="005429C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B0456" w:rsidRPr="00BB0456" w:rsidRDefault="00BB0456" w:rsidP="005429C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B0456">
        <w:rPr>
          <w:rFonts w:ascii="Arial" w:eastAsia="Times New Roman" w:hAnsi="Arial" w:cs="Arial"/>
          <w:b/>
          <w:sz w:val="20"/>
          <w:szCs w:val="20"/>
          <w:lang w:eastAsia="sl-SI"/>
        </w:rPr>
        <w:t>Denarna nagrada Komisije</w:t>
      </w:r>
    </w:p>
    <w:p w:rsidR="005429C5" w:rsidRPr="005429C5" w:rsidRDefault="005429C5" w:rsidP="005429C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429C5">
        <w:rPr>
          <w:rFonts w:ascii="Arial" w:eastAsia="Times New Roman" w:hAnsi="Arial" w:cs="Arial"/>
          <w:sz w:val="20"/>
          <w:szCs w:val="20"/>
          <w:lang w:eastAsia="sl-SI"/>
        </w:rPr>
        <w:t xml:space="preserve">Komisija lahko imenovanim mestom podeli denarno nagrado v čast Meline </w:t>
      </w:r>
      <w:proofErr w:type="spellStart"/>
      <w:r w:rsidRPr="005429C5">
        <w:rPr>
          <w:rFonts w:ascii="Arial" w:eastAsia="Times New Roman" w:hAnsi="Arial" w:cs="Arial"/>
          <w:sz w:val="20"/>
          <w:szCs w:val="20"/>
          <w:lang w:eastAsia="sl-SI"/>
        </w:rPr>
        <w:t>Mercouri</w:t>
      </w:r>
      <w:proofErr w:type="spellEnd"/>
      <w:r w:rsidRPr="005429C5">
        <w:rPr>
          <w:rFonts w:ascii="Arial" w:eastAsia="Times New Roman" w:hAnsi="Arial" w:cs="Arial"/>
          <w:sz w:val="20"/>
          <w:szCs w:val="20"/>
          <w:lang w:eastAsia="sl-SI"/>
        </w:rPr>
        <w:t xml:space="preserve"> (v nadaljnjem besedilu: nagrada), če so za to na voljo sredstva v ustreznem večletnem finančnem okviru.</w:t>
      </w:r>
    </w:p>
    <w:p w:rsidR="005429C5" w:rsidRPr="005429C5" w:rsidRDefault="005429C5" w:rsidP="005429C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429C5">
        <w:rPr>
          <w:rFonts w:ascii="Arial" w:eastAsia="Times New Roman" w:hAnsi="Arial" w:cs="Arial"/>
          <w:sz w:val="20"/>
          <w:szCs w:val="20"/>
          <w:lang w:eastAsia="sl-SI"/>
        </w:rPr>
        <w:t>Pravni in finančni vidiki nagrade se obravnavajo v okviru ustreznih programov Unije, ki podpirajo kulturo.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5429C5">
        <w:rPr>
          <w:rFonts w:ascii="Arial" w:eastAsia="Times New Roman" w:hAnsi="Arial" w:cs="Arial"/>
          <w:sz w:val="20"/>
          <w:szCs w:val="20"/>
          <w:lang w:eastAsia="sl-SI"/>
        </w:rPr>
        <w:t>Znesek nagrade se izplača do konca marca v letu naziva, pod pogojem, da zadevno imenovano mesto še naprej izpolnjuje zaveze, dane na stopnji prijave, izpolnjuje merila in upošteva priporočila iz poročil o izboru in o spremljanju.</w:t>
      </w:r>
    </w:p>
    <w:p w:rsidR="005429C5" w:rsidRDefault="005429C5" w:rsidP="005429C5">
      <w:pPr>
        <w:shd w:val="clear" w:color="auto" w:fill="FFFFFF"/>
        <w:spacing w:before="1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429C5">
        <w:rPr>
          <w:rFonts w:ascii="Arial" w:eastAsia="Times New Roman" w:hAnsi="Arial" w:cs="Arial"/>
          <w:sz w:val="20"/>
          <w:szCs w:val="20"/>
          <w:lang w:eastAsia="sl-SI"/>
        </w:rPr>
        <w:t>Šteje se, da je mesto izpolnilo zaveze, dane na stopnji prijave, če se v času od stopnje prijave do leta naziva program in strategija nista izrazito spremenila, zlasti kadar:</w:t>
      </w:r>
    </w:p>
    <w:p w:rsidR="00A1326D" w:rsidRPr="00A1326D" w:rsidRDefault="00A1326D" w:rsidP="00A1326D">
      <w:pPr>
        <w:shd w:val="clear" w:color="auto" w:fill="FFFFFF"/>
        <w:spacing w:before="1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(a) </w:t>
      </w:r>
      <w:r w:rsidRPr="00A1326D">
        <w:rPr>
          <w:rFonts w:ascii="Arial" w:eastAsia="Times New Roman" w:hAnsi="Arial" w:cs="Arial"/>
          <w:sz w:val="20"/>
          <w:szCs w:val="20"/>
          <w:lang w:eastAsia="sl-SI"/>
        </w:rPr>
        <w:t>je proračun ostal na ravni, ki omogoča izvedbo kakovostnega kulturnega programa v skladu s prijavo in merili;</w:t>
      </w:r>
    </w:p>
    <w:p w:rsidR="00A1326D" w:rsidRPr="00A1326D" w:rsidRDefault="00A1326D" w:rsidP="00A1326D">
      <w:pPr>
        <w:shd w:val="clear" w:color="auto" w:fill="FFFFFF"/>
        <w:spacing w:before="1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326D">
        <w:rPr>
          <w:rFonts w:ascii="Arial" w:eastAsia="Times New Roman" w:hAnsi="Arial" w:cs="Arial"/>
          <w:sz w:val="20"/>
          <w:szCs w:val="20"/>
          <w:lang w:eastAsia="sl-SI"/>
        </w:rPr>
        <w:t>(b)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1326D">
        <w:rPr>
          <w:rFonts w:ascii="Arial" w:eastAsia="Times New Roman" w:hAnsi="Arial" w:cs="Arial"/>
          <w:sz w:val="20"/>
          <w:szCs w:val="20"/>
          <w:lang w:eastAsia="sl-SI"/>
        </w:rPr>
        <w:t>je bila neodvisnost umetniške ekipe ustrezno spoštovana;</w:t>
      </w:r>
    </w:p>
    <w:p w:rsidR="00A1326D" w:rsidRPr="00A1326D" w:rsidRDefault="00A1326D" w:rsidP="00A1326D">
      <w:pPr>
        <w:shd w:val="clear" w:color="auto" w:fill="FFFFFF"/>
        <w:spacing w:before="1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326D">
        <w:rPr>
          <w:rFonts w:ascii="Arial" w:eastAsia="Times New Roman" w:hAnsi="Arial" w:cs="Arial"/>
          <w:sz w:val="20"/>
          <w:szCs w:val="20"/>
          <w:lang w:eastAsia="sl-SI"/>
        </w:rPr>
        <w:t>(c)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1326D">
        <w:rPr>
          <w:rFonts w:ascii="Arial" w:eastAsia="Times New Roman" w:hAnsi="Arial" w:cs="Arial"/>
          <w:sz w:val="20"/>
          <w:szCs w:val="20"/>
          <w:lang w:eastAsia="sl-SI"/>
        </w:rPr>
        <w:t>je evropska razsežnost v končni različici kulturnega programa ostala dovolj močna;</w:t>
      </w:r>
    </w:p>
    <w:p w:rsidR="00A1326D" w:rsidRPr="00A1326D" w:rsidRDefault="00A1326D" w:rsidP="00A1326D">
      <w:pPr>
        <w:shd w:val="clear" w:color="auto" w:fill="FFFFFF"/>
        <w:spacing w:before="1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326D">
        <w:rPr>
          <w:rFonts w:ascii="Arial" w:eastAsia="Times New Roman" w:hAnsi="Arial" w:cs="Arial"/>
          <w:sz w:val="20"/>
          <w:szCs w:val="20"/>
          <w:lang w:eastAsia="sl-SI"/>
        </w:rPr>
        <w:t>(d)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1326D">
        <w:rPr>
          <w:rFonts w:ascii="Arial" w:eastAsia="Times New Roman" w:hAnsi="Arial" w:cs="Arial"/>
          <w:sz w:val="20"/>
          <w:szCs w:val="20"/>
          <w:lang w:eastAsia="sl-SI"/>
        </w:rPr>
        <w:t>tržna in komunikacijska strategija ter komunikacijsko gradivo, ki ga uporablja imenovano mesto, jasno izraža dejstvo, da gre pri tej aktivnosti za aktivnost Unije;</w:t>
      </w:r>
    </w:p>
    <w:p w:rsidR="00A1326D" w:rsidRPr="00A1326D" w:rsidRDefault="00A1326D" w:rsidP="00A1326D">
      <w:pPr>
        <w:shd w:val="clear" w:color="auto" w:fill="FFFFFF"/>
        <w:spacing w:before="1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326D">
        <w:rPr>
          <w:rFonts w:ascii="Arial" w:eastAsia="Times New Roman" w:hAnsi="Arial" w:cs="Arial"/>
          <w:sz w:val="20"/>
          <w:szCs w:val="20"/>
          <w:lang w:eastAsia="sl-SI"/>
        </w:rPr>
        <w:t>(e)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1326D">
        <w:rPr>
          <w:rFonts w:ascii="Arial" w:eastAsia="Times New Roman" w:hAnsi="Arial" w:cs="Arial"/>
          <w:sz w:val="20"/>
          <w:szCs w:val="20"/>
          <w:lang w:eastAsia="sl-SI"/>
        </w:rPr>
        <w:t>so sprejeti načrti za spremljanje in ocenjevanje učinka naziva na imenovano mesto.</w:t>
      </w:r>
    </w:p>
    <w:p w:rsidR="00A1326D" w:rsidRPr="005429C5" w:rsidRDefault="00A1326D" w:rsidP="005429C5">
      <w:pPr>
        <w:shd w:val="clear" w:color="auto" w:fill="FFFFFF"/>
        <w:spacing w:before="1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004EF" w:rsidRPr="005429C5" w:rsidRDefault="008004EF" w:rsidP="005429C5">
      <w:pPr>
        <w:tabs>
          <w:tab w:val="left" w:pos="708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</w:p>
    <w:sectPr w:rsidR="008004EF" w:rsidRPr="005429C5" w:rsidSect="00E455F9">
      <w:head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79" w:rsidRDefault="00D94279">
      <w:pPr>
        <w:spacing w:after="0" w:line="240" w:lineRule="auto"/>
      </w:pPr>
      <w:r>
        <w:separator/>
      </w:r>
    </w:p>
  </w:endnote>
  <w:endnote w:type="continuationSeparator" w:id="0">
    <w:p w:rsidR="00D94279" w:rsidRDefault="00D9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79" w:rsidRDefault="00D94279">
      <w:pPr>
        <w:spacing w:after="0" w:line="240" w:lineRule="auto"/>
      </w:pPr>
      <w:r>
        <w:separator/>
      </w:r>
    </w:p>
  </w:footnote>
  <w:footnote w:type="continuationSeparator" w:id="0">
    <w:p w:rsidR="00D94279" w:rsidRDefault="00D94279">
      <w:pPr>
        <w:spacing w:after="0" w:line="240" w:lineRule="auto"/>
      </w:pPr>
      <w:r>
        <w:continuationSeparator/>
      </w:r>
    </w:p>
  </w:footnote>
  <w:footnote w:id="1">
    <w:p w:rsidR="00D94279" w:rsidRDefault="00D94279" w:rsidP="00CF16A6">
      <w:pPr>
        <w:pStyle w:val="Sprotnaopomba-besedilo"/>
      </w:pPr>
      <w:r>
        <w:rPr>
          <w:rStyle w:val="Sprotnaopomba-sklic"/>
        </w:rPr>
        <w:footnoteRef/>
      </w:r>
      <w:r>
        <w:t xml:space="preserve">Uradni list Evropske unije, UL L št. 132 z dne 3. maja 2014: </w:t>
      </w:r>
      <w:hyperlink r:id="rId1" w:history="1">
        <w:r>
          <w:rPr>
            <w:rStyle w:val="Hiperpovezava"/>
          </w:rPr>
          <w:t>http://eur-lex.europa.eu/legal-content/EN/TXT/?uri=OJ:L:2014:132:TOC</w:t>
        </w:r>
      </w:hyperlink>
      <w:r>
        <w:t xml:space="preserve"> in UL L št. 237 z dne 13. septembra 2017: </w:t>
      </w:r>
      <w:hyperlink r:id="rId2" w:history="1">
        <w:r>
          <w:rPr>
            <w:rStyle w:val="Hiperpovezava"/>
          </w:rPr>
          <w:t>http://eur-lex.europa.eu/legal-content/EN/TXT/?uri=CELEX:32017D1545</w:t>
        </w:r>
      </w:hyperlink>
      <w:r>
        <w:t>.</w:t>
      </w:r>
    </w:p>
    <w:p w:rsidR="00D94279" w:rsidRDefault="00D94279" w:rsidP="00CF16A6">
      <w:pPr>
        <w:pStyle w:val="Sprotnaopomba-besedilo"/>
      </w:pPr>
    </w:p>
    <w:p w:rsidR="00D94279" w:rsidRDefault="00D94279" w:rsidP="00CF16A6">
      <w:pPr>
        <w:pStyle w:val="Sprotnaopomba-besedilo"/>
      </w:pPr>
    </w:p>
    <w:p w:rsidR="00D94279" w:rsidRPr="00F250DC" w:rsidRDefault="00D94279" w:rsidP="00CF16A6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79" w:rsidRPr="00E21FF9" w:rsidRDefault="00D94279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D94279" w:rsidRPr="008F3500" w:rsidRDefault="00D94279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79" w:rsidRPr="008F3500" w:rsidRDefault="00D94279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4279" w:rsidRPr="008F3500" w:rsidRDefault="00D94279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28"/>
  </w:num>
  <w:num w:numId="4">
    <w:abstractNumId w:val="4"/>
  </w:num>
  <w:num w:numId="5">
    <w:abstractNumId w:val="8"/>
  </w:num>
  <w:num w:numId="6">
    <w:abstractNumId w:val="6"/>
  </w:num>
  <w:num w:numId="7">
    <w:abstractNumId w:val="29"/>
  </w:num>
  <w:num w:numId="8">
    <w:abstractNumId w:val="21"/>
  </w:num>
  <w:num w:numId="9">
    <w:abstractNumId w:val="33"/>
  </w:num>
  <w:num w:numId="10">
    <w:abstractNumId w:val="38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9"/>
  </w:num>
  <w:num w:numId="17">
    <w:abstractNumId w:val="0"/>
  </w:num>
  <w:num w:numId="18">
    <w:abstractNumId w:val="24"/>
  </w:num>
  <w:num w:numId="19">
    <w:abstractNumId w:val="36"/>
  </w:num>
  <w:num w:numId="20">
    <w:abstractNumId w:val="3"/>
  </w:num>
  <w:num w:numId="21">
    <w:abstractNumId w:val="42"/>
  </w:num>
  <w:num w:numId="22">
    <w:abstractNumId w:val="23"/>
    <w:lvlOverride w:ilvl="0">
      <w:startOverride w:val="1"/>
    </w:lvlOverride>
  </w:num>
  <w:num w:numId="23">
    <w:abstractNumId w:val="25"/>
  </w:num>
  <w:num w:numId="24">
    <w:abstractNumId w:val="13"/>
  </w:num>
  <w:num w:numId="25">
    <w:abstractNumId w:val="5"/>
  </w:num>
  <w:num w:numId="26">
    <w:abstractNumId w:val="32"/>
  </w:num>
  <w:num w:numId="27">
    <w:abstractNumId w:val="7"/>
  </w:num>
  <w:num w:numId="28">
    <w:abstractNumId w:val="14"/>
  </w:num>
  <w:num w:numId="29">
    <w:abstractNumId w:val="12"/>
  </w:num>
  <w:num w:numId="30">
    <w:abstractNumId w:val="2"/>
  </w:num>
  <w:num w:numId="31">
    <w:abstractNumId w:val="31"/>
  </w:num>
  <w:num w:numId="32">
    <w:abstractNumId w:val="26"/>
  </w:num>
  <w:num w:numId="33">
    <w:abstractNumId w:val="37"/>
  </w:num>
  <w:num w:numId="34">
    <w:abstractNumId w:val="35"/>
  </w:num>
  <w:num w:numId="35">
    <w:abstractNumId w:val="40"/>
  </w:num>
  <w:num w:numId="36">
    <w:abstractNumId w:val="43"/>
  </w:num>
  <w:num w:numId="37">
    <w:abstractNumId w:val="6"/>
  </w:num>
  <w:num w:numId="38">
    <w:abstractNumId w:val="22"/>
  </w:num>
  <w:num w:numId="39">
    <w:abstractNumId w:val="41"/>
  </w:num>
  <w:num w:numId="40">
    <w:abstractNumId w:val="15"/>
  </w:num>
  <w:num w:numId="41">
    <w:abstractNumId w:val="30"/>
  </w:num>
  <w:num w:numId="42">
    <w:abstractNumId w:val="34"/>
  </w:num>
  <w:num w:numId="43">
    <w:abstractNumId w:val="27"/>
  </w:num>
  <w:num w:numId="44">
    <w:abstractNumId w:val="1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B"/>
    <w:rsid w:val="00015DE4"/>
    <w:rsid w:val="000205D3"/>
    <w:rsid w:val="00046811"/>
    <w:rsid w:val="000558DE"/>
    <w:rsid w:val="000669DA"/>
    <w:rsid w:val="00067465"/>
    <w:rsid w:val="00074B62"/>
    <w:rsid w:val="000D1C23"/>
    <w:rsid w:val="000F30C4"/>
    <w:rsid w:val="00105FDB"/>
    <w:rsid w:val="00107322"/>
    <w:rsid w:val="00107ED0"/>
    <w:rsid w:val="00120B84"/>
    <w:rsid w:val="001427DA"/>
    <w:rsid w:val="001611AF"/>
    <w:rsid w:val="00186022"/>
    <w:rsid w:val="00196FAF"/>
    <w:rsid w:val="001B0C4B"/>
    <w:rsid w:val="001B1F9D"/>
    <w:rsid w:val="001B223E"/>
    <w:rsid w:val="001C1FE9"/>
    <w:rsid w:val="001D13D4"/>
    <w:rsid w:val="001D275B"/>
    <w:rsid w:val="001D4A24"/>
    <w:rsid w:val="001D69E0"/>
    <w:rsid w:val="001E2E74"/>
    <w:rsid w:val="001E6744"/>
    <w:rsid w:val="00202211"/>
    <w:rsid w:val="002238DC"/>
    <w:rsid w:val="0027500A"/>
    <w:rsid w:val="002914D9"/>
    <w:rsid w:val="002A21CA"/>
    <w:rsid w:val="002A7713"/>
    <w:rsid w:val="002B3051"/>
    <w:rsid w:val="002C5AE2"/>
    <w:rsid w:val="002D03C8"/>
    <w:rsid w:val="002F13F7"/>
    <w:rsid w:val="003049A8"/>
    <w:rsid w:val="003068B9"/>
    <w:rsid w:val="00310B0B"/>
    <w:rsid w:val="00320402"/>
    <w:rsid w:val="00345B58"/>
    <w:rsid w:val="00345F62"/>
    <w:rsid w:val="00372466"/>
    <w:rsid w:val="003815A7"/>
    <w:rsid w:val="00384D46"/>
    <w:rsid w:val="003877B6"/>
    <w:rsid w:val="003A16E6"/>
    <w:rsid w:val="003B428F"/>
    <w:rsid w:val="003B4D00"/>
    <w:rsid w:val="003E0AEA"/>
    <w:rsid w:val="003E1285"/>
    <w:rsid w:val="003F051A"/>
    <w:rsid w:val="003F60EC"/>
    <w:rsid w:val="00403BBF"/>
    <w:rsid w:val="00424799"/>
    <w:rsid w:val="0045427A"/>
    <w:rsid w:val="00456E4C"/>
    <w:rsid w:val="00457498"/>
    <w:rsid w:val="00472136"/>
    <w:rsid w:val="004819DD"/>
    <w:rsid w:val="004913EE"/>
    <w:rsid w:val="004B0801"/>
    <w:rsid w:val="004B7566"/>
    <w:rsid w:val="004D5087"/>
    <w:rsid w:val="004D569C"/>
    <w:rsid w:val="004E4A50"/>
    <w:rsid w:val="004F27D6"/>
    <w:rsid w:val="004F6CC3"/>
    <w:rsid w:val="00510C89"/>
    <w:rsid w:val="005118FD"/>
    <w:rsid w:val="00513AE4"/>
    <w:rsid w:val="005346AE"/>
    <w:rsid w:val="005429C5"/>
    <w:rsid w:val="005522F0"/>
    <w:rsid w:val="00562C7C"/>
    <w:rsid w:val="005654ED"/>
    <w:rsid w:val="00580808"/>
    <w:rsid w:val="005916D0"/>
    <w:rsid w:val="00594B90"/>
    <w:rsid w:val="0059610E"/>
    <w:rsid w:val="00597306"/>
    <w:rsid w:val="005B22B1"/>
    <w:rsid w:val="005B4049"/>
    <w:rsid w:val="005C229F"/>
    <w:rsid w:val="005C5F18"/>
    <w:rsid w:val="005E0062"/>
    <w:rsid w:val="005F1AFB"/>
    <w:rsid w:val="005F267F"/>
    <w:rsid w:val="005F3DC6"/>
    <w:rsid w:val="006349B5"/>
    <w:rsid w:val="00642B87"/>
    <w:rsid w:val="00643788"/>
    <w:rsid w:val="00644E67"/>
    <w:rsid w:val="00655F61"/>
    <w:rsid w:val="00661225"/>
    <w:rsid w:val="00676C3B"/>
    <w:rsid w:val="006829A2"/>
    <w:rsid w:val="00684108"/>
    <w:rsid w:val="0068465E"/>
    <w:rsid w:val="006939DB"/>
    <w:rsid w:val="00697AD9"/>
    <w:rsid w:val="006A5437"/>
    <w:rsid w:val="006D40CA"/>
    <w:rsid w:val="006D4F46"/>
    <w:rsid w:val="006F4553"/>
    <w:rsid w:val="0070166E"/>
    <w:rsid w:val="00704EF2"/>
    <w:rsid w:val="00717D84"/>
    <w:rsid w:val="007533E6"/>
    <w:rsid w:val="00755DBB"/>
    <w:rsid w:val="00764246"/>
    <w:rsid w:val="0077561B"/>
    <w:rsid w:val="00777BD3"/>
    <w:rsid w:val="007B1A98"/>
    <w:rsid w:val="007C0F10"/>
    <w:rsid w:val="007D142A"/>
    <w:rsid w:val="007F232F"/>
    <w:rsid w:val="007F3A1B"/>
    <w:rsid w:val="008004EF"/>
    <w:rsid w:val="0081030C"/>
    <w:rsid w:val="00851BED"/>
    <w:rsid w:val="00854C9E"/>
    <w:rsid w:val="00883489"/>
    <w:rsid w:val="008D1B3E"/>
    <w:rsid w:val="008E4146"/>
    <w:rsid w:val="00910641"/>
    <w:rsid w:val="0091603C"/>
    <w:rsid w:val="00934F7A"/>
    <w:rsid w:val="0094212A"/>
    <w:rsid w:val="00955443"/>
    <w:rsid w:val="00956616"/>
    <w:rsid w:val="009A4A5C"/>
    <w:rsid w:val="009B359B"/>
    <w:rsid w:val="009D3853"/>
    <w:rsid w:val="009D7B6D"/>
    <w:rsid w:val="009F5358"/>
    <w:rsid w:val="009F7A7C"/>
    <w:rsid w:val="00A04C33"/>
    <w:rsid w:val="00A101F0"/>
    <w:rsid w:val="00A12B51"/>
    <w:rsid w:val="00A1326D"/>
    <w:rsid w:val="00A162C0"/>
    <w:rsid w:val="00A16F0C"/>
    <w:rsid w:val="00A17B9E"/>
    <w:rsid w:val="00A2404D"/>
    <w:rsid w:val="00A24E98"/>
    <w:rsid w:val="00A26F78"/>
    <w:rsid w:val="00A35EA6"/>
    <w:rsid w:val="00A55D36"/>
    <w:rsid w:val="00A6022E"/>
    <w:rsid w:val="00AA3C9A"/>
    <w:rsid w:val="00AA65A3"/>
    <w:rsid w:val="00AB275A"/>
    <w:rsid w:val="00AC47CA"/>
    <w:rsid w:val="00AE0A33"/>
    <w:rsid w:val="00AE36D8"/>
    <w:rsid w:val="00B103A4"/>
    <w:rsid w:val="00B1210A"/>
    <w:rsid w:val="00B1627E"/>
    <w:rsid w:val="00B23C76"/>
    <w:rsid w:val="00B33655"/>
    <w:rsid w:val="00B50992"/>
    <w:rsid w:val="00B61E75"/>
    <w:rsid w:val="00B64627"/>
    <w:rsid w:val="00B71F68"/>
    <w:rsid w:val="00B95DAA"/>
    <w:rsid w:val="00BB0456"/>
    <w:rsid w:val="00BC0542"/>
    <w:rsid w:val="00BC76BF"/>
    <w:rsid w:val="00BD69B3"/>
    <w:rsid w:val="00BF29D8"/>
    <w:rsid w:val="00BF5451"/>
    <w:rsid w:val="00C01882"/>
    <w:rsid w:val="00C1201D"/>
    <w:rsid w:val="00C171E3"/>
    <w:rsid w:val="00C31E0B"/>
    <w:rsid w:val="00C431DA"/>
    <w:rsid w:val="00C61B61"/>
    <w:rsid w:val="00C63487"/>
    <w:rsid w:val="00C81C0D"/>
    <w:rsid w:val="00C873FE"/>
    <w:rsid w:val="00CA5013"/>
    <w:rsid w:val="00CA59B8"/>
    <w:rsid w:val="00CA5AA9"/>
    <w:rsid w:val="00CC47F7"/>
    <w:rsid w:val="00CD31BF"/>
    <w:rsid w:val="00CF0A5E"/>
    <w:rsid w:val="00CF16A6"/>
    <w:rsid w:val="00D16241"/>
    <w:rsid w:val="00D202CF"/>
    <w:rsid w:val="00D30B5C"/>
    <w:rsid w:val="00D41914"/>
    <w:rsid w:val="00D505FE"/>
    <w:rsid w:val="00D732F0"/>
    <w:rsid w:val="00D7363A"/>
    <w:rsid w:val="00D73C39"/>
    <w:rsid w:val="00D73D26"/>
    <w:rsid w:val="00D85387"/>
    <w:rsid w:val="00D91D69"/>
    <w:rsid w:val="00D92410"/>
    <w:rsid w:val="00D94279"/>
    <w:rsid w:val="00D95FA6"/>
    <w:rsid w:val="00D97DAE"/>
    <w:rsid w:val="00DA69FD"/>
    <w:rsid w:val="00DB5586"/>
    <w:rsid w:val="00DE238C"/>
    <w:rsid w:val="00DE7754"/>
    <w:rsid w:val="00DF3371"/>
    <w:rsid w:val="00E125BE"/>
    <w:rsid w:val="00E32E7F"/>
    <w:rsid w:val="00E455F9"/>
    <w:rsid w:val="00E457F8"/>
    <w:rsid w:val="00E62C29"/>
    <w:rsid w:val="00E753E6"/>
    <w:rsid w:val="00E822CC"/>
    <w:rsid w:val="00E930A7"/>
    <w:rsid w:val="00EA721B"/>
    <w:rsid w:val="00EA7688"/>
    <w:rsid w:val="00EB0B7D"/>
    <w:rsid w:val="00EC28EF"/>
    <w:rsid w:val="00EC5C10"/>
    <w:rsid w:val="00ED0104"/>
    <w:rsid w:val="00ED649C"/>
    <w:rsid w:val="00EE392C"/>
    <w:rsid w:val="00EE3F94"/>
    <w:rsid w:val="00EE6A9E"/>
    <w:rsid w:val="00F339E9"/>
    <w:rsid w:val="00F365ED"/>
    <w:rsid w:val="00F4001E"/>
    <w:rsid w:val="00F66639"/>
    <w:rsid w:val="00F74A47"/>
    <w:rsid w:val="00F80081"/>
    <w:rsid w:val="00F826AE"/>
    <w:rsid w:val="00F84256"/>
    <w:rsid w:val="00F875CF"/>
    <w:rsid w:val="00F926C7"/>
    <w:rsid w:val="00F966DE"/>
    <w:rsid w:val="00FA0B4A"/>
    <w:rsid w:val="00FA2B20"/>
    <w:rsid w:val="00FC31F5"/>
    <w:rsid w:val="00FC4FEB"/>
    <w:rsid w:val="00FC672F"/>
    <w:rsid w:val="00FD1787"/>
    <w:rsid w:val="00FF2715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746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CF16A6"/>
    <w:rPr>
      <w:color w:val="954F72" w:themeColor="followedHyperlink"/>
      <w:u w:val="single"/>
    </w:rPr>
  </w:style>
  <w:style w:type="paragraph" w:customStyle="1" w:styleId="sti-art">
    <w:name w:val="sti-art"/>
    <w:basedOn w:val="Navaden"/>
    <w:rsid w:val="00B1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B1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-art">
    <w:name w:val="ti-art"/>
    <w:basedOn w:val="Navaden"/>
    <w:rsid w:val="00B1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italic">
    <w:name w:val="italic"/>
    <w:rsid w:val="00B1210A"/>
  </w:style>
  <w:style w:type="paragraph" w:customStyle="1" w:styleId="normal1">
    <w:name w:val="normal1"/>
    <w:basedOn w:val="Navaden"/>
    <w:rsid w:val="005429C5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1">
    <w:name w:val="sti-art1"/>
    <w:basedOn w:val="Navaden"/>
    <w:rsid w:val="005429C5"/>
    <w:pPr>
      <w:spacing w:before="6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ti-art1">
    <w:name w:val="ti-art1"/>
    <w:basedOn w:val="Navaden"/>
    <w:rsid w:val="005429C5"/>
    <w:pPr>
      <w:spacing w:before="360" w:after="120" w:line="312" w:lineRule="atLeast"/>
      <w:jc w:val="center"/>
    </w:pPr>
    <w:rPr>
      <w:rFonts w:ascii="Times New Roman" w:eastAsia="Times New Roman" w:hAnsi="Times New Roman"/>
      <w:i/>
      <w:iCs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746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CF16A6"/>
    <w:rPr>
      <w:color w:val="954F72" w:themeColor="followedHyperlink"/>
      <w:u w:val="single"/>
    </w:rPr>
  </w:style>
  <w:style w:type="paragraph" w:customStyle="1" w:styleId="sti-art">
    <w:name w:val="sti-art"/>
    <w:basedOn w:val="Navaden"/>
    <w:rsid w:val="00B1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B1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-art">
    <w:name w:val="ti-art"/>
    <w:basedOn w:val="Navaden"/>
    <w:rsid w:val="00B1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italic">
    <w:name w:val="italic"/>
    <w:rsid w:val="00B1210A"/>
  </w:style>
  <w:style w:type="paragraph" w:customStyle="1" w:styleId="normal1">
    <w:name w:val="normal1"/>
    <w:basedOn w:val="Navaden"/>
    <w:rsid w:val="005429C5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1">
    <w:name w:val="sti-art1"/>
    <w:basedOn w:val="Navaden"/>
    <w:rsid w:val="005429C5"/>
    <w:pPr>
      <w:spacing w:before="6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ti-art1">
    <w:name w:val="ti-art1"/>
    <w:basedOn w:val="Navaden"/>
    <w:rsid w:val="005429C5"/>
    <w:pPr>
      <w:spacing w:before="360" w:after="120" w:line="312" w:lineRule="atLeast"/>
      <w:jc w:val="center"/>
    </w:pPr>
    <w:rPr>
      <w:rFonts w:ascii="Times New Roman" w:eastAsia="Times New Roman" w:hAnsi="Times New Roman"/>
      <w:i/>
      <w:i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42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7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76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5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2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6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45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1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legal-content/EN/TXT/?uri=CELEX:32017D1545" TargetMode="External"/><Relationship Id="rId1" Type="http://schemas.openxmlformats.org/officeDocument/2006/relationships/hyperlink" Target="http://eur-lex.europa.eu/legal-content/EN/TXT/?uri=OJ:L:2014:132:TO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2064A02E</Template>
  <TotalTime>40</TotalTime>
  <Pages>10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SVZ</Company>
  <LinksUpToDate>false</LinksUpToDate>
  <CharactersWithSpaces>18359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Urška Zupanec</dc:creator>
  <cp:lastModifiedBy>Katarina Culiberg</cp:lastModifiedBy>
  <cp:revision>39</cp:revision>
  <cp:lastPrinted>2018-09-26T07:09:00Z</cp:lastPrinted>
  <dcterms:created xsi:type="dcterms:W3CDTF">2018-12-10T08:10:00Z</dcterms:created>
  <dcterms:modified xsi:type="dcterms:W3CDTF">2018-12-10T11:11:00Z</dcterms:modified>
</cp:coreProperties>
</file>