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E0990" w14:textId="77777777" w:rsidR="00E453D0" w:rsidRPr="00D462AF" w:rsidRDefault="00291179" w:rsidP="000E138A">
      <w:pPr>
        <w:spacing w:before="40"/>
        <w:ind w:right="-3"/>
        <w:rPr>
          <w:rFonts w:ascii="Arial" w:hAnsi="Arial" w:cs="Arial"/>
          <w:sz w:val="20"/>
          <w:szCs w:val="20"/>
        </w:rPr>
      </w:pPr>
      <w:r w:rsidRPr="00D462AF">
        <w:rPr>
          <w:rFonts w:ascii="Arial" w:hAnsi="Arial" w:cs="Arial"/>
          <w:noProof/>
          <w:color w:val="000000"/>
          <w:sz w:val="20"/>
          <w:szCs w:val="20"/>
          <w:lang w:eastAsia="sl-SI"/>
        </w:rPr>
        <w:drawing>
          <wp:anchor distT="0" distB="0" distL="114300" distR="114300" simplePos="0" relativeHeight="251657216" behindDoc="0" locked="0" layoutInCell="1" allowOverlap="1" wp14:anchorId="6A4FBB11" wp14:editId="15873443">
            <wp:simplePos x="0" y="0"/>
            <wp:positionH relativeFrom="column">
              <wp:posOffset>-599440</wp:posOffset>
            </wp:positionH>
            <wp:positionV relativeFrom="paragraph">
              <wp:posOffset>1905</wp:posOffset>
            </wp:positionV>
            <wp:extent cx="3121660" cy="376555"/>
            <wp:effectExtent l="0" t="0" r="2540" b="4445"/>
            <wp:wrapNone/>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anchor>
        </w:drawing>
      </w:r>
    </w:p>
    <w:p w14:paraId="65B19EB2" w14:textId="77777777" w:rsidR="000E138A" w:rsidRPr="00D462AF" w:rsidRDefault="000E138A" w:rsidP="000E138A">
      <w:pPr>
        <w:spacing w:before="40"/>
        <w:ind w:right="-3"/>
        <w:rPr>
          <w:rFonts w:ascii="Arial" w:hAnsi="Arial" w:cs="Arial"/>
          <w:sz w:val="20"/>
          <w:szCs w:val="20"/>
        </w:rPr>
      </w:pPr>
    </w:p>
    <w:p w14:paraId="6A21F425" w14:textId="77777777" w:rsidR="000E138A" w:rsidRPr="00D462AF" w:rsidRDefault="000E138A" w:rsidP="000E138A">
      <w:pPr>
        <w:spacing w:before="60"/>
        <w:ind w:right="-3"/>
        <w:rPr>
          <w:rFonts w:ascii="Arial" w:hAnsi="Arial" w:cs="Arial"/>
          <w:sz w:val="20"/>
          <w:szCs w:val="20"/>
        </w:rPr>
      </w:pPr>
    </w:p>
    <w:p w14:paraId="33A01558" w14:textId="77777777" w:rsidR="000E138A" w:rsidRPr="00D462AF" w:rsidRDefault="00487EAD" w:rsidP="000E138A">
      <w:pPr>
        <w:spacing w:before="60"/>
        <w:ind w:right="-3"/>
        <w:rPr>
          <w:rFonts w:ascii="Arial" w:hAnsi="Arial" w:cs="Arial"/>
          <w:sz w:val="20"/>
          <w:szCs w:val="20"/>
        </w:rPr>
      </w:pPr>
      <w:r>
        <w:rPr>
          <w:rFonts w:ascii="Arial" w:hAnsi="Arial" w:cs="Arial"/>
          <w:noProof/>
          <w:sz w:val="20"/>
          <w:szCs w:val="20"/>
          <w:lang w:eastAsia="sl-SI"/>
        </w:rPr>
        <mc:AlternateContent>
          <mc:Choice Requires="wps">
            <w:drawing>
              <wp:anchor distT="0" distB="0" distL="114300" distR="114300" simplePos="0" relativeHeight="251658240" behindDoc="1" locked="0" layoutInCell="1" allowOverlap="1" wp14:anchorId="181576B7" wp14:editId="0A7815DD">
                <wp:simplePos x="0" y="0"/>
                <wp:positionH relativeFrom="column">
                  <wp:posOffset>1404620</wp:posOffset>
                </wp:positionH>
                <wp:positionV relativeFrom="paragraph">
                  <wp:posOffset>9076055</wp:posOffset>
                </wp:positionV>
                <wp:extent cx="4791075" cy="580390"/>
                <wp:effectExtent l="0" t="0" r="9525"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D0A5AC" w14:textId="77777777" w:rsidR="00711E04" w:rsidRPr="00D61ACE" w:rsidRDefault="00711E04" w:rsidP="000E138A">
                            <w:pPr>
                              <w:rPr>
                                <w:color w:val="000000"/>
                                <w:spacing w:val="-2"/>
                                <w:sz w:val="16"/>
                                <w:szCs w:val="16"/>
                                <w:lang w:eastAsia="sl-S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10.6pt;margin-top:714.65pt;width:377.25pt;height:4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" stroked="f">
                <v:textbox inset="0,0,0,0">
                  <w:txbxContent>
                    <w:p w14:paraId="29D0A5AC" w14:textId="77777777" w:rsidR="00711E04" w:rsidRPr="00D61ACE" w:rsidRDefault="00711E04" w:rsidP="000E138A">
                      <w:pPr>
                        <w:rPr>
                          <w:color w:val="000000"/>
                          <w:spacing w:val="-2"/>
                          <w:sz w:val="16"/>
                          <w:szCs w:val="16"/>
                          <w:lang w:eastAsia="sl-SI"/>
                        </w:rPr>
                      </w:pPr>
                    </w:p>
                  </w:txbxContent>
                </v:textbox>
              </v:shape>
            </w:pict>
          </mc:Fallback>
        </mc:AlternateContent>
      </w:r>
    </w:p>
    <w:p w14:paraId="1F5FAC02" w14:textId="77777777" w:rsidR="000E138A" w:rsidRPr="00D462AF" w:rsidRDefault="000E138A" w:rsidP="000E138A">
      <w:pPr>
        <w:pStyle w:val="Glava"/>
        <w:tabs>
          <w:tab w:val="clear" w:pos="4320"/>
          <w:tab w:val="clear" w:pos="8640"/>
          <w:tab w:val="left" w:pos="5112"/>
        </w:tabs>
        <w:spacing w:before="120" w:line="240" w:lineRule="exact"/>
        <w:rPr>
          <w:rFonts w:cs="Arial"/>
          <w:szCs w:val="20"/>
          <w:lang w:val="sl-SI"/>
        </w:rPr>
      </w:pPr>
      <w:r w:rsidRPr="00D462AF">
        <w:rPr>
          <w:rFonts w:cs="Arial"/>
          <w:szCs w:val="20"/>
          <w:lang w:val="sl-SI"/>
        </w:rPr>
        <w:t>Langusova ulica 4, 1535 Ljubljana</w:t>
      </w:r>
      <w:r w:rsidRPr="00D462AF">
        <w:rPr>
          <w:rFonts w:cs="Arial"/>
          <w:szCs w:val="20"/>
          <w:lang w:val="sl-SI"/>
        </w:rPr>
        <w:tab/>
        <w:t>T: 01 478 80 00</w:t>
      </w:r>
    </w:p>
    <w:p w14:paraId="345696CE" w14:textId="1CF47A6A" w:rsidR="000E138A" w:rsidRPr="00D462AF" w:rsidRDefault="000E138A" w:rsidP="000E138A">
      <w:pPr>
        <w:pStyle w:val="Glava"/>
        <w:tabs>
          <w:tab w:val="clear" w:pos="4320"/>
          <w:tab w:val="clear" w:pos="8640"/>
          <w:tab w:val="left" w:pos="5112"/>
        </w:tabs>
        <w:spacing w:line="240" w:lineRule="exact"/>
        <w:rPr>
          <w:rFonts w:cs="Arial"/>
          <w:szCs w:val="20"/>
          <w:lang w:val="sl-SI"/>
        </w:rPr>
      </w:pPr>
      <w:r w:rsidRPr="00D462AF">
        <w:rPr>
          <w:rFonts w:cs="Arial"/>
          <w:szCs w:val="20"/>
          <w:lang w:val="sl-SI"/>
        </w:rPr>
        <w:tab/>
        <w:t xml:space="preserve">F: 01 478 81 </w:t>
      </w:r>
      <w:r w:rsidR="00625BAD">
        <w:rPr>
          <w:rFonts w:cs="Arial"/>
          <w:szCs w:val="20"/>
          <w:lang w:val="sl-SI"/>
        </w:rPr>
        <w:t>70</w:t>
      </w:r>
      <w:r w:rsidRPr="00D462AF">
        <w:rPr>
          <w:rFonts w:cs="Arial"/>
          <w:szCs w:val="20"/>
          <w:lang w:val="sl-SI"/>
        </w:rPr>
        <w:t xml:space="preserve"> </w:t>
      </w:r>
    </w:p>
    <w:p w14:paraId="78E41AA6" w14:textId="77777777" w:rsidR="000E138A" w:rsidRPr="00D462AF" w:rsidRDefault="000E138A" w:rsidP="000E138A">
      <w:pPr>
        <w:pStyle w:val="Glava"/>
        <w:tabs>
          <w:tab w:val="clear" w:pos="4320"/>
          <w:tab w:val="clear" w:pos="8640"/>
          <w:tab w:val="left" w:pos="5112"/>
        </w:tabs>
        <w:spacing w:line="240" w:lineRule="exact"/>
        <w:rPr>
          <w:rFonts w:cs="Arial"/>
          <w:szCs w:val="20"/>
          <w:lang w:val="sl-SI"/>
        </w:rPr>
      </w:pPr>
      <w:r w:rsidRPr="00D462AF">
        <w:rPr>
          <w:rFonts w:cs="Arial"/>
          <w:szCs w:val="20"/>
          <w:lang w:val="sl-SI"/>
        </w:rPr>
        <w:tab/>
        <w:t>E: gp.mz</w:t>
      </w:r>
      <w:r w:rsidR="001F3974" w:rsidRPr="00D462AF">
        <w:rPr>
          <w:rFonts w:cs="Arial"/>
          <w:szCs w:val="20"/>
          <w:lang w:val="sl-SI"/>
        </w:rPr>
        <w:t>i</w:t>
      </w:r>
      <w:r w:rsidRPr="00D462AF">
        <w:rPr>
          <w:rFonts w:cs="Arial"/>
          <w:szCs w:val="20"/>
          <w:lang w:val="sl-SI"/>
        </w:rPr>
        <w:t>@gov.si</w:t>
      </w:r>
    </w:p>
    <w:p w14:paraId="61DF4CE3" w14:textId="77777777" w:rsidR="000E138A" w:rsidRPr="00D462AF" w:rsidRDefault="000E138A" w:rsidP="000E138A">
      <w:pPr>
        <w:pStyle w:val="Glava"/>
        <w:tabs>
          <w:tab w:val="clear" w:pos="4320"/>
          <w:tab w:val="clear" w:pos="8640"/>
          <w:tab w:val="left" w:pos="5112"/>
        </w:tabs>
        <w:spacing w:line="240" w:lineRule="exact"/>
        <w:rPr>
          <w:rFonts w:cs="Arial"/>
          <w:szCs w:val="20"/>
          <w:lang w:val="sl-SI"/>
        </w:rPr>
      </w:pPr>
      <w:r w:rsidRPr="00D462AF">
        <w:rPr>
          <w:rFonts w:cs="Arial"/>
          <w:szCs w:val="20"/>
          <w:lang w:val="sl-SI"/>
        </w:rPr>
        <w:tab/>
        <w:t>www.mz</w:t>
      </w:r>
      <w:r w:rsidR="001F3974" w:rsidRPr="00D462AF">
        <w:rPr>
          <w:rFonts w:cs="Arial"/>
          <w:szCs w:val="20"/>
          <w:lang w:val="sl-SI"/>
        </w:rPr>
        <w:t>i</w:t>
      </w:r>
      <w:r w:rsidRPr="00D462AF">
        <w:rPr>
          <w:rFonts w:cs="Arial"/>
          <w:szCs w:val="20"/>
          <w:lang w:val="sl-SI"/>
        </w:rPr>
        <w:t>.gov.si</w:t>
      </w:r>
    </w:p>
    <w:p w14:paraId="4E958099" w14:textId="77777777" w:rsidR="000E138A" w:rsidRPr="00D462AF" w:rsidRDefault="000E138A" w:rsidP="00D462AF">
      <w:pPr>
        <w:pStyle w:val="Glava"/>
        <w:tabs>
          <w:tab w:val="clear" w:pos="4320"/>
          <w:tab w:val="clear" w:pos="8640"/>
          <w:tab w:val="left" w:pos="5112"/>
        </w:tabs>
        <w:rPr>
          <w:rFonts w:cs="Arial"/>
          <w:szCs w:val="20"/>
          <w:lang w:val="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6"/>
        <w:gridCol w:w="5058"/>
        <w:gridCol w:w="872"/>
        <w:gridCol w:w="2219"/>
      </w:tblGrid>
      <w:tr w:rsidR="00F02B4B" w:rsidRPr="00D462AF" w14:paraId="59C9E8EE" w14:textId="77777777" w:rsidTr="003F712A">
        <w:trPr>
          <w:gridAfter w:val="2"/>
          <w:wAfter w:w="3067" w:type="dxa"/>
        </w:trPr>
        <w:tc>
          <w:tcPr>
            <w:tcW w:w="6096" w:type="dxa"/>
            <w:gridSpan w:val="2"/>
          </w:tcPr>
          <w:p w14:paraId="58734925" w14:textId="6A45D867" w:rsidR="00F02B4B" w:rsidRPr="00A56B63" w:rsidRDefault="00F02B4B" w:rsidP="00D97ACF">
            <w:pPr>
              <w:pStyle w:val="Neotevilenodstavek"/>
              <w:spacing w:before="40" w:afterLines="40" w:after="96" w:line="260" w:lineRule="atLeast"/>
              <w:jc w:val="left"/>
              <w:rPr>
                <w:sz w:val="20"/>
                <w:szCs w:val="20"/>
                <w:highlight w:val="yellow"/>
              </w:rPr>
            </w:pPr>
            <w:r w:rsidRPr="00027E19">
              <w:rPr>
                <w:sz w:val="20"/>
                <w:szCs w:val="20"/>
              </w:rPr>
              <w:t xml:space="preserve">Številka: </w:t>
            </w:r>
            <w:r w:rsidR="00027E19" w:rsidRPr="005A6271">
              <w:rPr>
                <w:bCs/>
                <w:sz w:val="20"/>
                <w:szCs w:val="20"/>
              </w:rPr>
              <w:t>007-</w:t>
            </w:r>
            <w:r w:rsidR="00D97ACF">
              <w:rPr>
                <w:bCs/>
                <w:sz w:val="20"/>
                <w:szCs w:val="20"/>
              </w:rPr>
              <w:t>201</w:t>
            </w:r>
            <w:r w:rsidR="00027E19" w:rsidRPr="005A6271">
              <w:rPr>
                <w:bCs/>
                <w:sz w:val="20"/>
                <w:szCs w:val="20"/>
              </w:rPr>
              <w:t>/</w:t>
            </w:r>
            <w:r w:rsidR="00D97ACF" w:rsidRPr="005A6271">
              <w:rPr>
                <w:bCs/>
                <w:sz w:val="20"/>
                <w:szCs w:val="20"/>
              </w:rPr>
              <w:t>201</w:t>
            </w:r>
            <w:r w:rsidR="00D97ACF">
              <w:rPr>
                <w:bCs/>
                <w:sz w:val="20"/>
                <w:szCs w:val="20"/>
              </w:rPr>
              <w:t>8</w:t>
            </w:r>
            <w:r w:rsidR="00B609C0" w:rsidRPr="005A6271">
              <w:rPr>
                <w:bCs/>
                <w:sz w:val="20"/>
                <w:szCs w:val="20"/>
              </w:rPr>
              <w:t>/</w:t>
            </w:r>
            <w:r w:rsidR="00937CD1">
              <w:rPr>
                <w:bCs/>
                <w:sz w:val="20"/>
                <w:szCs w:val="20"/>
              </w:rPr>
              <w:t>16</w:t>
            </w:r>
            <w:r w:rsidR="00C477EA">
              <w:rPr>
                <w:bCs/>
                <w:sz w:val="20"/>
                <w:szCs w:val="20"/>
              </w:rPr>
              <w:t xml:space="preserve"> </w:t>
            </w:r>
            <w:r w:rsidR="00824290">
              <w:rPr>
                <w:bCs/>
                <w:sz w:val="20"/>
                <w:szCs w:val="20"/>
              </w:rPr>
              <w:t xml:space="preserve">  </w:t>
            </w:r>
            <w:r w:rsidR="00C477EA">
              <w:rPr>
                <w:bCs/>
                <w:sz w:val="20"/>
                <w:szCs w:val="20"/>
              </w:rPr>
              <w:t>02511817</w:t>
            </w:r>
          </w:p>
        </w:tc>
      </w:tr>
      <w:tr w:rsidR="00F02B4B" w:rsidRPr="00D462AF" w14:paraId="5A19355F" w14:textId="77777777" w:rsidTr="003F712A">
        <w:trPr>
          <w:gridAfter w:val="2"/>
          <w:wAfter w:w="3067" w:type="dxa"/>
        </w:trPr>
        <w:tc>
          <w:tcPr>
            <w:tcW w:w="6096" w:type="dxa"/>
            <w:gridSpan w:val="2"/>
          </w:tcPr>
          <w:p w14:paraId="31F9E028" w14:textId="0D8A65BA" w:rsidR="00F02B4B" w:rsidRPr="00A56B63" w:rsidRDefault="00F02B4B" w:rsidP="003365D2">
            <w:pPr>
              <w:pStyle w:val="Neotevilenodstavek"/>
              <w:spacing w:before="40" w:afterLines="40" w:after="96" w:line="260" w:lineRule="atLeast"/>
              <w:jc w:val="left"/>
              <w:rPr>
                <w:sz w:val="20"/>
                <w:szCs w:val="20"/>
                <w:highlight w:val="yellow"/>
              </w:rPr>
            </w:pPr>
            <w:r w:rsidRPr="00E12291">
              <w:rPr>
                <w:sz w:val="20"/>
                <w:szCs w:val="20"/>
              </w:rPr>
              <w:t>Ljubljana,</w:t>
            </w:r>
            <w:r w:rsidR="004A5FAA" w:rsidRPr="00E12291">
              <w:rPr>
                <w:sz w:val="20"/>
                <w:szCs w:val="20"/>
              </w:rPr>
              <w:t xml:space="preserve"> </w:t>
            </w:r>
            <w:r w:rsidR="00C477EA">
              <w:rPr>
                <w:sz w:val="20"/>
                <w:szCs w:val="20"/>
              </w:rPr>
              <w:t>24</w:t>
            </w:r>
            <w:r w:rsidR="00CA6E16" w:rsidRPr="00E12291">
              <w:rPr>
                <w:sz w:val="20"/>
                <w:szCs w:val="20"/>
              </w:rPr>
              <w:t>.</w:t>
            </w:r>
            <w:r w:rsidR="005C52BE">
              <w:rPr>
                <w:sz w:val="20"/>
                <w:szCs w:val="20"/>
              </w:rPr>
              <w:t xml:space="preserve"> </w:t>
            </w:r>
            <w:r w:rsidR="003365D2">
              <w:rPr>
                <w:sz w:val="20"/>
                <w:szCs w:val="20"/>
              </w:rPr>
              <w:t>5</w:t>
            </w:r>
            <w:r w:rsidR="00CA6E16" w:rsidRPr="00E12291">
              <w:rPr>
                <w:sz w:val="20"/>
                <w:szCs w:val="20"/>
              </w:rPr>
              <w:t>.</w:t>
            </w:r>
            <w:r w:rsidRPr="00E12291">
              <w:rPr>
                <w:sz w:val="20"/>
                <w:szCs w:val="20"/>
              </w:rPr>
              <w:t xml:space="preserve"> </w:t>
            </w:r>
            <w:r w:rsidR="00145500" w:rsidRPr="00E12291">
              <w:rPr>
                <w:sz w:val="20"/>
                <w:szCs w:val="20"/>
              </w:rPr>
              <w:t>201</w:t>
            </w:r>
            <w:r w:rsidR="00145500">
              <w:rPr>
                <w:sz w:val="20"/>
                <w:szCs w:val="20"/>
              </w:rPr>
              <w:t>9</w:t>
            </w:r>
          </w:p>
        </w:tc>
      </w:tr>
      <w:tr w:rsidR="00F02B4B" w:rsidRPr="00D462AF" w14:paraId="612066D6" w14:textId="77777777" w:rsidTr="003F712A">
        <w:trPr>
          <w:gridAfter w:val="2"/>
          <w:wAfter w:w="3067" w:type="dxa"/>
        </w:trPr>
        <w:tc>
          <w:tcPr>
            <w:tcW w:w="6096" w:type="dxa"/>
            <w:gridSpan w:val="2"/>
          </w:tcPr>
          <w:p w14:paraId="14216B5C" w14:textId="77777777" w:rsidR="00F02B4B" w:rsidRPr="00D462AF" w:rsidRDefault="00F02B4B" w:rsidP="00487EAD">
            <w:pPr>
              <w:pStyle w:val="Neotevilenodstavek"/>
              <w:spacing w:before="40" w:afterLines="40" w:after="96" w:line="260" w:lineRule="atLeast"/>
              <w:jc w:val="left"/>
              <w:rPr>
                <w:sz w:val="20"/>
                <w:szCs w:val="20"/>
              </w:rPr>
            </w:pPr>
          </w:p>
        </w:tc>
      </w:tr>
      <w:tr w:rsidR="00F02B4B" w:rsidRPr="00D462AF" w14:paraId="078A2BEA" w14:textId="77777777" w:rsidTr="003F712A">
        <w:trPr>
          <w:gridAfter w:val="2"/>
          <w:wAfter w:w="3067" w:type="dxa"/>
        </w:trPr>
        <w:tc>
          <w:tcPr>
            <w:tcW w:w="6096" w:type="dxa"/>
            <w:gridSpan w:val="2"/>
          </w:tcPr>
          <w:p w14:paraId="33160559" w14:textId="77777777" w:rsidR="00F02B4B" w:rsidRPr="00D462AF" w:rsidRDefault="00F02B4B" w:rsidP="00487EAD">
            <w:pPr>
              <w:spacing w:before="40" w:afterLines="40" w:after="96" w:line="260" w:lineRule="atLeast"/>
              <w:rPr>
                <w:rFonts w:ascii="Arial" w:hAnsi="Arial" w:cs="Arial"/>
                <w:sz w:val="20"/>
                <w:szCs w:val="20"/>
              </w:rPr>
            </w:pPr>
          </w:p>
          <w:p w14:paraId="6ED7E67E" w14:textId="77777777" w:rsidR="00F02B4B" w:rsidRPr="00D462AF" w:rsidRDefault="00F02B4B">
            <w:pPr>
              <w:spacing w:before="40" w:afterLines="40" w:after="96" w:line="260" w:lineRule="atLeast"/>
              <w:rPr>
                <w:rFonts w:ascii="Arial" w:hAnsi="Arial" w:cs="Arial"/>
                <w:sz w:val="20"/>
                <w:szCs w:val="20"/>
              </w:rPr>
            </w:pPr>
            <w:r w:rsidRPr="00D462AF">
              <w:rPr>
                <w:rFonts w:ascii="Arial" w:hAnsi="Arial" w:cs="Arial"/>
                <w:sz w:val="20"/>
                <w:szCs w:val="20"/>
              </w:rPr>
              <w:t>GENERALNI SEKRETARIAT VLADE REPUBLIKE SLOVENIJE</w:t>
            </w:r>
          </w:p>
          <w:p w14:paraId="6BB274B2" w14:textId="77777777" w:rsidR="00F02B4B" w:rsidRPr="00D462AF" w:rsidRDefault="00626A4C">
            <w:pPr>
              <w:spacing w:before="40" w:afterLines="40" w:after="96" w:line="260" w:lineRule="atLeast"/>
              <w:rPr>
                <w:rFonts w:ascii="Arial" w:hAnsi="Arial" w:cs="Arial"/>
                <w:sz w:val="20"/>
                <w:szCs w:val="20"/>
              </w:rPr>
            </w:pPr>
            <w:hyperlink r:id="rId10" w:history="1">
              <w:r w:rsidR="00F02B4B" w:rsidRPr="00D462AF">
                <w:rPr>
                  <w:rStyle w:val="Hiperpovezava"/>
                  <w:rFonts w:ascii="Arial" w:hAnsi="Arial" w:cs="Arial"/>
                  <w:sz w:val="20"/>
                  <w:szCs w:val="20"/>
                </w:rPr>
                <w:t>Gp.gs@gov.si</w:t>
              </w:r>
            </w:hyperlink>
          </w:p>
          <w:p w14:paraId="3833B37F" w14:textId="77777777" w:rsidR="00F02B4B" w:rsidRPr="00D462AF" w:rsidRDefault="00F02B4B">
            <w:pPr>
              <w:spacing w:before="40" w:afterLines="40" w:after="96" w:line="260" w:lineRule="atLeast"/>
              <w:rPr>
                <w:rFonts w:ascii="Arial" w:hAnsi="Arial" w:cs="Arial"/>
                <w:sz w:val="20"/>
                <w:szCs w:val="20"/>
              </w:rPr>
            </w:pPr>
          </w:p>
          <w:p w14:paraId="3279D918" w14:textId="77777777" w:rsidR="00F02B4B" w:rsidRPr="00D462AF" w:rsidRDefault="00F02B4B">
            <w:pPr>
              <w:spacing w:before="40" w:afterLines="40" w:after="96" w:line="260" w:lineRule="atLeast"/>
              <w:rPr>
                <w:rFonts w:ascii="Arial" w:hAnsi="Arial" w:cs="Arial"/>
                <w:sz w:val="20"/>
                <w:szCs w:val="20"/>
              </w:rPr>
            </w:pPr>
          </w:p>
        </w:tc>
      </w:tr>
      <w:tr w:rsidR="00F02B4B" w:rsidRPr="00D462AF" w14:paraId="136DAD80" w14:textId="77777777" w:rsidTr="003F712A">
        <w:tc>
          <w:tcPr>
            <w:tcW w:w="9163" w:type="dxa"/>
            <w:gridSpan w:val="4"/>
          </w:tcPr>
          <w:p w14:paraId="5AC35A57" w14:textId="77777777" w:rsidR="00F02B4B" w:rsidRPr="00D462AF" w:rsidRDefault="00F02B4B" w:rsidP="00057F19">
            <w:pPr>
              <w:pStyle w:val="Naslovpredpisa"/>
              <w:spacing w:before="40" w:afterLines="40" w:after="96" w:line="260" w:lineRule="atLeast"/>
              <w:jc w:val="both"/>
              <w:rPr>
                <w:sz w:val="20"/>
                <w:szCs w:val="20"/>
              </w:rPr>
            </w:pPr>
            <w:r w:rsidRPr="00D462AF">
              <w:rPr>
                <w:sz w:val="20"/>
                <w:szCs w:val="20"/>
              </w:rPr>
              <w:t xml:space="preserve">ZADEVA: </w:t>
            </w:r>
            <w:r w:rsidR="00577F8F">
              <w:rPr>
                <w:sz w:val="20"/>
                <w:szCs w:val="20"/>
              </w:rPr>
              <w:t xml:space="preserve">Akcijski program za alternativna goriva </w:t>
            </w:r>
            <w:r w:rsidR="00B609C0" w:rsidRPr="00B609C0">
              <w:rPr>
                <w:sz w:val="20"/>
                <w:szCs w:val="20"/>
              </w:rPr>
              <w:t>v promet</w:t>
            </w:r>
            <w:r w:rsidR="00057F19">
              <w:rPr>
                <w:sz w:val="20"/>
                <w:szCs w:val="20"/>
              </w:rPr>
              <w:t>u</w:t>
            </w:r>
            <w:r w:rsidR="00B609C0" w:rsidRPr="00B609C0">
              <w:rPr>
                <w:sz w:val="20"/>
                <w:szCs w:val="20"/>
              </w:rPr>
              <w:t xml:space="preserve"> </w:t>
            </w:r>
            <w:r w:rsidR="005C52BE">
              <w:rPr>
                <w:sz w:val="20"/>
                <w:szCs w:val="20"/>
              </w:rPr>
              <w:t xml:space="preserve">– </w:t>
            </w:r>
            <w:r w:rsidR="00DA7B79">
              <w:rPr>
                <w:sz w:val="20"/>
                <w:szCs w:val="20"/>
              </w:rPr>
              <w:t>predlog za obravnavo</w:t>
            </w:r>
          </w:p>
        </w:tc>
      </w:tr>
      <w:tr w:rsidR="00F02B4B" w:rsidRPr="00D462AF" w14:paraId="7E8CD448" w14:textId="77777777" w:rsidTr="003F712A">
        <w:tc>
          <w:tcPr>
            <w:tcW w:w="9163" w:type="dxa"/>
            <w:gridSpan w:val="4"/>
          </w:tcPr>
          <w:p w14:paraId="71A5BE92" w14:textId="77777777" w:rsidR="00F02B4B" w:rsidRPr="00D462AF" w:rsidRDefault="00F02B4B" w:rsidP="00487EAD">
            <w:pPr>
              <w:pStyle w:val="Poglavje"/>
              <w:spacing w:before="40" w:afterLines="40" w:after="96" w:line="260" w:lineRule="atLeast"/>
              <w:jc w:val="left"/>
              <w:rPr>
                <w:sz w:val="20"/>
                <w:szCs w:val="20"/>
              </w:rPr>
            </w:pPr>
            <w:r w:rsidRPr="00D462AF">
              <w:rPr>
                <w:sz w:val="20"/>
                <w:szCs w:val="20"/>
              </w:rPr>
              <w:t>1. Predlog sklepov vlade:</w:t>
            </w:r>
          </w:p>
        </w:tc>
      </w:tr>
      <w:tr w:rsidR="00F02B4B" w:rsidRPr="00D462AF" w14:paraId="4B83D96D" w14:textId="77777777" w:rsidTr="003F712A">
        <w:tc>
          <w:tcPr>
            <w:tcW w:w="9163" w:type="dxa"/>
            <w:gridSpan w:val="4"/>
          </w:tcPr>
          <w:p w14:paraId="1E1889E0" w14:textId="77777777" w:rsidR="003365D2" w:rsidRDefault="003365D2" w:rsidP="00B609C0">
            <w:pPr>
              <w:pStyle w:val="Neotevilenodstavek"/>
              <w:spacing w:before="40" w:afterLines="40" w:after="96" w:line="260" w:lineRule="atLeast"/>
              <w:rPr>
                <w:bCs/>
                <w:iCs/>
                <w:sz w:val="20"/>
                <w:szCs w:val="20"/>
              </w:rPr>
            </w:pPr>
          </w:p>
          <w:p w14:paraId="7BB8C810" w14:textId="61855C7D" w:rsidR="00B609C0" w:rsidRPr="00B609C0" w:rsidRDefault="00B609C0" w:rsidP="00B609C0">
            <w:pPr>
              <w:pStyle w:val="Neotevilenodstavek"/>
              <w:spacing w:before="40" w:afterLines="40" w:after="96" w:line="260" w:lineRule="atLeast"/>
              <w:rPr>
                <w:bCs/>
                <w:iCs/>
                <w:sz w:val="20"/>
                <w:szCs w:val="20"/>
              </w:rPr>
            </w:pPr>
            <w:r w:rsidRPr="00B609C0">
              <w:rPr>
                <w:bCs/>
                <w:iCs/>
                <w:sz w:val="20"/>
                <w:szCs w:val="20"/>
              </w:rPr>
              <w:t>Na podlagi 2. in 21. člena Zakona o Vladi Republike Slovenije (Uradni list RS, št. 24/05-uradno prečiščeno besedilo, 109/</w:t>
            </w:r>
            <w:r w:rsidR="00A75EDB">
              <w:rPr>
                <w:bCs/>
                <w:iCs/>
                <w:sz w:val="20"/>
                <w:szCs w:val="20"/>
              </w:rPr>
              <w:t>08, 38/10 – ZUKN, 8/12, 21/13,</w:t>
            </w:r>
            <w:r w:rsidRPr="00B609C0">
              <w:rPr>
                <w:bCs/>
                <w:iCs/>
                <w:sz w:val="20"/>
                <w:szCs w:val="20"/>
              </w:rPr>
              <w:t xml:space="preserve"> 47/13 – ZDU-1G</w:t>
            </w:r>
            <w:r w:rsidR="00A75EDB" w:rsidRPr="00D30662">
              <w:rPr>
                <w:bCs/>
                <w:iCs/>
                <w:sz w:val="20"/>
                <w:szCs w:val="20"/>
              </w:rPr>
              <w:t xml:space="preserve">, </w:t>
            </w:r>
            <w:hyperlink r:id="rId11" w:tgtFrame="_blank" w:tooltip="Zakon o spremembah in dopolnitvah Zakona o Vladi Republike Slovenije" w:history="1">
              <w:r w:rsidR="00A75EDB" w:rsidRPr="00A75EDB">
                <w:rPr>
                  <w:bCs/>
                  <w:iCs/>
                </w:rPr>
                <w:t>65/14</w:t>
              </w:r>
            </w:hyperlink>
            <w:r w:rsidR="00A75EDB" w:rsidRPr="00A75EDB">
              <w:rPr>
                <w:bCs/>
                <w:iCs/>
                <w:sz w:val="20"/>
                <w:szCs w:val="20"/>
              </w:rPr>
              <w:t xml:space="preserve"> in </w:t>
            </w:r>
            <w:hyperlink r:id="rId12" w:tgtFrame="_blank" w:tooltip="Zakon o spremembi Zakona o Vladi Republike Slovenije" w:history="1">
              <w:r w:rsidR="00A75EDB" w:rsidRPr="00A75EDB">
                <w:rPr>
                  <w:bCs/>
                  <w:iCs/>
                </w:rPr>
                <w:t>55/17</w:t>
              </w:r>
            </w:hyperlink>
            <w:r w:rsidRPr="00B609C0">
              <w:rPr>
                <w:bCs/>
                <w:iCs/>
                <w:sz w:val="20"/>
                <w:szCs w:val="20"/>
              </w:rPr>
              <w:t>)</w:t>
            </w:r>
            <w:r w:rsidR="00A75EDB">
              <w:rPr>
                <w:bCs/>
                <w:iCs/>
                <w:sz w:val="20"/>
                <w:szCs w:val="20"/>
              </w:rPr>
              <w:t xml:space="preserve"> </w:t>
            </w:r>
            <w:r w:rsidR="00A75EDB">
              <w:rPr>
                <w:bCs/>
                <w:iCs/>
                <w:sz w:val="20"/>
                <w:szCs w:val="20"/>
              </w:rPr>
              <w:t>ter v zvezi s Strategijo</w:t>
            </w:r>
            <w:r w:rsidR="00A75EDB" w:rsidRPr="00B609C0">
              <w:rPr>
                <w:bCs/>
                <w:iCs/>
                <w:sz w:val="20"/>
                <w:szCs w:val="20"/>
              </w:rPr>
              <w:t xml:space="preserve"> na področju razvoja trga za vzpostavitev ustrezne infrastrukture v zvezi z alternativnimi gorivi v prometnem sektorju v Republiki Sloveniji</w:t>
            </w:r>
            <w:r w:rsidRPr="00B609C0">
              <w:rPr>
                <w:bCs/>
                <w:iCs/>
                <w:sz w:val="20"/>
                <w:szCs w:val="20"/>
              </w:rPr>
              <w:t xml:space="preserve"> je Vlada Republike Slovenije na ............. seji  dne ............ sprejela naslednj</w:t>
            </w:r>
            <w:r w:rsidR="00A75EDB">
              <w:rPr>
                <w:bCs/>
                <w:iCs/>
                <w:sz w:val="20"/>
                <w:szCs w:val="20"/>
              </w:rPr>
              <w:t>i sklep</w:t>
            </w:r>
            <w:r w:rsidRPr="00B609C0">
              <w:rPr>
                <w:bCs/>
                <w:iCs/>
                <w:sz w:val="20"/>
                <w:szCs w:val="20"/>
              </w:rPr>
              <w:t>:</w:t>
            </w:r>
          </w:p>
          <w:p w14:paraId="7DD4A03C" w14:textId="543A1EFF" w:rsidR="00B609C0" w:rsidRDefault="00B609C0" w:rsidP="003365D2">
            <w:pPr>
              <w:pStyle w:val="Neotevilenodstavek"/>
              <w:spacing w:before="40" w:afterLines="40" w:after="96" w:line="260" w:lineRule="atLeast"/>
              <w:rPr>
                <w:bCs/>
                <w:iCs/>
                <w:sz w:val="20"/>
                <w:szCs w:val="20"/>
              </w:rPr>
            </w:pPr>
            <w:r w:rsidRPr="00B609C0">
              <w:rPr>
                <w:bCs/>
                <w:iCs/>
                <w:sz w:val="20"/>
                <w:szCs w:val="20"/>
              </w:rPr>
              <w:t>Vlada Republike Slovenije je</w:t>
            </w:r>
            <w:r w:rsidR="00577F8F">
              <w:rPr>
                <w:bCs/>
                <w:iCs/>
                <w:sz w:val="20"/>
                <w:szCs w:val="20"/>
              </w:rPr>
              <w:t xml:space="preserve"> </w:t>
            </w:r>
            <w:r w:rsidR="00577F8F" w:rsidRPr="00B609C0">
              <w:rPr>
                <w:bCs/>
                <w:iCs/>
                <w:sz w:val="20"/>
                <w:szCs w:val="20"/>
              </w:rPr>
              <w:t>sprejela</w:t>
            </w:r>
            <w:r w:rsidR="00577F8F">
              <w:rPr>
                <w:bCs/>
                <w:iCs/>
                <w:sz w:val="20"/>
                <w:szCs w:val="20"/>
              </w:rPr>
              <w:t xml:space="preserve"> Akcijski </w:t>
            </w:r>
            <w:r w:rsidR="00DC3F20">
              <w:rPr>
                <w:bCs/>
                <w:iCs/>
                <w:sz w:val="20"/>
                <w:szCs w:val="20"/>
              </w:rPr>
              <w:t xml:space="preserve">program </w:t>
            </w:r>
            <w:r w:rsidR="00577F8F">
              <w:rPr>
                <w:bCs/>
                <w:iCs/>
                <w:sz w:val="20"/>
                <w:szCs w:val="20"/>
              </w:rPr>
              <w:t>za alternativna goriva</w:t>
            </w:r>
            <w:r w:rsidR="00057F19">
              <w:rPr>
                <w:bCs/>
                <w:iCs/>
                <w:sz w:val="20"/>
                <w:szCs w:val="20"/>
              </w:rPr>
              <w:t xml:space="preserve"> v prometu</w:t>
            </w:r>
            <w:r w:rsidRPr="00B609C0">
              <w:rPr>
                <w:bCs/>
                <w:iCs/>
                <w:sz w:val="20"/>
                <w:szCs w:val="20"/>
              </w:rPr>
              <w:t>.</w:t>
            </w:r>
          </w:p>
          <w:p w14:paraId="5012BF0E" w14:textId="77777777" w:rsidR="00A75EDB" w:rsidRDefault="00A75EDB" w:rsidP="003365D2">
            <w:pPr>
              <w:pStyle w:val="Neotevilenodstavek"/>
              <w:spacing w:before="40" w:afterLines="40" w:after="96" w:line="260" w:lineRule="atLeast"/>
              <w:rPr>
                <w:bCs/>
                <w:iCs/>
                <w:sz w:val="20"/>
                <w:szCs w:val="20"/>
              </w:rPr>
            </w:pPr>
          </w:p>
          <w:p w14:paraId="015B13F0" w14:textId="499E1184" w:rsidR="003365D2" w:rsidRPr="00B609C0" w:rsidRDefault="00A75EDB" w:rsidP="003365D2">
            <w:pPr>
              <w:pStyle w:val="Neotevilenodstavek"/>
              <w:spacing w:before="40" w:afterLines="40" w:after="96" w:line="260" w:lineRule="atLeast"/>
              <w:rPr>
                <w:bCs/>
                <w:iCs/>
                <w:sz w:val="20"/>
                <w:szCs w:val="20"/>
              </w:rPr>
            </w:pPr>
            <w:r>
              <w:rPr>
                <w:bCs/>
                <w:iCs/>
                <w:sz w:val="20"/>
                <w:szCs w:val="20"/>
              </w:rPr>
              <w:t>Priloga: Akcijski program za alternativna goriva v prometu</w:t>
            </w:r>
          </w:p>
          <w:p w14:paraId="61141C33" w14:textId="77777777" w:rsidR="00B609C0" w:rsidRPr="00A75EDB" w:rsidRDefault="00B609C0" w:rsidP="00B609C0">
            <w:pPr>
              <w:widowControl w:val="0"/>
              <w:spacing w:line="240" w:lineRule="atLeast"/>
              <w:jc w:val="both"/>
              <w:rPr>
                <w:rFonts w:ascii="Arial" w:hAnsi="Arial" w:cs="Arial"/>
                <w:bCs/>
                <w:sz w:val="20"/>
                <w:szCs w:val="20"/>
              </w:rPr>
            </w:pPr>
            <w:r w:rsidRPr="00A75EDB">
              <w:rPr>
                <w:rFonts w:ascii="Arial" w:hAnsi="Arial" w:cs="Arial"/>
                <w:bCs/>
                <w:sz w:val="20"/>
                <w:szCs w:val="20"/>
              </w:rPr>
              <w:t>Sklep prejmejo:</w:t>
            </w:r>
          </w:p>
          <w:p w14:paraId="5B8ABAD9" w14:textId="77777777" w:rsidR="00B609C0" w:rsidRPr="001D3D0F" w:rsidRDefault="00B609C0" w:rsidP="00754A5D">
            <w:pPr>
              <w:widowControl w:val="0"/>
              <w:numPr>
                <w:ilvl w:val="0"/>
                <w:numId w:val="11"/>
              </w:numPr>
              <w:spacing w:line="240" w:lineRule="atLeast"/>
              <w:jc w:val="both"/>
              <w:rPr>
                <w:rFonts w:ascii="Arial" w:hAnsi="Arial" w:cs="Arial"/>
                <w:bCs/>
                <w:sz w:val="20"/>
                <w:szCs w:val="20"/>
              </w:rPr>
            </w:pPr>
            <w:r w:rsidRPr="001D3D0F">
              <w:rPr>
                <w:rFonts w:ascii="Arial" w:hAnsi="Arial" w:cs="Arial"/>
                <w:bCs/>
                <w:sz w:val="20"/>
                <w:szCs w:val="20"/>
              </w:rPr>
              <w:t>Državni zbor Republike Slovenije, Šubičeva 4, Ljubljana,</w:t>
            </w:r>
          </w:p>
          <w:p w14:paraId="742F0D5E" w14:textId="77777777" w:rsidR="00B609C0" w:rsidRPr="001D3D0F" w:rsidRDefault="00B609C0" w:rsidP="00754A5D">
            <w:pPr>
              <w:widowControl w:val="0"/>
              <w:numPr>
                <w:ilvl w:val="0"/>
                <w:numId w:val="11"/>
              </w:numPr>
              <w:spacing w:line="240" w:lineRule="atLeast"/>
              <w:jc w:val="both"/>
              <w:rPr>
                <w:rFonts w:ascii="Arial" w:hAnsi="Arial" w:cs="Arial"/>
                <w:bCs/>
                <w:sz w:val="20"/>
                <w:szCs w:val="20"/>
              </w:rPr>
            </w:pPr>
            <w:r w:rsidRPr="001D3D0F">
              <w:rPr>
                <w:rFonts w:ascii="Arial" w:hAnsi="Arial" w:cs="Arial"/>
                <w:bCs/>
                <w:sz w:val="20"/>
                <w:szCs w:val="20"/>
              </w:rPr>
              <w:t>Ministrstvo za infrastrukturo</w:t>
            </w:r>
            <w:r w:rsidR="00E66369">
              <w:rPr>
                <w:rFonts w:ascii="Arial" w:hAnsi="Arial" w:cs="Arial"/>
                <w:bCs/>
                <w:sz w:val="20"/>
                <w:szCs w:val="20"/>
              </w:rPr>
              <w:t>,</w:t>
            </w:r>
          </w:p>
          <w:p w14:paraId="4C20B6A0" w14:textId="77777777" w:rsidR="00B609C0" w:rsidRPr="001D3D0F" w:rsidRDefault="00B609C0" w:rsidP="00754A5D">
            <w:pPr>
              <w:widowControl w:val="0"/>
              <w:numPr>
                <w:ilvl w:val="0"/>
                <w:numId w:val="11"/>
              </w:numPr>
              <w:spacing w:line="240" w:lineRule="atLeast"/>
              <w:jc w:val="both"/>
              <w:rPr>
                <w:rFonts w:ascii="Arial" w:hAnsi="Arial" w:cs="Arial"/>
                <w:bCs/>
                <w:sz w:val="20"/>
                <w:szCs w:val="20"/>
              </w:rPr>
            </w:pPr>
            <w:r w:rsidRPr="001D3D0F">
              <w:rPr>
                <w:rFonts w:ascii="Arial" w:hAnsi="Arial" w:cs="Arial"/>
                <w:bCs/>
                <w:sz w:val="20"/>
                <w:szCs w:val="20"/>
              </w:rPr>
              <w:t>Ministrstvo za finance</w:t>
            </w:r>
            <w:r w:rsidR="00E66369">
              <w:rPr>
                <w:rFonts w:ascii="Arial" w:hAnsi="Arial" w:cs="Arial"/>
                <w:bCs/>
                <w:sz w:val="20"/>
                <w:szCs w:val="20"/>
              </w:rPr>
              <w:t>,</w:t>
            </w:r>
          </w:p>
          <w:p w14:paraId="1E0AEC1F" w14:textId="77777777" w:rsidR="00B609C0" w:rsidRPr="001D3D0F" w:rsidRDefault="00B609C0" w:rsidP="00754A5D">
            <w:pPr>
              <w:widowControl w:val="0"/>
              <w:numPr>
                <w:ilvl w:val="0"/>
                <w:numId w:val="11"/>
              </w:numPr>
              <w:spacing w:line="240" w:lineRule="atLeast"/>
              <w:jc w:val="both"/>
              <w:rPr>
                <w:rFonts w:ascii="Arial" w:hAnsi="Arial" w:cs="Arial"/>
                <w:bCs/>
                <w:sz w:val="20"/>
                <w:szCs w:val="20"/>
              </w:rPr>
            </w:pPr>
            <w:r w:rsidRPr="001D3D0F">
              <w:rPr>
                <w:rFonts w:ascii="Arial" w:hAnsi="Arial" w:cs="Arial"/>
                <w:bCs/>
                <w:sz w:val="20"/>
                <w:szCs w:val="20"/>
              </w:rPr>
              <w:t>Ministrstvo za okolje in prostor</w:t>
            </w:r>
            <w:r w:rsidR="00E66369">
              <w:rPr>
                <w:rFonts w:ascii="Arial" w:hAnsi="Arial" w:cs="Arial"/>
                <w:bCs/>
                <w:sz w:val="20"/>
                <w:szCs w:val="20"/>
              </w:rPr>
              <w:t>,</w:t>
            </w:r>
          </w:p>
          <w:p w14:paraId="24112C7E" w14:textId="77777777" w:rsidR="00B609C0" w:rsidRDefault="00B609C0" w:rsidP="00754A5D">
            <w:pPr>
              <w:widowControl w:val="0"/>
              <w:numPr>
                <w:ilvl w:val="0"/>
                <w:numId w:val="11"/>
              </w:numPr>
              <w:spacing w:line="240" w:lineRule="atLeast"/>
              <w:jc w:val="both"/>
              <w:rPr>
                <w:rFonts w:ascii="Arial" w:hAnsi="Arial" w:cs="Arial"/>
                <w:bCs/>
                <w:sz w:val="20"/>
                <w:szCs w:val="20"/>
              </w:rPr>
            </w:pPr>
            <w:r w:rsidRPr="001D3D0F">
              <w:rPr>
                <w:rFonts w:ascii="Arial" w:hAnsi="Arial" w:cs="Arial"/>
                <w:bCs/>
                <w:sz w:val="20"/>
                <w:szCs w:val="20"/>
              </w:rPr>
              <w:t>Ministrstvo za zunanje zadeve</w:t>
            </w:r>
            <w:r w:rsidR="00E66369">
              <w:rPr>
                <w:rFonts w:ascii="Arial" w:hAnsi="Arial" w:cs="Arial"/>
                <w:bCs/>
                <w:sz w:val="20"/>
                <w:szCs w:val="20"/>
              </w:rPr>
              <w:t>,</w:t>
            </w:r>
          </w:p>
          <w:p w14:paraId="41E49F56" w14:textId="77777777" w:rsidR="00B609C0" w:rsidRDefault="00B609C0" w:rsidP="00754A5D">
            <w:pPr>
              <w:widowControl w:val="0"/>
              <w:numPr>
                <w:ilvl w:val="0"/>
                <w:numId w:val="11"/>
              </w:numPr>
              <w:spacing w:line="240" w:lineRule="atLeast"/>
              <w:jc w:val="both"/>
              <w:rPr>
                <w:rFonts w:ascii="Arial" w:hAnsi="Arial" w:cs="Arial"/>
                <w:bCs/>
                <w:sz w:val="20"/>
                <w:szCs w:val="20"/>
              </w:rPr>
            </w:pPr>
            <w:r>
              <w:rPr>
                <w:rFonts w:ascii="Arial" w:hAnsi="Arial" w:cs="Arial"/>
                <w:bCs/>
                <w:sz w:val="20"/>
                <w:szCs w:val="20"/>
              </w:rPr>
              <w:t>Ministrstvo za javno upravo</w:t>
            </w:r>
            <w:r w:rsidR="00E66369">
              <w:rPr>
                <w:rFonts w:ascii="Arial" w:hAnsi="Arial" w:cs="Arial"/>
                <w:bCs/>
                <w:sz w:val="20"/>
                <w:szCs w:val="20"/>
              </w:rPr>
              <w:t>,</w:t>
            </w:r>
          </w:p>
          <w:p w14:paraId="7AC17D9B" w14:textId="77777777" w:rsidR="00E66369" w:rsidRDefault="00E66369" w:rsidP="00754A5D">
            <w:pPr>
              <w:widowControl w:val="0"/>
              <w:numPr>
                <w:ilvl w:val="0"/>
                <w:numId w:val="11"/>
              </w:numPr>
              <w:spacing w:line="240" w:lineRule="atLeast"/>
              <w:jc w:val="both"/>
              <w:rPr>
                <w:rFonts w:ascii="Arial" w:hAnsi="Arial" w:cs="Arial"/>
                <w:bCs/>
                <w:sz w:val="20"/>
                <w:szCs w:val="20"/>
              </w:rPr>
            </w:pPr>
            <w:r>
              <w:rPr>
                <w:rFonts w:ascii="Arial" w:hAnsi="Arial" w:cs="Arial"/>
                <w:bCs/>
                <w:sz w:val="20"/>
                <w:szCs w:val="20"/>
              </w:rPr>
              <w:t>Ministrstvo za gospodarski razvoj in tehnologijo,</w:t>
            </w:r>
          </w:p>
          <w:p w14:paraId="6BFC9B91" w14:textId="77777777" w:rsidR="00E66369" w:rsidRPr="001D3D0F" w:rsidRDefault="00E66369" w:rsidP="00754A5D">
            <w:pPr>
              <w:widowControl w:val="0"/>
              <w:numPr>
                <w:ilvl w:val="0"/>
                <w:numId w:val="11"/>
              </w:numPr>
              <w:spacing w:line="240" w:lineRule="atLeast"/>
              <w:jc w:val="both"/>
              <w:rPr>
                <w:rFonts w:ascii="Arial" w:hAnsi="Arial" w:cs="Arial"/>
                <w:bCs/>
                <w:sz w:val="20"/>
                <w:szCs w:val="20"/>
              </w:rPr>
            </w:pPr>
            <w:r>
              <w:rPr>
                <w:rFonts w:ascii="Arial" w:hAnsi="Arial" w:cs="Arial"/>
                <w:bCs/>
                <w:sz w:val="20"/>
                <w:szCs w:val="20"/>
              </w:rPr>
              <w:t>Ministrstvo za izobraževanje, znanost in šport,</w:t>
            </w:r>
          </w:p>
          <w:p w14:paraId="54E8F80B" w14:textId="77777777" w:rsidR="00D5780A" w:rsidRDefault="00B609C0" w:rsidP="00754A5D">
            <w:pPr>
              <w:widowControl w:val="0"/>
              <w:numPr>
                <w:ilvl w:val="0"/>
                <w:numId w:val="11"/>
              </w:numPr>
              <w:spacing w:line="240" w:lineRule="atLeast"/>
              <w:jc w:val="both"/>
              <w:rPr>
                <w:rFonts w:ascii="Arial" w:hAnsi="Arial" w:cs="Arial"/>
                <w:bCs/>
                <w:sz w:val="20"/>
                <w:szCs w:val="20"/>
              </w:rPr>
            </w:pPr>
            <w:r w:rsidRPr="001D3D0F">
              <w:rPr>
                <w:rFonts w:ascii="Arial" w:hAnsi="Arial" w:cs="Arial"/>
                <w:bCs/>
                <w:sz w:val="20"/>
                <w:szCs w:val="20"/>
              </w:rPr>
              <w:t>Služba Vlade za razvoj in evropsko kohezijsko politiko</w:t>
            </w:r>
            <w:r w:rsidR="00E66369">
              <w:rPr>
                <w:rFonts w:ascii="Arial" w:hAnsi="Arial" w:cs="Arial"/>
                <w:bCs/>
                <w:sz w:val="20"/>
                <w:szCs w:val="20"/>
              </w:rPr>
              <w:t>.</w:t>
            </w:r>
          </w:p>
          <w:p w14:paraId="0880AD45" w14:textId="77777777" w:rsidR="00B609C0" w:rsidRPr="00B609C0" w:rsidRDefault="00B609C0" w:rsidP="00404B6F">
            <w:pPr>
              <w:widowControl w:val="0"/>
              <w:spacing w:line="240" w:lineRule="atLeast"/>
              <w:ind w:left="720"/>
              <w:jc w:val="both"/>
              <w:rPr>
                <w:rFonts w:ascii="Arial" w:hAnsi="Arial" w:cs="Arial"/>
                <w:bCs/>
                <w:sz w:val="20"/>
                <w:szCs w:val="20"/>
              </w:rPr>
            </w:pPr>
          </w:p>
        </w:tc>
      </w:tr>
      <w:tr w:rsidR="00F02B4B" w:rsidRPr="00D462AF" w14:paraId="53F2FCC5" w14:textId="77777777" w:rsidTr="003F712A">
        <w:tc>
          <w:tcPr>
            <w:tcW w:w="9163" w:type="dxa"/>
            <w:gridSpan w:val="4"/>
          </w:tcPr>
          <w:p w14:paraId="1C390EA1" w14:textId="77777777" w:rsidR="00570758" w:rsidRPr="00D462AF" w:rsidRDefault="00F02B4B" w:rsidP="00487EAD">
            <w:pPr>
              <w:pStyle w:val="Neotevilenodstavek"/>
              <w:spacing w:before="40" w:afterLines="40" w:after="96" w:line="260" w:lineRule="atLeast"/>
              <w:rPr>
                <w:b/>
                <w:iCs/>
                <w:sz w:val="20"/>
                <w:szCs w:val="20"/>
              </w:rPr>
            </w:pPr>
            <w:r w:rsidRPr="00D462AF">
              <w:rPr>
                <w:b/>
                <w:sz w:val="20"/>
                <w:szCs w:val="20"/>
              </w:rPr>
              <w:t>2. Predlog za obravnavo predloga zakona po nujnem ali skrajšanem postopku v državnem zboru z obrazložitvijo razlogov:</w:t>
            </w:r>
          </w:p>
        </w:tc>
      </w:tr>
      <w:tr w:rsidR="00F02B4B" w:rsidRPr="00D462AF" w14:paraId="179C6D5E" w14:textId="77777777" w:rsidTr="003F712A">
        <w:tc>
          <w:tcPr>
            <w:tcW w:w="9163" w:type="dxa"/>
            <w:gridSpan w:val="4"/>
          </w:tcPr>
          <w:p w14:paraId="2BD7F9F1" w14:textId="77777777" w:rsidR="00F02B4B" w:rsidRPr="00D462AF" w:rsidRDefault="00F02B4B" w:rsidP="00487EAD">
            <w:pPr>
              <w:pStyle w:val="Neotevilenodstavek"/>
              <w:spacing w:before="40" w:afterLines="40" w:after="96" w:line="260" w:lineRule="atLeast"/>
              <w:rPr>
                <w:b/>
                <w:iCs/>
                <w:sz w:val="20"/>
                <w:szCs w:val="20"/>
              </w:rPr>
            </w:pPr>
            <w:proofErr w:type="spellStart"/>
            <w:r w:rsidRPr="00D462AF">
              <w:rPr>
                <w:b/>
                <w:sz w:val="20"/>
                <w:szCs w:val="20"/>
              </w:rPr>
              <w:t>3.a</w:t>
            </w:r>
            <w:proofErr w:type="spellEnd"/>
            <w:r w:rsidRPr="00D462AF">
              <w:rPr>
                <w:b/>
                <w:sz w:val="20"/>
                <w:szCs w:val="20"/>
              </w:rPr>
              <w:t xml:space="preserve"> Osebe, odgovorne za strokovno pripravo in usklajenost gradiva:</w:t>
            </w:r>
          </w:p>
        </w:tc>
      </w:tr>
      <w:tr w:rsidR="00F02B4B" w:rsidRPr="00D462AF" w14:paraId="4A5AFAB0" w14:textId="77777777" w:rsidTr="00391217">
        <w:trPr>
          <w:trHeight w:val="699"/>
        </w:trPr>
        <w:tc>
          <w:tcPr>
            <w:tcW w:w="9163" w:type="dxa"/>
            <w:gridSpan w:val="4"/>
          </w:tcPr>
          <w:p w14:paraId="671C6851" w14:textId="78D242B8" w:rsidR="00F02B4B" w:rsidRPr="00D462AF" w:rsidRDefault="00FE1641" w:rsidP="00754A5D">
            <w:pPr>
              <w:pStyle w:val="Neotevilenodstavek"/>
              <w:numPr>
                <w:ilvl w:val="0"/>
                <w:numId w:val="7"/>
              </w:numPr>
              <w:tabs>
                <w:tab w:val="left" w:pos="176"/>
              </w:tabs>
              <w:spacing w:before="0" w:after="0" w:line="240" w:lineRule="auto"/>
              <w:rPr>
                <w:iCs/>
                <w:sz w:val="20"/>
                <w:szCs w:val="20"/>
              </w:rPr>
            </w:pPr>
            <w:r>
              <w:rPr>
                <w:iCs/>
                <w:sz w:val="20"/>
                <w:szCs w:val="20"/>
              </w:rPr>
              <w:t>mag. Alenka Bratušek</w:t>
            </w:r>
            <w:r w:rsidR="001A69C3" w:rsidRPr="00D462AF">
              <w:rPr>
                <w:iCs/>
                <w:sz w:val="20"/>
                <w:szCs w:val="20"/>
              </w:rPr>
              <w:t xml:space="preserve">, </w:t>
            </w:r>
            <w:r w:rsidRPr="00D462AF">
              <w:rPr>
                <w:iCs/>
                <w:sz w:val="20"/>
                <w:szCs w:val="20"/>
              </w:rPr>
              <w:t>minist</w:t>
            </w:r>
            <w:r>
              <w:rPr>
                <w:iCs/>
                <w:sz w:val="20"/>
                <w:szCs w:val="20"/>
              </w:rPr>
              <w:t>rica</w:t>
            </w:r>
            <w:r w:rsidR="00A17C5A">
              <w:rPr>
                <w:iCs/>
                <w:sz w:val="20"/>
                <w:szCs w:val="20"/>
              </w:rPr>
              <w:t>,</w:t>
            </w:r>
          </w:p>
          <w:p w14:paraId="47DADBF8" w14:textId="77777777" w:rsidR="001A69C3" w:rsidRDefault="00FE1641" w:rsidP="00754A5D">
            <w:pPr>
              <w:pStyle w:val="Neotevilenodstavek"/>
              <w:numPr>
                <w:ilvl w:val="0"/>
                <w:numId w:val="7"/>
              </w:numPr>
              <w:tabs>
                <w:tab w:val="left" w:pos="176"/>
              </w:tabs>
              <w:spacing w:before="0" w:after="0" w:line="240" w:lineRule="auto"/>
              <w:rPr>
                <w:iCs/>
                <w:sz w:val="20"/>
                <w:szCs w:val="20"/>
              </w:rPr>
            </w:pPr>
            <w:r>
              <w:rPr>
                <w:iCs/>
                <w:sz w:val="20"/>
                <w:szCs w:val="20"/>
              </w:rPr>
              <w:t xml:space="preserve">Nina </w:t>
            </w:r>
            <w:proofErr w:type="spellStart"/>
            <w:r>
              <w:rPr>
                <w:iCs/>
                <w:sz w:val="20"/>
                <w:szCs w:val="20"/>
              </w:rPr>
              <w:t>Mauhler</w:t>
            </w:r>
            <w:proofErr w:type="spellEnd"/>
            <w:r w:rsidR="001A69C3" w:rsidRPr="00D462AF">
              <w:rPr>
                <w:iCs/>
                <w:sz w:val="20"/>
                <w:szCs w:val="20"/>
              </w:rPr>
              <w:t xml:space="preserve">, </w:t>
            </w:r>
            <w:r w:rsidRPr="00D462AF">
              <w:rPr>
                <w:iCs/>
                <w:sz w:val="20"/>
                <w:szCs w:val="20"/>
              </w:rPr>
              <w:t>državn</w:t>
            </w:r>
            <w:r>
              <w:rPr>
                <w:iCs/>
                <w:sz w:val="20"/>
                <w:szCs w:val="20"/>
              </w:rPr>
              <w:t xml:space="preserve">a </w:t>
            </w:r>
            <w:r w:rsidR="001A69C3" w:rsidRPr="00D462AF">
              <w:rPr>
                <w:iCs/>
                <w:sz w:val="20"/>
                <w:szCs w:val="20"/>
              </w:rPr>
              <w:t>sekretar</w:t>
            </w:r>
            <w:r>
              <w:rPr>
                <w:iCs/>
                <w:sz w:val="20"/>
                <w:szCs w:val="20"/>
              </w:rPr>
              <w:t>ka</w:t>
            </w:r>
            <w:r w:rsidR="00A17C5A">
              <w:rPr>
                <w:iCs/>
                <w:sz w:val="20"/>
                <w:szCs w:val="20"/>
              </w:rPr>
              <w:t>,</w:t>
            </w:r>
          </w:p>
          <w:p w14:paraId="32358C31" w14:textId="77777777" w:rsidR="00F56103" w:rsidRPr="00D462AF" w:rsidRDefault="00FE1641" w:rsidP="00754A5D">
            <w:pPr>
              <w:pStyle w:val="Neotevilenodstavek"/>
              <w:numPr>
                <w:ilvl w:val="0"/>
                <w:numId w:val="7"/>
              </w:numPr>
              <w:tabs>
                <w:tab w:val="left" w:pos="176"/>
              </w:tabs>
              <w:spacing w:before="0" w:after="0" w:line="240" w:lineRule="auto"/>
              <w:rPr>
                <w:iCs/>
                <w:sz w:val="20"/>
                <w:szCs w:val="20"/>
              </w:rPr>
            </w:pPr>
            <w:r>
              <w:rPr>
                <w:iCs/>
                <w:sz w:val="20"/>
                <w:szCs w:val="20"/>
              </w:rPr>
              <w:t>mag. Bojan Kumer</w:t>
            </w:r>
            <w:r w:rsidR="00F56103">
              <w:rPr>
                <w:iCs/>
                <w:sz w:val="20"/>
                <w:szCs w:val="20"/>
              </w:rPr>
              <w:t>, državni sekretar,</w:t>
            </w:r>
          </w:p>
          <w:p w14:paraId="190E1CAD" w14:textId="6A593361" w:rsidR="003365D2" w:rsidRDefault="003365D2" w:rsidP="003365D2">
            <w:pPr>
              <w:pStyle w:val="Neotevilenodstavek"/>
              <w:numPr>
                <w:ilvl w:val="0"/>
                <w:numId w:val="7"/>
              </w:numPr>
              <w:tabs>
                <w:tab w:val="left" w:pos="176"/>
              </w:tabs>
              <w:spacing w:before="0" w:after="0" w:line="240" w:lineRule="auto"/>
              <w:rPr>
                <w:iCs/>
                <w:sz w:val="20"/>
                <w:szCs w:val="20"/>
              </w:rPr>
            </w:pPr>
            <w:r>
              <w:rPr>
                <w:iCs/>
                <w:sz w:val="20"/>
                <w:szCs w:val="20"/>
              </w:rPr>
              <w:t>Darko Trajanov, v.d. generalnega direktorja Direktorata za trajnostno mobilnost in prometno politiko.</w:t>
            </w:r>
          </w:p>
          <w:p w14:paraId="4B4FF823" w14:textId="26FDDBDD" w:rsidR="00FE1641" w:rsidRPr="00FE1641" w:rsidRDefault="003D2974" w:rsidP="00FE1641">
            <w:pPr>
              <w:pStyle w:val="Neotevilenodstavek"/>
              <w:numPr>
                <w:ilvl w:val="0"/>
                <w:numId w:val="7"/>
              </w:numPr>
              <w:tabs>
                <w:tab w:val="left" w:pos="176"/>
              </w:tabs>
              <w:spacing w:before="0" w:after="0" w:line="240" w:lineRule="auto"/>
              <w:rPr>
                <w:iCs/>
                <w:sz w:val="20"/>
                <w:szCs w:val="20"/>
              </w:rPr>
            </w:pPr>
            <w:r>
              <w:rPr>
                <w:iCs/>
                <w:sz w:val="20"/>
                <w:szCs w:val="20"/>
              </w:rPr>
              <w:t>m</w:t>
            </w:r>
            <w:r w:rsidR="000C2A6E">
              <w:rPr>
                <w:iCs/>
                <w:sz w:val="20"/>
                <w:szCs w:val="20"/>
              </w:rPr>
              <w:t xml:space="preserve">ag. Bojan Žlender, sekretar, </w:t>
            </w:r>
          </w:p>
          <w:p w14:paraId="55EF235E" w14:textId="35B5206D" w:rsidR="00FE1641" w:rsidRDefault="00391217" w:rsidP="00754A5D">
            <w:pPr>
              <w:pStyle w:val="Neotevilenodstavek"/>
              <w:numPr>
                <w:ilvl w:val="0"/>
                <w:numId w:val="7"/>
              </w:numPr>
              <w:tabs>
                <w:tab w:val="left" w:pos="176"/>
              </w:tabs>
              <w:spacing w:before="0" w:after="0" w:line="240" w:lineRule="auto"/>
              <w:rPr>
                <w:iCs/>
                <w:sz w:val="20"/>
                <w:szCs w:val="20"/>
              </w:rPr>
            </w:pPr>
            <w:r>
              <w:rPr>
                <w:iCs/>
                <w:sz w:val="20"/>
                <w:szCs w:val="20"/>
              </w:rPr>
              <w:t xml:space="preserve">mag. Matjaž Vrčko, </w:t>
            </w:r>
            <w:r w:rsidR="00F65D90">
              <w:rPr>
                <w:iCs/>
                <w:sz w:val="20"/>
                <w:szCs w:val="20"/>
              </w:rPr>
              <w:t xml:space="preserve">sekretar, </w:t>
            </w:r>
            <w:r w:rsidR="0004467F">
              <w:rPr>
                <w:iCs/>
                <w:sz w:val="20"/>
                <w:szCs w:val="20"/>
              </w:rPr>
              <w:t>vodja sektorja</w:t>
            </w:r>
          </w:p>
          <w:p w14:paraId="1503B59D" w14:textId="6883B053" w:rsidR="00F261B4" w:rsidRPr="00CA6E16" w:rsidRDefault="0004467F" w:rsidP="0004467F">
            <w:pPr>
              <w:pStyle w:val="Neotevilenodstavek"/>
              <w:numPr>
                <w:ilvl w:val="0"/>
                <w:numId w:val="7"/>
              </w:numPr>
              <w:tabs>
                <w:tab w:val="left" w:pos="176"/>
              </w:tabs>
              <w:spacing w:before="0" w:after="0" w:line="240" w:lineRule="auto"/>
              <w:rPr>
                <w:iCs/>
                <w:sz w:val="20"/>
                <w:szCs w:val="20"/>
              </w:rPr>
            </w:pPr>
            <w:r>
              <w:rPr>
                <w:iCs/>
                <w:sz w:val="20"/>
                <w:szCs w:val="20"/>
              </w:rPr>
              <w:t>mag. Milena Černilogar Radež, sekretarka, vodja sektorja</w:t>
            </w:r>
          </w:p>
        </w:tc>
      </w:tr>
      <w:tr w:rsidR="00F02B4B" w:rsidRPr="00D462AF" w14:paraId="5BAA30EE" w14:textId="77777777" w:rsidTr="003F712A">
        <w:tc>
          <w:tcPr>
            <w:tcW w:w="9163" w:type="dxa"/>
            <w:gridSpan w:val="4"/>
          </w:tcPr>
          <w:p w14:paraId="1F5003B0" w14:textId="77777777" w:rsidR="00F02B4B" w:rsidRPr="00D462AF" w:rsidRDefault="00F02B4B" w:rsidP="00487EAD">
            <w:pPr>
              <w:pStyle w:val="Neotevilenodstavek"/>
              <w:spacing w:before="40" w:afterLines="40" w:after="96" w:line="260" w:lineRule="atLeast"/>
              <w:rPr>
                <w:b/>
                <w:iCs/>
                <w:sz w:val="20"/>
                <w:szCs w:val="20"/>
              </w:rPr>
            </w:pPr>
            <w:proofErr w:type="spellStart"/>
            <w:r w:rsidRPr="00D462AF">
              <w:rPr>
                <w:b/>
                <w:iCs/>
                <w:sz w:val="20"/>
                <w:szCs w:val="20"/>
              </w:rPr>
              <w:lastRenderedPageBreak/>
              <w:t>3.b</w:t>
            </w:r>
            <w:proofErr w:type="spellEnd"/>
            <w:r w:rsidRPr="00D462AF">
              <w:rPr>
                <w:b/>
                <w:iCs/>
                <w:sz w:val="20"/>
                <w:szCs w:val="20"/>
              </w:rPr>
              <w:t xml:space="preserve"> Zunanji strokovnjaki, ki so </w:t>
            </w:r>
            <w:r w:rsidRPr="00D462AF">
              <w:rPr>
                <w:b/>
                <w:sz w:val="20"/>
                <w:szCs w:val="20"/>
              </w:rPr>
              <w:t>sodelovali pri pripravi dela ali celotnega gradiva:</w:t>
            </w:r>
          </w:p>
        </w:tc>
      </w:tr>
      <w:tr w:rsidR="00F02B4B" w:rsidRPr="00D462AF" w14:paraId="20C41897" w14:textId="77777777" w:rsidTr="003F712A">
        <w:tc>
          <w:tcPr>
            <w:tcW w:w="9163" w:type="dxa"/>
            <w:gridSpan w:val="4"/>
          </w:tcPr>
          <w:p w14:paraId="2B240AEE" w14:textId="77777777" w:rsidR="00F261B4" w:rsidRPr="000C2A6E" w:rsidRDefault="00F261B4" w:rsidP="009E0601">
            <w:pPr>
              <w:pStyle w:val="Neotevilenodstavek"/>
              <w:numPr>
                <w:ilvl w:val="0"/>
                <w:numId w:val="7"/>
              </w:numPr>
              <w:tabs>
                <w:tab w:val="left" w:pos="176"/>
              </w:tabs>
              <w:spacing w:before="0" w:after="0" w:line="240" w:lineRule="auto"/>
              <w:rPr>
                <w:iCs/>
                <w:sz w:val="20"/>
                <w:szCs w:val="20"/>
              </w:rPr>
            </w:pPr>
          </w:p>
        </w:tc>
      </w:tr>
      <w:tr w:rsidR="00F02B4B" w:rsidRPr="00D462AF" w14:paraId="203AC657" w14:textId="77777777" w:rsidTr="003F712A">
        <w:tc>
          <w:tcPr>
            <w:tcW w:w="9163" w:type="dxa"/>
            <w:gridSpan w:val="4"/>
          </w:tcPr>
          <w:p w14:paraId="1DF02150" w14:textId="77777777" w:rsidR="00F02B4B" w:rsidRPr="00D462AF" w:rsidRDefault="00F02B4B" w:rsidP="00487EAD">
            <w:pPr>
              <w:pStyle w:val="Neotevilenodstavek"/>
              <w:spacing w:before="40" w:afterLines="40" w:after="96" w:line="260" w:lineRule="atLeast"/>
              <w:rPr>
                <w:b/>
                <w:iCs/>
                <w:sz w:val="20"/>
                <w:szCs w:val="20"/>
              </w:rPr>
            </w:pPr>
            <w:r w:rsidRPr="00D462AF">
              <w:rPr>
                <w:b/>
                <w:sz w:val="20"/>
                <w:szCs w:val="20"/>
              </w:rPr>
              <w:t>4. Predstavniki vlade, ki bodo sodelovali pri delu državnega zbora:</w:t>
            </w:r>
          </w:p>
        </w:tc>
      </w:tr>
      <w:tr w:rsidR="00F02B4B" w:rsidRPr="00D462AF" w14:paraId="37069A09" w14:textId="77777777" w:rsidTr="003F712A">
        <w:tc>
          <w:tcPr>
            <w:tcW w:w="9163" w:type="dxa"/>
            <w:gridSpan w:val="4"/>
          </w:tcPr>
          <w:p w14:paraId="09D7CE00" w14:textId="77777777" w:rsidR="001A69C3" w:rsidRPr="008C2643" w:rsidRDefault="00F261B4" w:rsidP="00F261B4">
            <w:pPr>
              <w:pStyle w:val="Neotevilenodstavek"/>
              <w:tabs>
                <w:tab w:val="left" w:pos="176"/>
              </w:tabs>
              <w:spacing w:before="0" w:after="0" w:line="240" w:lineRule="auto"/>
              <w:ind w:left="720"/>
              <w:rPr>
                <w:iCs/>
                <w:sz w:val="20"/>
                <w:szCs w:val="20"/>
              </w:rPr>
            </w:pPr>
            <w:r>
              <w:rPr>
                <w:iCs/>
                <w:sz w:val="20"/>
                <w:szCs w:val="20"/>
              </w:rPr>
              <w:t>/</w:t>
            </w:r>
          </w:p>
        </w:tc>
      </w:tr>
      <w:tr w:rsidR="00F02B4B" w:rsidRPr="00D462AF" w14:paraId="0444F981" w14:textId="77777777" w:rsidTr="003F712A">
        <w:tc>
          <w:tcPr>
            <w:tcW w:w="9163" w:type="dxa"/>
            <w:gridSpan w:val="4"/>
          </w:tcPr>
          <w:p w14:paraId="1350226A" w14:textId="77777777" w:rsidR="00F02B4B" w:rsidRPr="00D462AF" w:rsidRDefault="00F02B4B" w:rsidP="00487EAD">
            <w:pPr>
              <w:pStyle w:val="Oddelek"/>
              <w:numPr>
                <w:ilvl w:val="0"/>
                <w:numId w:val="0"/>
              </w:numPr>
              <w:spacing w:before="40" w:afterLines="40" w:after="96" w:line="260" w:lineRule="atLeast"/>
              <w:jc w:val="left"/>
              <w:rPr>
                <w:sz w:val="20"/>
                <w:szCs w:val="20"/>
              </w:rPr>
            </w:pPr>
            <w:r w:rsidRPr="000F6A1F">
              <w:rPr>
                <w:sz w:val="20"/>
                <w:szCs w:val="20"/>
              </w:rPr>
              <w:t>5. Kratek povzetek gradiva:</w:t>
            </w:r>
          </w:p>
        </w:tc>
      </w:tr>
      <w:tr w:rsidR="00F02B4B" w:rsidRPr="00D462AF" w14:paraId="39E65729" w14:textId="77777777" w:rsidTr="003F712A">
        <w:tc>
          <w:tcPr>
            <w:tcW w:w="9163" w:type="dxa"/>
            <w:gridSpan w:val="4"/>
          </w:tcPr>
          <w:p w14:paraId="652477CB" w14:textId="77777777" w:rsidR="0097453D" w:rsidRPr="0097453D" w:rsidRDefault="0097453D" w:rsidP="0097453D">
            <w:pPr>
              <w:pStyle w:val="Neotevilenodstavek"/>
              <w:spacing w:before="40" w:afterLines="40" w:after="96" w:line="260" w:lineRule="atLeast"/>
              <w:rPr>
                <w:iCs/>
                <w:sz w:val="20"/>
                <w:szCs w:val="20"/>
              </w:rPr>
            </w:pPr>
            <w:r w:rsidRPr="0097453D">
              <w:rPr>
                <w:iCs/>
                <w:sz w:val="20"/>
                <w:szCs w:val="20"/>
              </w:rPr>
              <w:t>V Uradnem listu EU je bila 22. oktobra 2014 objavljena Direktiva 2014/94/EU Evropskega parlamenta in Sveta o vzpostavitvi infrastrukture za alternativna goriva (v nadaljevanju Direktiva). Za alternativna goriva se po tej Direktivi štejejo električna energija, zemeljski plin (SZP – stisnjen zemeljski plin in UZP – utekočinjen zemeljski plin)</w:t>
            </w:r>
            <w:r w:rsidR="00027E19">
              <w:rPr>
                <w:iCs/>
                <w:sz w:val="20"/>
                <w:szCs w:val="20"/>
              </w:rPr>
              <w:t>, utekočinjen naftni plin - UNP</w:t>
            </w:r>
            <w:r w:rsidRPr="0097453D">
              <w:rPr>
                <w:iCs/>
                <w:sz w:val="20"/>
                <w:szCs w:val="20"/>
              </w:rPr>
              <w:t xml:space="preserve"> in </w:t>
            </w:r>
            <w:proofErr w:type="spellStart"/>
            <w:r w:rsidRPr="0097453D">
              <w:rPr>
                <w:iCs/>
                <w:sz w:val="20"/>
                <w:szCs w:val="20"/>
              </w:rPr>
              <w:t>biometan</w:t>
            </w:r>
            <w:proofErr w:type="spellEnd"/>
            <w:r w:rsidRPr="0097453D">
              <w:rPr>
                <w:iCs/>
                <w:sz w:val="20"/>
                <w:szCs w:val="20"/>
              </w:rPr>
              <w:t xml:space="preserve">, </w:t>
            </w:r>
            <w:proofErr w:type="spellStart"/>
            <w:r w:rsidRPr="0097453D">
              <w:rPr>
                <w:iCs/>
                <w:sz w:val="20"/>
                <w:szCs w:val="20"/>
              </w:rPr>
              <w:t>bio</w:t>
            </w:r>
            <w:proofErr w:type="spellEnd"/>
            <w:r w:rsidRPr="0097453D">
              <w:rPr>
                <w:iCs/>
                <w:sz w:val="20"/>
                <w:szCs w:val="20"/>
              </w:rPr>
              <w:t>-goriva, sintetična in parafinska goriva ter vodik (H</w:t>
            </w:r>
            <w:r w:rsidRPr="002D5E09">
              <w:rPr>
                <w:iCs/>
                <w:sz w:val="20"/>
                <w:szCs w:val="20"/>
                <w:vertAlign w:val="subscript"/>
              </w:rPr>
              <w:t>2</w:t>
            </w:r>
            <w:r w:rsidRPr="0097453D">
              <w:rPr>
                <w:iCs/>
                <w:sz w:val="20"/>
                <w:szCs w:val="20"/>
              </w:rPr>
              <w:t>).</w:t>
            </w:r>
          </w:p>
          <w:p w14:paraId="43148DD9" w14:textId="72000279" w:rsidR="0097453D" w:rsidRPr="0097453D" w:rsidRDefault="00A75EDB" w:rsidP="0097453D">
            <w:pPr>
              <w:pStyle w:val="Neotevilenodstavek"/>
              <w:spacing w:before="40" w:afterLines="40" w:after="96" w:line="260" w:lineRule="atLeast"/>
              <w:rPr>
                <w:iCs/>
                <w:sz w:val="20"/>
                <w:szCs w:val="20"/>
              </w:rPr>
            </w:pPr>
            <w:r>
              <w:rPr>
                <w:iCs/>
                <w:sz w:val="20"/>
                <w:szCs w:val="20"/>
              </w:rPr>
              <w:t>Direktiva med drugim v 3. členu</w:t>
            </w:r>
            <w:r w:rsidR="0097453D" w:rsidRPr="0097453D">
              <w:rPr>
                <w:iCs/>
                <w:sz w:val="20"/>
                <w:szCs w:val="20"/>
              </w:rPr>
              <w:t xml:space="preserve"> nalaga državam članicam EU, da morajo do 18. novembra 2016 sprejeti »nacionalni okvir politike za razvoj trga v zvezi z alternativnimi gorivi v prometnem sektorju ter za vzpostavitev ustrezne infrastrukture«</w:t>
            </w:r>
            <w:r w:rsidR="0097453D">
              <w:rPr>
                <w:iCs/>
                <w:sz w:val="20"/>
                <w:szCs w:val="20"/>
              </w:rPr>
              <w:t>.</w:t>
            </w:r>
          </w:p>
          <w:p w14:paraId="06929547" w14:textId="056BD9D7" w:rsidR="0097453D" w:rsidRPr="0097453D" w:rsidRDefault="00577F8F" w:rsidP="0097453D">
            <w:pPr>
              <w:pStyle w:val="Neotevilenodstavek"/>
              <w:spacing w:before="40" w:afterLines="40" w:after="96" w:line="260" w:lineRule="atLeast"/>
              <w:rPr>
                <w:iCs/>
                <w:sz w:val="20"/>
                <w:szCs w:val="20"/>
              </w:rPr>
            </w:pPr>
            <w:r>
              <w:rPr>
                <w:iCs/>
                <w:sz w:val="20"/>
                <w:szCs w:val="20"/>
              </w:rPr>
              <w:t xml:space="preserve">Vlada Republike Slovenije je sprejela </w:t>
            </w:r>
            <w:r>
              <w:rPr>
                <w:bCs/>
                <w:iCs/>
                <w:sz w:val="20"/>
                <w:szCs w:val="20"/>
              </w:rPr>
              <w:t>Strategijo</w:t>
            </w:r>
            <w:r w:rsidRPr="00B609C0">
              <w:rPr>
                <w:bCs/>
                <w:iCs/>
                <w:sz w:val="20"/>
                <w:szCs w:val="20"/>
              </w:rPr>
              <w:t xml:space="preserve"> na področju razvoja trga za vzpostavitev ustrezne infrastrukture v zvezi z alternativnimi gorivi v prometnem sektorju v Republiki Sloveniji</w:t>
            </w:r>
            <w:r>
              <w:rPr>
                <w:bCs/>
                <w:iCs/>
                <w:sz w:val="20"/>
                <w:szCs w:val="20"/>
              </w:rPr>
              <w:t xml:space="preserve"> </w:t>
            </w:r>
            <w:r w:rsidR="00057F19">
              <w:rPr>
                <w:bCs/>
                <w:iCs/>
                <w:sz w:val="20"/>
                <w:szCs w:val="20"/>
              </w:rPr>
              <w:t xml:space="preserve">(v nadaljevanju Strategija) </w:t>
            </w:r>
            <w:r>
              <w:rPr>
                <w:bCs/>
                <w:iCs/>
                <w:sz w:val="20"/>
                <w:szCs w:val="20"/>
              </w:rPr>
              <w:t xml:space="preserve">na svoji seji 12. oktobra 2017 in sprejela sklep, da se pripravi Akcijski program </w:t>
            </w:r>
            <w:r w:rsidR="00DF7528">
              <w:rPr>
                <w:bCs/>
                <w:iCs/>
                <w:sz w:val="20"/>
                <w:szCs w:val="20"/>
              </w:rPr>
              <w:t xml:space="preserve">za </w:t>
            </w:r>
            <w:r w:rsidR="00057F19">
              <w:rPr>
                <w:bCs/>
                <w:iCs/>
                <w:sz w:val="20"/>
                <w:szCs w:val="20"/>
              </w:rPr>
              <w:t xml:space="preserve">alternativna goriva v prometu (v </w:t>
            </w:r>
            <w:r w:rsidR="00DF7528">
              <w:rPr>
                <w:bCs/>
                <w:iCs/>
                <w:sz w:val="20"/>
                <w:szCs w:val="20"/>
              </w:rPr>
              <w:t>nadaljevanju</w:t>
            </w:r>
            <w:r w:rsidR="00A75EDB">
              <w:rPr>
                <w:bCs/>
                <w:iCs/>
                <w:sz w:val="20"/>
                <w:szCs w:val="20"/>
              </w:rPr>
              <w:t>:</w:t>
            </w:r>
            <w:bookmarkStart w:id="0" w:name="_GoBack"/>
            <w:bookmarkEnd w:id="0"/>
            <w:r w:rsidR="00DF7528">
              <w:rPr>
                <w:bCs/>
                <w:iCs/>
                <w:sz w:val="20"/>
                <w:szCs w:val="20"/>
              </w:rPr>
              <w:t xml:space="preserve"> </w:t>
            </w:r>
            <w:r w:rsidR="00057F19">
              <w:rPr>
                <w:bCs/>
                <w:iCs/>
                <w:sz w:val="20"/>
                <w:szCs w:val="20"/>
              </w:rPr>
              <w:t xml:space="preserve">Akcijski program) </w:t>
            </w:r>
            <w:r>
              <w:rPr>
                <w:bCs/>
                <w:iCs/>
                <w:sz w:val="20"/>
                <w:szCs w:val="20"/>
              </w:rPr>
              <w:t>za izvajanje Strategije.</w:t>
            </w:r>
          </w:p>
          <w:p w14:paraId="4075774C" w14:textId="5539EDD9" w:rsidR="0097453D" w:rsidRDefault="0097453D" w:rsidP="0097453D">
            <w:pPr>
              <w:pStyle w:val="Neotevilenodstavek"/>
              <w:spacing w:before="40" w:afterLines="40" w:after="96" w:line="260" w:lineRule="atLeast"/>
              <w:rPr>
                <w:iCs/>
                <w:sz w:val="20"/>
                <w:szCs w:val="20"/>
              </w:rPr>
            </w:pPr>
            <w:r w:rsidRPr="0097453D">
              <w:rPr>
                <w:iCs/>
                <w:sz w:val="20"/>
                <w:szCs w:val="20"/>
              </w:rPr>
              <w:t>Cilji in ukrepi v tem predlogu</w:t>
            </w:r>
            <w:r w:rsidR="00577F8F">
              <w:rPr>
                <w:iCs/>
                <w:sz w:val="20"/>
                <w:szCs w:val="20"/>
              </w:rPr>
              <w:t xml:space="preserve"> Akcijskega programa</w:t>
            </w:r>
            <w:r w:rsidRPr="0097453D">
              <w:rPr>
                <w:iCs/>
                <w:sz w:val="20"/>
                <w:szCs w:val="20"/>
              </w:rPr>
              <w:t xml:space="preserve"> </w:t>
            </w:r>
            <w:r w:rsidR="00577F8F">
              <w:rPr>
                <w:iCs/>
                <w:sz w:val="20"/>
                <w:szCs w:val="20"/>
              </w:rPr>
              <w:t xml:space="preserve">sledijo ciljem </w:t>
            </w:r>
            <w:r w:rsidRPr="0097453D">
              <w:rPr>
                <w:iCs/>
                <w:sz w:val="20"/>
                <w:szCs w:val="20"/>
              </w:rPr>
              <w:t xml:space="preserve">Strategije </w:t>
            </w:r>
            <w:r w:rsidR="00577F8F">
              <w:rPr>
                <w:iCs/>
                <w:sz w:val="20"/>
                <w:szCs w:val="20"/>
              </w:rPr>
              <w:t xml:space="preserve">in </w:t>
            </w:r>
            <w:r w:rsidR="00C62747">
              <w:rPr>
                <w:iCs/>
                <w:sz w:val="20"/>
                <w:szCs w:val="20"/>
              </w:rPr>
              <w:t>omogočajo doseganje ciljev v celotnem obdobju veljavnosti Strategije. Izvedba predvidenih ukrepov predstavlja</w:t>
            </w:r>
            <w:r w:rsidRPr="0097453D">
              <w:rPr>
                <w:iCs/>
                <w:sz w:val="20"/>
                <w:szCs w:val="20"/>
              </w:rPr>
              <w:t xml:space="preserve"> okvir, </w:t>
            </w:r>
            <w:r w:rsidR="00C62747">
              <w:rPr>
                <w:iCs/>
                <w:sz w:val="20"/>
                <w:szCs w:val="20"/>
              </w:rPr>
              <w:t>da bo</w:t>
            </w:r>
            <w:r w:rsidRPr="0097453D">
              <w:rPr>
                <w:iCs/>
                <w:sz w:val="20"/>
                <w:szCs w:val="20"/>
              </w:rPr>
              <w:t xml:space="preserve"> Republika Slovenija dosegla že veljavne okoljske cilje v sektorju prometa.</w:t>
            </w:r>
          </w:p>
          <w:p w14:paraId="756E626B" w14:textId="293F2BBD" w:rsidR="00E470BE" w:rsidRPr="00A0217A" w:rsidRDefault="00E470BE" w:rsidP="00E470BE">
            <w:pPr>
              <w:pStyle w:val="Neotevilenodstavek"/>
              <w:spacing w:before="40" w:afterLines="40" w:after="96" w:line="260" w:lineRule="atLeast"/>
              <w:rPr>
                <w:iCs/>
                <w:sz w:val="20"/>
                <w:szCs w:val="20"/>
              </w:rPr>
            </w:pPr>
            <w:r w:rsidRPr="00A0217A">
              <w:rPr>
                <w:iCs/>
                <w:sz w:val="20"/>
                <w:szCs w:val="20"/>
              </w:rPr>
              <w:t>Za doseganje okoljskih ciljev na področju prometa mora biti Slovenija na področju uvajanja alternativnih goriv v prometu dovolj ambiciozna, da bo tudi tisti del mobilnosti, ki bo še naprej potekal z osebnimi prevozi, v čim manjši meri bremenil naše okolje.</w:t>
            </w:r>
            <w:r w:rsidR="00057F19">
              <w:rPr>
                <w:iCs/>
                <w:sz w:val="20"/>
                <w:szCs w:val="20"/>
              </w:rPr>
              <w:t xml:space="preserve"> </w:t>
            </w:r>
            <w:r w:rsidRPr="00A0217A">
              <w:rPr>
                <w:iCs/>
                <w:sz w:val="20"/>
                <w:szCs w:val="20"/>
              </w:rPr>
              <w:t>Slovenija bo po letu 2025 omejila prvo registracijo osebnih vozil in lahkih tovornih vozil kategorij M1</w:t>
            </w:r>
            <w:r w:rsidR="00697C81">
              <w:rPr>
                <w:iCs/>
                <w:sz w:val="20"/>
                <w:szCs w:val="20"/>
              </w:rPr>
              <w:t xml:space="preserve"> (osebna vozila do 8 potnikov + voznik)</w:t>
            </w:r>
            <w:r w:rsidRPr="00A0217A">
              <w:rPr>
                <w:iCs/>
                <w:sz w:val="20"/>
                <w:szCs w:val="20"/>
              </w:rPr>
              <w:t xml:space="preserve"> in M</w:t>
            </w:r>
            <w:r w:rsidR="00530C4A">
              <w:rPr>
                <w:iCs/>
                <w:sz w:val="20"/>
                <w:szCs w:val="20"/>
              </w:rPr>
              <w:t>1</w:t>
            </w:r>
            <w:r w:rsidRPr="00A0217A">
              <w:rPr>
                <w:iCs/>
                <w:sz w:val="20"/>
                <w:szCs w:val="20"/>
              </w:rPr>
              <w:t>G</w:t>
            </w:r>
            <w:r w:rsidR="00697C81">
              <w:rPr>
                <w:iCs/>
                <w:sz w:val="20"/>
                <w:szCs w:val="20"/>
              </w:rPr>
              <w:t xml:space="preserve"> (terenska vozila kategorije M1)</w:t>
            </w:r>
            <w:r w:rsidRPr="00A0217A">
              <w:rPr>
                <w:iCs/>
                <w:sz w:val="20"/>
                <w:szCs w:val="20"/>
              </w:rPr>
              <w:t xml:space="preserve"> ter N1</w:t>
            </w:r>
            <w:r w:rsidR="00697C81">
              <w:rPr>
                <w:iCs/>
                <w:sz w:val="20"/>
                <w:szCs w:val="20"/>
              </w:rPr>
              <w:t xml:space="preserve"> (tovorna vozila največje skupne mase do 3,5 t)</w:t>
            </w:r>
            <w:r w:rsidRPr="00A0217A">
              <w:rPr>
                <w:iCs/>
                <w:sz w:val="20"/>
                <w:szCs w:val="20"/>
              </w:rPr>
              <w:t>, ki imajo po deklaraciji proizvajalca višji delež CO</w:t>
            </w:r>
            <w:r w:rsidRPr="002D5E09">
              <w:rPr>
                <w:iCs/>
                <w:sz w:val="20"/>
                <w:szCs w:val="20"/>
                <w:vertAlign w:val="subscript"/>
              </w:rPr>
              <w:t>2</w:t>
            </w:r>
            <w:r w:rsidRPr="00A0217A">
              <w:rPr>
                <w:iCs/>
                <w:sz w:val="20"/>
                <w:szCs w:val="20"/>
              </w:rPr>
              <w:t xml:space="preserve"> od 100 g/km</w:t>
            </w:r>
            <w:r w:rsidR="00485685">
              <w:rPr>
                <w:iCs/>
                <w:sz w:val="20"/>
                <w:szCs w:val="20"/>
              </w:rPr>
              <w:t>,</w:t>
            </w:r>
            <w:r w:rsidRPr="00A0217A">
              <w:rPr>
                <w:iCs/>
                <w:sz w:val="20"/>
                <w:szCs w:val="20"/>
              </w:rPr>
              <w:t xml:space="preserve"> in po letu 2030 to mejo znižala na od 50 g/km. Tako zastavljeni cilj postavlja v ospredje vozila na električni pogon in hibridna vozila ter omogoča uporabo vozil na fosilna goriva, ki dosegajo visoke </w:t>
            </w:r>
            <w:r w:rsidR="00530C4A">
              <w:rPr>
                <w:iCs/>
                <w:sz w:val="20"/>
                <w:szCs w:val="20"/>
              </w:rPr>
              <w:t xml:space="preserve">okoljske </w:t>
            </w:r>
            <w:r w:rsidRPr="00A0217A">
              <w:rPr>
                <w:iCs/>
                <w:sz w:val="20"/>
                <w:szCs w:val="20"/>
              </w:rPr>
              <w:t>standarde in imajo bistveno manjši negativni vpliv na okolje kot vozila, ki so v uporabi</w:t>
            </w:r>
            <w:r w:rsidR="00697C81">
              <w:rPr>
                <w:iCs/>
                <w:sz w:val="20"/>
                <w:szCs w:val="20"/>
              </w:rPr>
              <w:t xml:space="preserve"> danes</w:t>
            </w:r>
            <w:r w:rsidRPr="00A0217A">
              <w:rPr>
                <w:iCs/>
                <w:sz w:val="20"/>
                <w:szCs w:val="20"/>
              </w:rPr>
              <w:t>.</w:t>
            </w:r>
          </w:p>
          <w:p w14:paraId="26C28B79" w14:textId="35865A7F" w:rsidR="00E470BE" w:rsidRPr="00A0217A" w:rsidRDefault="00E470BE" w:rsidP="00E470BE">
            <w:pPr>
              <w:pStyle w:val="Neotevilenodstavek"/>
              <w:spacing w:before="40" w:afterLines="40" w:after="96" w:line="260" w:lineRule="atLeast"/>
              <w:rPr>
                <w:iCs/>
                <w:sz w:val="20"/>
                <w:szCs w:val="20"/>
              </w:rPr>
            </w:pPr>
            <w:r w:rsidRPr="00A0217A">
              <w:rPr>
                <w:iCs/>
                <w:sz w:val="20"/>
                <w:szCs w:val="20"/>
              </w:rPr>
              <w:t xml:space="preserve">Za hitrejši premik k zeleni mobilnosti na področju osebnih prevozov bo ključen tudi prispevek avtomobilske industrije z novimi izboljšavami na področju </w:t>
            </w:r>
            <w:proofErr w:type="spellStart"/>
            <w:r w:rsidRPr="00A0217A">
              <w:rPr>
                <w:iCs/>
                <w:sz w:val="20"/>
                <w:szCs w:val="20"/>
              </w:rPr>
              <w:t>elektro</w:t>
            </w:r>
            <w:proofErr w:type="spellEnd"/>
            <w:r w:rsidRPr="00A0217A">
              <w:rPr>
                <w:iCs/>
                <w:sz w:val="20"/>
                <w:szCs w:val="20"/>
              </w:rPr>
              <w:t xml:space="preserve"> mobilnosti, u</w:t>
            </w:r>
            <w:r>
              <w:rPr>
                <w:iCs/>
                <w:sz w:val="20"/>
                <w:szCs w:val="20"/>
              </w:rPr>
              <w:t>porabe vodika in gorivnih celic</w:t>
            </w:r>
            <w:r w:rsidRPr="00A0217A">
              <w:rPr>
                <w:iCs/>
                <w:sz w:val="20"/>
                <w:szCs w:val="20"/>
              </w:rPr>
              <w:t xml:space="preserve"> ter inovacijami in izboljšavami pri uporabi klasičnih motorjev. Tehnološki preboji bodo omogočili hitrejši razvoj in hitrejše doseganje zastavljenih ciljev.  </w:t>
            </w:r>
          </w:p>
          <w:p w14:paraId="106D6A51" w14:textId="42B55A8B" w:rsidR="00C62747" w:rsidRDefault="00C62747" w:rsidP="0097453D">
            <w:pPr>
              <w:pStyle w:val="Neotevilenodstavek"/>
              <w:spacing w:before="40" w:afterLines="40" w:after="96" w:line="260" w:lineRule="atLeast"/>
              <w:rPr>
                <w:iCs/>
                <w:sz w:val="20"/>
                <w:szCs w:val="20"/>
              </w:rPr>
            </w:pPr>
            <w:r>
              <w:rPr>
                <w:iCs/>
                <w:sz w:val="20"/>
                <w:szCs w:val="20"/>
              </w:rPr>
              <w:t>Akcijski program obsega ukrepe na področju vozil, polnilne infrastrukture in drugih ukrepov, ki omogočajo uresničevanje sprejetih ciljev.</w:t>
            </w:r>
            <w:r w:rsidR="00057F19">
              <w:rPr>
                <w:iCs/>
                <w:sz w:val="20"/>
                <w:szCs w:val="20"/>
              </w:rPr>
              <w:t xml:space="preserve"> </w:t>
            </w:r>
          </w:p>
          <w:p w14:paraId="6CD8AED4" w14:textId="425F6AFA" w:rsidR="005230CE" w:rsidRPr="005230CE" w:rsidRDefault="005230CE" w:rsidP="005230CE">
            <w:pPr>
              <w:jc w:val="both"/>
              <w:rPr>
                <w:rFonts w:ascii="Arial" w:hAnsi="Arial" w:cs="Arial"/>
                <w:sz w:val="20"/>
                <w:szCs w:val="20"/>
              </w:rPr>
            </w:pPr>
            <w:r w:rsidRPr="00FE4150">
              <w:rPr>
                <w:rFonts w:ascii="Arial" w:hAnsi="Arial" w:cs="Arial"/>
                <w:sz w:val="20"/>
                <w:szCs w:val="20"/>
              </w:rPr>
              <w:t xml:space="preserve">Akcijski program je zaradi izredno intenzivnih razvojnih sprememb na področju vozil na alternativna goriva in </w:t>
            </w:r>
            <w:r w:rsidRPr="00325C54">
              <w:rPr>
                <w:rFonts w:ascii="Arial" w:hAnsi="Arial" w:cs="Arial"/>
                <w:sz w:val="20"/>
                <w:szCs w:val="20"/>
              </w:rPr>
              <w:t xml:space="preserve">razvoja tehnologij </w:t>
            </w:r>
            <w:r>
              <w:rPr>
                <w:rFonts w:ascii="Arial" w:hAnsi="Arial" w:cs="Arial"/>
                <w:sz w:val="20"/>
                <w:szCs w:val="20"/>
              </w:rPr>
              <w:t xml:space="preserve">okvirno </w:t>
            </w:r>
            <w:r w:rsidRPr="00325C54">
              <w:rPr>
                <w:rFonts w:ascii="Arial" w:hAnsi="Arial" w:cs="Arial"/>
                <w:sz w:val="20"/>
                <w:szCs w:val="20"/>
              </w:rPr>
              <w:t xml:space="preserve">pripravljen za dve triletni obdobji, za </w:t>
            </w:r>
            <w:r w:rsidRPr="00FE4150">
              <w:rPr>
                <w:rFonts w:ascii="Arial" w:hAnsi="Arial" w:cs="Arial"/>
                <w:iCs/>
                <w:sz w:val="20"/>
                <w:szCs w:val="20"/>
              </w:rPr>
              <w:t xml:space="preserve">izvajanje ukrepov Akcijskega programa pa je predvideno, da se </w:t>
            </w:r>
            <w:r>
              <w:rPr>
                <w:rFonts w:ascii="Arial" w:hAnsi="Arial" w:cs="Arial"/>
                <w:iCs/>
                <w:sz w:val="20"/>
                <w:szCs w:val="20"/>
              </w:rPr>
              <w:t xml:space="preserve">za vsako </w:t>
            </w:r>
            <w:r w:rsidRPr="00FE4150">
              <w:rPr>
                <w:rFonts w:ascii="Arial" w:hAnsi="Arial" w:cs="Arial"/>
                <w:iCs/>
                <w:sz w:val="20"/>
                <w:szCs w:val="20"/>
              </w:rPr>
              <w:t>le</w:t>
            </w:r>
            <w:r>
              <w:rPr>
                <w:rFonts w:ascii="Arial" w:hAnsi="Arial" w:cs="Arial"/>
                <w:iCs/>
                <w:sz w:val="20"/>
                <w:szCs w:val="20"/>
              </w:rPr>
              <w:t>to pripravi pregled izvedenih ukrepov ter njihova posodobitev za naslednje dveletno obdobje,</w:t>
            </w:r>
            <w:r w:rsidRPr="00FE4150">
              <w:rPr>
                <w:rFonts w:ascii="Arial" w:hAnsi="Arial" w:cs="Arial"/>
                <w:iCs/>
                <w:sz w:val="20"/>
                <w:szCs w:val="20"/>
              </w:rPr>
              <w:t xml:space="preserve"> ki bo upoštevala spremembe na trgu in spremenjene pogoje</w:t>
            </w:r>
            <w:r w:rsidRPr="00FE4150">
              <w:rPr>
                <w:rFonts w:ascii="Arial" w:hAnsi="Arial" w:cs="Arial"/>
                <w:sz w:val="20"/>
                <w:szCs w:val="20"/>
              </w:rPr>
              <w:t>, saj se področje izredno intenzivno razvija.</w:t>
            </w:r>
          </w:p>
          <w:p w14:paraId="5094523B" w14:textId="3975E6ED" w:rsidR="000055E1" w:rsidRDefault="00C477EA" w:rsidP="0097453D">
            <w:pPr>
              <w:pStyle w:val="Neotevilenodstavek"/>
              <w:spacing w:before="40" w:afterLines="40" w:after="96" w:line="260" w:lineRule="atLeast"/>
              <w:rPr>
                <w:iCs/>
                <w:sz w:val="20"/>
                <w:szCs w:val="20"/>
              </w:rPr>
            </w:pPr>
            <w:r w:rsidRPr="00C477EA">
              <w:rPr>
                <w:iCs/>
                <w:sz w:val="20"/>
                <w:szCs w:val="20"/>
              </w:rPr>
              <w:t xml:space="preserve">Ob koncu leta 2018 je bilo </w:t>
            </w:r>
            <w:r w:rsidR="00B2496D" w:rsidRPr="00C477EA">
              <w:rPr>
                <w:iCs/>
                <w:sz w:val="20"/>
                <w:szCs w:val="20"/>
              </w:rPr>
              <w:t xml:space="preserve"> v Republiki Sloveniji</w:t>
            </w:r>
            <w:r w:rsidR="00380DBD" w:rsidRPr="00C477EA">
              <w:rPr>
                <w:iCs/>
                <w:sz w:val="20"/>
                <w:szCs w:val="20"/>
              </w:rPr>
              <w:t xml:space="preserve"> 328 polnilnic za vozila na električni pogon v javni rabi. Od tega je</w:t>
            </w:r>
            <w:r w:rsidR="00B2496D" w:rsidRPr="00C477EA">
              <w:rPr>
                <w:iCs/>
                <w:sz w:val="20"/>
                <w:szCs w:val="20"/>
              </w:rPr>
              <w:t xml:space="preserve"> </w:t>
            </w:r>
            <w:r w:rsidR="00380DBD" w:rsidRPr="00C477EA">
              <w:rPr>
                <w:iCs/>
                <w:sz w:val="20"/>
                <w:szCs w:val="20"/>
              </w:rPr>
              <w:t xml:space="preserve">31 </w:t>
            </w:r>
            <w:r w:rsidR="00C62747" w:rsidRPr="00C477EA">
              <w:rPr>
                <w:iCs/>
                <w:sz w:val="20"/>
                <w:szCs w:val="20"/>
              </w:rPr>
              <w:t>hitrih električnih polnilnic z močjo 43-50 kW</w:t>
            </w:r>
            <w:r w:rsidR="00380DBD" w:rsidRPr="00C477EA">
              <w:rPr>
                <w:iCs/>
                <w:sz w:val="20"/>
                <w:szCs w:val="20"/>
              </w:rPr>
              <w:t xml:space="preserve"> na avtocestnem omre</w:t>
            </w:r>
            <w:r w:rsidR="003571F7" w:rsidRPr="00C477EA">
              <w:rPr>
                <w:iCs/>
                <w:sz w:val="20"/>
                <w:szCs w:val="20"/>
              </w:rPr>
              <w:t>ž</w:t>
            </w:r>
            <w:r w:rsidR="00380DBD" w:rsidRPr="00C477EA">
              <w:rPr>
                <w:iCs/>
                <w:sz w:val="20"/>
                <w:szCs w:val="20"/>
              </w:rPr>
              <w:t xml:space="preserve">ju in zagotavljajo dobro pokritost za potovanja na daljših razdaljah, druge polnilnice so </w:t>
            </w:r>
            <w:r w:rsidR="008B1D25" w:rsidRPr="00C477EA">
              <w:rPr>
                <w:iCs/>
                <w:sz w:val="20"/>
                <w:szCs w:val="20"/>
              </w:rPr>
              <w:t xml:space="preserve">relativno dobro razporejene in zagotavljajo polnjenje v vseh </w:t>
            </w:r>
            <w:r w:rsidR="0012461B" w:rsidRPr="00C477EA">
              <w:rPr>
                <w:iCs/>
                <w:sz w:val="20"/>
                <w:szCs w:val="20"/>
              </w:rPr>
              <w:t xml:space="preserve">statističnih </w:t>
            </w:r>
            <w:r w:rsidR="008B1D25" w:rsidRPr="00C477EA">
              <w:rPr>
                <w:iCs/>
                <w:sz w:val="20"/>
                <w:szCs w:val="20"/>
              </w:rPr>
              <w:t>regi</w:t>
            </w:r>
            <w:r w:rsidR="0012461B" w:rsidRPr="00C477EA">
              <w:rPr>
                <w:iCs/>
                <w:sz w:val="20"/>
                <w:szCs w:val="20"/>
              </w:rPr>
              <w:t>j</w:t>
            </w:r>
            <w:r w:rsidR="008B1D25" w:rsidRPr="00C477EA">
              <w:rPr>
                <w:iCs/>
                <w:sz w:val="20"/>
                <w:szCs w:val="20"/>
              </w:rPr>
              <w:t>a</w:t>
            </w:r>
            <w:r w:rsidR="0012461B" w:rsidRPr="00C477EA">
              <w:rPr>
                <w:iCs/>
                <w:sz w:val="20"/>
                <w:szCs w:val="20"/>
              </w:rPr>
              <w:t>h</w:t>
            </w:r>
            <w:r w:rsidR="008B1D25" w:rsidRPr="00C477EA">
              <w:rPr>
                <w:iCs/>
                <w:sz w:val="20"/>
                <w:szCs w:val="20"/>
              </w:rPr>
              <w:t xml:space="preserve">. </w:t>
            </w:r>
            <w:r w:rsidR="00C62747" w:rsidRPr="00C477EA">
              <w:rPr>
                <w:iCs/>
                <w:sz w:val="20"/>
                <w:szCs w:val="20"/>
              </w:rPr>
              <w:t xml:space="preserve">Slovenija s temi polnilnicami že zagotavlja ustrezno mrežo na </w:t>
            </w:r>
            <w:r w:rsidR="004A5387" w:rsidRPr="00C477EA">
              <w:rPr>
                <w:iCs/>
                <w:sz w:val="20"/>
                <w:szCs w:val="20"/>
              </w:rPr>
              <w:t>jedrnih koridorjih vse</w:t>
            </w:r>
            <w:r w:rsidR="00C62747" w:rsidRPr="00C477EA">
              <w:rPr>
                <w:iCs/>
                <w:sz w:val="20"/>
                <w:szCs w:val="20"/>
              </w:rPr>
              <w:t>evro</w:t>
            </w:r>
            <w:r w:rsidR="009E0601" w:rsidRPr="00C477EA">
              <w:rPr>
                <w:iCs/>
                <w:sz w:val="20"/>
                <w:szCs w:val="20"/>
              </w:rPr>
              <w:t>p</w:t>
            </w:r>
            <w:r w:rsidR="00C62747" w:rsidRPr="00C477EA">
              <w:rPr>
                <w:iCs/>
                <w:sz w:val="20"/>
                <w:szCs w:val="20"/>
              </w:rPr>
              <w:t xml:space="preserve">skega </w:t>
            </w:r>
            <w:r w:rsidR="004A5387" w:rsidRPr="00C477EA">
              <w:rPr>
                <w:iCs/>
                <w:sz w:val="20"/>
                <w:szCs w:val="20"/>
              </w:rPr>
              <w:t xml:space="preserve">prometnega </w:t>
            </w:r>
            <w:r w:rsidR="00C62747" w:rsidRPr="00C477EA">
              <w:rPr>
                <w:iCs/>
                <w:sz w:val="20"/>
                <w:szCs w:val="20"/>
              </w:rPr>
              <w:t xml:space="preserve">omrežja </w:t>
            </w:r>
            <w:r w:rsidR="004A5387" w:rsidRPr="00C477EA">
              <w:rPr>
                <w:iCs/>
                <w:sz w:val="20"/>
                <w:szCs w:val="20"/>
              </w:rPr>
              <w:t xml:space="preserve">(TEN-T) </w:t>
            </w:r>
            <w:r w:rsidR="00C62747" w:rsidRPr="00C477EA">
              <w:rPr>
                <w:iCs/>
                <w:sz w:val="20"/>
                <w:szCs w:val="20"/>
              </w:rPr>
              <w:t>in dovolj veliko število polnilnic za vozila v Sloveniji.</w:t>
            </w:r>
            <w:r w:rsidR="00C62747">
              <w:rPr>
                <w:iCs/>
                <w:sz w:val="20"/>
                <w:szCs w:val="20"/>
              </w:rPr>
              <w:t xml:space="preserve"> </w:t>
            </w:r>
          </w:p>
          <w:p w14:paraId="65239319" w14:textId="4C153C0C" w:rsidR="00B2496D" w:rsidRDefault="00C62747" w:rsidP="0097453D">
            <w:pPr>
              <w:pStyle w:val="Neotevilenodstavek"/>
              <w:spacing w:before="40" w:afterLines="40" w:after="96" w:line="260" w:lineRule="atLeast"/>
              <w:rPr>
                <w:iCs/>
                <w:sz w:val="20"/>
                <w:szCs w:val="20"/>
              </w:rPr>
            </w:pPr>
            <w:r>
              <w:rPr>
                <w:iCs/>
                <w:sz w:val="20"/>
                <w:szCs w:val="20"/>
              </w:rPr>
              <w:t>Poleg tega je postavljeno</w:t>
            </w:r>
            <w:r w:rsidR="00B2496D">
              <w:rPr>
                <w:iCs/>
                <w:sz w:val="20"/>
                <w:szCs w:val="20"/>
              </w:rPr>
              <w:t xml:space="preserve"> 1 </w:t>
            </w:r>
            <w:r>
              <w:rPr>
                <w:iCs/>
                <w:sz w:val="20"/>
                <w:szCs w:val="20"/>
              </w:rPr>
              <w:t xml:space="preserve">polnilno </w:t>
            </w:r>
            <w:r w:rsidR="009C3000">
              <w:rPr>
                <w:iCs/>
                <w:sz w:val="20"/>
                <w:szCs w:val="20"/>
              </w:rPr>
              <w:t xml:space="preserve">mesto </w:t>
            </w:r>
            <w:r w:rsidR="00B2496D">
              <w:rPr>
                <w:iCs/>
                <w:sz w:val="20"/>
                <w:szCs w:val="20"/>
              </w:rPr>
              <w:t xml:space="preserve">za vodik, 115 </w:t>
            </w:r>
            <w:r>
              <w:rPr>
                <w:iCs/>
                <w:sz w:val="20"/>
                <w:szCs w:val="20"/>
              </w:rPr>
              <w:t xml:space="preserve">polnilnic </w:t>
            </w:r>
            <w:r w:rsidR="00B2496D">
              <w:rPr>
                <w:iCs/>
                <w:sz w:val="20"/>
                <w:szCs w:val="20"/>
              </w:rPr>
              <w:t>za utekočinjen naftni plin</w:t>
            </w:r>
            <w:r>
              <w:rPr>
                <w:iCs/>
                <w:sz w:val="20"/>
                <w:szCs w:val="20"/>
              </w:rPr>
              <w:t xml:space="preserve">, </w:t>
            </w:r>
            <w:r w:rsidR="00B2496D">
              <w:rPr>
                <w:iCs/>
                <w:sz w:val="20"/>
                <w:szCs w:val="20"/>
              </w:rPr>
              <w:t>4 za stisnjen zemeljski plin</w:t>
            </w:r>
            <w:r>
              <w:rPr>
                <w:iCs/>
                <w:sz w:val="20"/>
                <w:szCs w:val="20"/>
              </w:rPr>
              <w:t xml:space="preserve"> in 2 polnilnici za utekočinjen zemeljski plin</w:t>
            </w:r>
            <w:r w:rsidR="00B2496D">
              <w:rPr>
                <w:iCs/>
                <w:sz w:val="20"/>
                <w:szCs w:val="20"/>
              </w:rPr>
              <w:t>.</w:t>
            </w:r>
            <w:r w:rsidR="00D8028D">
              <w:rPr>
                <w:iCs/>
                <w:sz w:val="20"/>
                <w:szCs w:val="20"/>
              </w:rPr>
              <w:t xml:space="preserve"> Z dvema polnilnicama za utekočinjen zemeljski plin in tretjo, ki je v izgradnji</w:t>
            </w:r>
            <w:r w:rsidR="00124036">
              <w:rPr>
                <w:iCs/>
                <w:sz w:val="20"/>
                <w:szCs w:val="20"/>
              </w:rPr>
              <w:t>,</w:t>
            </w:r>
            <w:r w:rsidR="00D8028D">
              <w:rPr>
                <w:iCs/>
                <w:sz w:val="20"/>
                <w:szCs w:val="20"/>
              </w:rPr>
              <w:t xml:space="preserve"> Slovenija že izpolnjuje zahteve za pokritost jedrnega omrežja TEN-T</w:t>
            </w:r>
            <w:r w:rsidR="00B2496D">
              <w:rPr>
                <w:iCs/>
                <w:sz w:val="20"/>
                <w:szCs w:val="20"/>
              </w:rPr>
              <w:t xml:space="preserve"> </w:t>
            </w:r>
            <w:r w:rsidR="00D8028D">
              <w:rPr>
                <w:iCs/>
                <w:sz w:val="20"/>
                <w:szCs w:val="20"/>
              </w:rPr>
              <w:t>s polnilno infrastrukturo za težka tovorna vozila</w:t>
            </w:r>
            <w:r w:rsidR="00124036">
              <w:rPr>
                <w:iCs/>
                <w:sz w:val="20"/>
                <w:szCs w:val="20"/>
              </w:rPr>
              <w:t>.</w:t>
            </w:r>
            <w:r w:rsidR="00D8028D">
              <w:rPr>
                <w:iCs/>
                <w:sz w:val="20"/>
                <w:szCs w:val="20"/>
              </w:rPr>
              <w:t xml:space="preserve"> </w:t>
            </w:r>
            <w:r w:rsidR="00124036">
              <w:rPr>
                <w:iCs/>
                <w:sz w:val="20"/>
                <w:szCs w:val="20"/>
              </w:rPr>
              <w:t xml:space="preserve">Do </w:t>
            </w:r>
            <w:r w:rsidR="00D8028D">
              <w:rPr>
                <w:iCs/>
                <w:sz w:val="20"/>
                <w:szCs w:val="20"/>
              </w:rPr>
              <w:t xml:space="preserve">leta 2020 pa mora zagotoviti najmanj 8 polnilnic za stisnjen zemeljski plin, ki bodo omogočile nemoteno uporabo vozil v vseh razvojnih regijah. </w:t>
            </w:r>
            <w:r w:rsidR="002F6B69">
              <w:rPr>
                <w:iCs/>
                <w:sz w:val="20"/>
                <w:szCs w:val="20"/>
              </w:rPr>
              <w:t>V Repub</w:t>
            </w:r>
            <w:r w:rsidR="00B663E5">
              <w:rPr>
                <w:iCs/>
                <w:sz w:val="20"/>
                <w:szCs w:val="20"/>
              </w:rPr>
              <w:t>l</w:t>
            </w:r>
            <w:r w:rsidR="002F6B69">
              <w:rPr>
                <w:iCs/>
                <w:sz w:val="20"/>
                <w:szCs w:val="20"/>
              </w:rPr>
              <w:t xml:space="preserve">iki Sloveniji ni polnilnic </w:t>
            </w:r>
            <w:r w:rsidR="00B2496D">
              <w:rPr>
                <w:iCs/>
                <w:sz w:val="20"/>
                <w:szCs w:val="20"/>
              </w:rPr>
              <w:t xml:space="preserve">za </w:t>
            </w:r>
            <w:r w:rsidR="008F76ED">
              <w:rPr>
                <w:iCs/>
                <w:sz w:val="20"/>
                <w:szCs w:val="20"/>
              </w:rPr>
              <w:t>100</w:t>
            </w:r>
            <w:r w:rsidR="00B2496D">
              <w:rPr>
                <w:iCs/>
                <w:sz w:val="20"/>
                <w:szCs w:val="20"/>
              </w:rPr>
              <w:t xml:space="preserve">% </w:t>
            </w:r>
            <w:proofErr w:type="spellStart"/>
            <w:r w:rsidR="00B2496D">
              <w:rPr>
                <w:iCs/>
                <w:sz w:val="20"/>
                <w:szCs w:val="20"/>
              </w:rPr>
              <w:t>bio</w:t>
            </w:r>
            <w:proofErr w:type="spellEnd"/>
            <w:r w:rsidR="00B2496D">
              <w:rPr>
                <w:iCs/>
                <w:sz w:val="20"/>
                <w:szCs w:val="20"/>
              </w:rPr>
              <w:t>-dizel</w:t>
            </w:r>
            <w:r w:rsidR="002F6B69">
              <w:rPr>
                <w:iCs/>
                <w:sz w:val="20"/>
                <w:szCs w:val="20"/>
              </w:rPr>
              <w:t>.</w:t>
            </w:r>
          </w:p>
          <w:p w14:paraId="20CF14FA" w14:textId="34986DCC" w:rsidR="00B2496D" w:rsidRDefault="000F624C" w:rsidP="00B2496D">
            <w:pPr>
              <w:pStyle w:val="Neotevilenodstavek"/>
              <w:spacing w:before="40" w:afterLines="40" w:after="96" w:line="260" w:lineRule="atLeast"/>
              <w:rPr>
                <w:iCs/>
                <w:sz w:val="20"/>
                <w:szCs w:val="20"/>
              </w:rPr>
            </w:pPr>
            <w:r>
              <w:rPr>
                <w:iCs/>
                <w:sz w:val="20"/>
                <w:szCs w:val="20"/>
              </w:rPr>
              <w:t>Vozni park počasi sledi polnilni infrastrukturi</w:t>
            </w:r>
            <w:r w:rsidR="00124036">
              <w:rPr>
                <w:iCs/>
                <w:sz w:val="20"/>
                <w:szCs w:val="20"/>
              </w:rPr>
              <w:t>.</w:t>
            </w:r>
            <w:r w:rsidR="00E470BE">
              <w:rPr>
                <w:iCs/>
                <w:sz w:val="20"/>
                <w:szCs w:val="20"/>
              </w:rPr>
              <w:t xml:space="preserve"> </w:t>
            </w:r>
            <w:r w:rsidR="00124036">
              <w:rPr>
                <w:iCs/>
                <w:sz w:val="20"/>
                <w:szCs w:val="20"/>
              </w:rPr>
              <w:t xml:space="preserve">Opazen </w:t>
            </w:r>
            <w:r w:rsidR="00E470BE">
              <w:rPr>
                <w:iCs/>
                <w:sz w:val="20"/>
                <w:szCs w:val="20"/>
              </w:rPr>
              <w:t xml:space="preserve">premik se je zgodil v letu 2017, ko se je število </w:t>
            </w:r>
            <w:r w:rsidR="00E470BE">
              <w:rPr>
                <w:iCs/>
                <w:sz w:val="20"/>
                <w:szCs w:val="20"/>
              </w:rPr>
              <w:lastRenderedPageBreak/>
              <w:t>baterijskih električnih vozil in priključnih hibridov praktično podvojilo</w:t>
            </w:r>
            <w:r w:rsidR="00B2496D">
              <w:rPr>
                <w:iCs/>
                <w:sz w:val="20"/>
                <w:szCs w:val="20"/>
              </w:rPr>
              <w:t>. Največ je vozil na utekočinjen naftni plin</w:t>
            </w:r>
            <w:r>
              <w:rPr>
                <w:iCs/>
                <w:sz w:val="20"/>
                <w:szCs w:val="20"/>
              </w:rPr>
              <w:t xml:space="preserve">. Konec leta </w:t>
            </w:r>
            <w:r w:rsidR="00E470BE">
              <w:rPr>
                <w:iCs/>
                <w:sz w:val="20"/>
                <w:szCs w:val="20"/>
              </w:rPr>
              <w:t xml:space="preserve">2017 </w:t>
            </w:r>
            <w:r>
              <w:rPr>
                <w:iCs/>
                <w:sz w:val="20"/>
                <w:szCs w:val="20"/>
              </w:rPr>
              <w:t xml:space="preserve">je bilo registriranih </w:t>
            </w:r>
            <w:r w:rsidR="00E470BE">
              <w:rPr>
                <w:iCs/>
                <w:sz w:val="20"/>
                <w:szCs w:val="20"/>
              </w:rPr>
              <w:t xml:space="preserve">9460 </w:t>
            </w:r>
            <w:r>
              <w:rPr>
                <w:iCs/>
                <w:sz w:val="20"/>
                <w:szCs w:val="20"/>
              </w:rPr>
              <w:t>vozil na utekočinjen naftni plin</w:t>
            </w:r>
            <w:r w:rsidR="00B2496D">
              <w:rPr>
                <w:iCs/>
                <w:sz w:val="20"/>
                <w:szCs w:val="20"/>
              </w:rPr>
              <w:t xml:space="preserve">, </w:t>
            </w:r>
            <w:r>
              <w:rPr>
                <w:iCs/>
                <w:sz w:val="20"/>
                <w:szCs w:val="20"/>
              </w:rPr>
              <w:t xml:space="preserve">zelo malo je </w:t>
            </w:r>
            <w:r w:rsidR="00B2496D">
              <w:rPr>
                <w:iCs/>
                <w:sz w:val="20"/>
                <w:szCs w:val="20"/>
              </w:rPr>
              <w:t xml:space="preserve">vozil na stisnjen zemeljski plin </w:t>
            </w:r>
            <w:r>
              <w:rPr>
                <w:iCs/>
                <w:sz w:val="20"/>
                <w:szCs w:val="20"/>
              </w:rPr>
              <w:t xml:space="preserve">(124 vozil) </w:t>
            </w:r>
            <w:r w:rsidR="00B2496D">
              <w:rPr>
                <w:iCs/>
                <w:sz w:val="20"/>
                <w:szCs w:val="20"/>
              </w:rPr>
              <w:t xml:space="preserve">in </w:t>
            </w:r>
            <w:r>
              <w:rPr>
                <w:iCs/>
                <w:sz w:val="20"/>
                <w:szCs w:val="20"/>
              </w:rPr>
              <w:t>6</w:t>
            </w:r>
            <w:r w:rsidR="00B2496D">
              <w:rPr>
                <w:iCs/>
                <w:sz w:val="20"/>
                <w:szCs w:val="20"/>
              </w:rPr>
              <w:t xml:space="preserve"> </w:t>
            </w:r>
            <w:r w:rsidR="00124036">
              <w:rPr>
                <w:iCs/>
                <w:sz w:val="20"/>
                <w:szCs w:val="20"/>
              </w:rPr>
              <w:t>n</w:t>
            </w:r>
            <w:r w:rsidR="00B2496D">
              <w:rPr>
                <w:iCs/>
                <w:sz w:val="20"/>
                <w:szCs w:val="20"/>
              </w:rPr>
              <w:t xml:space="preserve">a vodik (predelana vozila). Vozil na električni pogon in priključnih hibridov je skoraj </w:t>
            </w:r>
            <w:r w:rsidR="002F3F2C">
              <w:rPr>
                <w:iCs/>
                <w:sz w:val="20"/>
                <w:szCs w:val="20"/>
              </w:rPr>
              <w:t xml:space="preserve">1700 </w:t>
            </w:r>
            <w:r w:rsidR="00B2496D">
              <w:rPr>
                <w:iCs/>
                <w:sz w:val="20"/>
                <w:szCs w:val="20"/>
              </w:rPr>
              <w:t>(</w:t>
            </w:r>
            <w:r w:rsidR="00124036">
              <w:rPr>
                <w:iCs/>
                <w:sz w:val="20"/>
                <w:szCs w:val="20"/>
              </w:rPr>
              <w:t xml:space="preserve">vse kategorije </w:t>
            </w:r>
            <w:r w:rsidR="00B2496D">
              <w:rPr>
                <w:iCs/>
                <w:sz w:val="20"/>
                <w:szCs w:val="20"/>
              </w:rPr>
              <w:t xml:space="preserve">vozil), vendar njihovo število </w:t>
            </w:r>
            <w:r w:rsidR="00E470BE">
              <w:rPr>
                <w:iCs/>
                <w:sz w:val="20"/>
                <w:szCs w:val="20"/>
              </w:rPr>
              <w:t xml:space="preserve">še vedno </w:t>
            </w:r>
            <w:r w:rsidR="00B2496D">
              <w:rPr>
                <w:iCs/>
                <w:sz w:val="20"/>
                <w:szCs w:val="20"/>
              </w:rPr>
              <w:t xml:space="preserve">zelo zaostaja glede na </w:t>
            </w:r>
            <w:r w:rsidR="00427C67">
              <w:rPr>
                <w:iCs/>
                <w:sz w:val="20"/>
                <w:szCs w:val="20"/>
              </w:rPr>
              <w:t xml:space="preserve">možnosti </w:t>
            </w:r>
            <w:r w:rsidR="00B2496D">
              <w:rPr>
                <w:iCs/>
                <w:sz w:val="20"/>
                <w:szCs w:val="20"/>
              </w:rPr>
              <w:t>polnilne infrastrukture, če računamo</w:t>
            </w:r>
            <w:r w:rsidR="004C680F">
              <w:rPr>
                <w:iCs/>
                <w:sz w:val="20"/>
                <w:szCs w:val="20"/>
              </w:rPr>
              <w:t>,</w:t>
            </w:r>
            <w:r w:rsidR="009C3000">
              <w:rPr>
                <w:iCs/>
                <w:sz w:val="20"/>
                <w:szCs w:val="20"/>
              </w:rPr>
              <w:t xml:space="preserve"> da za </w:t>
            </w:r>
            <w:r w:rsidR="00B2496D">
              <w:rPr>
                <w:iCs/>
                <w:sz w:val="20"/>
                <w:szCs w:val="20"/>
              </w:rPr>
              <w:t xml:space="preserve">10 vozil </w:t>
            </w:r>
            <w:r w:rsidR="009C3000">
              <w:rPr>
                <w:iCs/>
                <w:sz w:val="20"/>
                <w:szCs w:val="20"/>
              </w:rPr>
              <w:t xml:space="preserve">zadošča </w:t>
            </w:r>
            <w:r w:rsidR="00B2496D">
              <w:rPr>
                <w:iCs/>
                <w:sz w:val="20"/>
                <w:szCs w:val="20"/>
              </w:rPr>
              <w:t>1 priključek</w:t>
            </w:r>
            <w:r w:rsidR="00427C67">
              <w:rPr>
                <w:iCs/>
                <w:sz w:val="20"/>
                <w:szCs w:val="20"/>
              </w:rPr>
              <w:t xml:space="preserve"> na polnilni postaji</w:t>
            </w:r>
            <w:r w:rsidR="00E470BE">
              <w:rPr>
                <w:iCs/>
                <w:sz w:val="20"/>
                <w:szCs w:val="20"/>
              </w:rPr>
              <w:t>.</w:t>
            </w:r>
            <w:r w:rsidR="00B2496D">
              <w:rPr>
                <w:iCs/>
                <w:sz w:val="20"/>
                <w:szCs w:val="20"/>
              </w:rPr>
              <w:t xml:space="preserve"> </w:t>
            </w:r>
            <w:r w:rsidR="00F07736">
              <w:rPr>
                <w:iCs/>
                <w:sz w:val="20"/>
                <w:szCs w:val="20"/>
              </w:rPr>
              <w:t>Pri elek</w:t>
            </w:r>
            <w:r w:rsidR="008F76ED">
              <w:rPr>
                <w:iCs/>
                <w:sz w:val="20"/>
                <w:szCs w:val="20"/>
              </w:rPr>
              <w:t>t</w:t>
            </w:r>
            <w:r w:rsidR="00F07736">
              <w:rPr>
                <w:iCs/>
                <w:sz w:val="20"/>
                <w:szCs w:val="20"/>
              </w:rPr>
              <w:t xml:space="preserve">ričnih vozilih se je prvi pomemben premik zgodil v letu 2017, ko je bilo registriranih 361 električnih vozil, vsa leta pred tem je bilo registriranih 441 vozil in 168 priključnih hibridov. V </w:t>
            </w:r>
            <w:r w:rsidR="00145500">
              <w:rPr>
                <w:iCs/>
                <w:sz w:val="20"/>
                <w:szCs w:val="20"/>
              </w:rPr>
              <w:t xml:space="preserve">letu </w:t>
            </w:r>
            <w:r w:rsidR="00F07736">
              <w:rPr>
                <w:iCs/>
                <w:sz w:val="20"/>
                <w:szCs w:val="20"/>
              </w:rPr>
              <w:t xml:space="preserve">2018 se </w:t>
            </w:r>
            <w:r w:rsidR="00145500">
              <w:rPr>
                <w:iCs/>
                <w:sz w:val="20"/>
                <w:szCs w:val="20"/>
              </w:rPr>
              <w:t xml:space="preserve">je </w:t>
            </w:r>
            <w:r w:rsidR="00F07736">
              <w:rPr>
                <w:iCs/>
                <w:sz w:val="20"/>
                <w:szCs w:val="20"/>
              </w:rPr>
              <w:t xml:space="preserve">ugoden trend </w:t>
            </w:r>
            <w:r w:rsidR="00145500">
              <w:rPr>
                <w:iCs/>
                <w:sz w:val="20"/>
                <w:szCs w:val="20"/>
              </w:rPr>
              <w:t>nadaljeval</w:t>
            </w:r>
            <w:r w:rsidR="008F76ED">
              <w:rPr>
                <w:iCs/>
                <w:sz w:val="20"/>
                <w:szCs w:val="20"/>
              </w:rPr>
              <w:t xml:space="preserve">, </w:t>
            </w:r>
            <w:r w:rsidR="00F07736">
              <w:rPr>
                <w:iCs/>
                <w:sz w:val="20"/>
                <w:szCs w:val="20"/>
              </w:rPr>
              <w:t xml:space="preserve">saj  je bilo prvič registriranih </w:t>
            </w:r>
            <w:r w:rsidR="000F2060">
              <w:rPr>
                <w:iCs/>
                <w:sz w:val="20"/>
                <w:szCs w:val="20"/>
              </w:rPr>
              <w:t xml:space="preserve">530 </w:t>
            </w:r>
            <w:r w:rsidR="00F07736">
              <w:rPr>
                <w:iCs/>
                <w:sz w:val="20"/>
                <w:szCs w:val="20"/>
              </w:rPr>
              <w:t xml:space="preserve">električnih vozil in </w:t>
            </w:r>
            <w:r w:rsidR="00DC3F20">
              <w:rPr>
                <w:iCs/>
                <w:sz w:val="20"/>
                <w:szCs w:val="20"/>
              </w:rPr>
              <w:t xml:space="preserve">138 </w:t>
            </w:r>
            <w:r w:rsidR="00F07736">
              <w:rPr>
                <w:iCs/>
                <w:sz w:val="20"/>
                <w:szCs w:val="20"/>
              </w:rPr>
              <w:t xml:space="preserve">priključnih hibridov. </w:t>
            </w:r>
          </w:p>
          <w:p w14:paraId="03AAF473" w14:textId="13CBC6C5" w:rsidR="002A191D" w:rsidRDefault="00B2496D" w:rsidP="00B2496D">
            <w:pPr>
              <w:pStyle w:val="Neotevilenodstavek"/>
              <w:spacing w:before="40" w:afterLines="40" w:after="96" w:line="260" w:lineRule="atLeast"/>
              <w:rPr>
                <w:iCs/>
                <w:sz w:val="20"/>
                <w:szCs w:val="20"/>
              </w:rPr>
            </w:pPr>
            <w:r>
              <w:rPr>
                <w:iCs/>
                <w:sz w:val="20"/>
                <w:szCs w:val="20"/>
              </w:rPr>
              <w:t>Ukrepi</w:t>
            </w:r>
            <w:r w:rsidR="008F76ED">
              <w:rPr>
                <w:iCs/>
                <w:sz w:val="20"/>
                <w:szCs w:val="20"/>
              </w:rPr>
              <w:t>,</w:t>
            </w:r>
            <w:r>
              <w:rPr>
                <w:iCs/>
                <w:sz w:val="20"/>
                <w:szCs w:val="20"/>
              </w:rPr>
              <w:t xml:space="preserve"> s katerimi </w:t>
            </w:r>
            <w:r w:rsidR="00D8028D">
              <w:rPr>
                <w:iCs/>
                <w:sz w:val="20"/>
                <w:szCs w:val="20"/>
              </w:rPr>
              <w:t xml:space="preserve">se </w:t>
            </w:r>
            <w:r>
              <w:rPr>
                <w:iCs/>
                <w:sz w:val="20"/>
                <w:szCs w:val="20"/>
              </w:rPr>
              <w:t xml:space="preserve">trenutno </w:t>
            </w:r>
            <w:r w:rsidR="009C3000">
              <w:rPr>
                <w:iCs/>
                <w:sz w:val="20"/>
                <w:szCs w:val="20"/>
              </w:rPr>
              <w:t xml:space="preserve">v Republiki Sloveniji </w:t>
            </w:r>
            <w:r>
              <w:rPr>
                <w:iCs/>
                <w:sz w:val="20"/>
                <w:szCs w:val="20"/>
              </w:rPr>
              <w:t>spodbuja nabavo vozil na alternativna goriva</w:t>
            </w:r>
            <w:r w:rsidR="008F76ED">
              <w:rPr>
                <w:iCs/>
                <w:sz w:val="20"/>
                <w:szCs w:val="20"/>
              </w:rPr>
              <w:t>,</w:t>
            </w:r>
            <w:r>
              <w:rPr>
                <w:iCs/>
                <w:sz w:val="20"/>
                <w:szCs w:val="20"/>
              </w:rPr>
              <w:t xml:space="preserve"> so subvencije </w:t>
            </w:r>
            <w:r w:rsidR="00754A5D" w:rsidRPr="00B2496D">
              <w:rPr>
                <w:iCs/>
                <w:sz w:val="20"/>
                <w:szCs w:val="20"/>
              </w:rPr>
              <w:t>za nakup električnih vozil (EV)</w:t>
            </w:r>
            <w:r>
              <w:rPr>
                <w:iCs/>
                <w:sz w:val="20"/>
                <w:szCs w:val="20"/>
              </w:rPr>
              <w:t>, ki</w:t>
            </w:r>
            <w:r w:rsidR="00754A5D" w:rsidRPr="00B2496D">
              <w:rPr>
                <w:iCs/>
                <w:sz w:val="20"/>
                <w:szCs w:val="20"/>
              </w:rPr>
              <w:t xml:space="preserve"> so </w:t>
            </w:r>
            <w:r>
              <w:rPr>
                <w:iCs/>
                <w:sz w:val="20"/>
                <w:szCs w:val="20"/>
              </w:rPr>
              <w:t xml:space="preserve">tudi </w:t>
            </w:r>
            <w:r w:rsidR="00754A5D" w:rsidRPr="00B2496D">
              <w:rPr>
                <w:iCs/>
                <w:sz w:val="20"/>
                <w:szCs w:val="20"/>
              </w:rPr>
              <w:t>oproščena plačila letne dajatve za uporabo vozil v cestnem prometu</w:t>
            </w:r>
            <w:r>
              <w:rPr>
                <w:iCs/>
                <w:sz w:val="20"/>
                <w:szCs w:val="20"/>
              </w:rPr>
              <w:t>. Možno je dobiti ugoden kredit za nakup</w:t>
            </w:r>
            <w:r w:rsidR="00754A5D" w:rsidRPr="00B2496D">
              <w:rPr>
                <w:iCs/>
                <w:sz w:val="20"/>
                <w:szCs w:val="20"/>
              </w:rPr>
              <w:t xml:space="preserve"> osebnih avtomobilov, motornih koles in koles na električni ali hibridni pogon</w:t>
            </w:r>
            <w:r w:rsidR="00AD3456">
              <w:rPr>
                <w:iCs/>
                <w:sz w:val="20"/>
                <w:szCs w:val="20"/>
              </w:rPr>
              <w:t>,</w:t>
            </w:r>
            <w:r w:rsidR="00754A5D" w:rsidRPr="00B2496D">
              <w:rPr>
                <w:iCs/>
                <w:sz w:val="20"/>
                <w:szCs w:val="20"/>
              </w:rPr>
              <w:t xml:space="preserve"> pri katerih znaša emisija CO</w:t>
            </w:r>
            <w:r w:rsidR="00754A5D" w:rsidRPr="002D5E09">
              <w:rPr>
                <w:iCs/>
                <w:sz w:val="20"/>
                <w:szCs w:val="20"/>
                <w:vertAlign w:val="subscript"/>
              </w:rPr>
              <w:t>2</w:t>
            </w:r>
            <w:r w:rsidR="00754A5D" w:rsidRPr="00B2496D">
              <w:rPr>
                <w:iCs/>
                <w:sz w:val="20"/>
                <w:szCs w:val="20"/>
              </w:rPr>
              <w:t xml:space="preserve"> največ 110 g/km</w:t>
            </w:r>
            <w:r>
              <w:rPr>
                <w:iCs/>
                <w:sz w:val="20"/>
                <w:szCs w:val="20"/>
              </w:rPr>
              <w:t xml:space="preserve">. Za </w:t>
            </w:r>
            <w:r w:rsidRPr="00B2496D">
              <w:rPr>
                <w:iCs/>
                <w:sz w:val="20"/>
                <w:szCs w:val="20"/>
              </w:rPr>
              <w:t>vozila z izpusti do 110 g/km CO</w:t>
            </w:r>
            <w:r w:rsidRPr="002D5E09">
              <w:rPr>
                <w:iCs/>
                <w:sz w:val="20"/>
                <w:szCs w:val="20"/>
                <w:vertAlign w:val="subscript"/>
              </w:rPr>
              <w:t>2</w:t>
            </w:r>
            <w:r>
              <w:rPr>
                <w:iCs/>
                <w:sz w:val="20"/>
                <w:szCs w:val="20"/>
              </w:rPr>
              <w:t xml:space="preserve"> se obračuna </w:t>
            </w:r>
            <w:r w:rsidR="00754A5D" w:rsidRPr="00B2496D">
              <w:rPr>
                <w:iCs/>
                <w:sz w:val="20"/>
                <w:szCs w:val="20"/>
              </w:rPr>
              <w:t>nižja davčna stopnja</w:t>
            </w:r>
            <w:r>
              <w:rPr>
                <w:iCs/>
                <w:sz w:val="20"/>
                <w:szCs w:val="20"/>
              </w:rPr>
              <w:t xml:space="preserve"> (0,5</w:t>
            </w:r>
            <w:r w:rsidR="004C680F">
              <w:rPr>
                <w:iCs/>
                <w:sz w:val="20"/>
                <w:szCs w:val="20"/>
              </w:rPr>
              <w:t xml:space="preserve"> </w:t>
            </w:r>
            <w:r>
              <w:rPr>
                <w:iCs/>
                <w:sz w:val="20"/>
                <w:szCs w:val="20"/>
              </w:rPr>
              <w:t xml:space="preserve">%) davka na motorna vozila. </w:t>
            </w:r>
            <w:r w:rsidR="00D8028D">
              <w:rPr>
                <w:iCs/>
                <w:sz w:val="20"/>
                <w:szCs w:val="20"/>
              </w:rPr>
              <w:t xml:space="preserve">Davčni zavezanci, ki izvajajo dejavnost prometa lahko pri nakupu vozil </w:t>
            </w:r>
            <w:r w:rsidR="00580CB1">
              <w:rPr>
                <w:iCs/>
                <w:sz w:val="20"/>
                <w:szCs w:val="20"/>
              </w:rPr>
              <w:t xml:space="preserve">uveljavljajo </w:t>
            </w:r>
            <w:r w:rsidR="00E96B45">
              <w:rPr>
                <w:iCs/>
                <w:sz w:val="20"/>
                <w:szCs w:val="20"/>
              </w:rPr>
              <w:t xml:space="preserve">odbitek </w:t>
            </w:r>
            <w:r w:rsidR="00D8028D">
              <w:rPr>
                <w:iCs/>
                <w:sz w:val="20"/>
                <w:szCs w:val="20"/>
              </w:rPr>
              <w:t xml:space="preserve">DDV. </w:t>
            </w:r>
            <w:r>
              <w:rPr>
                <w:iCs/>
                <w:sz w:val="20"/>
                <w:szCs w:val="20"/>
              </w:rPr>
              <w:t>Odvisno od občine in ponudnika</w:t>
            </w:r>
            <w:r w:rsidR="009C3000">
              <w:rPr>
                <w:iCs/>
                <w:sz w:val="20"/>
                <w:szCs w:val="20"/>
              </w:rPr>
              <w:t xml:space="preserve"> so možne brezplačne polnitve in parkiranje z vozili na električni pogon.</w:t>
            </w:r>
            <w:r w:rsidR="00404B6F">
              <w:rPr>
                <w:iCs/>
                <w:sz w:val="20"/>
                <w:szCs w:val="20"/>
              </w:rPr>
              <w:t xml:space="preserve"> Ne glede na to, da so subvencije za nakup vozil na električni pogon med najvišjimi v EU, da so na voljo zelo ugodni krediti in je sistemsko že uveljavljena vrsta ugodnosti</w:t>
            </w:r>
            <w:r w:rsidR="00124036">
              <w:rPr>
                <w:iCs/>
                <w:sz w:val="20"/>
                <w:szCs w:val="20"/>
              </w:rPr>
              <w:t>,</w:t>
            </w:r>
            <w:r w:rsidR="00404B6F">
              <w:rPr>
                <w:iCs/>
                <w:sz w:val="20"/>
                <w:szCs w:val="20"/>
              </w:rPr>
              <w:t xml:space="preserve"> trenuten trend povečevanja vozil ne zagotavlja doseganja ciljev v letu 2020. Akcijski program zato predlaga proučitev in uveljavitev dodatnih, predvsem davčnih ukrepov, ki so prispevali k velikemu povečanju vozil na električni pogo</w:t>
            </w:r>
            <w:r w:rsidR="00124036">
              <w:rPr>
                <w:iCs/>
                <w:sz w:val="20"/>
                <w:szCs w:val="20"/>
              </w:rPr>
              <w:t>n</w:t>
            </w:r>
            <w:r w:rsidR="00404B6F">
              <w:rPr>
                <w:iCs/>
                <w:sz w:val="20"/>
                <w:szCs w:val="20"/>
              </w:rPr>
              <w:t xml:space="preserve"> v najuspešnejših državah (npr. Nizozemska, Francija in Avstrija).</w:t>
            </w:r>
          </w:p>
          <w:p w14:paraId="5070A430" w14:textId="4868886D" w:rsidR="00B2496D" w:rsidRDefault="00B2496D" w:rsidP="00B2496D">
            <w:pPr>
              <w:pStyle w:val="Neotevilenodstavek"/>
              <w:spacing w:before="40" w:afterLines="40" w:after="96" w:line="260" w:lineRule="atLeast"/>
              <w:rPr>
                <w:iCs/>
                <w:sz w:val="20"/>
                <w:szCs w:val="20"/>
              </w:rPr>
            </w:pPr>
            <w:r>
              <w:rPr>
                <w:iCs/>
                <w:sz w:val="20"/>
                <w:szCs w:val="20"/>
              </w:rPr>
              <w:t>Sektor prometa ima trenutno zastavljene naslednje okoljske cilje:</w:t>
            </w:r>
          </w:p>
          <w:tbl>
            <w:tblPr>
              <w:tblW w:w="8262" w:type="dxa"/>
              <w:tblInd w:w="34" w:type="dxa"/>
              <w:tblCellMar>
                <w:left w:w="0" w:type="dxa"/>
                <w:right w:w="0" w:type="dxa"/>
              </w:tblCellMar>
              <w:tblLook w:val="04A0" w:firstRow="1" w:lastRow="0" w:firstColumn="1" w:lastColumn="0" w:noHBand="0" w:noVBand="1"/>
            </w:tblPr>
            <w:tblGrid>
              <w:gridCol w:w="3402"/>
              <w:gridCol w:w="2268"/>
              <w:gridCol w:w="2592"/>
            </w:tblGrid>
            <w:tr w:rsidR="00B2496D" w:rsidRPr="0051776B" w14:paraId="2F5CB1B2" w14:textId="41CC7316" w:rsidTr="00EA4C9E">
              <w:tc>
                <w:tcPr>
                  <w:tcW w:w="3402" w:type="dxa"/>
                  <w:tcBorders>
                    <w:top w:val="nil"/>
                    <w:left w:val="nil"/>
                    <w:bottom w:val="nil"/>
                    <w:right w:val="single" w:sz="8" w:space="0" w:color="000000"/>
                  </w:tcBorders>
                  <w:shd w:val="clear" w:color="auto" w:fill="auto"/>
                  <w:tcMar>
                    <w:top w:w="15" w:type="dxa"/>
                    <w:left w:w="108" w:type="dxa"/>
                    <w:bottom w:w="0" w:type="dxa"/>
                    <w:right w:w="108" w:type="dxa"/>
                  </w:tcMar>
                  <w:hideMark/>
                </w:tcPr>
                <w:p w14:paraId="0C579910" w14:textId="4934E976" w:rsidR="00B2496D" w:rsidRPr="00EA4C9E" w:rsidRDefault="00B2496D" w:rsidP="00C62747">
                  <w:pPr>
                    <w:rPr>
                      <w:rFonts w:ascii="Arial" w:hAnsi="Arial" w:cs="Arial"/>
                      <w:iCs/>
                      <w:sz w:val="20"/>
                      <w:szCs w:val="20"/>
                      <w:lang w:eastAsia="sl-SI"/>
                    </w:rPr>
                  </w:pPr>
                  <w:r w:rsidRPr="00EA4C9E">
                    <w:rPr>
                      <w:rFonts w:ascii="Arial" w:hAnsi="Arial" w:cs="Arial"/>
                      <w:iCs/>
                      <w:sz w:val="20"/>
                      <w:szCs w:val="20"/>
                      <w:lang w:eastAsia="sl-SI"/>
                    </w:rPr>
                    <w:t> </w:t>
                  </w:r>
                </w:p>
              </w:tc>
              <w:tc>
                <w:tcPr>
                  <w:tcW w:w="4860" w:type="dxa"/>
                  <w:gridSpan w:val="2"/>
                  <w:tcBorders>
                    <w:top w:val="single" w:sz="8" w:space="0" w:color="000000"/>
                    <w:left w:val="single" w:sz="8" w:space="0" w:color="000000"/>
                    <w:bottom w:val="single" w:sz="8" w:space="0" w:color="000000"/>
                    <w:right w:val="single" w:sz="8" w:space="0" w:color="000000"/>
                  </w:tcBorders>
                  <w:shd w:val="clear" w:color="auto" w:fill="D9E2F3"/>
                  <w:tcMar>
                    <w:top w:w="15" w:type="dxa"/>
                    <w:left w:w="108" w:type="dxa"/>
                    <w:bottom w:w="0" w:type="dxa"/>
                    <w:right w:w="108" w:type="dxa"/>
                  </w:tcMar>
                  <w:hideMark/>
                </w:tcPr>
                <w:p w14:paraId="1797A334" w14:textId="45B16715" w:rsidR="00B2496D" w:rsidRPr="00EA4C9E" w:rsidRDefault="005D1966" w:rsidP="00C62747">
                  <w:pPr>
                    <w:rPr>
                      <w:rFonts w:ascii="Arial" w:hAnsi="Arial" w:cs="Arial"/>
                      <w:iCs/>
                      <w:sz w:val="20"/>
                      <w:szCs w:val="20"/>
                      <w:lang w:eastAsia="sl-SI"/>
                    </w:rPr>
                  </w:pPr>
                  <w:r w:rsidRPr="00EA4C9E">
                    <w:rPr>
                      <w:rFonts w:ascii="Arial" w:hAnsi="Arial" w:cs="Arial"/>
                      <w:iCs/>
                      <w:sz w:val="20"/>
                      <w:szCs w:val="20"/>
                      <w:lang w:eastAsia="sl-SI"/>
                    </w:rPr>
                    <w:t xml:space="preserve">Indikativni cilji izpustov </w:t>
                  </w:r>
                  <w:r w:rsidR="00B2496D" w:rsidRPr="00EA4C9E">
                    <w:rPr>
                      <w:rFonts w:ascii="Arial" w:hAnsi="Arial" w:cs="Arial"/>
                      <w:iCs/>
                      <w:sz w:val="20"/>
                      <w:szCs w:val="20"/>
                      <w:lang w:eastAsia="sl-SI"/>
                    </w:rPr>
                    <w:t>TGP glede na leto 2005</w:t>
                  </w:r>
                </w:p>
              </w:tc>
            </w:tr>
            <w:tr w:rsidR="00B2496D" w:rsidRPr="0051776B" w14:paraId="7DF3F95C" w14:textId="009A9F69" w:rsidTr="00EA4C9E">
              <w:tc>
                <w:tcPr>
                  <w:tcW w:w="3402" w:type="dxa"/>
                  <w:tcBorders>
                    <w:top w:val="nil"/>
                    <w:left w:val="nil"/>
                    <w:bottom w:val="single" w:sz="8" w:space="0" w:color="000000"/>
                    <w:right w:val="single" w:sz="8" w:space="0" w:color="000000"/>
                  </w:tcBorders>
                  <w:shd w:val="clear" w:color="auto" w:fill="auto"/>
                  <w:tcMar>
                    <w:top w:w="15" w:type="dxa"/>
                    <w:left w:w="108" w:type="dxa"/>
                    <w:bottom w:w="0" w:type="dxa"/>
                    <w:right w:w="108" w:type="dxa"/>
                  </w:tcMar>
                  <w:hideMark/>
                </w:tcPr>
                <w:p w14:paraId="1219CF29" w14:textId="3B184E85" w:rsidR="00B2496D" w:rsidRPr="00EA4C9E" w:rsidRDefault="00B2496D" w:rsidP="00C62747">
                  <w:pPr>
                    <w:rPr>
                      <w:rFonts w:ascii="Arial" w:hAnsi="Arial" w:cs="Arial"/>
                      <w:iCs/>
                      <w:sz w:val="20"/>
                      <w:szCs w:val="20"/>
                      <w:lang w:eastAsia="sl-SI"/>
                    </w:rPr>
                  </w:pPr>
                  <w:r w:rsidRPr="00EA4C9E">
                    <w:rPr>
                      <w:rFonts w:ascii="Arial" w:hAnsi="Arial" w:cs="Arial"/>
                      <w:iCs/>
                      <w:sz w:val="20"/>
                      <w:szCs w:val="20"/>
                      <w:lang w:eastAsia="sl-SI"/>
                    </w:rPr>
                    <w:t> </w:t>
                  </w:r>
                </w:p>
              </w:tc>
              <w:tc>
                <w:tcPr>
                  <w:tcW w:w="2268" w:type="dxa"/>
                  <w:tcBorders>
                    <w:top w:val="single" w:sz="8" w:space="0" w:color="000000"/>
                    <w:left w:val="single" w:sz="8" w:space="0" w:color="000000"/>
                    <w:bottom w:val="single" w:sz="8" w:space="0" w:color="000000"/>
                    <w:right w:val="single" w:sz="8" w:space="0" w:color="000000"/>
                  </w:tcBorders>
                  <w:shd w:val="clear" w:color="auto" w:fill="D9E2F3"/>
                  <w:tcMar>
                    <w:top w:w="15" w:type="dxa"/>
                    <w:left w:w="108" w:type="dxa"/>
                    <w:bottom w:w="0" w:type="dxa"/>
                    <w:right w:w="108" w:type="dxa"/>
                  </w:tcMar>
                  <w:hideMark/>
                </w:tcPr>
                <w:p w14:paraId="032D150A" w14:textId="5C4E421A" w:rsidR="00B2496D" w:rsidRPr="00EA4C9E" w:rsidRDefault="00B2496D" w:rsidP="00C62747">
                  <w:pPr>
                    <w:rPr>
                      <w:rFonts w:ascii="Arial" w:hAnsi="Arial" w:cs="Arial"/>
                      <w:iCs/>
                      <w:sz w:val="20"/>
                      <w:szCs w:val="20"/>
                      <w:lang w:eastAsia="sl-SI"/>
                    </w:rPr>
                  </w:pPr>
                  <w:r w:rsidRPr="00EA4C9E">
                    <w:rPr>
                      <w:rFonts w:ascii="Arial" w:hAnsi="Arial" w:cs="Arial"/>
                      <w:iCs/>
                      <w:sz w:val="20"/>
                      <w:szCs w:val="20"/>
                      <w:lang w:eastAsia="sl-SI"/>
                    </w:rPr>
                    <w:t>V letu 2020</w:t>
                  </w:r>
                </w:p>
              </w:tc>
              <w:tc>
                <w:tcPr>
                  <w:tcW w:w="2592" w:type="dxa"/>
                  <w:tcBorders>
                    <w:top w:val="single" w:sz="8" w:space="0" w:color="000000"/>
                    <w:left w:val="single" w:sz="8" w:space="0" w:color="000000"/>
                    <w:bottom w:val="single" w:sz="8" w:space="0" w:color="000000"/>
                    <w:right w:val="single" w:sz="8" w:space="0" w:color="000000"/>
                  </w:tcBorders>
                  <w:shd w:val="clear" w:color="auto" w:fill="D9E2F3"/>
                  <w:tcMar>
                    <w:top w:w="15" w:type="dxa"/>
                    <w:left w:w="108" w:type="dxa"/>
                    <w:bottom w:w="0" w:type="dxa"/>
                    <w:right w:w="108" w:type="dxa"/>
                  </w:tcMar>
                  <w:hideMark/>
                </w:tcPr>
                <w:p w14:paraId="738CDC7F" w14:textId="69F53FBA" w:rsidR="00B2496D" w:rsidRPr="00EA4C9E" w:rsidRDefault="00B2496D" w:rsidP="00C62747">
                  <w:pPr>
                    <w:rPr>
                      <w:rFonts w:ascii="Arial" w:hAnsi="Arial" w:cs="Arial"/>
                      <w:iCs/>
                      <w:sz w:val="20"/>
                      <w:szCs w:val="20"/>
                      <w:lang w:eastAsia="sl-SI"/>
                    </w:rPr>
                  </w:pPr>
                  <w:r w:rsidRPr="00EA4C9E">
                    <w:rPr>
                      <w:rFonts w:ascii="Arial" w:hAnsi="Arial" w:cs="Arial"/>
                      <w:iCs/>
                      <w:sz w:val="20"/>
                      <w:szCs w:val="20"/>
                      <w:lang w:eastAsia="sl-SI"/>
                    </w:rPr>
                    <w:t>V letu 2030</w:t>
                  </w:r>
                </w:p>
              </w:tc>
            </w:tr>
            <w:tr w:rsidR="00B2496D" w:rsidRPr="0051776B" w14:paraId="1C5D10CB" w14:textId="448CBF5D" w:rsidTr="00EA4C9E">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B22DB2" w14:textId="6F0A6BF1" w:rsidR="00B2496D" w:rsidRPr="00EA4C9E" w:rsidRDefault="00B2496D" w:rsidP="00C62747">
                  <w:pPr>
                    <w:rPr>
                      <w:rFonts w:ascii="Arial" w:hAnsi="Arial" w:cs="Arial"/>
                      <w:iCs/>
                      <w:sz w:val="20"/>
                      <w:szCs w:val="20"/>
                      <w:lang w:eastAsia="sl-SI"/>
                    </w:rPr>
                  </w:pPr>
                  <w:r w:rsidRPr="00EA4C9E">
                    <w:rPr>
                      <w:rFonts w:ascii="Arial" w:hAnsi="Arial" w:cs="Arial"/>
                      <w:iCs/>
                      <w:sz w:val="20"/>
                      <w:szCs w:val="20"/>
                      <w:lang w:eastAsia="sl-SI"/>
                    </w:rPr>
                    <w:t xml:space="preserve">Promet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58FAF1A" w14:textId="77F5B277" w:rsidR="00B2496D" w:rsidRPr="00EA4C9E" w:rsidRDefault="00B2496D" w:rsidP="00C62747">
                  <w:pPr>
                    <w:rPr>
                      <w:rFonts w:ascii="Arial" w:hAnsi="Arial" w:cs="Arial"/>
                      <w:iCs/>
                      <w:sz w:val="20"/>
                      <w:szCs w:val="20"/>
                      <w:lang w:eastAsia="sl-SI"/>
                    </w:rPr>
                  </w:pPr>
                  <w:r w:rsidRPr="00EA4C9E">
                    <w:rPr>
                      <w:rFonts w:ascii="Arial" w:hAnsi="Arial" w:cs="Arial"/>
                      <w:iCs/>
                      <w:sz w:val="20"/>
                      <w:szCs w:val="20"/>
                      <w:lang w:eastAsia="sl-SI"/>
                    </w:rPr>
                    <w:t>+27 %</w:t>
                  </w:r>
                </w:p>
              </w:tc>
              <w:tc>
                <w:tcPr>
                  <w:tcW w:w="25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3D3D14" w14:textId="6AB1DD89" w:rsidR="00B2496D" w:rsidRPr="00EA4C9E" w:rsidRDefault="00B2496D" w:rsidP="00C62747">
                  <w:pPr>
                    <w:rPr>
                      <w:rFonts w:ascii="Arial" w:hAnsi="Arial" w:cs="Arial"/>
                      <w:iCs/>
                      <w:sz w:val="20"/>
                      <w:szCs w:val="20"/>
                      <w:lang w:eastAsia="sl-SI"/>
                    </w:rPr>
                  </w:pPr>
                  <w:r w:rsidRPr="00EA4C9E">
                    <w:rPr>
                      <w:rFonts w:ascii="Arial" w:hAnsi="Arial" w:cs="Arial"/>
                      <w:iCs/>
                      <w:sz w:val="20"/>
                      <w:szCs w:val="20"/>
                      <w:lang w:eastAsia="sl-SI"/>
                    </w:rPr>
                    <w:t>+18 %</w:t>
                  </w:r>
                </w:p>
              </w:tc>
            </w:tr>
          </w:tbl>
          <w:p w14:paraId="3959FE22" w14:textId="66963085" w:rsidR="00A0217A" w:rsidRPr="00B2496D" w:rsidRDefault="00A0217A" w:rsidP="00B2496D">
            <w:pPr>
              <w:pStyle w:val="Neotevilenodstavek"/>
              <w:spacing w:before="40" w:afterLines="40" w:after="96" w:line="260" w:lineRule="atLeast"/>
              <w:rPr>
                <w:iCs/>
                <w:sz w:val="20"/>
                <w:szCs w:val="20"/>
              </w:rPr>
            </w:pPr>
          </w:p>
          <w:tbl>
            <w:tblPr>
              <w:tblW w:w="8241" w:type="dxa"/>
              <w:tblInd w:w="15" w:type="dxa"/>
              <w:tblCellMar>
                <w:left w:w="0" w:type="dxa"/>
                <w:right w:w="0" w:type="dxa"/>
              </w:tblCellMar>
              <w:tblLook w:val="04A0" w:firstRow="1" w:lastRow="0" w:firstColumn="1" w:lastColumn="0" w:noHBand="0" w:noVBand="1"/>
            </w:tblPr>
            <w:tblGrid>
              <w:gridCol w:w="3417"/>
              <w:gridCol w:w="993"/>
              <w:gridCol w:w="850"/>
              <w:gridCol w:w="992"/>
              <w:gridCol w:w="851"/>
              <w:gridCol w:w="1138"/>
            </w:tblGrid>
            <w:tr w:rsidR="00B2496D" w:rsidRPr="0051776B" w14:paraId="2020C811" w14:textId="098EDC84" w:rsidTr="00A0217A">
              <w:trPr>
                <w:trHeight w:val="576"/>
              </w:trPr>
              <w:tc>
                <w:tcPr>
                  <w:tcW w:w="3417" w:type="dxa"/>
                  <w:tcBorders>
                    <w:top w:val="nil"/>
                    <w:left w:val="nil"/>
                    <w:bottom w:val="nil"/>
                    <w:right w:val="single" w:sz="8" w:space="0" w:color="000000"/>
                  </w:tcBorders>
                  <w:shd w:val="clear" w:color="auto" w:fill="auto"/>
                  <w:tcMar>
                    <w:top w:w="15" w:type="dxa"/>
                    <w:left w:w="15" w:type="dxa"/>
                    <w:bottom w:w="0" w:type="dxa"/>
                    <w:right w:w="108" w:type="dxa"/>
                  </w:tcMar>
                  <w:hideMark/>
                </w:tcPr>
                <w:p w14:paraId="4C7735A5" w14:textId="2AD04113" w:rsidR="00B2496D" w:rsidRPr="00EA4C9E" w:rsidRDefault="00B2496D" w:rsidP="00C62747">
                  <w:pPr>
                    <w:rPr>
                      <w:rFonts w:ascii="Arial" w:hAnsi="Arial" w:cs="Arial"/>
                      <w:iCs/>
                      <w:sz w:val="20"/>
                      <w:szCs w:val="20"/>
                      <w:lang w:eastAsia="sl-SI"/>
                    </w:rPr>
                  </w:pPr>
                </w:p>
              </w:tc>
              <w:tc>
                <w:tcPr>
                  <w:tcW w:w="4824" w:type="dxa"/>
                  <w:gridSpan w:val="5"/>
                  <w:tcBorders>
                    <w:top w:val="single" w:sz="8" w:space="0" w:color="000000"/>
                    <w:left w:val="single" w:sz="8" w:space="0" w:color="000000"/>
                    <w:bottom w:val="single" w:sz="8" w:space="0" w:color="000000"/>
                    <w:right w:val="single" w:sz="8" w:space="0" w:color="000000"/>
                  </w:tcBorders>
                  <w:shd w:val="clear" w:color="auto" w:fill="D9E2F3"/>
                  <w:tcMar>
                    <w:top w:w="15" w:type="dxa"/>
                    <w:left w:w="15" w:type="dxa"/>
                    <w:bottom w:w="0" w:type="dxa"/>
                    <w:right w:w="108" w:type="dxa"/>
                  </w:tcMar>
                  <w:hideMark/>
                </w:tcPr>
                <w:p w14:paraId="1451C5DF" w14:textId="1D596545" w:rsidR="00B2496D" w:rsidRPr="00EA4C9E" w:rsidRDefault="00B2496D" w:rsidP="00C62747">
                  <w:pPr>
                    <w:rPr>
                      <w:rFonts w:ascii="Arial" w:hAnsi="Arial" w:cs="Arial"/>
                      <w:iCs/>
                      <w:sz w:val="20"/>
                      <w:szCs w:val="20"/>
                      <w:lang w:eastAsia="sl-SI"/>
                    </w:rPr>
                  </w:pPr>
                  <w:r w:rsidRPr="00EA4C9E">
                    <w:rPr>
                      <w:rFonts w:ascii="Arial" w:hAnsi="Arial" w:cs="Arial"/>
                      <w:iCs/>
                      <w:sz w:val="20"/>
                      <w:szCs w:val="20"/>
                      <w:lang w:eastAsia="sl-SI"/>
                    </w:rPr>
                    <w:t xml:space="preserve">Obveznosti zmanjšanja onesnaževal glede na leto 2005 </w:t>
                  </w:r>
                </w:p>
              </w:tc>
            </w:tr>
            <w:tr w:rsidR="00B2496D" w:rsidRPr="0051776B" w14:paraId="025BB471" w14:textId="05DCFB78" w:rsidTr="00A0217A">
              <w:trPr>
                <w:trHeight w:val="310"/>
              </w:trPr>
              <w:tc>
                <w:tcPr>
                  <w:tcW w:w="3417" w:type="dxa"/>
                  <w:tcBorders>
                    <w:top w:val="nil"/>
                    <w:left w:val="nil"/>
                    <w:bottom w:val="single" w:sz="8" w:space="0" w:color="000000"/>
                    <w:right w:val="single" w:sz="8" w:space="0" w:color="000000"/>
                  </w:tcBorders>
                  <w:shd w:val="clear" w:color="auto" w:fill="auto"/>
                  <w:tcMar>
                    <w:top w:w="15" w:type="dxa"/>
                    <w:left w:w="15" w:type="dxa"/>
                    <w:bottom w:w="0" w:type="dxa"/>
                    <w:right w:w="113" w:type="dxa"/>
                  </w:tcMar>
                  <w:hideMark/>
                </w:tcPr>
                <w:p w14:paraId="24A7F5AA" w14:textId="64166BE7" w:rsidR="00B2496D" w:rsidRPr="00EA4C9E" w:rsidRDefault="00B2496D" w:rsidP="00C62747">
                  <w:pPr>
                    <w:rPr>
                      <w:rFonts w:ascii="Arial" w:hAnsi="Arial" w:cs="Arial"/>
                      <w:iCs/>
                      <w:sz w:val="20"/>
                      <w:szCs w:val="20"/>
                      <w:lang w:eastAsia="sl-SI"/>
                    </w:rPr>
                  </w:pPr>
                  <w:r w:rsidRPr="00EA4C9E">
                    <w:rPr>
                      <w:rFonts w:ascii="Arial" w:hAnsi="Arial" w:cs="Arial"/>
                      <w:iCs/>
                      <w:sz w:val="20"/>
                      <w:szCs w:val="20"/>
                      <w:lang w:eastAsia="sl-SI"/>
                    </w:rPr>
                    <w:tab/>
                  </w:r>
                </w:p>
              </w:tc>
              <w:tc>
                <w:tcPr>
                  <w:tcW w:w="993" w:type="dxa"/>
                  <w:tcBorders>
                    <w:top w:val="single" w:sz="8" w:space="0" w:color="000000"/>
                    <w:left w:val="single" w:sz="8" w:space="0" w:color="000000"/>
                    <w:bottom w:val="single" w:sz="8" w:space="0" w:color="000000"/>
                    <w:right w:val="single" w:sz="8" w:space="0" w:color="000000"/>
                  </w:tcBorders>
                  <w:shd w:val="clear" w:color="auto" w:fill="D9E2F3"/>
                  <w:tcMar>
                    <w:top w:w="15" w:type="dxa"/>
                    <w:left w:w="15" w:type="dxa"/>
                    <w:bottom w:w="0" w:type="dxa"/>
                    <w:right w:w="113" w:type="dxa"/>
                  </w:tcMar>
                  <w:hideMark/>
                </w:tcPr>
                <w:p w14:paraId="5A884B28" w14:textId="7EA28288" w:rsidR="00B2496D" w:rsidRPr="00EA4C9E" w:rsidRDefault="00B2496D" w:rsidP="00C62747">
                  <w:pPr>
                    <w:rPr>
                      <w:rFonts w:ascii="Arial" w:hAnsi="Arial" w:cs="Arial"/>
                      <w:iCs/>
                      <w:sz w:val="20"/>
                      <w:szCs w:val="20"/>
                      <w:lang w:eastAsia="sl-SI"/>
                    </w:rPr>
                  </w:pPr>
                  <w:r w:rsidRPr="00EA4C9E">
                    <w:rPr>
                      <w:rFonts w:ascii="Arial" w:hAnsi="Arial" w:cs="Arial"/>
                      <w:iCs/>
                      <w:sz w:val="20"/>
                      <w:szCs w:val="20"/>
                      <w:lang w:eastAsia="sl-SI"/>
                    </w:rPr>
                    <w:t>SO2</w:t>
                  </w:r>
                </w:p>
              </w:tc>
              <w:tc>
                <w:tcPr>
                  <w:tcW w:w="850" w:type="dxa"/>
                  <w:tcBorders>
                    <w:top w:val="single" w:sz="8" w:space="0" w:color="000000"/>
                    <w:left w:val="single" w:sz="8" w:space="0" w:color="000000"/>
                    <w:bottom w:val="single" w:sz="8" w:space="0" w:color="000000"/>
                    <w:right w:val="single" w:sz="8" w:space="0" w:color="000000"/>
                  </w:tcBorders>
                  <w:shd w:val="clear" w:color="auto" w:fill="D9E2F3"/>
                  <w:tcMar>
                    <w:top w:w="15" w:type="dxa"/>
                    <w:left w:w="15" w:type="dxa"/>
                    <w:bottom w:w="0" w:type="dxa"/>
                    <w:right w:w="113" w:type="dxa"/>
                  </w:tcMar>
                  <w:hideMark/>
                </w:tcPr>
                <w:p w14:paraId="39B8138D" w14:textId="52058CC8" w:rsidR="00B2496D" w:rsidRPr="00EA4C9E" w:rsidRDefault="00B2496D" w:rsidP="00C62747">
                  <w:pPr>
                    <w:rPr>
                      <w:rFonts w:ascii="Arial" w:hAnsi="Arial" w:cs="Arial"/>
                      <w:iCs/>
                      <w:sz w:val="20"/>
                      <w:szCs w:val="20"/>
                      <w:lang w:eastAsia="sl-SI"/>
                    </w:rPr>
                  </w:pPr>
                  <w:proofErr w:type="spellStart"/>
                  <w:r w:rsidRPr="00EA4C9E">
                    <w:rPr>
                      <w:rFonts w:ascii="Arial" w:hAnsi="Arial" w:cs="Arial"/>
                      <w:iCs/>
                      <w:sz w:val="20"/>
                      <w:szCs w:val="20"/>
                      <w:lang w:eastAsia="sl-SI"/>
                    </w:rPr>
                    <w:t>NOx</w:t>
                  </w:r>
                  <w:proofErr w:type="spellEnd"/>
                </w:p>
              </w:tc>
              <w:tc>
                <w:tcPr>
                  <w:tcW w:w="992" w:type="dxa"/>
                  <w:tcBorders>
                    <w:top w:val="single" w:sz="8" w:space="0" w:color="000000"/>
                    <w:left w:val="single" w:sz="8" w:space="0" w:color="000000"/>
                    <w:bottom w:val="single" w:sz="8" w:space="0" w:color="000000"/>
                    <w:right w:val="single" w:sz="8" w:space="0" w:color="000000"/>
                  </w:tcBorders>
                  <w:shd w:val="clear" w:color="auto" w:fill="D9E2F3"/>
                  <w:tcMar>
                    <w:top w:w="15" w:type="dxa"/>
                    <w:left w:w="15" w:type="dxa"/>
                    <w:bottom w:w="0" w:type="dxa"/>
                    <w:right w:w="113" w:type="dxa"/>
                  </w:tcMar>
                  <w:hideMark/>
                </w:tcPr>
                <w:p w14:paraId="65D2CFC7" w14:textId="4709F5E3" w:rsidR="00B2496D" w:rsidRPr="00EA4C9E" w:rsidRDefault="00B2496D" w:rsidP="00C62747">
                  <w:pPr>
                    <w:rPr>
                      <w:rFonts w:ascii="Arial" w:hAnsi="Arial" w:cs="Arial"/>
                      <w:iCs/>
                      <w:sz w:val="20"/>
                      <w:szCs w:val="20"/>
                      <w:lang w:eastAsia="sl-SI"/>
                    </w:rPr>
                  </w:pPr>
                  <w:r w:rsidRPr="00EA4C9E">
                    <w:rPr>
                      <w:rFonts w:ascii="Arial" w:hAnsi="Arial" w:cs="Arial"/>
                      <w:iCs/>
                      <w:sz w:val="20"/>
                      <w:szCs w:val="20"/>
                      <w:lang w:eastAsia="sl-SI"/>
                    </w:rPr>
                    <w:t>NMVOC</w:t>
                  </w:r>
                </w:p>
              </w:tc>
              <w:tc>
                <w:tcPr>
                  <w:tcW w:w="851" w:type="dxa"/>
                  <w:tcBorders>
                    <w:top w:val="single" w:sz="8" w:space="0" w:color="000000"/>
                    <w:left w:val="single" w:sz="8" w:space="0" w:color="000000"/>
                    <w:bottom w:val="single" w:sz="8" w:space="0" w:color="000000"/>
                    <w:right w:val="single" w:sz="8" w:space="0" w:color="000000"/>
                  </w:tcBorders>
                  <w:shd w:val="clear" w:color="auto" w:fill="D9E2F3"/>
                  <w:tcMar>
                    <w:top w:w="15" w:type="dxa"/>
                    <w:left w:w="15" w:type="dxa"/>
                    <w:bottom w:w="0" w:type="dxa"/>
                    <w:right w:w="113" w:type="dxa"/>
                  </w:tcMar>
                  <w:hideMark/>
                </w:tcPr>
                <w:p w14:paraId="6379F10A" w14:textId="5BFC228D" w:rsidR="00B2496D" w:rsidRPr="00EA4C9E" w:rsidRDefault="00B2496D" w:rsidP="00C62747">
                  <w:pPr>
                    <w:rPr>
                      <w:rFonts w:ascii="Arial" w:hAnsi="Arial" w:cs="Arial"/>
                      <w:iCs/>
                      <w:sz w:val="20"/>
                      <w:szCs w:val="20"/>
                      <w:lang w:eastAsia="sl-SI"/>
                    </w:rPr>
                  </w:pPr>
                  <w:r w:rsidRPr="00EA4C9E">
                    <w:rPr>
                      <w:rFonts w:ascii="Arial" w:hAnsi="Arial" w:cs="Arial"/>
                      <w:iCs/>
                      <w:sz w:val="20"/>
                      <w:szCs w:val="20"/>
                      <w:lang w:eastAsia="sl-SI"/>
                    </w:rPr>
                    <w:t>NH3</w:t>
                  </w:r>
                </w:p>
              </w:tc>
              <w:tc>
                <w:tcPr>
                  <w:tcW w:w="1138" w:type="dxa"/>
                  <w:tcBorders>
                    <w:top w:val="single" w:sz="8" w:space="0" w:color="000000"/>
                    <w:left w:val="single" w:sz="8" w:space="0" w:color="000000"/>
                    <w:bottom w:val="single" w:sz="8" w:space="0" w:color="000000"/>
                    <w:right w:val="single" w:sz="8" w:space="0" w:color="000000"/>
                  </w:tcBorders>
                  <w:shd w:val="clear" w:color="auto" w:fill="D9E2F3"/>
                  <w:tcMar>
                    <w:top w:w="15" w:type="dxa"/>
                    <w:left w:w="15" w:type="dxa"/>
                    <w:bottom w:w="0" w:type="dxa"/>
                    <w:right w:w="113" w:type="dxa"/>
                  </w:tcMar>
                  <w:hideMark/>
                </w:tcPr>
                <w:p w14:paraId="5820EE1D" w14:textId="3D6C7BFA" w:rsidR="00B2496D" w:rsidRPr="00EA4C9E" w:rsidRDefault="00B2496D" w:rsidP="00C62747">
                  <w:pPr>
                    <w:rPr>
                      <w:rFonts w:ascii="Arial" w:hAnsi="Arial" w:cs="Arial"/>
                      <w:iCs/>
                      <w:sz w:val="20"/>
                      <w:szCs w:val="20"/>
                      <w:lang w:eastAsia="sl-SI"/>
                    </w:rPr>
                  </w:pPr>
                  <w:r w:rsidRPr="00EA4C9E">
                    <w:rPr>
                      <w:rFonts w:ascii="Arial" w:hAnsi="Arial" w:cs="Arial"/>
                      <w:iCs/>
                      <w:sz w:val="20"/>
                      <w:szCs w:val="20"/>
                      <w:lang w:eastAsia="sl-SI"/>
                    </w:rPr>
                    <w:t>PM2,5</w:t>
                  </w:r>
                </w:p>
              </w:tc>
            </w:tr>
            <w:tr w:rsidR="00B2496D" w:rsidRPr="0051776B" w14:paraId="0C28A443" w14:textId="10D71038" w:rsidTr="00A0217A">
              <w:trPr>
                <w:trHeight w:val="244"/>
              </w:trPr>
              <w:tc>
                <w:tcPr>
                  <w:tcW w:w="3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08" w:type="dxa"/>
                  </w:tcMar>
                  <w:hideMark/>
                </w:tcPr>
                <w:p w14:paraId="132607BA" w14:textId="06D3B68D" w:rsidR="00B2496D" w:rsidRPr="00EA4C9E" w:rsidRDefault="00B2496D" w:rsidP="00C62747">
                  <w:pPr>
                    <w:rPr>
                      <w:rFonts w:ascii="Arial" w:hAnsi="Arial" w:cs="Arial"/>
                      <w:iCs/>
                      <w:sz w:val="20"/>
                      <w:szCs w:val="20"/>
                      <w:lang w:eastAsia="sl-SI"/>
                    </w:rPr>
                  </w:pPr>
                  <w:r w:rsidRPr="00EA4C9E">
                    <w:rPr>
                      <w:rFonts w:ascii="Arial" w:hAnsi="Arial" w:cs="Arial"/>
                      <w:iCs/>
                      <w:sz w:val="20"/>
                      <w:szCs w:val="20"/>
                      <w:lang w:eastAsia="sl-SI"/>
                    </w:rPr>
                    <w:t>Za katerokoli leto od 2020 do 2029</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08" w:type="dxa"/>
                  </w:tcMar>
                  <w:hideMark/>
                </w:tcPr>
                <w:p w14:paraId="350338A6" w14:textId="6E341DB3" w:rsidR="00B2496D" w:rsidRPr="00EA4C9E" w:rsidRDefault="00B2496D" w:rsidP="00C62747">
                  <w:pPr>
                    <w:rPr>
                      <w:rFonts w:ascii="Arial" w:hAnsi="Arial" w:cs="Arial"/>
                      <w:iCs/>
                      <w:sz w:val="20"/>
                      <w:szCs w:val="20"/>
                      <w:lang w:eastAsia="sl-SI"/>
                    </w:rPr>
                  </w:pPr>
                  <w:r w:rsidRPr="00EA4C9E">
                    <w:rPr>
                      <w:rFonts w:ascii="Arial" w:hAnsi="Arial" w:cs="Arial"/>
                      <w:iCs/>
                      <w:sz w:val="20"/>
                      <w:szCs w:val="20"/>
                      <w:lang w:eastAsia="sl-SI"/>
                    </w:rPr>
                    <w:t>63 %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08" w:type="dxa"/>
                  </w:tcMar>
                  <w:hideMark/>
                </w:tcPr>
                <w:p w14:paraId="57A10D1F" w14:textId="02089095" w:rsidR="00B2496D" w:rsidRPr="00EA4C9E" w:rsidRDefault="00B2496D" w:rsidP="00C62747">
                  <w:pPr>
                    <w:rPr>
                      <w:rFonts w:ascii="Arial" w:hAnsi="Arial" w:cs="Arial"/>
                      <w:iCs/>
                      <w:sz w:val="20"/>
                      <w:szCs w:val="20"/>
                      <w:lang w:eastAsia="sl-SI"/>
                    </w:rPr>
                  </w:pPr>
                  <w:r w:rsidRPr="00EA4C9E">
                    <w:rPr>
                      <w:rFonts w:ascii="Arial" w:hAnsi="Arial" w:cs="Arial"/>
                      <w:iCs/>
                      <w:sz w:val="20"/>
                      <w:szCs w:val="20"/>
                      <w:lang w:eastAsia="sl-SI"/>
                    </w:rPr>
                    <w:t>39 %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08" w:type="dxa"/>
                  </w:tcMar>
                  <w:hideMark/>
                </w:tcPr>
                <w:p w14:paraId="58814FC7" w14:textId="0532C403" w:rsidR="00B2496D" w:rsidRPr="00EA4C9E" w:rsidRDefault="00B2496D" w:rsidP="00C62747">
                  <w:pPr>
                    <w:rPr>
                      <w:rFonts w:ascii="Arial" w:hAnsi="Arial" w:cs="Arial"/>
                      <w:iCs/>
                      <w:sz w:val="20"/>
                      <w:szCs w:val="20"/>
                      <w:lang w:eastAsia="sl-SI"/>
                    </w:rPr>
                  </w:pPr>
                  <w:r w:rsidRPr="00EA4C9E">
                    <w:rPr>
                      <w:rFonts w:ascii="Arial" w:hAnsi="Arial" w:cs="Arial"/>
                      <w:iCs/>
                      <w:sz w:val="20"/>
                      <w:szCs w:val="20"/>
                      <w:lang w:eastAsia="sl-SI"/>
                    </w:rPr>
                    <w:t>23 %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08" w:type="dxa"/>
                  </w:tcMar>
                  <w:hideMark/>
                </w:tcPr>
                <w:p w14:paraId="73DE663F" w14:textId="2EC9B697" w:rsidR="00B2496D" w:rsidRPr="00EA4C9E" w:rsidRDefault="00B2496D" w:rsidP="00C62747">
                  <w:pPr>
                    <w:rPr>
                      <w:rFonts w:ascii="Arial" w:hAnsi="Arial" w:cs="Arial"/>
                      <w:iCs/>
                      <w:sz w:val="20"/>
                      <w:szCs w:val="20"/>
                      <w:lang w:eastAsia="sl-SI"/>
                    </w:rPr>
                  </w:pPr>
                  <w:r w:rsidRPr="00EA4C9E">
                    <w:rPr>
                      <w:rFonts w:ascii="Arial" w:hAnsi="Arial" w:cs="Arial"/>
                      <w:iCs/>
                      <w:sz w:val="20"/>
                      <w:szCs w:val="20"/>
                      <w:lang w:eastAsia="sl-SI"/>
                    </w:rPr>
                    <w:t>1 %</w:t>
                  </w:r>
                </w:p>
              </w:tc>
              <w:tc>
                <w:tcPr>
                  <w:tcW w:w="1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08" w:type="dxa"/>
                  </w:tcMar>
                  <w:hideMark/>
                </w:tcPr>
                <w:p w14:paraId="360580BD" w14:textId="2A44149A" w:rsidR="00B2496D" w:rsidRPr="00EA4C9E" w:rsidRDefault="00B2496D" w:rsidP="00C62747">
                  <w:pPr>
                    <w:rPr>
                      <w:rFonts w:ascii="Arial" w:hAnsi="Arial" w:cs="Arial"/>
                      <w:iCs/>
                      <w:sz w:val="20"/>
                      <w:szCs w:val="20"/>
                      <w:lang w:eastAsia="sl-SI"/>
                    </w:rPr>
                  </w:pPr>
                  <w:r w:rsidRPr="00EA4C9E">
                    <w:rPr>
                      <w:rFonts w:ascii="Arial" w:hAnsi="Arial" w:cs="Arial"/>
                      <w:iCs/>
                      <w:sz w:val="20"/>
                      <w:szCs w:val="20"/>
                      <w:lang w:eastAsia="sl-SI"/>
                    </w:rPr>
                    <w:t>25 %</w:t>
                  </w:r>
                </w:p>
              </w:tc>
            </w:tr>
            <w:tr w:rsidR="00B2496D" w:rsidRPr="0051776B" w14:paraId="65C5865D" w14:textId="4F3CB690" w:rsidTr="00A0217A">
              <w:trPr>
                <w:trHeight w:val="262"/>
              </w:trPr>
              <w:tc>
                <w:tcPr>
                  <w:tcW w:w="3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08" w:type="dxa"/>
                  </w:tcMar>
                  <w:hideMark/>
                </w:tcPr>
                <w:p w14:paraId="0E324A67" w14:textId="0549B9AD" w:rsidR="00B2496D" w:rsidRPr="00EA4C9E" w:rsidRDefault="00B2496D" w:rsidP="00C62747">
                  <w:pPr>
                    <w:rPr>
                      <w:rFonts w:ascii="Arial" w:hAnsi="Arial" w:cs="Arial"/>
                      <w:iCs/>
                      <w:sz w:val="20"/>
                      <w:szCs w:val="20"/>
                      <w:lang w:eastAsia="sl-SI"/>
                    </w:rPr>
                  </w:pPr>
                  <w:r w:rsidRPr="00EA4C9E">
                    <w:rPr>
                      <w:rFonts w:ascii="Arial" w:hAnsi="Arial" w:cs="Arial"/>
                      <w:iCs/>
                      <w:sz w:val="20"/>
                      <w:szCs w:val="20"/>
                      <w:lang w:eastAsia="sl-SI"/>
                    </w:rPr>
                    <w:t>Za katerokoli leto od leta 2030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08" w:type="dxa"/>
                  </w:tcMar>
                  <w:hideMark/>
                </w:tcPr>
                <w:p w14:paraId="3A5CFD67" w14:textId="5132ED7C" w:rsidR="00B2496D" w:rsidRPr="00EA4C9E" w:rsidRDefault="00B2496D" w:rsidP="00C62747">
                  <w:pPr>
                    <w:rPr>
                      <w:rFonts w:ascii="Arial" w:hAnsi="Arial" w:cs="Arial"/>
                      <w:iCs/>
                      <w:sz w:val="20"/>
                      <w:szCs w:val="20"/>
                      <w:lang w:eastAsia="sl-SI"/>
                    </w:rPr>
                  </w:pPr>
                  <w:r w:rsidRPr="00EA4C9E">
                    <w:rPr>
                      <w:rFonts w:ascii="Arial" w:hAnsi="Arial" w:cs="Arial"/>
                      <w:iCs/>
                      <w:sz w:val="20"/>
                      <w:szCs w:val="20"/>
                      <w:lang w:eastAsia="sl-SI"/>
                    </w:rPr>
                    <w:t>92 %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08" w:type="dxa"/>
                  </w:tcMar>
                  <w:hideMark/>
                </w:tcPr>
                <w:p w14:paraId="1C7223CC" w14:textId="4E69CF8C" w:rsidR="00B2496D" w:rsidRPr="00EA4C9E" w:rsidRDefault="00B2496D" w:rsidP="00C62747">
                  <w:pPr>
                    <w:rPr>
                      <w:rFonts w:ascii="Arial" w:hAnsi="Arial" w:cs="Arial"/>
                      <w:iCs/>
                      <w:sz w:val="20"/>
                      <w:szCs w:val="20"/>
                      <w:lang w:eastAsia="sl-SI"/>
                    </w:rPr>
                  </w:pPr>
                  <w:r w:rsidRPr="00EA4C9E">
                    <w:rPr>
                      <w:rFonts w:ascii="Arial" w:hAnsi="Arial" w:cs="Arial"/>
                      <w:iCs/>
                      <w:sz w:val="20"/>
                      <w:szCs w:val="20"/>
                      <w:lang w:eastAsia="sl-SI"/>
                    </w:rPr>
                    <w:t>65 %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08" w:type="dxa"/>
                  </w:tcMar>
                  <w:hideMark/>
                </w:tcPr>
                <w:p w14:paraId="61D4189B" w14:textId="1DFDD69D" w:rsidR="00B2496D" w:rsidRPr="00EA4C9E" w:rsidRDefault="00B2496D" w:rsidP="00C62747">
                  <w:pPr>
                    <w:rPr>
                      <w:rFonts w:ascii="Arial" w:hAnsi="Arial" w:cs="Arial"/>
                      <w:iCs/>
                      <w:sz w:val="20"/>
                      <w:szCs w:val="20"/>
                      <w:lang w:eastAsia="sl-SI"/>
                    </w:rPr>
                  </w:pPr>
                  <w:r w:rsidRPr="00EA4C9E">
                    <w:rPr>
                      <w:rFonts w:ascii="Arial" w:hAnsi="Arial" w:cs="Arial"/>
                      <w:iCs/>
                      <w:sz w:val="20"/>
                      <w:szCs w:val="20"/>
                      <w:lang w:eastAsia="sl-SI"/>
                    </w:rPr>
                    <w:t>53 %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08" w:type="dxa"/>
                  </w:tcMar>
                  <w:hideMark/>
                </w:tcPr>
                <w:p w14:paraId="20C0E7CC" w14:textId="760B016E" w:rsidR="00B2496D" w:rsidRPr="00EA4C9E" w:rsidRDefault="00B2496D" w:rsidP="00C62747">
                  <w:pPr>
                    <w:rPr>
                      <w:rFonts w:ascii="Arial" w:hAnsi="Arial" w:cs="Arial"/>
                      <w:iCs/>
                      <w:sz w:val="20"/>
                      <w:szCs w:val="20"/>
                      <w:lang w:eastAsia="sl-SI"/>
                    </w:rPr>
                  </w:pPr>
                  <w:r w:rsidRPr="00EA4C9E">
                    <w:rPr>
                      <w:rFonts w:ascii="Arial" w:hAnsi="Arial" w:cs="Arial"/>
                      <w:iCs/>
                      <w:sz w:val="20"/>
                      <w:szCs w:val="20"/>
                      <w:lang w:eastAsia="sl-SI"/>
                    </w:rPr>
                    <w:t>15 %</w:t>
                  </w:r>
                </w:p>
              </w:tc>
              <w:tc>
                <w:tcPr>
                  <w:tcW w:w="1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08" w:type="dxa"/>
                  </w:tcMar>
                  <w:hideMark/>
                </w:tcPr>
                <w:p w14:paraId="23894FC2" w14:textId="618F3DA4" w:rsidR="00B2496D" w:rsidRPr="00EA4C9E" w:rsidRDefault="00B2496D" w:rsidP="00C62747">
                  <w:pPr>
                    <w:rPr>
                      <w:rFonts w:ascii="Arial" w:hAnsi="Arial" w:cs="Arial"/>
                      <w:iCs/>
                      <w:sz w:val="20"/>
                      <w:szCs w:val="20"/>
                      <w:lang w:eastAsia="sl-SI"/>
                    </w:rPr>
                  </w:pPr>
                  <w:r w:rsidRPr="00EA4C9E">
                    <w:rPr>
                      <w:rFonts w:ascii="Arial" w:hAnsi="Arial" w:cs="Arial"/>
                      <w:iCs/>
                      <w:sz w:val="20"/>
                      <w:szCs w:val="20"/>
                      <w:lang w:eastAsia="sl-SI"/>
                    </w:rPr>
                    <w:t>60 %</w:t>
                  </w:r>
                </w:p>
              </w:tc>
            </w:tr>
          </w:tbl>
          <w:p w14:paraId="2574B2E2" w14:textId="3008CED9" w:rsidR="005D1966" w:rsidRDefault="005D1966" w:rsidP="0097453D">
            <w:pPr>
              <w:pStyle w:val="Neotevilenodstavek"/>
              <w:spacing w:before="40" w:afterLines="40" w:after="96" w:line="260" w:lineRule="atLeast"/>
              <w:rPr>
                <w:iCs/>
                <w:sz w:val="20"/>
                <w:szCs w:val="20"/>
              </w:rPr>
            </w:pPr>
            <w:r>
              <w:rPr>
                <w:iCs/>
                <w:sz w:val="20"/>
                <w:szCs w:val="20"/>
              </w:rPr>
              <w:t>Ob tem je potrebno poudariti, da se je promet od leta 2005</w:t>
            </w:r>
            <w:r w:rsidR="00D8028D">
              <w:rPr>
                <w:iCs/>
                <w:sz w:val="20"/>
                <w:szCs w:val="20"/>
              </w:rPr>
              <w:t xml:space="preserve">, ki je bazično leto za ugotavljanje izpolnjevanja okoljskih ciljev, </w:t>
            </w:r>
            <w:r>
              <w:rPr>
                <w:iCs/>
                <w:sz w:val="20"/>
                <w:szCs w:val="20"/>
              </w:rPr>
              <w:t xml:space="preserve">do danes na nekaterih odsekih podvojil, do leta 2030 pa </w:t>
            </w:r>
            <w:r w:rsidR="00D8028D">
              <w:rPr>
                <w:iCs/>
                <w:sz w:val="20"/>
                <w:szCs w:val="20"/>
              </w:rPr>
              <w:t xml:space="preserve">se </w:t>
            </w:r>
            <w:r>
              <w:rPr>
                <w:iCs/>
                <w:sz w:val="20"/>
                <w:szCs w:val="20"/>
              </w:rPr>
              <w:t xml:space="preserve">pričakuje rast tovornega prometa med 60 </w:t>
            </w:r>
            <w:r w:rsidR="004C680F">
              <w:rPr>
                <w:iCs/>
                <w:sz w:val="20"/>
                <w:szCs w:val="20"/>
              </w:rPr>
              <w:t xml:space="preserve">in </w:t>
            </w:r>
            <w:r>
              <w:rPr>
                <w:iCs/>
                <w:sz w:val="20"/>
                <w:szCs w:val="20"/>
              </w:rPr>
              <w:t>80</w:t>
            </w:r>
            <w:r w:rsidR="004C680F">
              <w:rPr>
                <w:iCs/>
                <w:sz w:val="20"/>
                <w:szCs w:val="20"/>
              </w:rPr>
              <w:t xml:space="preserve"> </w:t>
            </w:r>
            <w:r w:rsidR="0010565C">
              <w:rPr>
                <w:iCs/>
                <w:sz w:val="20"/>
                <w:szCs w:val="20"/>
              </w:rPr>
              <w:t xml:space="preserve">odstotkov </w:t>
            </w:r>
            <w:r w:rsidR="00427C67">
              <w:rPr>
                <w:iCs/>
                <w:sz w:val="20"/>
                <w:szCs w:val="20"/>
              </w:rPr>
              <w:t>glede na leto 2014</w:t>
            </w:r>
            <w:r w:rsidR="009C3000">
              <w:rPr>
                <w:iCs/>
                <w:sz w:val="20"/>
                <w:szCs w:val="20"/>
              </w:rPr>
              <w:t xml:space="preserve"> in</w:t>
            </w:r>
            <w:r>
              <w:rPr>
                <w:iCs/>
                <w:sz w:val="20"/>
                <w:szCs w:val="20"/>
              </w:rPr>
              <w:t xml:space="preserve"> </w:t>
            </w:r>
            <w:r w:rsidR="00427C67">
              <w:rPr>
                <w:iCs/>
                <w:sz w:val="20"/>
                <w:szCs w:val="20"/>
              </w:rPr>
              <w:t xml:space="preserve">osebnega </w:t>
            </w:r>
            <w:r>
              <w:rPr>
                <w:iCs/>
                <w:sz w:val="20"/>
                <w:szCs w:val="20"/>
              </w:rPr>
              <w:t xml:space="preserve">potniškega </w:t>
            </w:r>
            <w:r w:rsidR="009C3000">
              <w:rPr>
                <w:iCs/>
                <w:sz w:val="20"/>
                <w:szCs w:val="20"/>
              </w:rPr>
              <w:t xml:space="preserve">prometa za </w:t>
            </w:r>
            <w:r>
              <w:rPr>
                <w:iCs/>
                <w:sz w:val="20"/>
                <w:szCs w:val="20"/>
              </w:rPr>
              <w:t>30</w:t>
            </w:r>
            <w:r w:rsidR="004C680F">
              <w:rPr>
                <w:iCs/>
                <w:sz w:val="20"/>
                <w:szCs w:val="20"/>
              </w:rPr>
              <w:t> </w:t>
            </w:r>
            <w:r w:rsidR="0010565C">
              <w:rPr>
                <w:iCs/>
                <w:sz w:val="20"/>
                <w:szCs w:val="20"/>
              </w:rPr>
              <w:t>odstotkov.</w:t>
            </w:r>
            <w:r w:rsidR="00774B7B">
              <w:rPr>
                <w:iCs/>
                <w:sz w:val="20"/>
                <w:szCs w:val="20"/>
              </w:rPr>
              <w:t xml:space="preserve"> V Sloveniji je registriranih 1,1 milijona osebnih avtomobilov s katerimi </w:t>
            </w:r>
            <w:r w:rsidR="00D8028D">
              <w:rPr>
                <w:iCs/>
                <w:sz w:val="20"/>
                <w:szCs w:val="20"/>
              </w:rPr>
              <w:t xml:space="preserve">se </w:t>
            </w:r>
            <w:r w:rsidR="00774B7B">
              <w:rPr>
                <w:iCs/>
                <w:sz w:val="20"/>
                <w:szCs w:val="20"/>
              </w:rPr>
              <w:t>prevozi letno 1</w:t>
            </w:r>
            <w:r w:rsidR="00C477EA">
              <w:rPr>
                <w:iCs/>
                <w:sz w:val="20"/>
                <w:szCs w:val="20"/>
              </w:rPr>
              <w:t>8</w:t>
            </w:r>
            <w:r w:rsidR="00774B7B">
              <w:rPr>
                <w:iCs/>
                <w:sz w:val="20"/>
                <w:szCs w:val="20"/>
              </w:rPr>
              <w:t xml:space="preserve"> milijard km</w:t>
            </w:r>
            <w:r w:rsidR="00C477EA">
              <w:rPr>
                <w:iCs/>
                <w:sz w:val="20"/>
                <w:szCs w:val="20"/>
              </w:rPr>
              <w:t xml:space="preserve"> </w:t>
            </w:r>
            <w:r w:rsidR="00C477EA" w:rsidRPr="00C477EA">
              <w:rPr>
                <w:iCs/>
                <w:sz w:val="20"/>
                <w:szCs w:val="20"/>
              </w:rPr>
              <w:t>(</w:t>
            </w:r>
            <w:r w:rsidR="00C477EA" w:rsidRPr="00C477EA">
              <w:rPr>
                <w:sz w:val="20"/>
                <w:szCs w:val="20"/>
              </w:rPr>
              <w:t>https://www.stat.si/StatWeb/sl/News/Index/7297)</w:t>
            </w:r>
            <w:r w:rsidR="00774B7B" w:rsidRPr="00C477EA">
              <w:rPr>
                <w:iCs/>
                <w:sz w:val="20"/>
                <w:szCs w:val="20"/>
              </w:rPr>
              <w:t>.</w:t>
            </w:r>
            <w:r w:rsidR="00774B7B">
              <w:rPr>
                <w:iCs/>
                <w:sz w:val="20"/>
                <w:szCs w:val="20"/>
              </w:rPr>
              <w:t xml:space="preserve"> </w:t>
            </w:r>
            <w:r w:rsidR="00D8028D">
              <w:rPr>
                <w:iCs/>
                <w:sz w:val="20"/>
                <w:szCs w:val="20"/>
              </w:rPr>
              <w:t xml:space="preserve">Po podatkih SURS je samo </w:t>
            </w:r>
            <w:r w:rsidR="00774B7B">
              <w:rPr>
                <w:iCs/>
                <w:sz w:val="20"/>
                <w:szCs w:val="20"/>
              </w:rPr>
              <w:t>v vsakem tretjem vozilu tudi potnik.</w:t>
            </w:r>
          </w:p>
          <w:p w14:paraId="08FF4CAA" w14:textId="2DA24B1F" w:rsidR="00B2496D" w:rsidRDefault="00514BB8" w:rsidP="0097453D">
            <w:pPr>
              <w:pStyle w:val="Neotevilenodstavek"/>
              <w:spacing w:before="40" w:afterLines="40" w:after="96" w:line="260" w:lineRule="atLeast"/>
              <w:rPr>
                <w:iCs/>
                <w:sz w:val="20"/>
                <w:szCs w:val="20"/>
              </w:rPr>
            </w:pPr>
            <w:r>
              <w:rPr>
                <w:iCs/>
                <w:sz w:val="20"/>
                <w:szCs w:val="20"/>
              </w:rPr>
              <w:t>Če želi</w:t>
            </w:r>
            <w:r w:rsidR="00D8028D">
              <w:rPr>
                <w:iCs/>
                <w:sz w:val="20"/>
                <w:szCs w:val="20"/>
              </w:rPr>
              <w:t xml:space="preserve"> Slovenija</w:t>
            </w:r>
            <w:r>
              <w:rPr>
                <w:iCs/>
                <w:sz w:val="20"/>
                <w:szCs w:val="20"/>
              </w:rPr>
              <w:t xml:space="preserve"> do leta 2030 doseči </w:t>
            </w:r>
            <w:r w:rsidR="00427C67">
              <w:rPr>
                <w:iCs/>
                <w:sz w:val="20"/>
                <w:szCs w:val="20"/>
              </w:rPr>
              <w:t xml:space="preserve">okoljske </w:t>
            </w:r>
            <w:r>
              <w:rPr>
                <w:iCs/>
                <w:sz w:val="20"/>
                <w:szCs w:val="20"/>
              </w:rPr>
              <w:t>cilje, mora poleg ukrepov z</w:t>
            </w:r>
            <w:r w:rsidR="00774B7B">
              <w:rPr>
                <w:iCs/>
                <w:sz w:val="20"/>
                <w:szCs w:val="20"/>
              </w:rPr>
              <w:t>a</w:t>
            </w:r>
            <w:r>
              <w:rPr>
                <w:iCs/>
                <w:sz w:val="20"/>
                <w:szCs w:val="20"/>
              </w:rPr>
              <w:t xml:space="preserve"> </w:t>
            </w:r>
            <w:r w:rsidR="00AD3456">
              <w:rPr>
                <w:iCs/>
                <w:sz w:val="20"/>
                <w:szCs w:val="20"/>
              </w:rPr>
              <w:t>i</w:t>
            </w:r>
            <w:r>
              <w:rPr>
                <w:iCs/>
                <w:sz w:val="20"/>
                <w:szCs w:val="20"/>
              </w:rPr>
              <w:t xml:space="preserve">zboljšanje javnega potniškega prometa </w:t>
            </w:r>
            <w:r w:rsidR="00774B7B">
              <w:rPr>
                <w:iCs/>
                <w:sz w:val="20"/>
                <w:szCs w:val="20"/>
              </w:rPr>
              <w:t xml:space="preserve">in ukrepov trajnostne mobilnosti </w:t>
            </w:r>
            <w:r>
              <w:rPr>
                <w:iCs/>
                <w:sz w:val="20"/>
                <w:szCs w:val="20"/>
              </w:rPr>
              <w:t>na področju alternativnih goriv zagotoviti, da bo v strukturi</w:t>
            </w:r>
            <w:r w:rsidR="00580CB1">
              <w:rPr>
                <w:iCs/>
                <w:sz w:val="20"/>
                <w:szCs w:val="20"/>
              </w:rPr>
              <w:t xml:space="preserve"> voznega parka</w:t>
            </w:r>
            <w:r>
              <w:rPr>
                <w:iCs/>
                <w:sz w:val="20"/>
                <w:szCs w:val="20"/>
              </w:rPr>
              <w:t xml:space="preserve"> osebnih vozil vsaj </w:t>
            </w:r>
            <w:r w:rsidR="009C3000">
              <w:rPr>
                <w:iCs/>
                <w:sz w:val="20"/>
                <w:szCs w:val="20"/>
              </w:rPr>
              <w:t>17</w:t>
            </w:r>
            <w:r w:rsidR="004C680F">
              <w:rPr>
                <w:iCs/>
                <w:sz w:val="20"/>
                <w:szCs w:val="20"/>
              </w:rPr>
              <w:t> </w:t>
            </w:r>
            <w:r w:rsidR="0010565C">
              <w:rPr>
                <w:iCs/>
                <w:sz w:val="20"/>
                <w:szCs w:val="20"/>
              </w:rPr>
              <w:t xml:space="preserve">odstotkov </w:t>
            </w:r>
            <w:r>
              <w:rPr>
                <w:iCs/>
                <w:sz w:val="20"/>
                <w:szCs w:val="20"/>
              </w:rPr>
              <w:t>električnih vozil oz. priključnih hibridov (skupaj skoraj 200.000 vozil)</w:t>
            </w:r>
            <w:r w:rsidR="00D35840">
              <w:rPr>
                <w:iCs/>
                <w:sz w:val="20"/>
                <w:szCs w:val="20"/>
              </w:rPr>
              <w:t>, 12</w:t>
            </w:r>
            <w:r w:rsidR="004C680F">
              <w:rPr>
                <w:iCs/>
                <w:sz w:val="20"/>
                <w:szCs w:val="20"/>
              </w:rPr>
              <w:t> </w:t>
            </w:r>
            <w:r w:rsidR="00D35840">
              <w:rPr>
                <w:iCs/>
                <w:sz w:val="20"/>
                <w:szCs w:val="20"/>
              </w:rPr>
              <w:t>% električnih lahkih tovornih vozil (11.000 v</w:t>
            </w:r>
            <w:r w:rsidR="00F46526">
              <w:rPr>
                <w:iCs/>
                <w:sz w:val="20"/>
                <w:szCs w:val="20"/>
              </w:rPr>
              <w:t>ozil), tretjina vseh avtobusov n</w:t>
            </w:r>
            <w:r w:rsidR="00D35840">
              <w:rPr>
                <w:iCs/>
                <w:sz w:val="20"/>
                <w:szCs w:val="20"/>
              </w:rPr>
              <w:t>a stisnjen zemeljski plin (1.150 avtobusov)</w:t>
            </w:r>
            <w:r w:rsidR="001178F9">
              <w:rPr>
                <w:iCs/>
                <w:sz w:val="20"/>
                <w:szCs w:val="20"/>
              </w:rPr>
              <w:t xml:space="preserve"> in skoraj 12</w:t>
            </w:r>
            <w:r w:rsidR="004C680F">
              <w:rPr>
                <w:iCs/>
                <w:sz w:val="20"/>
                <w:szCs w:val="20"/>
              </w:rPr>
              <w:t> </w:t>
            </w:r>
            <w:r w:rsidR="0010565C">
              <w:rPr>
                <w:iCs/>
                <w:sz w:val="20"/>
                <w:szCs w:val="20"/>
              </w:rPr>
              <w:t xml:space="preserve">odstotkov </w:t>
            </w:r>
            <w:r w:rsidR="001178F9">
              <w:rPr>
                <w:iCs/>
                <w:sz w:val="20"/>
                <w:szCs w:val="20"/>
              </w:rPr>
              <w:t>težkih tovornih vozil (dobrih 4.300 vozil) na utekočinjen zemeljski plin.</w:t>
            </w:r>
            <w:r w:rsidR="00774B7B">
              <w:rPr>
                <w:iCs/>
                <w:sz w:val="20"/>
                <w:szCs w:val="20"/>
              </w:rPr>
              <w:t xml:space="preserve"> Pomembno </w:t>
            </w:r>
            <w:r w:rsidR="00955418">
              <w:rPr>
                <w:iCs/>
                <w:sz w:val="20"/>
                <w:szCs w:val="20"/>
              </w:rPr>
              <w:t xml:space="preserve">ukrep </w:t>
            </w:r>
            <w:r w:rsidR="00774B7B">
              <w:rPr>
                <w:iCs/>
                <w:sz w:val="20"/>
                <w:szCs w:val="20"/>
              </w:rPr>
              <w:t xml:space="preserve">pa </w:t>
            </w:r>
            <w:r w:rsidR="00955418">
              <w:rPr>
                <w:iCs/>
                <w:sz w:val="20"/>
                <w:szCs w:val="20"/>
              </w:rPr>
              <w:t xml:space="preserve">je, da </w:t>
            </w:r>
            <w:r w:rsidR="00774B7B">
              <w:rPr>
                <w:iCs/>
                <w:sz w:val="20"/>
                <w:szCs w:val="20"/>
              </w:rPr>
              <w:t>se zmanjša</w:t>
            </w:r>
            <w:r w:rsidR="00955418">
              <w:rPr>
                <w:iCs/>
                <w:sz w:val="20"/>
                <w:szCs w:val="20"/>
              </w:rPr>
              <w:t xml:space="preserve"> število potovanj z osebnimi </w:t>
            </w:r>
            <w:r w:rsidR="00774B7B">
              <w:rPr>
                <w:iCs/>
                <w:sz w:val="20"/>
                <w:szCs w:val="20"/>
              </w:rPr>
              <w:t>vozil</w:t>
            </w:r>
            <w:r w:rsidR="00955418">
              <w:rPr>
                <w:iCs/>
                <w:sz w:val="20"/>
                <w:szCs w:val="20"/>
              </w:rPr>
              <w:t>i in se te poti opravijo peš, s kolesom ali z javnim prevozom.</w:t>
            </w:r>
          </w:p>
          <w:p w14:paraId="6358E725" w14:textId="30770869" w:rsidR="005261A2" w:rsidRDefault="009C3000" w:rsidP="0097453D">
            <w:pPr>
              <w:pStyle w:val="Neotevilenodstavek"/>
              <w:spacing w:before="40" w:afterLines="40" w:after="96" w:line="260" w:lineRule="atLeast"/>
              <w:rPr>
                <w:iCs/>
                <w:sz w:val="20"/>
                <w:szCs w:val="20"/>
              </w:rPr>
            </w:pPr>
            <w:r>
              <w:rPr>
                <w:iCs/>
                <w:sz w:val="20"/>
                <w:szCs w:val="20"/>
              </w:rPr>
              <w:t>Povečevanju števila vozil na alternativna goriva</w:t>
            </w:r>
            <w:r w:rsidR="00051526">
              <w:rPr>
                <w:iCs/>
                <w:sz w:val="20"/>
                <w:szCs w:val="20"/>
              </w:rPr>
              <w:t xml:space="preserve"> bo morala slediti tudi polnilna infrastruktura, in sicer </w:t>
            </w:r>
            <w:r w:rsidR="00EC5D92">
              <w:rPr>
                <w:iCs/>
                <w:sz w:val="20"/>
                <w:szCs w:val="20"/>
              </w:rPr>
              <w:t xml:space="preserve">se predvideva, da bomo </w:t>
            </w:r>
            <w:r w:rsidR="00051526">
              <w:rPr>
                <w:iCs/>
                <w:sz w:val="20"/>
                <w:szCs w:val="20"/>
              </w:rPr>
              <w:t xml:space="preserve">v </w:t>
            </w:r>
            <w:r w:rsidR="002D5E09">
              <w:rPr>
                <w:iCs/>
                <w:sz w:val="20"/>
                <w:szCs w:val="20"/>
              </w:rPr>
              <w:t xml:space="preserve">letu </w:t>
            </w:r>
            <w:r w:rsidR="00051526">
              <w:rPr>
                <w:iCs/>
                <w:sz w:val="20"/>
                <w:szCs w:val="20"/>
              </w:rPr>
              <w:t>2020, potrebovali:</w:t>
            </w:r>
          </w:p>
          <w:tbl>
            <w:tblPr>
              <w:tblW w:w="2910" w:type="pct"/>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1416"/>
              <w:gridCol w:w="2029"/>
            </w:tblGrid>
            <w:tr w:rsidR="00E470BE" w:rsidRPr="0051776B" w14:paraId="687B7BF0" w14:textId="40356381" w:rsidTr="00505797">
              <w:trPr>
                <w:trHeight w:val="283"/>
              </w:trPr>
              <w:tc>
                <w:tcPr>
                  <w:tcW w:w="1891" w:type="pct"/>
                  <w:tcBorders>
                    <w:top w:val="single" w:sz="4" w:space="0" w:color="auto"/>
                  </w:tcBorders>
                  <w:shd w:val="clear" w:color="auto" w:fill="B4C6E7" w:themeFill="accent5" w:themeFillTint="66"/>
                  <w:noWrap/>
                  <w:vAlign w:val="bottom"/>
                </w:tcPr>
                <w:p w14:paraId="3238BF04" w14:textId="618A658E" w:rsidR="00E470BE" w:rsidRPr="00EA4C9E" w:rsidRDefault="00E470BE" w:rsidP="006E4F1C">
                  <w:pPr>
                    <w:rPr>
                      <w:rFonts w:ascii="Arial" w:hAnsi="Arial" w:cs="Arial"/>
                      <w:iCs/>
                      <w:sz w:val="20"/>
                      <w:szCs w:val="20"/>
                      <w:lang w:eastAsia="sl-SI"/>
                    </w:rPr>
                  </w:pPr>
                </w:p>
              </w:tc>
              <w:tc>
                <w:tcPr>
                  <w:tcW w:w="1278" w:type="pct"/>
                  <w:shd w:val="clear" w:color="auto" w:fill="B4C6E7" w:themeFill="accent5" w:themeFillTint="66"/>
                  <w:noWrap/>
                  <w:vAlign w:val="bottom"/>
                </w:tcPr>
                <w:p w14:paraId="4604C668" w14:textId="63D46F6B" w:rsidR="00E470BE" w:rsidRPr="00EA4C9E" w:rsidRDefault="00E470BE" w:rsidP="001B63EC">
                  <w:pPr>
                    <w:jc w:val="right"/>
                    <w:rPr>
                      <w:rFonts w:ascii="Arial" w:hAnsi="Arial" w:cs="Arial"/>
                      <w:iCs/>
                      <w:sz w:val="20"/>
                      <w:szCs w:val="20"/>
                      <w:lang w:eastAsia="sl-SI"/>
                    </w:rPr>
                  </w:pPr>
                  <w:r>
                    <w:rPr>
                      <w:rFonts w:ascii="Arial" w:hAnsi="Arial" w:cs="Arial"/>
                      <w:iCs/>
                      <w:sz w:val="20"/>
                      <w:szCs w:val="20"/>
                      <w:lang w:eastAsia="sl-SI"/>
                    </w:rPr>
                    <w:t>201</w:t>
                  </w:r>
                  <w:r w:rsidR="008858A5">
                    <w:rPr>
                      <w:rFonts w:ascii="Arial" w:hAnsi="Arial" w:cs="Arial"/>
                      <w:iCs/>
                      <w:sz w:val="20"/>
                      <w:szCs w:val="20"/>
                      <w:lang w:eastAsia="sl-SI"/>
                    </w:rPr>
                    <w:t>8</w:t>
                  </w:r>
                </w:p>
              </w:tc>
              <w:tc>
                <w:tcPr>
                  <w:tcW w:w="1831" w:type="pct"/>
                  <w:shd w:val="clear" w:color="auto" w:fill="B4C6E7" w:themeFill="accent5" w:themeFillTint="66"/>
                  <w:noWrap/>
                  <w:vAlign w:val="center"/>
                </w:tcPr>
                <w:p w14:paraId="403C6856" w14:textId="4A2673CD" w:rsidR="00E470BE" w:rsidRPr="00EA4C9E" w:rsidRDefault="00E470BE" w:rsidP="001B63EC">
                  <w:pPr>
                    <w:jc w:val="right"/>
                    <w:rPr>
                      <w:rFonts w:ascii="Arial" w:hAnsi="Arial" w:cs="Arial"/>
                      <w:iCs/>
                      <w:sz w:val="20"/>
                      <w:szCs w:val="20"/>
                      <w:lang w:eastAsia="sl-SI"/>
                    </w:rPr>
                  </w:pPr>
                  <w:r>
                    <w:rPr>
                      <w:rFonts w:ascii="Arial" w:hAnsi="Arial" w:cs="Arial"/>
                      <w:iCs/>
                      <w:sz w:val="20"/>
                      <w:szCs w:val="20"/>
                      <w:lang w:eastAsia="sl-SI"/>
                    </w:rPr>
                    <w:t>2020</w:t>
                  </w:r>
                </w:p>
              </w:tc>
            </w:tr>
            <w:tr w:rsidR="00E470BE" w:rsidRPr="0051776B" w14:paraId="1C30C4D4" w14:textId="0120641E" w:rsidTr="00505797">
              <w:trPr>
                <w:trHeight w:val="283"/>
              </w:trPr>
              <w:tc>
                <w:tcPr>
                  <w:tcW w:w="1891" w:type="pct"/>
                  <w:tcBorders>
                    <w:top w:val="single" w:sz="4" w:space="0" w:color="auto"/>
                  </w:tcBorders>
                  <w:shd w:val="clear" w:color="auto" w:fill="auto"/>
                  <w:noWrap/>
                  <w:vAlign w:val="bottom"/>
                  <w:hideMark/>
                </w:tcPr>
                <w:p w14:paraId="644E9814" w14:textId="6ABFFDD0" w:rsidR="00E470BE" w:rsidRPr="00EA4C9E" w:rsidRDefault="00E470BE" w:rsidP="006E4F1C">
                  <w:pPr>
                    <w:rPr>
                      <w:rFonts w:ascii="Arial" w:hAnsi="Arial" w:cs="Arial"/>
                      <w:iCs/>
                      <w:sz w:val="20"/>
                      <w:szCs w:val="20"/>
                      <w:lang w:eastAsia="sl-SI"/>
                    </w:rPr>
                  </w:pPr>
                  <w:r w:rsidRPr="00EA4C9E">
                    <w:rPr>
                      <w:rFonts w:ascii="Arial" w:hAnsi="Arial" w:cs="Arial"/>
                      <w:iCs/>
                      <w:sz w:val="20"/>
                      <w:szCs w:val="20"/>
                      <w:lang w:eastAsia="sl-SI"/>
                    </w:rPr>
                    <w:t>Polnilnice za EV</w:t>
                  </w:r>
                </w:p>
              </w:tc>
              <w:tc>
                <w:tcPr>
                  <w:tcW w:w="1278" w:type="pct"/>
                  <w:shd w:val="clear" w:color="auto" w:fill="auto"/>
                  <w:noWrap/>
                  <w:vAlign w:val="bottom"/>
                  <w:hideMark/>
                </w:tcPr>
                <w:p w14:paraId="362D14B4" w14:textId="7709EF57" w:rsidR="00E470BE" w:rsidRPr="00EA4C9E" w:rsidRDefault="00917AD3" w:rsidP="002A191D">
                  <w:pPr>
                    <w:jc w:val="right"/>
                    <w:rPr>
                      <w:rFonts w:ascii="Arial" w:hAnsi="Arial" w:cs="Arial"/>
                      <w:iCs/>
                      <w:sz w:val="20"/>
                      <w:szCs w:val="20"/>
                      <w:lang w:eastAsia="sl-SI"/>
                    </w:rPr>
                  </w:pPr>
                  <w:r>
                    <w:rPr>
                      <w:rFonts w:ascii="Arial" w:hAnsi="Arial" w:cs="Arial"/>
                      <w:iCs/>
                      <w:sz w:val="20"/>
                      <w:szCs w:val="20"/>
                      <w:lang w:eastAsia="sl-SI"/>
                    </w:rPr>
                    <w:t>3</w:t>
                  </w:r>
                  <w:r w:rsidR="002A191D">
                    <w:rPr>
                      <w:rFonts w:ascii="Arial" w:hAnsi="Arial" w:cs="Arial"/>
                      <w:iCs/>
                      <w:sz w:val="20"/>
                      <w:szCs w:val="20"/>
                      <w:lang w:eastAsia="sl-SI"/>
                    </w:rPr>
                    <w:t>28</w:t>
                  </w:r>
                </w:p>
              </w:tc>
              <w:tc>
                <w:tcPr>
                  <w:tcW w:w="1831" w:type="pct"/>
                  <w:shd w:val="clear" w:color="auto" w:fill="auto"/>
                  <w:noWrap/>
                  <w:vAlign w:val="center"/>
                  <w:hideMark/>
                </w:tcPr>
                <w:p w14:paraId="7A800445" w14:textId="6D340E95" w:rsidR="00E470BE" w:rsidRPr="00EA4C9E" w:rsidRDefault="00E470BE" w:rsidP="001B63EC">
                  <w:pPr>
                    <w:jc w:val="right"/>
                    <w:rPr>
                      <w:rFonts w:ascii="Arial" w:hAnsi="Arial" w:cs="Arial"/>
                      <w:iCs/>
                      <w:sz w:val="20"/>
                      <w:szCs w:val="20"/>
                      <w:lang w:eastAsia="sl-SI"/>
                    </w:rPr>
                  </w:pPr>
                  <w:r w:rsidRPr="00EA4C9E">
                    <w:rPr>
                      <w:rFonts w:ascii="Arial" w:hAnsi="Arial" w:cs="Arial"/>
                      <w:iCs/>
                      <w:sz w:val="20"/>
                      <w:szCs w:val="20"/>
                      <w:lang w:eastAsia="sl-SI"/>
                    </w:rPr>
                    <w:t>1.200</w:t>
                  </w:r>
                </w:p>
              </w:tc>
            </w:tr>
            <w:tr w:rsidR="00E470BE" w:rsidRPr="0051776B" w14:paraId="1256FB94" w14:textId="29C72B86" w:rsidTr="00505797">
              <w:trPr>
                <w:trHeight w:val="283"/>
              </w:trPr>
              <w:tc>
                <w:tcPr>
                  <w:tcW w:w="1891" w:type="pct"/>
                  <w:shd w:val="clear" w:color="auto" w:fill="auto"/>
                  <w:noWrap/>
                  <w:vAlign w:val="bottom"/>
                  <w:hideMark/>
                </w:tcPr>
                <w:p w14:paraId="15FBB2F0" w14:textId="645F75B0" w:rsidR="00E470BE" w:rsidRPr="00EA4C9E" w:rsidRDefault="00E470BE" w:rsidP="006E4F1C">
                  <w:pPr>
                    <w:rPr>
                      <w:rFonts w:ascii="Arial" w:hAnsi="Arial" w:cs="Arial"/>
                      <w:iCs/>
                      <w:sz w:val="20"/>
                      <w:szCs w:val="20"/>
                      <w:lang w:eastAsia="sl-SI"/>
                    </w:rPr>
                  </w:pPr>
                  <w:r w:rsidRPr="00EA4C9E">
                    <w:rPr>
                      <w:rFonts w:ascii="Arial" w:hAnsi="Arial" w:cs="Arial"/>
                      <w:iCs/>
                      <w:sz w:val="20"/>
                      <w:szCs w:val="20"/>
                      <w:lang w:eastAsia="sl-SI"/>
                    </w:rPr>
                    <w:t>Polnilnice za SZP</w:t>
                  </w:r>
                </w:p>
              </w:tc>
              <w:tc>
                <w:tcPr>
                  <w:tcW w:w="1278" w:type="pct"/>
                  <w:shd w:val="clear" w:color="auto" w:fill="auto"/>
                  <w:noWrap/>
                  <w:vAlign w:val="bottom"/>
                  <w:hideMark/>
                </w:tcPr>
                <w:p w14:paraId="740C6452" w14:textId="5F4549AD" w:rsidR="00E470BE" w:rsidRPr="00EA4C9E" w:rsidRDefault="00E470BE" w:rsidP="001B63EC">
                  <w:pPr>
                    <w:jc w:val="right"/>
                    <w:rPr>
                      <w:rFonts w:ascii="Arial" w:hAnsi="Arial" w:cs="Arial"/>
                      <w:iCs/>
                      <w:sz w:val="20"/>
                      <w:szCs w:val="20"/>
                      <w:lang w:eastAsia="sl-SI"/>
                    </w:rPr>
                  </w:pPr>
                  <w:r w:rsidRPr="00EA4C9E">
                    <w:rPr>
                      <w:rFonts w:ascii="Arial" w:hAnsi="Arial" w:cs="Arial"/>
                      <w:iCs/>
                      <w:sz w:val="20"/>
                      <w:szCs w:val="20"/>
                      <w:lang w:eastAsia="sl-SI"/>
                    </w:rPr>
                    <w:t>4</w:t>
                  </w:r>
                </w:p>
              </w:tc>
              <w:tc>
                <w:tcPr>
                  <w:tcW w:w="1831" w:type="pct"/>
                  <w:shd w:val="clear" w:color="auto" w:fill="auto"/>
                  <w:noWrap/>
                  <w:vAlign w:val="center"/>
                  <w:hideMark/>
                </w:tcPr>
                <w:p w14:paraId="1A719467" w14:textId="1EB1E5BC" w:rsidR="00E470BE" w:rsidRPr="00EA4C9E" w:rsidRDefault="00E470BE" w:rsidP="001B63EC">
                  <w:pPr>
                    <w:jc w:val="right"/>
                    <w:rPr>
                      <w:rFonts w:ascii="Arial" w:hAnsi="Arial" w:cs="Arial"/>
                      <w:iCs/>
                      <w:sz w:val="20"/>
                      <w:szCs w:val="20"/>
                      <w:lang w:eastAsia="sl-SI"/>
                    </w:rPr>
                  </w:pPr>
                  <w:r w:rsidRPr="00EA4C9E">
                    <w:rPr>
                      <w:rFonts w:ascii="Arial" w:hAnsi="Arial" w:cs="Arial"/>
                      <w:iCs/>
                      <w:sz w:val="20"/>
                      <w:szCs w:val="20"/>
                      <w:lang w:eastAsia="sl-SI"/>
                    </w:rPr>
                    <w:t>14 (12</w:t>
                  </w:r>
                  <w:r w:rsidRPr="00A0217A">
                    <w:rPr>
                      <w:rFonts w:ascii="Arial" w:hAnsi="Arial" w:cs="Arial"/>
                      <w:iCs/>
                      <w:sz w:val="20"/>
                      <w:szCs w:val="20"/>
                      <w:vertAlign w:val="superscript"/>
                      <w:lang w:eastAsia="sl-SI"/>
                    </w:rPr>
                    <w:t>1</w:t>
                  </w:r>
                  <w:r w:rsidRPr="00EA4C9E">
                    <w:rPr>
                      <w:rFonts w:ascii="Arial" w:hAnsi="Arial" w:cs="Arial"/>
                      <w:iCs/>
                      <w:sz w:val="20"/>
                      <w:szCs w:val="20"/>
                      <w:lang w:eastAsia="sl-SI"/>
                    </w:rPr>
                    <w:t xml:space="preserve">) </w:t>
                  </w:r>
                </w:p>
              </w:tc>
            </w:tr>
            <w:tr w:rsidR="00E470BE" w:rsidRPr="0051776B" w14:paraId="7CB5247F" w14:textId="7B4DCD31" w:rsidTr="00505797">
              <w:trPr>
                <w:trHeight w:val="283"/>
              </w:trPr>
              <w:tc>
                <w:tcPr>
                  <w:tcW w:w="1891" w:type="pct"/>
                  <w:shd w:val="clear" w:color="auto" w:fill="auto"/>
                  <w:noWrap/>
                  <w:vAlign w:val="bottom"/>
                  <w:hideMark/>
                </w:tcPr>
                <w:p w14:paraId="2DFE0D2C" w14:textId="446E914D" w:rsidR="00E470BE" w:rsidRPr="00EA4C9E" w:rsidRDefault="00E470BE" w:rsidP="006E4F1C">
                  <w:pPr>
                    <w:rPr>
                      <w:rFonts w:ascii="Arial" w:hAnsi="Arial" w:cs="Arial"/>
                      <w:iCs/>
                      <w:sz w:val="20"/>
                      <w:szCs w:val="20"/>
                      <w:lang w:eastAsia="sl-SI"/>
                    </w:rPr>
                  </w:pPr>
                  <w:r w:rsidRPr="00EA4C9E">
                    <w:rPr>
                      <w:rFonts w:ascii="Arial" w:hAnsi="Arial" w:cs="Arial"/>
                      <w:iCs/>
                      <w:sz w:val="20"/>
                      <w:szCs w:val="20"/>
                      <w:lang w:eastAsia="sl-SI"/>
                    </w:rPr>
                    <w:t>Polnilnice za UZP</w:t>
                  </w:r>
                </w:p>
              </w:tc>
              <w:tc>
                <w:tcPr>
                  <w:tcW w:w="1278" w:type="pct"/>
                  <w:shd w:val="clear" w:color="auto" w:fill="auto"/>
                  <w:noWrap/>
                  <w:vAlign w:val="bottom"/>
                  <w:hideMark/>
                </w:tcPr>
                <w:p w14:paraId="064C1180" w14:textId="1DA50115" w:rsidR="00E470BE" w:rsidRPr="00EA4C9E" w:rsidRDefault="00E470BE" w:rsidP="001B63EC">
                  <w:pPr>
                    <w:jc w:val="right"/>
                    <w:rPr>
                      <w:rFonts w:ascii="Arial" w:hAnsi="Arial" w:cs="Arial"/>
                      <w:iCs/>
                      <w:sz w:val="20"/>
                      <w:szCs w:val="20"/>
                      <w:lang w:eastAsia="sl-SI"/>
                    </w:rPr>
                  </w:pPr>
                  <w:r>
                    <w:rPr>
                      <w:rFonts w:ascii="Arial" w:hAnsi="Arial" w:cs="Arial"/>
                      <w:iCs/>
                      <w:sz w:val="20"/>
                      <w:szCs w:val="20"/>
                      <w:lang w:eastAsia="sl-SI"/>
                    </w:rPr>
                    <w:t>2</w:t>
                  </w:r>
                </w:p>
              </w:tc>
              <w:tc>
                <w:tcPr>
                  <w:tcW w:w="1831" w:type="pct"/>
                  <w:shd w:val="clear" w:color="auto" w:fill="auto"/>
                  <w:noWrap/>
                  <w:vAlign w:val="center"/>
                  <w:hideMark/>
                </w:tcPr>
                <w:p w14:paraId="2F481E0A" w14:textId="20B282BA" w:rsidR="00E470BE" w:rsidRPr="00EA4C9E" w:rsidRDefault="00E470BE" w:rsidP="001B63EC">
                  <w:pPr>
                    <w:jc w:val="right"/>
                    <w:rPr>
                      <w:rFonts w:ascii="Arial" w:hAnsi="Arial" w:cs="Arial"/>
                      <w:iCs/>
                      <w:sz w:val="20"/>
                      <w:szCs w:val="20"/>
                      <w:lang w:eastAsia="sl-SI"/>
                    </w:rPr>
                  </w:pPr>
                  <w:r w:rsidRPr="00EA4C9E">
                    <w:rPr>
                      <w:rFonts w:ascii="Arial" w:hAnsi="Arial" w:cs="Arial"/>
                      <w:iCs/>
                      <w:sz w:val="20"/>
                      <w:szCs w:val="20"/>
                      <w:lang w:eastAsia="sl-SI"/>
                    </w:rPr>
                    <w:t>3</w:t>
                  </w:r>
                </w:p>
              </w:tc>
            </w:tr>
            <w:tr w:rsidR="00E470BE" w:rsidRPr="0051776B" w14:paraId="6AD4C66C" w14:textId="438D515D" w:rsidTr="00505797">
              <w:trPr>
                <w:trHeight w:val="283"/>
              </w:trPr>
              <w:tc>
                <w:tcPr>
                  <w:tcW w:w="1891" w:type="pct"/>
                  <w:shd w:val="clear" w:color="auto" w:fill="auto"/>
                  <w:noWrap/>
                  <w:vAlign w:val="bottom"/>
                  <w:hideMark/>
                </w:tcPr>
                <w:p w14:paraId="4C460530" w14:textId="1E603D51" w:rsidR="00E470BE" w:rsidRPr="00EA4C9E" w:rsidRDefault="00E470BE" w:rsidP="006E4F1C">
                  <w:pPr>
                    <w:rPr>
                      <w:rFonts w:ascii="Arial" w:hAnsi="Arial" w:cs="Arial"/>
                      <w:iCs/>
                      <w:sz w:val="20"/>
                      <w:szCs w:val="20"/>
                      <w:lang w:eastAsia="sl-SI"/>
                    </w:rPr>
                  </w:pPr>
                  <w:r w:rsidRPr="00EA4C9E">
                    <w:rPr>
                      <w:rFonts w:ascii="Arial" w:hAnsi="Arial" w:cs="Arial"/>
                      <w:iCs/>
                      <w:sz w:val="20"/>
                      <w:szCs w:val="20"/>
                      <w:lang w:eastAsia="sl-SI"/>
                    </w:rPr>
                    <w:t>Polnilnice za H2</w:t>
                  </w:r>
                  <w:r w:rsidRPr="00A0217A">
                    <w:rPr>
                      <w:rFonts w:ascii="Arial" w:hAnsi="Arial" w:cs="Arial"/>
                      <w:iCs/>
                      <w:sz w:val="20"/>
                      <w:szCs w:val="20"/>
                      <w:vertAlign w:val="superscript"/>
                      <w:lang w:eastAsia="sl-SI"/>
                    </w:rPr>
                    <w:t>2</w:t>
                  </w:r>
                </w:p>
              </w:tc>
              <w:tc>
                <w:tcPr>
                  <w:tcW w:w="1278" w:type="pct"/>
                  <w:shd w:val="clear" w:color="auto" w:fill="auto"/>
                  <w:noWrap/>
                  <w:vAlign w:val="bottom"/>
                  <w:hideMark/>
                </w:tcPr>
                <w:p w14:paraId="3541CF64" w14:textId="103288D2" w:rsidR="00E470BE" w:rsidRPr="00EA4C9E" w:rsidRDefault="00E470BE" w:rsidP="001B63EC">
                  <w:pPr>
                    <w:jc w:val="right"/>
                    <w:rPr>
                      <w:rFonts w:ascii="Arial" w:hAnsi="Arial" w:cs="Arial"/>
                      <w:iCs/>
                      <w:sz w:val="20"/>
                      <w:szCs w:val="20"/>
                      <w:lang w:eastAsia="sl-SI"/>
                    </w:rPr>
                  </w:pPr>
                  <w:r w:rsidRPr="00EA4C9E">
                    <w:rPr>
                      <w:rFonts w:ascii="Arial" w:hAnsi="Arial" w:cs="Arial"/>
                      <w:iCs/>
                      <w:sz w:val="20"/>
                      <w:szCs w:val="20"/>
                      <w:lang w:eastAsia="sl-SI"/>
                    </w:rPr>
                    <w:t>1</w:t>
                  </w:r>
                </w:p>
              </w:tc>
              <w:tc>
                <w:tcPr>
                  <w:tcW w:w="1831" w:type="pct"/>
                  <w:shd w:val="clear" w:color="auto" w:fill="auto"/>
                  <w:noWrap/>
                  <w:vAlign w:val="center"/>
                  <w:hideMark/>
                </w:tcPr>
                <w:p w14:paraId="38BDF7B6" w14:textId="085BC47B" w:rsidR="00E470BE" w:rsidRPr="00EA4C9E" w:rsidRDefault="00E470BE" w:rsidP="001B63EC">
                  <w:pPr>
                    <w:jc w:val="right"/>
                    <w:rPr>
                      <w:rFonts w:ascii="Arial" w:hAnsi="Arial" w:cs="Arial"/>
                      <w:iCs/>
                      <w:sz w:val="20"/>
                      <w:szCs w:val="20"/>
                      <w:lang w:eastAsia="sl-SI"/>
                    </w:rPr>
                  </w:pPr>
                  <w:r w:rsidRPr="00EA4C9E">
                    <w:rPr>
                      <w:rFonts w:ascii="Arial" w:hAnsi="Arial" w:cs="Arial"/>
                      <w:iCs/>
                      <w:sz w:val="20"/>
                      <w:szCs w:val="20"/>
                      <w:lang w:eastAsia="sl-SI"/>
                    </w:rPr>
                    <w:t>2</w:t>
                  </w:r>
                </w:p>
              </w:tc>
            </w:tr>
          </w:tbl>
          <w:p w14:paraId="7FCD1E1C" w14:textId="2FF6E56D" w:rsidR="00E470BE" w:rsidRPr="00EA4C9E" w:rsidRDefault="00E470BE" w:rsidP="00E470BE">
            <w:pPr>
              <w:rPr>
                <w:rFonts w:ascii="Arial" w:hAnsi="Arial" w:cs="Arial"/>
                <w:iCs/>
                <w:sz w:val="20"/>
                <w:szCs w:val="20"/>
                <w:lang w:eastAsia="sl-SI"/>
              </w:rPr>
            </w:pPr>
            <w:r w:rsidRPr="00A0217A">
              <w:rPr>
                <w:rFonts w:ascii="Arial" w:hAnsi="Arial" w:cs="Arial"/>
                <w:iCs/>
                <w:sz w:val="20"/>
                <w:szCs w:val="20"/>
                <w:vertAlign w:val="superscript"/>
                <w:lang w:eastAsia="sl-SI"/>
              </w:rPr>
              <w:t>1</w:t>
            </w:r>
            <w:r w:rsidRPr="00EA4C9E">
              <w:rPr>
                <w:rFonts w:ascii="Arial" w:hAnsi="Arial" w:cs="Arial"/>
                <w:iCs/>
                <w:sz w:val="20"/>
                <w:szCs w:val="20"/>
                <w:lang w:eastAsia="sl-SI"/>
              </w:rPr>
              <w:t xml:space="preserve"> – v primeru, da bi se za potrebe urbanih območij uporabljale tudi polnilnice v bližini oz. na TEN-T omrežju</w:t>
            </w:r>
          </w:p>
          <w:p w14:paraId="7B090231" w14:textId="4D3AC7B0" w:rsidR="00E470BE" w:rsidRPr="00EA4C9E" w:rsidRDefault="00E470BE" w:rsidP="00E470BE">
            <w:pPr>
              <w:rPr>
                <w:rFonts w:ascii="Arial" w:hAnsi="Arial" w:cs="Arial"/>
                <w:iCs/>
                <w:sz w:val="20"/>
                <w:szCs w:val="20"/>
                <w:lang w:eastAsia="sl-SI"/>
              </w:rPr>
            </w:pPr>
            <w:r w:rsidRPr="00A0217A">
              <w:rPr>
                <w:rFonts w:ascii="Arial" w:hAnsi="Arial" w:cs="Arial"/>
                <w:iCs/>
                <w:sz w:val="20"/>
                <w:szCs w:val="20"/>
                <w:vertAlign w:val="superscript"/>
                <w:lang w:eastAsia="sl-SI"/>
              </w:rPr>
              <w:lastRenderedPageBreak/>
              <w:t>2</w:t>
            </w:r>
            <w:r w:rsidRPr="00EA4C9E">
              <w:rPr>
                <w:rFonts w:ascii="Arial" w:hAnsi="Arial" w:cs="Arial"/>
                <w:iCs/>
                <w:sz w:val="20"/>
                <w:szCs w:val="20"/>
                <w:lang w:eastAsia="sl-SI"/>
              </w:rPr>
              <w:t xml:space="preserve"> – odvisno od kapacitete posamezne polnilnice</w:t>
            </w:r>
            <w:r w:rsidR="00F01B6B">
              <w:rPr>
                <w:rFonts w:ascii="Arial" w:hAnsi="Arial" w:cs="Arial"/>
                <w:iCs/>
                <w:sz w:val="20"/>
                <w:szCs w:val="20"/>
                <w:lang w:eastAsia="sl-SI"/>
              </w:rPr>
              <w:t>.</w:t>
            </w:r>
          </w:p>
          <w:p w14:paraId="0D924339" w14:textId="761B6ABD" w:rsidR="00315B61" w:rsidRDefault="00C00CB8" w:rsidP="0097453D">
            <w:pPr>
              <w:pStyle w:val="Neotevilenodstavek"/>
              <w:spacing w:before="40" w:afterLines="40" w:after="96" w:line="260" w:lineRule="atLeast"/>
              <w:rPr>
                <w:iCs/>
                <w:sz w:val="20"/>
                <w:szCs w:val="20"/>
              </w:rPr>
            </w:pPr>
            <w:r>
              <w:rPr>
                <w:iCs/>
                <w:sz w:val="20"/>
                <w:szCs w:val="20"/>
              </w:rPr>
              <w:t xml:space="preserve">Izvajanje ukrepov </w:t>
            </w:r>
            <w:r w:rsidR="00E470BE">
              <w:rPr>
                <w:iCs/>
                <w:sz w:val="20"/>
                <w:szCs w:val="20"/>
              </w:rPr>
              <w:t>Akcijsk</w:t>
            </w:r>
            <w:r>
              <w:rPr>
                <w:iCs/>
                <w:sz w:val="20"/>
                <w:szCs w:val="20"/>
              </w:rPr>
              <w:t>ega</w:t>
            </w:r>
            <w:r w:rsidR="00E470BE">
              <w:rPr>
                <w:iCs/>
                <w:sz w:val="20"/>
                <w:szCs w:val="20"/>
              </w:rPr>
              <w:t xml:space="preserve"> program</w:t>
            </w:r>
            <w:r>
              <w:rPr>
                <w:iCs/>
                <w:sz w:val="20"/>
                <w:szCs w:val="20"/>
              </w:rPr>
              <w:t>a</w:t>
            </w:r>
            <w:r w:rsidR="00E470BE">
              <w:rPr>
                <w:iCs/>
                <w:sz w:val="20"/>
                <w:szCs w:val="20"/>
              </w:rPr>
              <w:t xml:space="preserve"> </w:t>
            </w:r>
            <w:r w:rsidR="005C1B74">
              <w:rPr>
                <w:iCs/>
                <w:sz w:val="20"/>
                <w:szCs w:val="20"/>
              </w:rPr>
              <w:t xml:space="preserve">za obdobje </w:t>
            </w:r>
            <w:r w:rsidR="00DC3F20">
              <w:rPr>
                <w:iCs/>
                <w:sz w:val="20"/>
                <w:szCs w:val="20"/>
              </w:rPr>
              <w:t xml:space="preserve">2019 </w:t>
            </w:r>
            <w:r w:rsidR="005C1B74">
              <w:rPr>
                <w:iCs/>
                <w:sz w:val="20"/>
                <w:szCs w:val="20"/>
              </w:rPr>
              <w:t>– 2020</w:t>
            </w:r>
            <w:r w:rsidR="00E470BE">
              <w:rPr>
                <w:iCs/>
                <w:sz w:val="20"/>
                <w:szCs w:val="20"/>
              </w:rPr>
              <w:t xml:space="preserve"> je usmerjen</w:t>
            </w:r>
            <w:r>
              <w:rPr>
                <w:iCs/>
                <w:sz w:val="20"/>
                <w:szCs w:val="20"/>
              </w:rPr>
              <w:t>o</w:t>
            </w:r>
            <w:r w:rsidR="00E470BE">
              <w:rPr>
                <w:iCs/>
                <w:sz w:val="20"/>
                <w:szCs w:val="20"/>
              </w:rPr>
              <w:t xml:space="preserve"> na naslednja podr</w:t>
            </w:r>
            <w:r w:rsidR="00427C67">
              <w:rPr>
                <w:iCs/>
                <w:sz w:val="20"/>
                <w:szCs w:val="20"/>
              </w:rPr>
              <w:t>o</w:t>
            </w:r>
            <w:r w:rsidR="00E470BE">
              <w:rPr>
                <w:iCs/>
                <w:sz w:val="20"/>
                <w:szCs w:val="20"/>
              </w:rPr>
              <w:t>čja:</w:t>
            </w:r>
          </w:p>
          <w:p w14:paraId="3F2989F2" w14:textId="724BBD13" w:rsidR="0051776B" w:rsidRDefault="0051776B" w:rsidP="001E5919">
            <w:pPr>
              <w:pStyle w:val="Neotevilenodstavek"/>
              <w:numPr>
                <w:ilvl w:val="0"/>
                <w:numId w:val="14"/>
              </w:numPr>
              <w:spacing w:before="40" w:after="0" w:line="240" w:lineRule="auto"/>
              <w:ind w:left="714" w:hanging="357"/>
              <w:rPr>
                <w:iCs/>
                <w:sz w:val="20"/>
                <w:szCs w:val="20"/>
              </w:rPr>
            </w:pPr>
            <w:r>
              <w:rPr>
                <w:iCs/>
                <w:sz w:val="20"/>
                <w:szCs w:val="20"/>
              </w:rPr>
              <w:t>spodbujanja gospodarskega razvoja, inovativnosti in raziskav na področju alternativnih goriv in njihove uporabe</w:t>
            </w:r>
            <w:r w:rsidR="004548BE">
              <w:rPr>
                <w:iCs/>
                <w:sz w:val="20"/>
                <w:szCs w:val="20"/>
              </w:rPr>
              <w:t>,</w:t>
            </w:r>
          </w:p>
          <w:p w14:paraId="379DD125" w14:textId="77777777" w:rsidR="00315B61" w:rsidRPr="00315B61" w:rsidRDefault="00CD2AFF" w:rsidP="001E5919">
            <w:pPr>
              <w:pStyle w:val="Neotevilenodstavek"/>
              <w:numPr>
                <w:ilvl w:val="0"/>
                <w:numId w:val="14"/>
              </w:numPr>
              <w:spacing w:before="40" w:after="0" w:line="240" w:lineRule="auto"/>
              <w:ind w:left="714" w:hanging="357"/>
              <w:rPr>
                <w:iCs/>
                <w:sz w:val="20"/>
                <w:szCs w:val="20"/>
              </w:rPr>
            </w:pPr>
            <w:r>
              <w:rPr>
                <w:iCs/>
                <w:sz w:val="20"/>
                <w:szCs w:val="20"/>
              </w:rPr>
              <w:t>i</w:t>
            </w:r>
            <w:r w:rsidR="00315B61" w:rsidRPr="00315B61">
              <w:rPr>
                <w:iCs/>
                <w:sz w:val="20"/>
                <w:szCs w:val="20"/>
              </w:rPr>
              <w:t>nformiranost</w:t>
            </w:r>
            <w:r>
              <w:rPr>
                <w:iCs/>
                <w:sz w:val="20"/>
                <w:szCs w:val="20"/>
              </w:rPr>
              <w:t>i in medijskih strategij,</w:t>
            </w:r>
          </w:p>
          <w:p w14:paraId="3C6D562D" w14:textId="77777777" w:rsidR="00315B61" w:rsidRPr="00315B61" w:rsidRDefault="00CD2AFF" w:rsidP="001E5919">
            <w:pPr>
              <w:pStyle w:val="Neotevilenodstavek"/>
              <w:numPr>
                <w:ilvl w:val="0"/>
                <w:numId w:val="14"/>
              </w:numPr>
              <w:spacing w:before="40" w:after="0" w:line="240" w:lineRule="auto"/>
              <w:ind w:left="714" w:hanging="357"/>
              <w:rPr>
                <w:iCs/>
                <w:sz w:val="20"/>
                <w:szCs w:val="20"/>
              </w:rPr>
            </w:pPr>
            <w:r>
              <w:rPr>
                <w:iCs/>
                <w:sz w:val="20"/>
                <w:szCs w:val="20"/>
              </w:rPr>
              <w:t>finančnih spodbud in</w:t>
            </w:r>
            <w:r w:rsidR="00315B61" w:rsidRPr="00315B61">
              <w:rPr>
                <w:iCs/>
                <w:sz w:val="20"/>
                <w:szCs w:val="20"/>
              </w:rPr>
              <w:t xml:space="preserve"> davčni</w:t>
            </w:r>
            <w:r>
              <w:rPr>
                <w:iCs/>
                <w:sz w:val="20"/>
                <w:szCs w:val="20"/>
              </w:rPr>
              <w:t>h</w:t>
            </w:r>
            <w:r w:rsidR="00315B61" w:rsidRPr="00315B61">
              <w:rPr>
                <w:iCs/>
                <w:sz w:val="20"/>
                <w:szCs w:val="20"/>
              </w:rPr>
              <w:t xml:space="preserve"> ukrep</w:t>
            </w:r>
            <w:r>
              <w:rPr>
                <w:iCs/>
                <w:sz w:val="20"/>
                <w:szCs w:val="20"/>
              </w:rPr>
              <w:t>ov,</w:t>
            </w:r>
          </w:p>
          <w:p w14:paraId="498FDF1A" w14:textId="77777777" w:rsidR="00CD2AFF" w:rsidRPr="00CD2AFF" w:rsidRDefault="00CD2AFF" w:rsidP="001E5919">
            <w:pPr>
              <w:pStyle w:val="Neotevilenodstavek"/>
              <w:numPr>
                <w:ilvl w:val="0"/>
                <w:numId w:val="14"/>
              </w:numPr>
              <w:spacing w:before="40" w:after="0" w:line="240" w:lineRule="auto"/>
              <w:ind w:left="714" w:hanging="357"/>
              <w:rPr>
                <w:iCs/>
                <w:sz w:val="20"/>
                <w:szCs w:val="20"/>
              </w:rPr>
            </w:pPr>
            <w:r>
              <w:rPr>
                <w:iCs/>
                <w:sz w:val="20"/>
                <w:szCs w:val="20"/>
              </w:rPr>
              <w:t>o</w:t>
            </w:r>
            <w:r w:rsidRPr="00CD2AFF">
              <w:rPr>
                <w:iCs/>
                <w:sz w:val="20"/>
                <w:szCs w:val="20"/>
              </w:rPr>
              <w:t>dprav</w:t>
            </w:r>
            <w:r>
              <w:rPr>
                <w:iCs/>
                <w:sz w:val="20"/>
                <w:szCs w:val="20"/>
              </w:rPr>
              <w:t>e</w:t>
            </w:r>
            <w:r w:rsidRPr="00CD2AFF">
              <w:rPr>
                <w:iCs/>
                <w:sz w:val="20"/>
                <w:szCs w:val="20"/>
              </w:rPr>
              <w:t xml:space="preserve"> administrativnih ovir</w:t>
            </w:r>
            <w:r>
              <w:rPr>
                <w:iCs/>
                <w:sz w:val="20"/>
                <w:szCs w:val="20"/>
              </w:rPr>
              <w:t>,</w:t>
            </w:r>
          </w:p>
          <w:p w14:paraId="2F6ED1B9" w14:textId="77777777" w:rsidR="00CD2AFF" w:rsidRPr="00CD2AFF" w:rsidRDefault="00CD2AFF" w:rsidP="001E5919">
            <w:pPr>
              <w:pStyle w:val="Neotevilenodstavek"/>
              <w:numPr>
                <w:ilvl w:val="0"/>
                <w:numId w:val="14"/>
              </w:numPr>
              <w:spacing w:before="40" w:after="0" w:line="240" w:lineRule="auto"/>
              <w:ind w:left="714" w:hanging="357"/>
              <w:rPr>
                <w:iCs/>
                <w:sz w:val="20"/>
                <w:szCs w:val="20"/>
              </w:rPr>
            </w:pPr>
            <w:r>
              <w:rPr>
                <w:iCs/>
                <w:sz w:val="20"/>
                <w:szCs w:val="20"/>
              </w:rPr>
              <w:t>sprememb zakonodaje,</w:t>
            </w:r>
          </w:p>
          <w:p w14:paraId="4970618D" w14:textId="77777777" w:rsidR="00CD2AFF" w:rsidRPr="00CD2AFF" w:rsidRDefault="00CD2AFF" w:rsidP="001E5919">
            <w:pPr>
              <w:pStyle w:val="Neotevilenodstavek"/>
              <w:numPr>
                <w:ilvl w:val="0"/>
                <w:numId w:val="14"/>
              </w:numPr>
              <w:spacing w:before="40" w:after="0" w:line="240" w:lineRule="auto"/>
              <w:ind w:left="714" w:hanging="357"/>
              <w:rPr>
                <w:iCs/>
                <w:sz w:val="20"/>
                <w:szCs w:val="20"/>
              </w:rPr>
            </w:pPr>
            <w:r>
              <w:rPr>
                <w:iCs/>
                <w:sz w:val="20"/>
                <w:szCs w:val="20"/>
              </w:rPr>
              <w:t>p</w:t>
            </w:r>
            <w:r w:rsidRPr="00CD2AFF">
              <w:rPr>
                <w:iCs/>
                <w:sz w:val="20"/>
                <w:szCs w:val="20"/>
              </w:rPr>
              <w:t>oklicn</w:t>
            </w:r>
            <w:r>
              <w:rPr>
                <w:iCs/>
                <w:sz w:val="20"/>
                <w:szCs w:val="20"/>
              </w:rPr>
              <w:t>ega</w:t>
            </w:r>
            <w:r w:rsidRPr="00CD2AFF">
              <w:rPr>
                <w:iCs/>
                <w:sz w:val="20"/>
                <w:szCs w:val="20"/>
              </w:rPr>
              <w:t xml:space="preserve"> usposabljanj</w:t>
            </w:r>
            <w:r>
              <w:rPr>
                <w:iCs/>
                <w:sz w:val="20"/>
                <w:szCs w:val="20"/>
              </w:rPr>
              <w:t>a</w:t>
            </w:r>
            <w:r w:rsidRPr="00CD2AFF">
              <w:rPr>
                <w:iCs/>
                <w:sz w:val="20"/>
                <w:szCs w:val="20"/>
              </w:rPr>
              <w:t xml:space="preserve"> in izobraževanj</w:t>
            </w:r>
            <w:r>
              <w:rPr>
                <w:iCs/>
                <w:sz w:val="20"/>
                <w:szCs w:val="20"/>
              </w:rPr>
              <w:t>a,</w:t>
            </w:r>
          </w:p>
          <w:p w14:paraId="775B32AA" w14:textId="77777777" w:rsidR="00CD2AFF" w:rsidRPr="00CD2AFF" w:rsidRDefault="00CD2AFF" w:rsidP="001E5919">
            <w:pPr>
              <w:pStyle w:val="Neotevilenodstavek"/>
              <w:numPr>
                <w:ilvl w:val="0"/>
                <w:numId w:val="14"/>
              </w:numPr>
              <w:spacing w:before="40" w:after="0" w:line="240" w:lineRule="auto"/>
              <w:ind w:left="714" w:hanging="357"/>
              <w:rPr>
                <w:iCs/>
                <w:sz w:val="20"/>
                <w:szCs w:val="20"/>
              </w:rPr>
            </w:pPr>
            <w:r>
              <w:rPr>
                <w:iCs/>
                <w:sz w:val="20"/>
                <w:szCs w:val="20"/>
              </w:rPr>
              <w:t>d</w:t>
            </w:r>
            <w:r w:rsidRPr="00CD2AFF">
              <w:rPr>
                <w:iCs/>
                <w:sz w:val="20"/>
                <w:szCs w:val="20"/>
              </w:rPr>
              <w:t>emonstracijski</w:t>
            </w:r>
            <w:r>
              <w:rPr>
                <w:iCs/>
                <w:sz w:val="20"/>
                <w:szCs w:val="20"/>
              </w:rPr>
              <w:t>h</w:t>
            </w:r>
            <w:r w:rsidRPr="00CD2AFF">
              <w:rPr>
                <w:iCs/>
                <w:sz w:val="20"/>
                <w:szCs w:val="20"/>
              </w:rPr>
              <w:t xml:space="preserve"> projekt</w:t>
            </w:r>
            <w:r>
              <w:rPr>
                <w:iCs/>
                <w:sz w:val="20"/>
                <w:szCs w:val="20"/>
              </w:rPr>
              <w:t>ov in</w:t>
            </w:r>
          </w:p>
          <w:p w14:paraId="00B398CD" w14:textId="77777777" w:rsidR="00CD2AFF" w:rsidRDefault="00CD2AFF" w:rsidP="001E5919">
            <w:pPr>
              <w:pStyle w:val="Neotevilenodstavek"/>
              <w:numPr>
                <w:ilvl w:val="0"/>
                <w:numId w:val="14"/>
              </w:numPr>
              <w:spacing w:before="40" w:after="0" w:line="240" w:lineRule="auto"/>
              <w:ind w:left="714" w:hanging="357"/>
              <w:rPr>
                <w:iCs/>
                <w:sz w:val="20"/>
                <w:szCs w:val="20"/>
              </w:rPr>
            </w:pPr>
            <w:r>
              <w:rPr>
                <w:iCs/>
                <w:sz w:val="20"/>
                <w:szCs w:val="20"/>
              </w:rPr>
              <w:t>priporočil</w:t>
            </w:r>
            <w:r w:rsidRPr="00CD2AFF">
              <w:rPr>
                <w:iCs/>
                <w:sz w:val="20"/>
                <w:szCs w:val="20"/>
              </w:rPr>
              <w:t xml:space="preserve"> lokalnim skupnostim</w:t>
            </w:r>
            <w:r>
              <w:rPr>
                <w:iCs/>
                <w:sz w:val="20"/>
                <w:szCs w:val="20"/>
              </w:rPr>
              <w:t>.</w:t>
            </w:r>
          </w:p>
          <w:p w14:paraId="04F99976" w14:textId="77777777" w:rsidR="008858A5" w:rsidRDefault="008858A5" w:rsidP="00A0217A">
            <w:pPr>
              <w:pStyle w:val="Neotevilenodstavek"/>
              <w:spacing w:before="40" w:afterLines="40" w:after="96" w:line="260" w:lineRule="atLeast"/>
              <w:rPr>
                <w:iCs/>
                <w:sz w:val="20"/>
                <w:szCs w:val="20"/>
              </w:rPr>
            </w:pPr>
          </w:p>
          <w:p w14:paraId="7681050E" w14:textId="2ACE8C54" w:rsidR="0051776B" w:rsidRDefault="0051776B" w:rsidP="00A0217A">
            <w:pPr>
              <w:pStyle w:val="Neotevilenodstavek"/>
              <w:spacing w:before="40" w:afterLines="40" w:after="96" w:line="260" w:lineRule="atLeast"/>
              <w:rPr>
                <w:iCs/>
                <w:sz w:val="20"/>
                <w:szCs w:val="20"/>
              </w:rPr>
            </w:pPr>
            <w:r>
              <w:rPr>
                <w:iCs/>
                <w:sz w:val="20"/>
                <w:szCs w:val="20"/>
              </w:rPr>
              <w:t xml:space="preserve">Predlaganih je </w:t>
            </w:r>
            <w:r w:rsidR="00CD2AFF">
              <w:rPr>
                <w:iCs/>
                <w:sz w:val="20"/>
                <w:szCs w:val="20"/>
              </w:rPr>
              <w:t xml:space="preserve">preko </w:t>
            </w:r>
            <w:r w:rsidR="00917AD3">
              <w:rPr>
                <w:iCs/>
                <w:sz w:val="20"/>
                <w:szCs w:val="20"/>
              </w:rPr>
              <w:t>5</w:t>
            </w:r>
            <w:r w:rsidR="00427C67">
              <w:rPr>
                <w:iCs/>
                <w:sz w:val="20"/>
                <w:szCs w:val="20"/>
              </w:rPr>
              <w:t xml:space="preserve">0 </w:t>
            </w:r>
            <w:r w:rsidR="00CD2AFF">
              <w:rPr>
                <w:iCs/>
                <w:sz w:val="20"/>
                <w:szCs w:val="20"/>
              </w:rPr>
              <w:t>ukrepov</w:t>
            </w:r>
            <w:r w:rsidR="00CD2AFF" w:rsidRPr="00CD2AFF">
              <w:rPr>
                <w:iCs/>
                <w:sz w:val="20"/>
                <w:szCs w:val="20"/>
              </w:rPr>
              <w:t xml:space="preserve">, ki lahko </w:t>
            </w:r>
            <w:r w:rsidR="00CD2AFF">
              <w:rPr>
                <w:iCs/>
                <w:sz w:val="20"/>
                <w:szCs w:val="20"/>
              </w:rPr>
              <w:t>le</w:t>
            </w:r>
            <w:r w:rsidR="00CD2AFF" w:rsidRPr="00CD2AFF">
              <w:rPr>
                <w:iCs/>
                <w:sz w:val="20"/>
                <w:szCs w:val="20"/>
              </w:rPr>
              <w:t xml:space="preserve"> </w:t>
            </w:r>
            <w:r>
              <w:rPr>
                <w:iCs/>
                <w:sz w:val="20"/>
                <w:szCs w:val="20"/>
              </w:rPr>
              <w:t>kot celovit sistem</w:t>
            </w:r>
            <w:r w:rsidRPr="00CD2AFF">
              <w:rPr>
                <w:iCs/>
                <w:sz w:val="20"/>
                <w:szCs w:val="20"/>
              </w:rPr>
              <w:t xml:space="preserve"> </w:t>
            </w:r>
            <w:r w:rsidR="00CD2AFF" w:rsidRPr="00CD2AFF">
              <w:rPr>
                <w:iCs/>
                <w:sz w:val="20"/>
                <w:szCs w:val="20"/>
              </w:rPr>
              <w:t xml:space="preserve">zagotovijo, da bodo cilji doseženi. Ukrepi so namreč soodvisni in le kot celota zagotavljajo, da bo Slovenija lahko izpolnila različne zaveze na področju prometa. </w:t>
            </w:r>
            <w:r w:rsidR="00CD2AFF">
              <w:rPr>
                <w:iCs/>
                <w:sz w:val="20"/>
                <w:szCs w:val="20"/>
              </w:rPr>
              <w:t>P</w:t>
            </w:r>
            <w:r w:rsidR="00CD2AFF" w:rsidRPr="00CD2AFF">
              <w:rPr>
                <w:iCs/>
                <w:sz w:val="20"/>
                <w:szCs w:val="20"/>
              </w:rPr>
              <w:t>redstavljajo optimalne, vendar realne rešitve, ki jih, sicer z velikim angažiranjem in napori, lahko uresničimo.</w:t>
            </w:r>
            <w:r w:rsidR="00573189">
              <w:rPr>
                <w:iCs/>
                <w:sz w:val="20"/>
                <w:szCs w:val="20"/>
              </w:rPr>
              <w:t xml:space="preserve"> </w:t>
            </w:r>
            <w:r w:rsidRPr="00004988">
              <w:rPr>
                <w:iCs/>
                <w:sz w:val="20"/>
                <w:szCs w:val="20"/>
              </w:rPr>
              <w:t>K zmanjšanju okoljskega bremena prometa bodo sicer največ pripomogli ukrepi na področju kopenskega prometa, ki se promovirajo v sklopu spodbujanja trajnostne prometne politike. Ključnega pomena pri tem sta zlasti spodbujanje peš in kolesarskega prometa v naseljih ter promocija in povečanje konkurenčnosti javnega potniškega prometa. Vendarle pa to ni dovolj. Ne glede na zavezanost k izvajanju teh ukrepov je namreč potrebno upoštevati, da razpršena poseljenost Slovenije pomeni, da bo javni prevoz v številnih predelih Slovenije le stežka nadomestil uporabo osebnih vozil.</w:t>
            </w:r>
            <w:r w:rsidR="00BB6851">
              <w:rPr>
                <w:iCs/>
                <w:sz w:val="20"/>
                <w:szCs w:val="20"/>
              </w:rPr>
              <w:t xml:space="preserve"> </w:t>
            </w:r>
            <w:r w:rsidRPr="00A0217A">
              <w:rPr>
                <w:iCs/>
                <w:sz w:val="20"/>
                <w:szCs w:val="20"/>
              </w:rPr>
              <w:t>Takšna zmanjševanja izpustov toplogrednih plinov in onesnaževal zraka je možno doseči zgolj preko preusmerjanja v koncepte trajnostne mobilnosti, tako da zagotovimo, da je potreba vsakogar po premikanju zadovoljena, vendar ob nižjih stroških in manjših stranskih učinkih. Ker je motoriziran promet pomemben vir hrupa ter dejavnik preoblikovanja prostora, bo takšna usmeritev pomembno prispevala k zmanjšanju tudi drugih okoljskih pritiskov</w:t>
            </w:r>
            <w:r w:rsidR="000903FA">
              <w:rPr>
                <w:iCs/>
                <w:sz w:val="20"/>
                <w:szCs w:val="20"/>
              </w:rPr>
              <w:t xml:space="preserve"> in</w:t>
            </w:r>
            <w:r w:rsidRPr="00A0217A">
              <w:rPr>
                <w:iCs/>
                <w:sz w:val="20"/>
                <w:szCs w:val="20"/>
              </w:rPr>
              <w:t xml:space="preserve"> zdravstvenih tveganj ter k boljši </w:t>
            </w:r>
            <w:r w:rsidR="00977DBA">
              <w:rPr>
                <w:iCs/>
                <w:sz w:val="20"/>
                <w:szCs w:val="20"/>
              </w:rPr>
              <w:t>kakovosti</w:t>
            </w:r>
            <w:r w:rsidR="00977DBA" w:rsidRPr="00A0217A">
              <w:rPr>
                <w:iCs/>
                <w:sz w:val="20"/>
                <w:szCs w:val="20"/>
              </w:rPr>
              <w:t xml:space="preserve"> </w:t>
            </w:r>
            <w:r w:rsidRPr="00A0217A">
              <w:rPr>
                <w:iCs/>
                <w:sz w:val="20"/>
                <w:szCs w:val="20"/>
              </w:rPr>
              <w:t>življenja, zlasti v mestih.</w:t>
            </w:r>
          </w:p>
          <w:p w14:paraId="4EABD078" w14:textId="50EA3EF1" w:rsidR="00DC3F20" w:rsidRDefault="00DF68C6">
            <w:pPr>
              <w:pStyle w:val="Neotevilenodstavek"/>
              <w:spacing w:before="40" w:afterLines="40" w:after="96" w:line="260" w:lineRule="atLeast"/>
              <w:rPr>
                <w:iCs/>
                <w:sz w:val="20"/>
                <w:szCs w:val="20"/>
              </w:rPr>
            </w:pPr>
            <w:r>
              <w:rPr>
                <w:iCs/>
                <w:sz w:val="20"/>
                <w:szCs w:val="20"/>
              </w:rPr>
              <w:t xml:space="preserve">Izvajanje ukrepov </w:t>
            </w:r>
            <w:r w:rsidR="00DC3F20">
              <w:rPr>
                <w:iCs/>
                <w:sz w:val="20"/>
                <w:szCs w:val="20"/>
              </w:rPr>
              <w:t>Akcijsk</w:t>
            </w:r>
            <w:r>
              <w:rPr>
                <w:iCs/>
                <w:sz w:val="20"/>
                <w:szCs w:val="20"/>
              </w:rPr>
              <w:t>ega</w:t>
            </w:r>
            <w:r w:rsidR="00DC3F20">
              <w:rPr>
                <w:iCs/>
                <w:sz w:val="20"/>
                <w:szCs w:val="20"/>
              </w:rPr>
              <w:t xml:space="preserve"> program</w:t>
            </w:r>
            <w:r>
              <w:rPr>
                <w:iCs/>
                <w:sz w:val="20"/>
                <w:szCs w:val="20"/>
              </w:rPr>
              <w:t>a</w:t>
            </w:r>
            <w:r w:rsidR="00DC3F20">
              <w:rPr>
                <w:iCs/>
                <w:sz w:val="20"/>
                <w:szCs w:val="20"/>
              </w:rPr>
              <w:t xml:space="preserve"> je pripravljen</w:t>
            </w:r>
            <w:r>
              <w:rPr>
                <w:iCs/>
                <w:sz w:val="20"/>
                <w:szCs w:val="20"/>
              </w:rPr>
              <w:t>o</w:t>
            </w:r>
            <w:r w:rsidR="00DC3F20">
              <w:rPr>
                <w:iCs/>
                <w:sz w:val="20"/>
                <w:szCs w:val="20"/>
              </w:rPr>
              <w:t xml:space="preserve"> za </w:t>
            </w:r>
            <w:r w:rsidR="00955418">
              <w:rPr>
                <w:iCs/>
                <w:sz w:val="20"/>
                <w:szCs w:val="20"/>
              </w:rPr>
              <w:t>dveletno</w:t>
            </w:r>
            <w:r w:rsidR="008858A5">
              <w:rPr>
                <w:iCs/>
                <w:sz w:val="20"/>
                <w:szCs w:val="20"/>
              </w:rPr>
              <w:t xml:space="preserve"> </w:t>
            </w:r>
            <w:r w:rsidR="00DC3F20">
              <w:rPr>
                <w:iCs/>
                <w:sz w:val="20"/>
                <w:szCs w:val="20"/>
              </w:rPr>
              <w:t>obdobje</w:t>
            </w:r>
            <w:r w:rsidR="00636EAB">
              <w:rPr>
                <w:iCs/>
                <w:sz w:val="20"/>
                <w:szCs w:val="20"/>
              </w:rPr>
              <w:t>.</w:t>
            </w:r>
            <w:r w:rsidR="00DC3F20">
              <w:rPr>
                <w:iCs/>
                <w:sz w:val="20"/>
                <w:szCs w:val="20"/>
              </w:rPr>
              <w:t xml:space="preserve"> </w:t>
            </w:r>
            <w:r w:rsidR="00636EAB">
              <w:rPr>
                <w:iCs/>
                <w:sz w:val="20"/>
                <w:szCs w:val="20"/>
              </w:rPr>
              <w:t>K</w:t>
            </w:r>
            <w:r w:rsidR="00DC3F20">
              <w:rPr>
                <w:iCs/>
                <w:sz w:val="20"/>
                <w:szCs w:val="20"/>
              </w:rPr>
              <w:t>er se v letu 2020 napovedujejo velike spremembe v ponudbi vozil na električni pogon</w:t>
            </w:r>
            <w:r w:rsidR="00636EAB">
              <w:rPr>
                <w:iCs/>
                <w:sz w:val="20"/>
                <w:szCs w:val="20"/>
              </w:rPr>
              <w:t>,</w:t>
            </w:r>
            <w:r w:rsidR="00DC3F20">
              <w:rPr>
                <w:iCs/>
                <w:sz w:val="20"/>
                <w:szCs w:val="20"/>
              </w:rPr>
              <w:t xml:space="preserve"> se bodo v tem letu vsi ukrepi ponovno preverili v skladu z dogajanjem na trgu vozil, spremenjenih poslovnih modelov polnjenja in zagotavljanja polnilne infrastrukture. Pričakuje se razvoj poslovnih modelov, ki ne bodo ločeno obravnavali polnilne infrastrukture, temveč bodo sledili konceptom pametnih mest in pametnih zgradb, kjer bo e-mobilnost eden od stebrov razvoja.</w:t>
            </w:r>
          </w:p>
          <w:p w14:paraId="30697937" w14:textId="1020BB37" w:rsidR="0051776B" w:rsidRDefault="0051776B" w:rsidP="0051776B">
            <w:pPr>
              <w:pStyle w:val="Neotevilenodstavek"/>
              <w:spacing w:before="40" w:afterLines="40" w:after="96" w:line="260" w:lineRule="atLeast"/>
              <w:rPr>
                <w:iCs/>
                <w:sz w:val="20"/>
                <w:szCs w:val="20"/>
              </w:rPr>
            </w:pPr>
            <w:r w:rsidRPr="0097453D">
              <w:rPr>
                <w:iCs/>
                <w:sz w:val="20"/>
                <w:szCs w:val="20"/>
              </w:rPr>
              <w:t xml:space="preserve">Ministrstvo za infrastrukturo bo </w:t>
            </w:r>
            <w:r w:rsidR="00E470BE" w:rsidRPr="0097453D">
              <w:rPr>
                <w:iCs/>
                <w:sz w:val="20"/>
                <w:szCs w:val="20"/>
              </w:rPr>
              <w:t>vsak</w:t>
            </w:r>
            <w:r w:rsidR="00DF68C6">
              <w:rPr>
                <w:iCs/>
                <w:sz w:val="20"/>
                <w:szCs w:val="20"/>
              </w:rPr>
              <w:t>o</w:t>
            </w:r>
            <w:r w:rsidR="00E470BE">
              <w:rPr>
                <w:iCs/>
                <w:sz w:val="20"/>
                <w:szCs w:val="20"/>
              </w:rPr>
              <w:t xml:space="preserve">  let</w:t>
            </w:r>
            <w:r w:rsidR="00DF68C6">
              <w:rPr>
                <w:iCs/>
                <w:sz w:val="20"/>
                <w:szCs w:val="20"/>
              </w:rPr>
              <w:t>o</w:t>
            </w:r>
            <w:r w:rsidRPr="0097453D">
              <w:rPr>
                <w:iCs/>
                <w:sz w:val="20"/>
                <w:szCs w:val="20"/>
              </w:rPr>
              <w:t xml:space="preserve"> pripravilo pregled izvajanja in doseženih rezultatov na tem področju in </w:t>
            </w:r>
            <w:r>
              <w:rPr>
                <w:iCs/>
                <w:sz w:val="20"/>
                <w:szCs w:val="20"/>
              </w:rPr>
              <w:t xml:space="preserve">predlagalo Vladi RS </w:t>
            </w:r>
            <w:r w:rsidRPr="0097453D">
              <w:rPr>
                <w:iCs/>
                <w:sz w:val="20"/>
                <w:szCs w:val="20"/>
              </w:rPr>
              <w:t>dopolnitev Strategije na področj</w:t>
            </w:r>
            <w:r>
              <w:rPr>
                <w:iCs/>
                <w:sz w:val="20"/>
                <w:szCs w:val="20"/>
              </w:rPr>
              <w:t>u alternativnih goriv v prometu</w:t>
            </w:r>
            <w:r w:rsidR="00E470BE">
              <w:rPr>
                <w:iCs/>
                <w:sz w:val="20"/>
                <w:szCs w:val="20"/>
              </w:rPr>
              <w:t xml:space="preserve">  </w:t>
            </w:r>
            <w:r w:rsidR="00C00CB8">
              <w:rPr>
                <w:iCs/>
                <w:sz w:val="20"/>
                <w:szCs w:val="20"/>
              </w:rPr>
              <w:t xml:space="preserve">pravočasno pripravo oziroma posodobitev </w:t>
            </w:r>
            <w:r w:rsidR="00E470BE">
              <w:rPr>
                <w:iCs/>
                <w:sz w:val="20"/>
                <w:szCs w:val="20"/>
              </w:rPr>
              <w:t>akcijsk</w:t>
            </w:r>
            <w:r w:rsidR="00C00CB8">
              <w:rPr>
                <w:iCs/>
                <w:sz w:val="20"/>
                <w:szCs w:val="20"/>
              </w:rPr>
              <w:t>ega</w:t>
            </w:r>
            <w:r w:rsidR="00E470BE">
              <w:rPr>
                <w:iCs/>
                <w:sz w:val="20"/>
                <w:szCs w:val="20"/>
              </w:rPr>
              <w:t xml:space="preserve"> program</w:t>
            </w:r>
            <w:r w:rsidR="00C00CB8">
              <w:rPr>
                <w:iCs/>
                <w:sz w:val="20"/>
                <w:szCs w:val="20"/>
              </w:rPr>
              <w:t>a</w:t>
            </w:r>
            <w:r>
              <w:rPr>
                <w:iCs/>
                <w:sz w:val="20"/>
                <w:szCs w:val="20"/>
              </w:rPr>
              <w:t xml:space="preserve">. </w:t>
            </w:r>
            <w:r w:rsidR="00E470BE">
              <w:rPr>
                <w:iCs/>
                <w:sz w:val="20"/>
                <w:szCs w:val="20"/>
              </w:rPr>
              <w:t xml:space="preserve"> </w:t>
            </w:r>
          </w:p>
          <w:p w14:paraId="595C02DA" w14:textId="77777777" w:rsidR="00213E58" w:rsidRPr="00B8597E" w:rsidRDefault="00213E58" w:rsidP="009E0601">
            <w:pPr>
              <w:pStyle w:val="Neotevilenodstavek"/>
              <w:spacing w:before="40" w:afterLines="40" w:after="96" w:line="260" w:lineRule="atLeast"/>
              <w:rPr>
                <w:iCs/>
                <w:sz w:val="20"/>
                <w:szCs w:val="20"/>
              </w:rPr>
            </w:pPr>
          </w:p>
        </w:tc>
      </w:tr>
      <w:tr w:rsidR="00F02B4B" w:rsidRPr="00D462AF" w14:paraId="316DE0BC" w14:textId="77777777" w:rsidTr="003F712A">
        <w:tc>
          <w:tcPr>
            <w:tcW w:w="9163" w:type="dxa"/>
            <w:gridSpan w:val="4"/>
          </w:tcPr>
          <w:p w14:paraId="54AAA44C" w14:textId="77777777" w:rsidR="00F02B4B" w:rsidRPr="00D462AF" w:rsidRDefault="00F02B4B" w:rsidP="00487EAD">
            <w:pPr>
              <w:pStyle w:val="Oddelek"/>
              <w:numPr>
                <w:ilvl w:val="0"/>
                <w:numId w:val="0"/>
              </w:numPr>
              <w:spacing w:before="40" w:afterLines="40" w:after="96" w:line="260" w:lineRule="atLeast"/>
              <w:jc w:val="left"/>
              <w:rPr>
                <w:sz w:val="20"/>
                <w:szCs w:val="20"/>
              </w:rPr>
            </w:pPr>
            <w:r w:rsidRPr="00D462AF">
              <w:rPr>
                <w:sz w:val="20"/>
                <w:szCs w:val="20"/>
              </w:rPr>
              <w:lastRenderedPageBreak/>
              <w:t>6. Presoja posledic za:</w:t>
            </w:r>
          </w:p>
        </w:tc>
      </w:tr>
      <w:tr w:rsidR="00F02B4B" w:rsidRPr="00D462AF" w14:paraId="224D31DD" w14:textId="77777777" w:rsidTr="003F712A">
        <w:tc>
          <w:tcPr>
            <w:tcW w:w="1448" w:type="dxa"/>
          </w:tcPr>
          <w:p w14:paraId="5F536011" w14:textId="77777777" w:rsidR="00F02B4B" w:rsidRPr="00D462AF" w:rsidRDefault="00F02B4B" w:rsidP="00487EAD">
            <w:pPr>
              <w:pStyle w:val="Neotevilenodstavek"/>
              <w:spacing w:before="40" w:afterLines="40" w:after="96" w:line="260" w:lineRule="atLeast"/>
              <w:ind w:left="360"/>
              <w:rPr>
                <w:iCs/>
                <w:sz w:val="20"/>
                <w:szCs w:val="20"/>
              </w:rPr>
            </w:pPr>
            <w:r w:rsidRPr="00D462AF">
              <w:rPr>
                <w:iCs/>
                <w:sz w:val="20"/>
                <w:szCs w:val="20"/>
              </w:rPr>
              <w:t>a)</w:t>
            </w:r>
          </w:p>
        </w:tc>
        <w:tc>
          <w:tcPr>
            <w:tcW w:w="5444" w:type="dxa"/>
            <w:gridSpan w:val="2"/>
          </w:tcPr>
          <w:p w14:paraId="1C9948DD" w14:textId="77777777" w:rsidR="00F02B4B" w:rsidRPr="00D462AF" w:rsidRDefault="00F02B4B">
            <w:pPr>
              <w:pStyle w:val="Neotevilenodstavek"/>
              <w:spacing w:before="40" w:afterLines="40" w:after="96" w:line="260" w:lineRule="atLeast"/>
              <w:rPr>
                <w:sz w:val="20"/>
                <w:szCs w:val="20"/>
              </w:rPr>
            </w:pPr>
            <w:r w:rsidRPr="00D462AF">
              <w:rPr>
                <w:sz w:val="20"/>
                <w:szCs w:val="20"/>
              </w:rPr>
              <w:t>javnofinančna sredstva nad 40.000 EUR v tekočem in naslednjih treh letih</w:t>
            </w:r>
          </w:p>
        </w:tc>
        <w:tc>
          <w:tcPr>
            <w:tcW w:w="2271" w:type="dxa"/>
            <w:vAlign w:val="center"/>
          </w:tcPr>
          <w:p w14:paraId="3F8D1436" w14:textId="77777777" w:rsidR="00F02B4B" w:rsidRPr="00D462AF" w:rsidRDefault="00255AE9">
            <w:pPr>
              <w:pStyle w:val="Neotevilenodstavek"/>
              <w:spacing w:before="40" w:afterLines="40" w:after="96" w:line="260" w:lineRule="atLeast"/>
              <w:jc w:val="center"/>
              <w:rPr>
                <w:iCs/>
                <w:sz w:val="20"/>
                <w:szCs w:val="20"/>
              </w:rPr>
            </w:pPr>
            <w:r>
              <w:rPr>
                <w:sz w:val="20"/>
                <w:szCs w:val="20"/>
              </w:rPr>
              <w:t>DA</w:t>
            </w:r>
          </w:p>
        </w:tc>
      </w:tr>
      <w:tr w:rsidR="00F02B4B" w:rsidRPr="00D462AF" w14:paraId="54D6A481" w14:textId="77777777" w:rsidTr="003F712A">
        <w:tc>
          <w:tcPr>
            <w:tcW w:w="1448" w:type="dxa"/>
          </w:tcPr>
          <w:p w14:paraId="067EA163" w14:textId="77777777" w:rsidR="00F02B4B" w:rsidRPr="00D462AF" w:rsidRDefault="00F02B4B" w:rsidP="00487EAD">
            <w:pPr>
              <w:pStyle w:val="Neotevilenodstavek"/>
              <w:spacing w:before="40" w:afterLines="40" w:after="96" w:line="260" w:lineRule="atLeast"/>
              <w:ind w:left="360"/>
              <w:rPr>
                <w:iCs/>
                <w:sz w:val="20"/>
                <w:szCs w:val="20"/>
              </w:rPr>
            </w:pPr>
            <w:r w:rsidRPr="00D462AF">
              <w:rPr>
                <w:iCs/>
                <w:sz w:val="20"/>
                <w:szCs w:val="20"/>
              </w:rPr>
              <w:t>b)</w:t>
            </w:r>
          </w:p>
        </w:tc>
        <w:tc>
          <w:tcPr>
            <w:tcW w:w="5444" w:type="dxa"/>
            <w:gridSpan w:val="2"/>
          </w:tcPr>
          <w:p w14:paraId="43020BFC" w14:textId="77777777" w:rsidR="00F02B4B" w:rsidRPr="00D462AF" w:rsidRDefault="00F02B4B">
            <w:pPr>
              <w:pStyle w:val="Neotevilenodstavek"/>
              <w:spacing w:before="40" w:afterLines="40" w:after="96" w:line="260" w:lineRule="atLeast"/>
              <w:rPr>
                <w:iCs/>
                <w:sz w:val="20"/>
                <w:szCs w:val="20"/>
              </w:rPr>
            </w:pPr>
            <w:r w:rsidRPr="00D462AF">
              <w:rPr>
                <w:bCs/>
                <w:sz w:val="20"/>
                <w:szCs w:val="20"/>
              </w:rPr>
              <w:t>usklajenost slovenskega pravnega reda s pravnim redom Evropske unije</w:t>
            </w:r>
          </w:p>
        </w:tc>
        <w:tc>
          <w:tcPr>
            <w:tcW w:w="2271" w:type="dxa"/>
            <w:vAlign w:val="center"/>
          </w:tcPr>
          <w:p w14:paraId="4092A527" w14:textId="77777777" w:rsidR="00F02B4B" w:rsidRPr="00D462AF" w:rsidRDefault="00CA40A4">
            <w:pPr>
              <w:pStyle w:val="Neotevilenodstavek"/>
              <w:spacing w:before="40" w:afterLines="40" w:after="96" w:line="260" w:lineRule="atLeast"/>
              <w:jc w:val="center"/>
              <w:rPr>
                <w:iCs/>
                <w:sz w:val="20"/>
                <w:szCs w:val="20"/>
              </w:rPr>
            </w:pPr>
            <w:r>
              <w:rPr>
                <w:sz w:val="20"/>
                <w:szCs w:val="20"/>
              </w:rPr>
              <w:t>DA</w:t>
            </w:r>
          </w:p>
        </w:tc>
      </w:tr>
      <w:tr w:rsidR="00F02B4B" w:rsidRPr="00D462AF" w14:paraId="54F604B6" w14:textId="77777777" w:rsidTr="003F712A">
        <w:tc>
          <w:tcPr>
            <w:tcW w:w="1448" w:type="dxa"/>
          </w:tcPr>
          <w:p w14:paraId="4971D2D0" w14:textId="77777777" w:rsidR="00F02B4B" w:rsidRPr="00D462AF" w:rsidRDefault="00F02B4B" w:rsidP="00487EAD">
            <w:pPr>
              <w:pStyle w:val="Neotevilenodstavek"/>
              <w:spacing w:before="40" w:afterLines="40" w:after="96" w:line="260" w:lineRule="atLeast"/>
              <w:ind w:left="360"/>
              <w:rPr>
                <w:iCs/>
                <w:sz w:val="20"/>
                <w:szCs w:val="20"/>
              </w:rPr>
            </w:pPr>
            <w:r w:rsidRPr="00D462AF">
              <w:rPr>
                <w:iCs/>
                <w:sz w:val="20"/>
                <w:szCs w:val="20"/>
              </w:rPr>
              <w:t>c)</w:t>
            </w:r>
          </w:p>
        </w:tc>
        <w:tc>
          <w:tcPr>
            <w:tcW w:w="5444" w:type="dxa"/>
            <w:gridSpan w:val="2"/>
          </w:tcPr>
          <w:p w14:paraId="2EB14942" w14:textId="77777777" w:rsidR="00F02B4B" w:rsidRPr="00D462AF" w:rsidRDefault="00F02B4B">
            <w:pPr>
              <w:pStyle w:val="Neotevilenodstavek"/>
              <w:spacing w:before="40" w:afterLines="40" w:after="96" w:line="260" w:lineRule="atLeast"/>
              <w:rPr>
                <w:iCs/>
                <w:sz w:val="20"/>
                <w:szCs w:val="20"/>
              </w:rPr>
            </w:pPr>
            <w:r w:rsidRPr="00D462AF">
              <w:rPr>
                <w:sz w:val="20"/>
                <w:szCs w:val="20"/>
              </w:rPr>
              <w:t>administrativne posledice</w:t>
            </w:r>
          </w:p>
        </w:tc>
        <w:tc>
          <w:tcPr>
            <w:tcW w:w="2271" w:type="dxa"/>
            <w:vAlign w:val="center"/>
          </w:tcPr>
          <w:p w14:paraId="62543EB1" w14:textId="77777777" w:rsidR="00F02B4B" w:rsidRPr="00D462AF" w:rsidRDefault="00530C4A">
            <w:pPr>
              <w:pStyle w:val="Neotevilenodstavek"/>
              <w:spacing w:before="40" w:afterLines="40" w:after="96" w:line="260" w:lineRule="atLeast"/>
              <w:jc w:val="center"/>
              <w:rPr>
                <w:sz w:val="20"/>
                <w:szCs w:val="20"/>
              </w:rPr>
            </w:pPr>
            <w:r>
              <w:rPr>
                <w:sz w:val="20"/>
                <w:szCs w:val="20"/>
              </w:rPr>
              <w:t>DA</w:t>
            </w:r>
          </w:p>
        </w:tc>
      </w:tr>
      <w:tr w:rsidR="00F02B4B" w:rsidRPr="00D462AF" w14:paraId="3387CC83" w14:textId="77777777" w:rsidTr="003F712A">
        <w:tc>
          <w:tcPr>
            <w:tcW w:w="1448" w:type="dxa"/>
          </w:tcPr>
          <w:p w14:paraId="7D1F8FFB" w14:textId="77777777" w:rsidR="00F02B4B" w:rsidRPr="00D462AF" w:rsidRDefault="00F02B4B" w:rsidP="00487EAD">
            <w:pPr>
              <w:pStyle w:val="Neotevilenodstavek"/>
              <w:spacing w:before="40" w:afterLines="40" w:after="96" w:line="260" w:lineRule="atLeast"/>
              <w:ind w:left="360"/>
              <w:rPr>
                <w:iCs/>
                <w:sz w:val="20"/>
                <w:szCs w:val="20"/>
              </w:rPr>
            </w:pPr>
            <w:r w:rsidRPr="00D462AF">
              <w:rPr>
                <w:iCs/>
                <w:sz w:val="20"/>
                <w:szCs w:val="20"/>
              </w:rPr>
              <w:t>č)</w:t>
            </w:r>
          </w:p>
        </w:tc>
        <w:tc>
          <w:tcPr>
            <w:tcW w:w="5444" w:type="dxa"/>
            <w:gridSpan w:val="2"/>
          </w:tcPr>
          <w:p w14:paraId="3EE39688" w14:textId="77777777" w:rsidR="00F02B4B" w:rsidRPr="00D462AF" w:rsidRDefault="00F02B4B">
            <w:pPr>
              <w:pStyle w:val="Neotevilenodstavek"/>
              <w:spacing w:before="40" w:afterLines="40" w:after="96" w:line="260" w:lineRule="atLeast"/>
              <w:rPr>
                <w:bCs/>
                <w:sz w:val="20"/>
                <w:szCs w:val="20"/>
              </w:rPr>
            </w:pPr>
            <w:r w:rsidRPr="00D462AF">
              <w:rPr>
                <w:sz w:val="20"/>
                <w:szCs w:val="20"/>
              </w:rPr>
              <w:t>gospodarstvo, zlasti</w:t>
            </w:r>
            <w:r w:rsidRPr="00D462AF">
              <w:rPr>
                <w:bCs/>
                <w:sz w:val="20"/>
                <w:szCs w:val="20"/>
              </w:rPr>
              <w:t xml:space="preserve"> mala in srednja podjetja ter konkurenčnost podjetij</w:t>
            </w:r>
          </w:p>
        </w:tc>
        <w:tc>
          <w:tcPr>
            <w:tcW w:w="2271" w:type="dxa"/>
            <w:vAlign w:val="center"/>
          </w:tcPr>
          <w:p w14:paraId="3C12AD1C" w14:textId="77777777" w:rsidR="00F02B4B" w:rsidRPr="00D462AF" w:rsidRDefault="00656FBE">
            <w:pPr>
              <w:pStyle w:val="Neotevilenodstavek"/>
              <w:spacing w:before="40" w:afterLines="40" w:after="96" w:line="260" w:lineRule="atLeast"/>
              <w:jc w:val="center"/>
              <w:rPr>
                <w:iCs/>
                <w:sz w:val="20"/>
                <w:szCs w:val="20"/>
              </w:rPr>
            </w:pPr>
            <w:r>
              <w:rPr>
                <w:sz w:val="20"/>
                <w:szCs w:val="20"/>
              </w:rPr>
              <w:t>DA</w:t>
            </w:r>
          </w:p>
        </w:tc>
      </w:tr>
      <w:tr w:rsidR="00F02B4B" w:rsidRPr="00D462AF" w14:paraId="51DD213A" w14:textId="77777777" w:rsidTr="003F712A">
        <w:tc>
          <w:tcPr>
            <w:tcW w:w="1448" w:type="dxa"/>
          </w:tcPr>
          <w:p w14:paraId="7BBD800C" w14:textId="77777777" w:rsidR="00F02B4B" w:rsidRPr="00D462AF" w:rsidRDefault="00F02B4B" w:rsidP="00487EAD">
            <w:pPr>
              <w:pStyle w:val="Neotevilenodstavek"/>
              <w:spacing w:before="40" w:afterLines="40" w:after="96" w:line="260" w:lineRule="atLeast"/>
              <w:ind w:left="360"/>
              <w:rPr>
                <w:iCs/>
                <w:sz w:val="20"/>
                <w:szCs w:val="20"/>
              </w:rPr>
            </w:pPr>
            <w:r w:rsidRPr="00D462AF">
              <w:rPr>
                <w:iCs/>
                <w:sz w:val="20"/>
                <w:szCs w:val="20"/>
              </w:rPr>
              <w:t>d)</w:t>
            </w:r>
          </w:p>
        </w:tc>
        <w:tc>
          <w:tcPr>
            <w:tcW w:w="5444" w:type="dxa"/>
            <w:gridSpan w:val="2"/>
          </w:tcPr>
          <w:p w14:paraId="2FE650FC" w14:textId="77777777" w:rsidR="00F02B4B" w:rsidRPr="00D462AF" w:rsidRDefault="00F02B4B">
            <w:pPr>
              <w:pStyle w:val="Neotevilenodstavek"/>
              <w:spacing w:before="40" w:afterLines="40" w:after="96" w:line="260" w:lineRule="atLeast"/>
              <w:rPr>
                <w:bCs/>
                <w:sz w:val="20"/>
                <w:szCs w:val="20"/>
              </w:rPr>
            </w:pPr>
            <w:r w:rsidRPr="00D462AF">
              <w:rPr>
                <w:bCs/>
                <w:sz w:val="20"/>
                <w:szCs w:val="20"/>
              </w:rPr>
              <w:t>okolje, vključno s prostorskimi in varstvenimi vidiki</w:t>
            </w:r>
          </w:p>
        </w:tc>
        <w:tc>
          <w:tcPr>
            <w:tcW w:w="2271" w:type="dxa"/>
            <w:vAlign w:val="center"/>
          </w:tcPr>
          <w:p w14:paraId="31BD9A81" w14:textId="77777777" w:rsidR="00F02B4B" w:rsidRPr="00D462AF" w:rsidRDefault="00ED5CC7">
            <w:pPr>
              <w:pStyle w:val="Neotevilenodstavek"/>
              <w:spacing w:before="40" w:afterLines="40" w:after="96" w:line="260" w:lineRule="atLeast"/>
              <w:jc w:val="center"/>
              <w:rPr>
                <w:iCs/>
                <w:sz w:val="20"/>
                <w:szCs w:val="20"/>
              </w:rPr>
            </w:pPr>
            <w:r>
              <w:rPr>
                <w:sz w:val="20"/>
                <w:szCs w:val="20"/>
              </w:rPr>
              <w:t>DA</w:t>
            </w:r>
          </w:p>
        </w:tc>
      </w:tr>
      <w:tr w:rsidR="00F02B4B" w:rsidRPr="00D462AF" w14:paraId="6CEA513B" w14:textId="77777777" w:rsidTr="003F712A">
        <w:tc>
          <w:tcPr>
            <w:tcW w:w="1448" w:type="dxa"/>
          </w:tcPr>
          <w:p w14:paraId="2B508A29" w14:textId="77777777" w:rsidR="00F02B4B" w:rsidRPr="00D462AF" w:rsidRDefault="00F02B4B" w:rsidP="00487EAD">
            <w:pPr>
              <w:pStyle w:val="Neotevilenodstavek"/>
              <w:spacing w:before="40" w:afterLines="40" w:after="96" w:line="260" w:lineRule="atLeast"/>
              <w:ind w:left="360"/>
              <w:rPr>
                <w:iCs/>
                <w:sz w:val="20"/>
                <w:szCs w:val="20"/>
              </w:rPr>
            </w:pPr>
            <w:r w:rsidRPr="00D462AF">
              <w:rPr>
                <w:iCs/>
                <w:sz w:val="20"/>
                <w:szCs w:val="20"/>
              </w:rPr>
              <w:t>e)</w:t>
            </w:r>
          </w:p>
        </w:tc>
        <w:tc>
          <w:tcPr>
            <w:tcW w:w="5444" w:type="dxa"/>
            <w:gridSpan w:val="2"/>
          </w:tcPr>
          <w:p w14:paraId="4BD10370" w14:textId="77777777" w:rsidR="00F02B4B" w:rsidRPr="00D462AF" w:rsidRDefault="00F02B4B">
            <w:pPr>
              <w:pStyle w:val="Neotevilenodstavek"/>
              <w:spacing w:before="40" w:afterLines="40" w:after="96" w:line="260" w:lineRule="atLeast"/>
              <w:rPr>
                <w:bCs/>
                <w:sz w:val="20"/>
                <w:szCs w:val="20"/>
              </w:rPr>
            </w:pPr>
            <w:r w:rsidRPr="00D462AF">
              <w:rPr>
                <w:bCs/>
                <w:sz w:val="20"/>
                <w:szCs w:val="20"/>
              </w:rPr>
              <w:t>socialno področje</w:t>
            </w:r>
          </w:p>
        </w:tc>
        <w:tc>
          <w:tcPr>
            <w:tcW w:w="2271" w:type="dxa"/>
            <w:vAlign w:val="center"/>
          </w:tcPr>
          <w:p w14:paraId="2C7DB089" w14:textId="77777777" w:rsidR="00F02B4B" w:rsidRPr="00D462AF" w:rsidRDefault="00530C4A">
            <w:pPr>
              <w:pStyle w:val="Neotevilenodstavek"/>
              <w:spacing w:before="40" w:afterLines="40" w:after="96" w:line="260" w:lineRule="atLeast"/>
              <w:jc w:val="center"/>
              <w:rPr>
                <w:iCs/>
                <w:sz w:val="20"/>
                <w:szCs w:val="20"/>
              </w:rPr>
            </w:pPr>
            <w:r>
              <w:rPr>
                <w:sz w:val="20"/>
                <w:szCs w:val="20"/>
              </w:rPr>
              <w:t>DA</w:t>
            </w:r>
          </w:p>
        </w:tc>
      </w:tr>
      <w:tr w:rsidR="00F02B4B" w:rsidRPr="00D462AF" w14:paraId="3A10BCDD" w14:textId="77777777" w:rsidTr="003F712A">
        <w:tc>
          <w:tcPr>
            <w:tcW w:w="1448" w:type="dxa"/>
            <w:tcBorders>
              <w:bottom w:val="single" w:sz="4" w:space="0" w:color="auto"/>
            </w:tcBorders>
          </w:tcPr>
          <w:p w14:paraId="743B3FFD" w14:textId="77777777" w:rsidR="00F02B4B" w:rsidRPr="00D462AF" w:rsidRDefault="00F02B4B" w:rsidP="00487EAD">
            <w:pPr>
              <w:pStyle w:val="Neotevilenodstavek"/>
              <w:spacing w:before="40" w:afterLines="40" w:after="96" w:line="260" w:lineRule="atLeast"/>
              <w:ind w:left="360"/>
              <w:rPr>
                <w:iCs/>
                <w:sz w:val="20"/>
                <w:szCs w:val="20"/>
              </w:rPr>
            </w:pPr>
            <w:r w:rsidRPr="00D462AF">
              <w:rPr>
                <w:iCs/>
                <w:sz w:val="20"/>
                <w:szCs w:val="20"/>
              </w:rPr>
              <w:t>f)</w:t>
            </w:r>
          </w:p>
        </w:tc>
        <w:tc>
          <w:tcPr>
            <w:tcW w:w="5444" w:type="dxa"/>
            <w:gridSpan w:val="2"/>
            <w:tcBorders>
              <w:bottom w:val="single" w:sz="4" w:space="0" w:color="auto"/>
            </w:tcBorders>
          </w:tcPr>
          <w:p w14:paraId="2012BAFB" w14:textId="77777777" w:rsidR="00F02B4B" w:rsidRPr="00D462AF" w:rsidRDefault="00F02B4B">
            <w:pPr>
              <w:pStyle w:val="Neotevilenodstavek"/>
              <w:spacing w:before="40" w:afterLines="40" w:after="96" w:line="260" w:lineRule="atLeast"/>
              <w:rPr>
                <w:bCs/>
                <w:sz w:val="20"/>
                <w:szCs w:val="20"/>
              </w:rPr>
            </w:pPr>
            <w:r w:rsidRPr="00D462AF">
              <w:rPr>
                <w:bCs/>
                <w:sz w:val="20"/>
                <w:szCs w:val="20"/>
              </w:rPr>
              <w:t>dokumente razvojnega načrtovanja:</w:t>
            </w:r>
          </w:p>
          <w:p w14:paraId="099C0295" w14:textId="77777777" w:rsidR="00F02B4B" w:rsidRPr="00D462AF" w:rsidRDefault="00F02B4B" w:rsidP="001E5919">
            <w:pPr>
              <w:pStyle w:val="Neotevilenodstavek"/>
              <w:numPr>
                <w:ilvl w:val="0"/>
                <w:numId w:val="4"/>
              </w:numPr>
              <w:spacing w:before="0" w:after="0" w:line="260" w:lineRule="atLeast"/>
              <w:ind w:left="714" w:hanging="357"/>
              <w:rPr>
                <w:bCs/>
                <w:sz w:val="20"/>
                <w:szCs w:val="20"/>
              </w:rPr>
            </w:pPr>
            <w:r w:rsidRPr="00D462AF">
              <w:rPr>
                <w:bCs/>
                <w:sz w:val="20"/>
                <w:szCs w:val="20"/>
              </w:rPr>
              <w:t>nacionalne dokumente razvojnega načrtovanja</w:t>
            </w:r>
          </w:p>
          <w:p w14:paraId="411BC7F9" w14:textId="77777777" w:rsidR="00F02B4B" w:rsidRPr="00D462AF" w:rsidRDefault="00F02B4B" w:rsidP="001E5919">
            <w:pPr>
              <w:pStyle w:val="Neotevilenodstavek"/>
              <w:numPr>
                <w:ilvl w:val="0"/>
                <w:numId w:val="4"/>
              </w:numPr>
              <w:spacing w:before="0" w:after="0" w:line="260" w:lineRule="atLeast"/>
              <w:ind w:left="714" w:hanging="357"/>
              <w:rPr>
                <w:bCs/>
                <w:sz w:val="20"/>
                <w:szCs w:val="20"/>
              </w:rPr>
            </w:pPr>
            <w:r w:rsidRPr="00D462AF">
              <w:rPr>
                <w:bCs/>
                <w:sz w:val="20"/>
                <w:szCs w:val="20"/>
              </w:rPr>
              <w:lastRenderedPageBreak/>
              <w:t>razvojne politike na ravni programov po strukturi razvojne klasifikacije programskega proračuna</w:t>
            </w:r>
          </w:p>
          <w:p w14:paraId="61D37DFC" w14:textId="77777777" w:rsidR="00F02B4B" w:rsidRPr="00D462AF" w:rsidRDefault="00F02B4B" w:rsidP="001E5919">
            <w:pPr>
              <w:pStyle w:val="Neotevilenodstavek"/>
              <w:numPr>
                <w:ilvl w:val="0"/>
                <w:numId w:val="4"/>
              </w:numPr>
              <w:spacing w:before="0" w:after="0" w:line="260" w:lineRule="atLeast"/>
              <w:ind w:left="714" w:hanging="357"/>
              <w:rPr>
                <w:bCs/>
                <w:sz w:val="20"/>
                <w:szCs w:val="20"/>
              </w:rPr>
            </w:pPr>
            <w:r w:rsidRPr="00D462AF">
              <w:rPr>
                <w:bCs/>
                <w:sz w:val="20"/>
                <w:szCs w:val="20"/>
              </w:rPr>
              <w:t>razvojne dokumente Evropske unije in mednarodnih organizacij</w:t>
            </w:r>
          </w:p>
        </w:tc>
        <w:tc>
          <w:tcPr>
            <w:tcW w:w="2271" w:type="dxa"/>
            <w:tcBorders>
              <w:bottom w:val="single" w:sz="4" w:space="0" w:color="auto"/>
            </w:tcBorders>
            <w:vAlign w:val="center"/>
          </w:tcPr>
          <w:p w14:paraId="09952748" w14:textId="77777777" w:rsidR="00F02B4B" w:rsidRPr="00D462AF" w:rsidRDefault="00ED5CC7">
            <w:pPr>
              <w:pStyle w:val="Neotevilenodstavek"/>
              <w:spacing w:before="40" w:afterLines="40" w:after="96" w:line="260" w:lineRule="atLeast"/>
              <w:jc w:val="center"/>
              <w:rPr>
                <w:iCs/>
                <w:sz w:val="20"/>
                <w:szCs w:val="20"/>
              </w:rPr>
            </w:pPr>
            <w:r>
              <w:rPr>
                <w:sz w:val="20"/>
                <w:szCs w:val="20"/>
              </w:rPr>
              <w:lastRenderedPageBreak/>
              <w:t>DA</w:t>
            </w:r>
          </w:p>
        </w:tc>
      </w:tr>
      <w:tr w:rsidR="00F02B4B" w:rsidRPr="00D462AF" w14:paraId="36CE6A5F" w14:textId="77777777" w:rsidTr="00BF1663">
        <w:trPr>
          <w:trHeight w:val="2176"/>
        </w:trPr>
        <w:tc>
          <w:tcPr>
            <w:tcW w:w="9163" w:type="dxa"/>
            <w:gridSpan w:val="4"/>
            <w:tcBorders>
              <w:top w:val="single" w:sz="4" w:space="0" w:color="auto"/>
              <w:left w:val="single" w:sz="4" w:space="0" w:color="auto"/>
              <w:bottom w:val="single" w:sz="4" w:space="0" w:color="auto"/>
              <w:right w:val="single" w:sz="4" w:space="0" w:color="auto"/>
            </w:tcBorders>
          </w:tcPr>
          <w:p w14:paraId="2F2A3D9B" w14:textId="77777777" w:rsidR="00F02B4B" w:rsidRPr="00D462AF" w:rsidRDefault="00F02B4B" w:rsidP="00487EAD">
            <w:pPr>
              <w:pStyle w:val="Oddelek"/>
              <w:widowControl w:val="0"/>
              <w:numPr>
                <w:ilvl w:val="0"/>
                <w:numId w:val="0"/>
              </w:numPr>
              <w:spacing w:before="40" w:afterLines="40" w:after="96" w:line="260" w:lineRule="atLeast"/>
              <w:jc w:val="left"/>
              <w:rPr>
                <w:sz w:val="20"/>
                <w:szCs w:val="20"/>
              </w:rPr>
            </w:pPr>
            <w:proofErr w:type="spellStart"/>
            <w:r w:rsidRPr="00D462AF">
              <w:rPr>
                <w:sz w:val="20"/>
                <w:szCs w:val="20"/>
              </w:rPr>
              <w:lastRenderedPageBreak/>
              <w:t>7.a</w:t>
            </w:r>
            <w:proofErr w:type="spellEnd"/>
            <w:r w:rsidRPr="00D462AF">
              <w:rPr>
                <w:sz w:val="20"/>
                <w:szCs w:val="20"/>
              </w:rPr>
              <w:t xml:space="preserve"> Predstavitev ocene finančnih posledic nad 40.000 EUR:</w:t>
            </w:r>
          </w:p>
          <w:p w14:paraId="3CDD46CD" w14:textId="77777777" w:rsidR="000B2068" w:rsidRDefault="00255AE9" w:rsidP="00255AE9">
            <w:pPr>
              <w:pStyle w:val="Oddelek"/>
              <w:widowControl w:val="0"/>
              <w:numPr>
                <w:ilvl w:val="0"/>
                <w:numId w:val="0"/>
              </w:numPr>
              <w:spacing w:before="40" w:afterLines="40" w:after="96" w:line="260" w:lineRule="atLeast"/>
              <w:jc w:val="both"/>
              <w:rPr>
                <w:b w:val="0"/>
                <w:sz w:val="20"/>
                <w:szCs w:val="20"/>
              </w:rPr>
            </w:pPr>
            <w:r>
              <w:rPr>
                <w:b w:val="0"/>
                <w:sz w:val="20"/>
                <w:szCs w:val="20"/>
              </w:rPr>
              <w:t>V Akcijskem programu so upoštevani ukrepi</w:t>
            </w:r>
            <w:r w:rsidR="000903FA">
              <w:rPr>
                <w:b w:val="0"/>
                <w:sz w:val="20"/>
                <w:szCs w:val="20"/>
              </w:rPr>
              <w:t>,</w:t>
            </w:r>
            <w:r>
              <w:rPr>
                <w:b w:val="0"/>
                <w:sz w:val="20"/>
                <w:szCs w:val="20"/>
              </w:rPr>
              <w:t xml:space="preserve"> za katere so zagotovljena sredstva Proračuna Republike Slovenije za let</w:t>
            </w:r>
            <w:r w:rsidR="00DC3F20">
              <w:rPr>
                <w:b w:val="0"/>
                <w:sz w:val="20"/>
                <w:szCs w:val="20"/>
              </w:rPr>
              <w:t>o</w:t>
            </w:r>
            <w:r>
              <w:rPr>
                <w:b w:val="0"/>
                <w:sz w:val="20"/>
                <w:szCs w:val="20"/>
              </w:rPr>
              <w:t xml:space="preserve"> 2019 oziroma sredstva namenskih skladov</w:t>
            </w:r>
            <w:r w:rsidR="00376F08">
              <w:rPr>
                <w:b w:val="0"/>
                <w:sz w:val="20"/>
                <w:szCs w:val="20"/>
              </w:rPr>
              <w:t xml:space="preserve"> (</w:t>
            </w:r>
            <w:r w:rsidR="00145500">
              <w:rPr>
                <w:b w:val="0"/>
                <w:sz w:val="20"/>
                <w:szCs w:val="20"/>
              </w:rPr>
              <w:t>Sklad za podnebne spremembe</w:t>
            </w:r>
            <w:r w:rsidR="00376F08">
              <w:rPr>
                <w:b w:val="0"/>
                <w:sz w:val="20"/>
                <w:szCs w:val="20"/>
              </w:rPr>
              <w:t xml:space="preserve"> in sredstva zbrana na podlagi EZ 1</w:t>
            </w:r>
            <w:r w:rsidR="00B674A0">
              <w:rPr>
                <w:b w:val="0"/>
                <w:sz w:val="20"/>
                <w:szCs w:val="20"/>
              </w:rPr>
              <w:t>, sredstva za evropske projekte, ki so že odobreni na podlagi OP evropske kohezijske politike ali razpisov Evropske komisije</w:t>
            </w:r>
            <w:r w:rsidR="00376F08">
              <w:rPr>
                <w:b w:val="0"/>
                <w:sz w:val="20"/>
                <w:szCs w:val="20"/>
              </w:rPr>
              <w:t>)</w:t>
            </w:r>
            <w:r>
              <w:rPr>
                <w:b w:val="0"/>
                <w:sz w:val="20"/>
                <w:szCs w:val="20"/>
              </w:rPr>
              <w:t>, ki se na podlagi razpisov EKO Sklada v skladu s Finančnim poslovnim načrtom izvajajo v posameznem letu.</w:t>
            </w:r>
            <w:r w:rsidR="00573189">
              <w:rPr>
                <w:b w:val="0"/>
                <w:sz w:val="20"/>
                <w:szCs w:val="20"/>
              </w:rPr>
              <w:t xml:space="preserve"> </w:t>
            </w:r>
          </w:p>
          <w:p w14:paraId="5326599E" w14:textId="35591FAC" w:rsidR="006E4F1C" w:rsidRDefault="006E4F1C" w:rsidP="00255AE9">
            <w:pPr>
              <w:pStyle w:val="Oddelek"/>
              <w:widowControl w:val="0"/>
              <w:numPr>
                <w:ilvl w:val="0"/>
                <w:numId w:val="0"/>
              </w:numPr>
              <w:spacing w:before="40" w:afterLines="40" w:after="96" w:line="260" w:lineRule="atLeast"/>
              <w:jc w:val="both"/>
              <w:rPr>
                <w:b w:val="0"/>
                <w:sz w:val="20"/>
                <w:szCs w:val="20"/>
              </w:rPr>
            </w:pPr>
            <w:r>
              <w:rPr>
                <w:b w:val="0"/>
                <w:sz w:val="20"/>
                <w:szCs w:val="20"/>
              </w:rPr>
              <w:t>Pregled s</w:t>
            </w:r>
            <w:r w:rsidR="00376F08">
              <w:rPr>
                <w:b w:val="0"/>
                <w:sz w:val="20"/>
                <w:szCs w:val="20"/>
              </w:rPr>
              <w:t>kup</w:t>
            </w:r>
            <w:r>
              <w:rPr>
                <w:b w:val="0"/>
                <w:sz w:val="20"/>
                <w:szCs w:val="20"/>
              </w:rPr>
              <w:t>ne</w:t>
            </w:r>
            <w:r w:rsidR="00376F08">
              <w:rPr>
                <w:b w:val="0"/>
                <w:sz w:val="20"/>
                <w:szCs w:val="20"/>
              </w:rPr>
              <w:t xml:space="preserve"> </w:t>
            </w:r>
            <w:r>
              <w:rPr>
                <w:b w:val="0"/>
                <w:sz w:val="20"/>
                <w:szCs w:val="20"/>
              </w:rPr>
              <w:t xml:space="preserve">vrednosti </w:t>
            </w:r>
            <w:r w:rsidR="00376F08">
              <w:rPr>
                <w:b w:val="0"/>
                <w:sz w:val="20"/>
                <w:szCs w:val="20"/>
              </w:rPr>
              <w:t xml:space="preserve">za vse ukrepe predvidene v akcijskem programu </w:t>
            </w:r>
            <w:r>
              <w:rPr>
                <w:b w:val="0"/>
                <w:sz w:val="20"/>
                <w:szCs w:val="20"/>
              </w:rPr>
              <w:t xml:space="preserve">je povzet po </w:t>
            </w:r>
            <w:proofErr w:type="spellStart"/>
            <w:r>
              <w:rPr>
                <w:b w:val="0"/>
                <w:sz w:val="20"/>
                <w:szCs w:val="20"/>
              </w:rPr>
              <w:t>ekscelovi</w:t>
            </w:r>
            <w:proofErr w:type="spellEnd"/>
            <w:r>
              <w:rPr>
                <w:b w:val="0"/>
                <w:sz w:val="20"/>
                <w:szCs w:val="20"/>
              </w:rPr>
              <w:t xml:space="preserve"> predlogi in prikazan v preglednici: </w:t>
            </w:r>
          </w:p>
          <w:tbl>
            <w:tblPr>
              <w:tblStyle w:val="Tabelamrea"/>
              <w:tblW w:w="0" w:type="auto"/>
              <w:tblLook w:val="04A0" w:firstRow="1" w:lastRow="0" w:firstColumn="1" w:lastColumn="0" w:noHBand="0" w:noVBand="1"/>
            </w:tblPr>
            <w:tblGrid>
              <w:gridCol w:w="4775"/>
              <w:gridCol w:w="1496"/>
              <w:gridCol w:w="1496"/>
            </w:tblGrid>
            <w:tr w:rsidR="006E4F1C" w:rsidRPr="004F008C" w14:paraId="07E0D22C" w14:textId="77777777" w:rsidTr="006E4F1C">
              <w:tc>
                <w:tcPr>
                  <w:tcW w:w="0" w:type="auto"/>
                </w:tcPr>
                <w:p w14:paraId="1B61D418" w14:textId="560300B8" w:rsidR="006E4F1C" w:rsidRPr="004F008C" w:rsidRDefault="004F008C" w:rsidP="00255AE9">
                  <w:pPr>
                    <w:pStyle w:val="Oddelek"/>
                    <w:widowControl w:val="0"/>
                    <w:numPr>
                      <w:ilvl w:val="0"/>
                      <w:numId w:val="0"/>
                    </w:numPr>
                    <w:spacing w:before="40" w:afterLines="40" w:after="96" w:line="260" w:lineRule="atLeast"/>
                    <w:jc w:val="both"/>
                    <w:rPr>
                      <w:b w:val="0"/>
                      <w:sz w:val="20"/>
                      <w:szCs w:val="20"/>
                    </w:rPr>
                  </w:pPr>
                  <w:r>
                    <w:rPr>
                      <w:b w:val="0"/>
                      <w:sz w:val="20"/>
                      <w:szCs w:val="20"/>
                    </w:rPr>
                    <w:t>Vsi ukrepi</w:t>
                  </w:r>
                  <w:r w:rsidR="008A2364">
                    <w:rPr>
                      <w:b w:val="0"/>
                      <w:sz w:val="20"/>
                      <w:szCs w:val="20"/>
                    </w:rPr>
                    <w:t xml:space="preserve"> v EUR</w:t>
                  </w:r>
                </w:p>
              </w:tc>
              <w:tc>
                <w:tcPr>
                  <w:tcW w:w="0" w:type="auto"/>
                </w:tcPr>
                <w:p w14:paraId="13125B23" w14:textId="76316204" w:rsidR="006E4F1C" w:rsidRPr="004F008C" w:rsidRDefault="006E4F1C" w:rsidP="004F008C">
                  <w:pPr>
                    <w:pStyle w:val="Oddelek"/>
                    <w:widowControl w:val="0"/>
                    <w:numPr>
                      <w:ilvl w:val="0"/>
                      <w:numId w:val="0"/>
                    </w:numPr>
                    <w:spacing w:before="40" w:afterLines="40" w:after="96" w:line="260" w:lineRule="atLeast"/>
                    <w:rPr>
                      <w:b w:val="0"/>
                      <w:sz w:val="20"/>
                      <w:szCs w:val="20"/>
                    </w:rPr>
                  </w:pPr>
                  <w:r w:rsidRPr="004F008C">
                    <w:rPr>
                      <w:b w:val="0"/>
                      <w:sz w:val="20"/>
                      <w:szCs w:val="20"/>
                    </w:rPr>
                    <w:t>2019</w:t>
                  </w:r>
                </w:p>
              </w:tc>
              <w:tc>
                <w:tcPr>
                  <w:tcW w:w="0" w:type="auto"/>
                </w:tcPr>
                <w:p w14:paraId="423F0CF4" w14:textId="5F8A35AD" w:rsidR="006E4F1C" w:rsidRPr="004F008C" w:rsidRDefault="006E4F1C" w:rsidP="004F008C">
                  <w:pPr>
                    <w:pStyle w:val="Oddelek"/>
                    <w:widowControl w:val="0"/>
                    <w:numPr>
                      <w:ilvl w:val="0"/>
                      <w:numId w:val="0"/>
                    </w:numPr>
                    <w:spacing w:before="40" w:afterLines="40" w:after="96" w:line="260" w:lineRule="atLeast"/>
                    <w:rPr>
                      <w:b w:val="0"/>
                      <w:sz w:val="20"/>
                      <w:szCs w:val="20"/>
                    </w:rPr>
                  </w:pPr>
                  <w:r w:rsidRPr="004F008C">
                    <w:rPr>
                      <w:b w:val="0"/>
                      <w:sz w:val="20"/>
                      <w:szCs w:val="20"/>
                    </w:rPr>
                    <w:t>2020</w:t>
                  </w:r>
                </w:p>
              </w:tc>
            </w:tr>
            <w:tr w:rsidR="006E4F1C" w:rsidRPr="004F008C" w14:paraId="1D9513AE" w14:textId="77777777" w:rsidTr="006E4F1C">
              <w:tc>
                <w:tcPr>
                  <w:tcW w:w="0" w:type="auto"/>
                </w:tcPr>
                <w:p w14:paraId="56EB9A2E" w14:textId="0D07B060" w:rsidR="006E4F1C" w:rsidRPr="004F008C" w:rsidRDefault="004F008C" w:rsidP="00255AE9">
                  <w:pPr>
                    <w:pStyle w:val="Oddelek"/>
                    <w:widowControl w:val="0"/>
                    <w:numPr>
                      <w:ilvl w:val="0"/>
                      <w:numId w:val="0"/>
                    </w:numPr>
                    <w:spacing w:before="40" w:afterLines="40" w:after="96" w:line="260" w:lineRule="atLeast"/>
                    <w:jc w:val="both"/>
                    <w:rPr>
                      <w:b w:val="0"/>
                      <w:sz w:val="20"/>
                      <w:szCs w:val="20"/>
                    </w:rPr>
                  </w:pPr>
                  <w:r>
                    <w:rPr>
                      <w:b w:val="0"/>
                      <w:sz w:val="20"/>
                      <w:szCs w:val="20"/>
                    </w:rPr>
                    <w:t>S</w:t>
                  </w:r>
                  <w:r w:rsidR="006E4F1C" w:rsidRPr="004F008C">
                    <w:rPr>
                      <w:b w:val="0"/>
                      <w:sz w:val="20"/>
                      <w:szCs w:val="20"/>
                    </w:rPr>
                    <w:t>redstva za izvajanje e-mobilnosti</w:t>
                  </w:r>
                </w:p>
              </w:tc>
              <w:tc>
                <w:tcPr>
                  <w:tcW w:w="0" w:type="auto"/>
                </w:tcPr>
                <w:p w14:paraId="2786B965" w14:textId="78BFF35A" w:rsidR="006E4F1C" w:rsidRPr="004F008C" w:rsidRDefault="006E4F1C" w:rsidP="004F008C">
                  <w:pPr>
                    <w:pStyle w:val="Oddelek"/>
                    <w:widowControl w:val="0"/>
                    <w:numPr>
                      <w:ilvl w:val="0"/>
                      <w:numId w:val="0"/>
                    </w:numPr>
                    <w:spacing w:before="40" w:afterLines="40" w:after="96" w:line="260" w:lineRule="atLeast"/>
                    <w:jc w:val="right"/>
                    <w:rPr>
                      <w:b w:val="0"/>
                      <w:sz w:val="20"/>
                      <w:szCs w:val="20"/>
                    </w:rPr>
                  </w:pPr>
                  <w:r w:rsidRPr="004F008C">
                    <w:rPr>
                      <w:b w:val="0"/>
                      <w:color w:val="000000"/>
                      <w:sz w:val="20"/>
                      <w:szCs w:val="20"/>
                    </w:rPr>
                    <w:t xml:space="preserve">31.262.500,00  </w:t>
                  </w:r>
                </w:p>
              </w:tc>
              <w:tc>
                <w:tcPr>
                  <w:tcW w:w="0" w:type="auto"/>
                </w:tcPr>
                <w:p w14:paraId="768313A2" w14:textId="7BC2D7E5" w:rsidR="006E4F1C" w:rsidRPr="004F008C" w:rsidRDefault="006E4F1C" w:rsidP="004F008C">
                  <w:pPr>
                    <w:pStyle w:val="Oddelek"/>
                    <w:widowControl w:val="0"/>
                    <w:numPr>
                      <w:ilvl w:val="0"/>
                      <w:numId w:val="0"/>
                    </w:numPr>
                    <w:spacing w:before="40" w:afterLines="40" w:after="96" w:line="260" w:lineRule="atLeast"/>
                    <w:jc w:val="right"/>
                    <w:rPr>
                      <w:b w:val="0"/>
                      <w:sz w:val="20"/>
                      <w:szCs w:val="20"/>
                    </w:rPr>
                  </w:pPr>
                  <w:r w:rsidRPr="004F008C">
                    <w:rPr>
                      <w:b w:val="0"/>
                      <w:color w:val="000000"/>
                      <w:sz w:val="20"/>
                      <w:szCs w:val="20"/>
                    </w:rPr>
                    <w:t xml:space="preserve">46.496.503,83   </w:t>
                  </w:r>
                </w:p>
              </w:tc>
            </w:tr>
            <w:tr w:rsidR="006E4F1C" w:rsidRPr="004F008C" w14:paraId="4B8AB872" w14:textId="77777777" w:rsidTr="006E4F1C">
              <w:tc>
                <w:tcPr>
                  <w:tcW w:w="0" w:type="auto"/>
                </w:tcPr>
                <w:p w14:paraId="7B20CE5A" w14:textId="46CCD96D" w:rsidR="006E4F1C" w:rsidRPr="004F008C" w:rsidRDefault="006E4F1C" w:rsidP="006E4F1C">
                  <w:pPr>
                    <w:pStyle w:val="Oddelek"/>
                    <w:widowControl w:val="0"/>
                    <w:numPr>
                      <w:ilvl w:val="0"/>
                      <w:numId w:val="0"/>
                    </w:numPr>
                    <w:spacing w:before="40" w:afterLines="40" w:after="96" w:line="260" w:lineRule="atLeast"/>
                    <w:jc w:val="both"/>
                    <w:rPr>
                      <w:b w:val="0"/>
                      <w:sz w:val="20"/>
                      <w:szCs w:val="20"/>
                    </w:rPr>
                  </w:pPr>
                  <w:r w:rsidRPr="004F008C">
                    <w:rPr>
                      <w:b w:val="0"/>
                      <w:sz w:val="20"/>
                      <w:szCs w:val="20"/>
                    </w:rPr>
                    <w:t xml:space="preserve">Sredstva za spodbujanje uporabe plina v prometu </w:t>
                  </w:r>
                </w:p>
              </w:tc>
              <w:tc>
                <w:tcPr>
                  <w:tcW w:w="0" w:type="auto"/>
                </w:tcPr>
                <w:p w14:paraId="34995239" w14:textId="4CCC7A08" w:rsidR="006E4F1C" w:rsidRPr="004F008C" w:rsidRDefault="006E4F1C" w:rsidP="004F008C">
                  <w:pPr>
                    <w:pStyle w:val="Oddelek"/>
                    <w:widowControl w:val="0"/>
                    <w:numPr>
                      <w:ilvl w:val="0"/>
                      <w:numId w:val="0"/>
                    </w:numPr>
                    <w:spacing w:before="40" w:afterLines="40" w:after="96" w:line="260" w:lineRule="atLeast"/>
                    <w:jc w:val="right"/>
                    <w:rPr>
                      <w:b w:val="0"/>
                      <w:sz w:val="20"/>
                      <w:szCs w:val="20"/>
                    </w:rPr>
                  </w:pPr>
                  <w:r w:rsidRPr="004F008C">
                    <w:rPr>
                      <w:b w:val="0"/>
                      <w:color w:val="000000"/>
                      <w:sz w:val="20"/>
                      <w:szCs w:val="20"/>
                    </w:rPr>
                    <w:t xml:space="preserve">7.307.912,00   </w:t>
                  </w:r>
                </w:p>
              </w:tc>
              <w:tc>
                <w:tcPr>
                  <w:tcW w:w="0" w:type="auto"/>
                </w:tcPr>
                <w:p w14:paraId="78F43463" w14:textId="2517ADF9" w:rsidR="006E4F1C" w:rsidRPr="004F008C" w:rsidRDefault="006E4F1C" w:rsidP="004F008C">
                  <w:pPr>
                    <w:pStyle w:val="Oddelek"/>
                    <w:widowControl w:val="0"/>
                    <w:numPr>
                      <w:ilvl w:val="0"/>
                      <w:numId w:val="0"/>
                    </w:numPr>
                    <w:spacing w:before="40" w:afterLines="40" w:after="96" w:line="260" w:lineRule="atLeast"/>
                    <w:jc w:val="right"/>
                    <w:rPr>
                      <w:b w:val="0"/>
                      <w:sz w:val="20"/>
                      <w:szCs w:val="20"/>
                    </w:rPr>
                  </w:pPr>
                  <w:r w:rsidRPr="004F008C">
                    <w:rPr>
                      <w:b w:val="0"/>
                      <w:color w:val="000000"/>
                      <w:sz w:val="20"/>
                      <w:szCs w:val="20"/>
                    </w:rPr>
                    <w:t xml:space="preserve">12.686.180,40   </w:t>
                  </w:r>
                </w:p>
              </w:tc>
            </w:tr>
            <w:tr w:rsidR="006E4F1C" w:rsidRPr="004F008C" w14:paraId="67EA3F50" w14:textId="77777777" w:rsidTr="006E4F1C">
              <w:tc>
                <w:tcPr>
                  <w:tcW w:w="0" w:type="auto"/>
                </w:tcPr>
                <w:p w14:paraId="23D2B845" w14:textId="2B358358" w:rsidR="006E4F1C" w:rsidRPr="004F008C" w:rsidRDefault="006E4F1C" w:rsidP="006E4F1C">
                  <w:pPr>
                    <w:pStyle w:val="Oddelek"/>
                    <w:widowControl w:val="0"/>
                    <w:numPr>
                      <w:ilvl w:val="0"/>
                      <w:numId w:val="0"/>
                    </w:numPr>
                    <w:spacing w:before="40" w:afterLines="40" w:after="96" w:line="260" w:lineRule="atLeast"/>
                    <w:jc w:val="both"/>
                    <w:rPr>
                      <w:b w:val="0"/>
                      <w:sz w:val="20"/>
                      <w:szCs w:val="20"/>
                    </w:rPr>
                  </w:pPr>
                  <w:r w:rsidRPr="004F008C">
                    <w:rPr>
                      <w:b w:val="0"/>
                      <w:sz w:val="20"/>
                      <w:szCs w:val="20"/>
                    </w:rPr>
                    <w:t>Sredstva za spodbujanje uporabe vodika v p</w:t>
                  </w:r>
                  <w:r w:rsidR="00C477EA">
                    <w:rPr>
                      <w:b w:val="0"/>
                      <w:sz w:val="20"/>
                      <w:szCs w:val="20"/>
                    </w:rPr>
                    <w:t>r</w:t>
                  </w:r>
                  <w:r w:rsidRPr="004F008C">
                    <w:rPr>
                      <w:b w:val="0"/>
                      <w:sz w:val="20"/>
                      <w:szCs w:val="20"/>
                    </w:rPr>
                    <w:t>ometu</w:t>
                  </w:r>
                </w:p>
              </w:tc>
              <w:tc>
                <w:tcPr>
                  <w:tcW w:w="0" w:type="auto"/>
                </w:tcPr>
                <w:p w14:paraId="65F3F426" w14:textId="06EB7470" w:rsidR="006E4F1C" w:rsidRPr="004F008C" w:rsidRDefault="006E4F1C" w:rsidP="004F008C">
                  <w:pPr>
                    <w:pStyle w:val="Oddelek"/>
                    <w:widowControl w:val="0"/>
                    <w:numPr>
                      <w:ilvl w:val="0"/>
                      <w:numId w:val="0"/>
                    </w:numPr>
                    <w:spacing w:before="40" w:afterLines="40" w:after="96" w:line="260" w:lineRule="atLeast"/>
                    <w:jc w:val="right"/>
                    <w:rPr>
                      <w:b w:val="0"/>
                      <w:sz w:val="20"/>
                      <w:szCs w:val="20"/>
                    </w:rPr>
                  </w:pPr>
                  <w:r w:rsidRPr="004F008C">
                    <w:rPr>
                      <w:b w:val="0"/>
                      <w:sz w:val="20"/>
                      <w:szCs w:val="20"/>
                    </w:rPr>
                    <w:t>2.250.000,00</w:t>
                  </w:r>
                </w:p>
              </w:tc>
              <w:tc>
                <w:tcPr>
                  <w:tcW w:w="0" w:type="auto"/>
                </w:tcPr>
                <w:p w14:paraId="5AEA41C6" w14:textId="11DEA676" w:rsidR="006E4F1C" w:rsidRPr="004F008C" w:rsidRDefault="006E4F1C" w:rsidP="004F008C">
                  <w:pPr>
                    <w:pStyle w:val="Oddelek"/>
                    <w:widowControl w:val="0"/>
                    <w:numPr>
                      <w:ilvl w:val="0"/>
                      <w:numId w:val="0"/>
                    </w:numPr>
                    <w:spacing w:before="40" w:afterLines="40" w:after="96" w:line="260" w:lineRule="atLeast"/>
                    <w:jc w:val="right"/>
                    <w:rPr>
                      <w:b w:val="0"/>
                      <w:sz w:val="20"/>
                      <w:szCs w:val="20"/>
                    </w:rPr>
                  </w:pPr>
                  <w:r w:rsidRPr="004F008C">
                    <w:rPr>
                      <w:b w:val="0"/>
                      <w:sz w:val="20"/>
                      <w:szCs w:val="20"/>
                    </w:rPr>
                    <w:t>3.775,000,00</w:t>
                  </w:r>
                </w:p>
              </w:tc>
            </w:tr>
            <w:tr w:rsidR="006E4F1C" w:rsidRPr="004F008C" w14:paraId="3AF87C1E" w14:textId="77777777" w:rsidTr="006E4F1C">
              <w:tc>
                <w:tcPr>
                  <w:tcW w:w="0" w:type="auto"/>
                </w:tcPr>
                <w:p w14:paraId="208BDFF8" w14:textId="46FF920B" w:rsidR="006E4F1C" w:rsidRPr="004F008C" w:rsidRDefault="004F008C" w:rsidP="00255AE9">
                  <w:pPr>
                    <w:pStyle w:val="Oddelek"/>
                    <w:widowControl w:val="0"/>
                    <w:numPr>
                      <w:ilvl w:val="0"/>
                      <w:numId w:val="0"/>
                    </w:numPr>
                    <w:spacing w:before="40" w:afterLines="40" w:after="96" w:line="260" w:lineRule="atLeast"/>
                    <w:jc w:val="both"/>
                    <w:rPr>
                      <w:sz w:val="20"/>
                      <w:szCs w:val="20"/>
                    </w:rPr>
                  </w:pPr>
                  <w:r w:rsidRPr="004F008C">
                    <w:rPr>
                      <w:sz w:val="20"/>
                      <w:szCs w:val="20"/>
                    </w:rPr>
                    <w:t>SKUPAJ</w:t>
                  </w:r>
                </w:p>
              </w:tc>
              <w:tc>
                <w:tcPr>
                  <w:tcW w:w="0" w:type="auto"/>
                </w:tcPr>
                <w:p w14:paraId="311BE2E5" w14:textId="5D88029D" w:rsidR="006E4F1C" w:rsidRPr="004F008C" w:rsidRDefault="004F008C" w:rsidP="00255AE9">
                  <w:pPr>
                    <w:pStyle w:val="Oddelek"/>
                    <w:widowControl w:val="0"/>
                    <w:numPr>
                      <w:ilvl w:val="0"/>
                      <w:numId w:val="0"/>
                    </w:numPr>
                    <w:spacing w:before="40" w:afterLines="40" w:after="96" w:line="260" w:lineRule="atLeast"/>
                    <w:jc w:val="both"/>
                    <w:rPr>
                      <w:sz w:val="20"/>
                      <w:szCs w:val="20"/>
                    </w:rPr>
                  </w:pPr>
                  <w:r w:rsidRPr="004F008C">
                    <w:rPr>
                      <w:sz w:val="20"/>
                      <w:szCs w:val="20"/>
                    </w:rPr>
                    <w:t>40.820.412,00</w:t>
                  </w:r>
                </w:p>
              </w:tc>
              <w:tc>
                <w:tcPr>
                  <w:tcW w:w="0" w:type="auto"/>
                </w:tcPr>
                <w:p w14:paraId="15DC2EB4" w14:textId="45D91C4C" w:rsidR="006E4F1C" w:rsidRPr="004F008C" w:rsidRDefault="004F008C" w:rsidP="00255AE9">
                  <w:pPr>
                    <w:pStyle w:val="Oddelek"/>
                    <w:widowControl w:val="0"/>
                    <w:numPr>
                      <w:ilvl w:val="0"/>
                      <w:numId w:val="0"/>
                    </w:numPr>
                    <w:spacing w:before="40" w:afterLines="40" w:after="96" w:line="260" w:lineRule="atLeast"/>
                    <w:jc w:val="both"/>
                    <w:rPr>
                      <w:sz w:val="20"/>
                      <w:szCs w:val="20"/>
                    </w:rPr>
                  </w:pPr>
                  <w:r w:rsidRPr="004F008C">
                    <w:rPr>
                      <w:sz w:val="20"/>
                      <w:szCs w:val="20"/>
                    </w:rPr>
                    <w:t>62.957.684,23</w:t>
                  </w:r>
                </w:p>
              </w:tc>
            </w:tr>
          </w:tbl>
          <w:p w14:paraId="351F7297" w14:textId="77777777" w:rsidR="004F008C" w:rsidRDefault="004F008C" w:rsidP="00255AE9">
            <w:pPr>
              <w:pStyle w:val="Oddelek"/>
              <w:widowControl w:val="0"/>
              <w:numPr>
                <w:ilvl w:val="0"/>
                <w:numId w:val="0"/>
              </w:numPr>
              <w:spacing w:before="40" w:afterLines="40" w:after="96" w:line="260" w:lineRule="atLeast"/>
              <w:jc w:val="both"/>
              <w:rPr>
                <w:b w:val="0"/>
                <w:sz w:val="20"/>
                <w:szCs w:val="20"/>
              </w:rPr>
            </w:pPr>
          </w:p>
          <w:p w14:paraId="0C41AD84" w14:textId="368A9BED" w:rsidR="00376F08" w:rsidRDefault="006E4F1C" w:rsidP="00255AE9">
            <w:pPr>
              <w:pStyle w:val="Oddelek"/>
              <w:widowControl w:val="0"/>
              <w:numPr>
                <w:ilvl w:val="0"/>
                <w:numId w:val="0"/>
              </w:numPr>
              <w:spacing w:before="40" w:afterLines="40" w:after="96" w:line="260" w:lineRule="atLeast"/>
              <w:jc w:val="both"/>
              <w:rPr>
                <w:b w:val="0"/>
                <w:sz w:val="20"/>
                <w:szCs w:val="20"/>
              </w:rPr>
            </w:pPr>
            <w:r>
              <w:rPr>
                <w:b w:val="0"/>
                <w:sz w:val="20"/>
                <w:szCs w:val="20"/>
              </w:rPr>
              <w:t xml:space="preserve">Višina sredstev je predvidena </w:t>
            </w:r>
            <w:r w:rsidR="00376F08">
              <w:rPr>
                <w:b w:val="0"/>
                <w:sz w:val="20"/>
                <w:szCs w:val="20"/>
              </w:rPr>
              <w:t xml:space="preserve">ob predpostavki, da se višina subvencij ne spremeni in se bo število vozil na električni pogon dejansko povečevalo v skladu s predvidenim scenarijem. Navedeni viri lahko sledijo </w:t>
            </w:r>
            <w:r w:rsidR="00DC3F20">
              <w:rPr>
                <w:b w:val="0"/>
                <w:sz w:val="20"/>
                <w:szCs w:val="20"/>
              </w:rPr>
              <w:t xml:space="preserve">pričakovanim zahtevam </w:t>
            </w:r>
            <w:r w:rsidR="00376F08">
              <w:rPr>
                <w:b w:val="0"/>
                <w:sz w:val="20"/>
                <w:szCs w:val="20"/>
              </w:rPr>
              <w:t>do leta 2020.</w:t>
            </w:r>
          </w:p>
          <w:p w14:paraId="4EAA4E96" w14:textId="2112F6F0" w:rsidR="00347578" w:rsidRDefault="009A7AA8" w:rsidP="00255AE9">
            <w:pPr>
              <w:pStyle w:val="Oddelek"/>
              <w:widowControl w:val="0"/>
              <w:numPr>
                <w:ilvl w:val="0"/>
                <w:numId w:val="0"/>
              </w:numPr>
              <w:spacing w:before="40" w:afterLines="40" w:after="96" w:line="260" w:lineRule="atLeast"/>
              <w:jc w:val="both"/>
              <w:rPr>
                <w:b w:val="0"/>
                <w:sz w:val="20"/>
                <w:szCs w:val="20"/>
              </w:rPr>
            </w:pPr>
            <w:r>
              <w:rPr>
                <w:b w:val="0"/>
                <w:sz w:val="20"/>
                <w:szCs w:val="20"/>
              </w:rPr>
              <w:t>Največ sredstev se predvideva za vozila z elektr</w:t>
            </w:r>
            <w:r w:rsidR="00197292">
              <w:rPr>
                <w:b w:val="0"/>
                <w:sz w:val="20"/>
                <w:szCs w:val="20"/>
              </w:rPr>
              <w:t>ičnim</w:t>
            </w:r>
            <w:r>
              <w:rPr>
                <w:b w:val="0"/>
                <w:sz w:val="20"/>
                <w:szCs w:val="20"/>
              </w:rPr>
              <w:t xml:space="preserve"> pogonom. </w:t>
            </w:r>
            <w:r w:rsidR="00255AE9">
              <w:rPr>
                <w:b w:val="0"/>
                <w:sz w:val="20"/>
                <w:szCs w:val="20"/>
              </w:rPr>
              <w:t xml:space="preserve">V letu </w:t>
            </w:r>
            <w:r w:rsidR="001E5919">
              <w:rPr>
                <w:b w:val="0"/>
                <w:sz w:val="20"/>
                <w:szCs w:val="20"/>
              </w:rPr>
              <w:t xml:space="preserve">2019 </w:t>
            </w:r>
            <w:r w:rsidR="00255AE9">
              <w:rPr>
                <w:b w:val="0"/>
                <w:sz w:val="20"/>
                <w:szCs w:val="20"/>
              </w:rPr>
              <w:t xml:space="preserve">je tako za izvajanje ukrepov </w:t>
            </w:r>
            <w:r w:rsidR="00EC5783">
              <w:rPr>
                <w:b w:val="0"/>
                <w:sz w:val="20"/>
                <w:szCs w:val="20"/>
              </w:rPr>
              <w:t>Akcijskega</w:t>
            </w:r>
            <w:r w:rsidR="00255AE9">
              <w:rPr>
                <w:b w:val="0"/>
                <w:sz w:val="20"/>
                <w:szCs w:val="20"/>
              </w:rPr>
              <w:t xml:space="preserve"> programa </w:t>
            </w:r>
            <w:r w:rsidR="00EC5783">
              <w:rPr>
                <w:b w:val="0"/>
                <w:sz w:val="20"/>
                <w:szCs w:val="20"/>
              </w:rPr>
              <w:t xml:space="preserve">na področju </w:t>
            </w:r>
            <w:proofErr w:type="spellStart"/>
            <w:r w:rsidR="00EC5783">
              <w:rPr>
                <w:b w:val="0"/>
                <w:sz w:val="20"/>
                <w:szCs w:val="20"/>
              </w:rPr>
              <w:t>elektro</w:t>
            </w:r>
            <w:proofErr w:type="spellEnd"/>
            <w:r w:rsidR="00EC5783">
              <w:rPr>
                <w:b w:val="0"/>
                <w:sz w:val="20"/>
                <w:szCs w:val="20"/>
              </w:rPr>
              <w:t xml:space="preserve"> mobilnosti zagotovljenih </w:t>
            </w:r>
            <w:r w:rsidR="001B37BA">
              <w:rPr>
                <w:b w:val="0"/>
                <w:sz w:val="20"/>
                <w:szCs w:val="20"/>
              </w:rPr>
              <w:t>29</w:t>
            </w:r>
            <w:r w:rsidR="00EC5783">
              <w:rPr>
                <w:b w:val="0"/>
                <w:sz w:val="20"/>
                <w:szCs w:val="20"/>
              </w:rPr>
              <w:t>,</w:t>
            </w:r>
            <w:r w:rsidR="001B37BA">
              <w:rPr>
                <w:b w:val="0"/>
                <w:sz w:val="20"/>
                <w:szCs w:val="20"/>
              </w:rPr>
              <w:t xml:space="preserve">1 </w:t>
            </w:r>
            <w:r w:rsidR="00EC5783">
              <w:rPr>
                <w:b w:val="0"/>
                <w:sz w:val="20"/>
                <w:szCs w:val="20"/>
              </w:rPr>
              <w:t>mi</w:t>
            </w:r>
            <w:r w:rsidR="00580CB1">
              <w:rPr>
                <w:b w:val="0"/>
                <w:sz w:val="20"/>
                <w:szCs w:val="20"/>
              </w:rPr>
              <w:t>lijonov</w:t>
            </w:r>
            <w:r w:rsidR="00EC5783">
              <w:rPr>
                <w:b w:val="0"/>
                <w:sz w:val="20"/>
                <w:szCs w:val="20"/>
              </w:rPr>
              <w:t xml:space="preserve"> evrov, in v letu 2020 </w:t>
            </w:r>
            <w:r w:rsidR="001B37BA">
              <w:rPr>
                <w:b w:val="0"/>
                <w:sz w:val="20"/>
                <w:szCs w:val="20"/>
              </w:rPr>
              <w:t>39</w:t>
            </w:r>
            <w:r w:rsidR="00EC5783">
              <w:rPr>
                <w:b w:val="0"/>
                <w:sz w:val="20"/>
                <w:szCs w:val="20"/>
              </w:rPr>
              <w:t>,</w:t>
            </w:r>
            <w:r w:rsidR="001B37BA">
              <w:rPr>
                <w:b w:val="0"/>
                <w:sz w:val="20"/>
                <w:szCs w:val="20"/>
              </w:rPr>
              <w:t xml:space="preserve">3 </w:t>
            </w:r>
            <w:r w:rsidR="00EC5783">
              <w:rPr>
                <w:b w:val="0"/>
                <w:sz w:val="20"/>
                <w:szCs w:val="20"/>
              </w:rPr>
              <w:t>mi</w:t>
            </w:r>
            <w:r w:rsidR="00580CB1">
              <w:rPr>
                <w:b w:val="0"/>
                <w:sz w:val="20"/>
                <w:szCs w:val="20"/>
              </w:rPr>
              <w:t>lij</w:t>
            </w:r>
            <w:r w:rsidR="00EC5783">
              <w:rPr>
                <w:b w:val="0"/>
                <w:sz w:val="20"/>
                <w:szCs w:val="20"/>
              </w:rPr>
              <w:t>o</w:t>
            </w:r>
            <w:r w:rsidR="00580CB1">
              <w:rPr>
                <w:b w:val="0"/>
                <w:sz w:val="20"/>
                <w:szCs w:val="20"/>
              </w:rPr>
              <w:t>nov</w:t>
            </w:r>
            <w:r w:rsidR="00EC5783">
              <w:rPr>
                <w:b w:val="0"/>
                <w:sz w:val="20"/>
                <w:szCs w:val="20"/>
              </w:rPr>
              <w:t xml:space="preserve"> evrov. Sredstva se povečujejo predvsem zaradi pričakovanega povečanja števila vozil</w:t>
            </w:r>
            <w:r w:rsidR="000903FA">
              <w:rPr>
                <w:b w:val="0"/>
                <w:sz w:val="20"/>
                <w:szCs w:val="20"/>
              </w:rPr>
              <w:t>,</w:t>
            </w:r>
            <w:r w:rsidR="00427C67">
              <w:rPr>
                <w:b w:val="0"/>
                <w:sz w:val="20"/>
                <w:szCs w:val="20"/>
              </w:rPr>
              <w:t xml:space="preserve"> za katera se bo</w:t>
            </w:r>
            <w:r w:rsidR="00197292">
              <w:rPr>
                <w:b w:val="0"/>
                <w:sz w:val="20"/>
                <w:szCs w:val="20"/>
              </w:rPr>
              <w:t>do preko EKO sklada</w:t>
            </w:r>
            <w:r w:rsidR="00427C67">
              <w:rPr>
                <w:b w:val="0"/>
                <w:sz w:val="20"/>
                <w:szCs w:val="20"/>
              </w:rPr>
              <w:t xml:space="preserve"> zagotavljal</w:t>
            </w:r>
            <w:r w:rsidR="00197292">
              <w:rPr>
                <w:b w:val="0"/>
                <w:sz w:val="20"/>
                <w:szCs w:val="20"/>
              </w:rPr>
              <w:t>e</w:t>
            </w:r>
            <w:r w:rsidR="00427C67">
              <w:rPr>
                <w:b w:val="0"/>
                <w:sz w:val="20"/>
                <w:szCs w:val="20"/>
              </w:rPr>
              <w:t xml:space="preserve"> subvencij</w:t>
            </w:r>
            <w:r w:rsidR="00197292">
              <w:rPr>
                <w:b w:val="0"/>
                <w:sz w:val="20"/>
                <w:szCs w:val="20"/>
              </w:rPr>
              <w:t>e</w:t>
            </w:r>
            <w:r w:rsidR="00145500">
              <w:rPr>
                <w:b w:val="0"/>
                <w:sz w:val="20"/>
                <w:szCs w:val="20"/>
              </w:rPr>
              <w:t xml:space="preserve"> </w:t>
            </w:r>
            <w:r w:rsidR="00197292">
              <w:rPr>
                <w:b w:val="0"/>
                <w:sz w:val="20"/>
                <w:szCs w:val="20"/>
              </w:rPr>
              <w:t>oz.</w:t>
            </w:r>
            <w:r w:rsidR="00145500">
              <w:rPr>
                <w:b w:val="0"/>
                <w:sz w:val="20"/>
                <w:szCs w:val="20"/>
              </w:rPr>
              <w:t xml:space="preserve"> kredit</w:t>
            </w:r>
            <w:r w:rsidR="00197292">
              <w:rPr>
                <w:b w:val="0"/>
                <w:sz w:val="20"/>
                <w:szCs w:val="20"/>
              </w:rPr>
              <w:t>i</w:t>
            </w:r>
            <w:r w:rsidR="00EC5783">
              <w:rPr>
                <w:b w:val="0"/>
                <w:sz w:val="20"/>
                <w:szCs w:val="20"/>
              </w:rPr>
              <w:t>.</w:t>
            </w:r>
            <w:r w:rsidR="00427C67">
              <w:rPr>
                <w:b w:val="0"/>
                <w:sz w:val="20"/>
                <w:szCs w:val="20"/>
              </w:rPr>
              <w:t xml:space="preserve"> V akcijskem programu so navedene tudi finančne posledice zaradi o</w:t>
            </w:r>
            <w:r w:rsidR="00EC5783">
              <w:rPr>
                <w:b w:val="0"/>
                <w:sz w:val="20"/>
                <w:szCs w:val="20"/>
              </w:rPr>
              <w:t>prostitve plačil</w:t>
            </w:r>
            <w:r w:rsidR="00427C67">
              <w:rPr>
                <w:b w:val="0"/>
                <w:sz w:val="20"/>
                <w:szCs w:val="20"/>
              </w:rPr>
              <w:t xml:space="preserve"> določenih dajatev</w:t>
            </w:r>
            <w:r w:rsidR="00EC5783">
              <w:rPr>
                <w:b w:val="0"/>
                <w:sz w:val="20"/>
                <w:szCs w:val="20"/>
              </w:rPr>
              <w:t>, brezplačn</w:t>
            </w:r>
            <w:r w:rsidR="00427C67">
              <w:rPr>
                <w:b w:val="0"/>
                <w:sz w:val="20"/>
                <w:szCs w:val="20"/>
              </w:rPr>
              <w:t>ih</w:t>
            </w:r>
            <w:r w:rsidR="00EC5783">
              <w:rPr>
                <w:b w:val="0"/>
                <w:sz w:val="20"/>
                <w:szCs w:val="20"/>
              </w:rPr>
              <w:t xml:space="preserve"> parkirn</w:t>
            </w:r>
            <w:r w:rsidR="00427C67">
              <w:rPr>
                <w:b w:val="0"/>
                <w:sz w:val="20"/>
                <w:szCs w:val="20"/>
              </w:rPr>
              <w:t>ih</w:t>
            </w:r>
            <w:r w:rsidR="00EC5783">
              <w:rPr>
                <w:b w:val="0"/>
                <w:sz w:val="20"/>
                <w:szCs w:val="20"/>
              </w:rPr>
              <w:t xml:space="preserve"> mest, ki jih zagotavljajo lokalne skupnosti</w:t>
            </w:r>
            <w:r w:rsidR="00EC5D92">
              <w:rPr>
                <w:b w:val="0"/>
                <w:sz w:val="20"/>
                <w:szCs w:val="20"/>
              </w:rPr>
              <w:t xml:space="preserve"> in drugi deležniki ter </w:t>
            </w:r>
            <w:r w:rsidR="00EC5783">
              <w:rPr>
                <w:b w:val="0"/>
                <w:sz w:val="20"/>
                <w:szCs w:val="20"/>
              </w:rPr>
              <w:t>drugi</w:t>
            </w:r>
            <w:r w:rsidR="00427C67">
              <w:rPr>
                <w:b w:val="0"/>
                <w:sz w:val="20"/>
                <w:szCs w:val="20"/>
              </w:rPr>
              <w:t>h</w:t>
            </w:r>
            <w:r w:rsidR="00EC5783">
              <w:rPr>
                <w:b w:val="0"/>
                <w:sz w:val="20"/>
                <w:szCs w:val="20"/>
              </w:rPr>
              <w:t xml:space="preserve"> </w:t>
            </w:r>
            <w:r w:rsidR="00427C67">
              <w:rPr>
                <w:b w:val="0"/>
                <w:sz w:val="20"/>
                <w:szCs w:val="20"/>
              </w:rPr>
              <w:t>ukrepov</w:t>
            </w:r>
            <w:r w:rsidR="000903FA">
              <w:rPr>
                <w:b w:val="0"/>
                <w:sz w:val="20"/>
                <w:szCs w:val="20"/>
              </w:rPr>
              <w:t>,</w:t>
            </w:r>
            <w:r w:rsidR="00427C67">
              <w:rPr>
                <w:b w:val="0"/>
                <w:sz w:val="20"/>
                <w:szCs w:val="20"/>
              </w:rPr>
              <w:t xml:space="preserve"> </w:t>
            </w:r>
            <w:r w:rsidR="00EC5783">
              <w:rPr>
                <w:b w:val="0"/>
                <w:sz w:val="20"/>
                <w:szCs w:val="20"/>
              </w:rPr>
              <w:t xml:space="preserve">s katerimi se spodbuja </w:t>
            </w:r>
            <w:proofErr w:type="spellStart"/>
            <w:r w:rsidR="00EC5783">
              <w:rPr>
                <w:b w:val="0"/>
                <w:sz w:val="20"/>
                <w:szCs w:val="20"/>
              </w:rPr>
              <w:t>e</w:t>
            </w:r>
            <w:r w:rsidR="000903FA">
              <w:rPr>
                <w:b w:val="0"/>
                <w:sz w:val="20"/>
                <w:szCs w:val="20"/>
              </w:rPr>
              <w:t>lektro</w:t>
            </w:r>
            <w:proofErr w:type="spellEnd"/>
            <w:r w:rsidR="00EC5783">
              <w:rPr>
                <w:b w:val="0"/>
                <w:sz w:val="20"/>
                <w:szCs w:val="20"/>
              </w:rPr>
              <w:t xml:space="preserve"> mobilnost</w:t>
            </w:r>
            <w:r w:rsidR="00427C67">
              <w:rPr>
                <w:b w:val="0"/>
                <w:sz w:val="20"/>
                <w:szCs w:val="20"/>
              </w:rPr>
              <w:t>. Te vrste finančnih posledic</w:t>
            </w:r>
            <w:r w:rsidR="00EC5783">
              <w:rPr>
                <w:b w:val="0"/>
                <w:sz w:val="20"/>
                <w:szCs w:val="20"/>
              </w:rPr>
              <w:t xml:space="preserve"> znašajo v letu </w:t>
            </w:r>
            <w:r w:rsidR="0044215B">
              <w:rPr>
                <w:b w:val="0"/>
                <w:sz w:val="20"/>
                <w:szCs w:val="20"/>
              </w:rPr>
              <w:t xml:space="preserve">2019 </w:t>
            </w:r>
            <w:r w:rsidR="00050C50">
              <w:rPr>
                <w:b w:val="0"/>
                <w:sz w:val="20"/>
                <w:szCs w:val="20"/>
              </w:rPr>
              <w:t>2</w:t>
            </w:r>
            <w:r w:rsidR="00EC5783">
              <w:rPr>
                <w:b w:val="0"/>
                <w:sz w:val="20"/>
                <w:szCs w:val="20"/>
              </w:rPr>
              <w:t>,</w:t>
            </w:r>
            <w:r w:rsidR="00145500">
              <w:rPr>
                <w:b w:val="0"/>
                <w:sz w:val="20"/>
                <w:szCs w:val="20"/>
              </w:rPr>
              <w:t xml:space="preserve">1 </w:t>
            </w:r>
            <w:r w:rsidR="00EC5783">
              <w:rPr>
                <w:b w:val="0"/>
                <w:sz w:val="20"/>
                <w:szCs w:val="20"/>
              </w:rPr>
              <w:t>mi</w:t>
            </w:r>
            <w:r w:rsidR="008E3B30">
              <w:rPr>
                <w:b w:val="0"/>
                <w:sz w:val="20"/>
                <w:szCs w:val="20"/>
              </w:rPr>
              <w:t>lijonov</w:t>
            </w:r>
            <w:r w:rsidR="00EC5783">
              <w:rPr>
                <w:b w:val="0"/>
                <w:sz w:val="20"/>
                <w:szCs w:val="20"/>
              </w:rPr>
              <w:t xml:space="preserve"> evrov in v letu 2020 </w:t>
            </w:r>
            <w:r w:rsidR="00630AA5">
              <w:rPr>
                <w:b w:val="0"/>
                <w:sz w:val="20"/>
                <w:szCs w:val="20"/>
              </w:rPr>
              <w:t>7</w:t>
            </w:r>
            <w:r w:rsidR="00EC5783">
              <w:rPr>
                <w:b w:val="0"/>
                <w:sz w:val="20"/>
                <w:szCs w:val="20"/>
              </w:rPr>
              <w:t>,</w:t>
            </w:r>
            <w:r w:rsidR="00630AA5">
              <w:rPr>
                <w:b w:val="0"/>
                <w:sz w:val="20"/>
                <w:szCs w:val="20"/>
              </w:rPr>
              <w:t xml:space="preserve">2 </w:t>
            </w:r>
            <w:r w:rsidR="00EC5783">
              <w:rPr>
                <w:b w:val="0"/>
                <w:sz w:val="20"/>
                <w:szCs w:val="20"/>
              </w:rPr>
              <w:t>mi</w:t>
            </w:r>
            <w:r w:rsidR="008E3B30">
              <w:rPr>
                <w:b w:val="0"/>
                <w:sz w:val="20"/>
                <w:szCs w:val="20"/>
              </w:rPr>
              <w:t>lijonov</w:t>
            </w:r>
            <w:r w:rsidR="00EC5783">
              <w:rPr>
                <w:b w:val="0"/>
                <w:sz w:val="20"/>
                <w:szCs w:val="20"/>
              </w:rPr>
              <w:t xml:space="preserve"> evrov. Med temi sredstvi so upoštevane tudi investicije, ki jih bodo imeli v zasebnem sektorju v polnilno infrastrukturo </w:t>
            </w:r>
            <w:r w:rsidR="00964DF1">
              <w:rPr>
                <w:b w:val="0"/>
                <w:sz w:val="20"/>
                <w:szCs w:val="20"/>
              </w:rPr>
              <w:t>in</w:t>
            </w:r>
            <w:r w:rsidR="00EC5783">
              <w:rPr>
                <w:b w:val="0"/>
                <w:sz w:val="20"/>
                <w:szCs w:val="20"/>
              </w:rPr>
              <w:t xml:space="preserve"> v vozni park</w:t>
            </w:r>
            <w:r w:rsidR="00964DF1">
              <w:rPr>
                <w:b w:val="0"/>
                <w:sz w:val="20"/>
                <w:szCs w:val="20"/>
              </w:rPr>
              <w:t>,</w:t>
            </w:r>
            <w:r w:rsidR="00EC5783">
              <w:rPr>
                <w:b w:val="0"/>
                <w:sz w:val="20"/>
                <w:szCs w:val="20"/>
              </w:rPr>
              <w:t xml:space="preserve"> in </w:t>
            </w:r>
            <w:r w:rsidR="005B1B1A">
              <w:rPr>
                <w:b w:val="0"/>
                <w:sz w:val="20"/>
                <w:szCs w:val="20"/>
              </w:rPr>
              <w:t>ukrepe</w:t>
            </w:r>
            <w:r w:rsidR="00964DF1">
              <w:rPr>
                <w:b w:val="0"/>
                <w:sz w:val="20"/>
                <w:szCs w:val="20"/>
              </w:rPr>
              <w:t>,</w:t>
            </w:r>
            <w:r w:rsidR="00EC5783">
              <w:rPr>
                <w:b w:val="0"/>
                <w:sz w:val="20"/>
                <w:szCs w:val="20"/>
              </w:rPr>
              <w:t xml:space="preserve"> s katerimi bodo spodbujali </w:t>
            </w:r>
            <w:proofErr w:type="spellStart"/>
            <w:r w:rsidR="00EC5783">
              <w:rPr>
                <w:b w:val="0"/>
                <w:sz w:val="20"/>
                <w:szCs w:val="20"/>
              </w:rPr>
              <w:t>e</w:t>
            </w:r>
            <w:r w:rsidR="00D30461">
              <w:rPr>
                <w:b w:val="0"/>
                <w:sz w:val="20"/>
                <w:szCs w:val="20"/>
              </w:rPr>
              <w:t>lektro</w:t>
            </w:r>
            <w:proofErr w:type="spellEnd"/>
            <w:r w:rsidR="00EC5783">
              <w:rPr>
                <w:b w:val="0"/>
                <w:sz w:val="20"/>
                <w:szCs w:val="20"/>
              </w:rPr>
              <w:t xml:space="preserve"> mobilnost. </w:t>
            </w:r>
            <w:r w:rsidR="004F008C">
              <w:rPr>
                <w:b w:val="0"/>
                <w:sz w:val="20"/>
                <w:szCs w:val="20"/>
              </w:rPr>
              <w:t xml:space="preserve">Zagotavljanje sredstev za izvajanje ukrepov </w:t>
            </w:r>
            <w:proofErr w:type="spellStart"/>
            <w:r w:rsidR="004F008C">
              <w:rPr>
                <w:b w:val="0"/>
                <w:sz w:val="20"/>
                <w:szCs w:val="20"/>
              </w:rPr>
              <w:t>elektro</w:t>
            </w:r>
            <w:proofErr w:type="spellEnd"/>
            <w:r w:rsidR="00711E04">
              <w:rPr>
                <w:b w:val="0"/>
                <w:sz w:val="20"/>
                <w:szCs w:val="20"/>
              </w:rPr>
              <w:t xml:space="preserve"> </w:t>
            </w:r>
            <w:r w:rsidR="004F008C">
              <w:rPr>
                <w:b w:val="0"/>
                <w:sz w:val="20"/>
                <w:szCs w:val="20"/>
              </w:rPr>
              <w:t>mobilnosti je prikazan v preglednici:</w:t>
            </w:r>
          </w:p>
          <w:tbl>
            <w:tblPr>
              <w:tblW w:w="9519" w:type="dxa"/>
              <w:tblCellMar>
                <w:left w:w="70" w:type="dxa"/>
                <w:right w:w="70" w:type="dxa"/>
              </w:tblCellMar>
              <w:tblLook w:val="04A0" w:firstRow="1" w:lastRow="0" w:firstColumn="1" w:lastColumn="0" w:noHBand="0" w:noVBand="1"/>
            </w:tblPr>
            <w:tblGrid>
              <w:gridCol w:w="6803"/>
              <w:gridCol w:w="1307"/>
              <w:gridCol w:w="1409"/>
            </w:tblGrid>
            <w:tr w:rsidR="001B37BA" w:rsidRPr="001B37BA" w14:paraId="3874FD95" w14:textId="77777777" w:rsidTr="008A2364">
              <w:trPr>
                <w:trHeight w:val="300"/>
              </w:trPr>
              <w:tc>
                <w:tcPr>
                  <w:tcW w:w="6803" w:type="dxa"/>
                  <w:tcBorders>
                    <w:top w:val="nil"/>
                    <w:left w:val="single" w:sz="4" w:space="0" w:color="auto"/>
                    <w:bottom w:val="single" w:sz="4" w:space="0" w:color="auto"/>
                    <w:right w:val="single" w:sz="4" w:space="0" w:color="auto"/>
                  </w:tcBorders>
                  <w:shd w:val="clear" w:color="auto" w:fill="auto"/>
                  <w:noWrap/>
                  <w:vAlign w:val="bottom"/>
                  <w:hideMark/>
                </w:tcPr>
                <w:p w14:paraId="1F58D09E" w14:textId="4C3F663D" w:rsidR="001B37BA" w:rsidRPr="008A2364" w:rsidRDefault="001B37BA" w:rsidP="001B37BA">
                  <w:pPr>
                    <w:suppressAutoHyphens w:val="0"/>
                    <w:rPr>
                      <w:rFonts w:ascii="Arial" w:hAnsi="Arial" w:cs="Arial"/>
                      <w:color w:val="000000"/>
                      <w:sz w:val="18"/>
                      <w:szCs w:val="18"/>
                      <w:lang w:eastAsia="sl-SI"/>
                    </w:rPr>
                  </w:pPr>
                  <w:r w:rsidRPr="008A2364">
                    <w:rPr>
                      <w:rFonts w:ascii="Arial" w:hAnsi="Arial" w:cs="Arial"/>
                      <w:color w:val="000000"/>
                      <w:sz w:val="18"/>
                      <w:szCs w:val="18"/>
                      <w:lang w:eastAsia="sl-SI"/>
                    </w:rPr>
                    <w:t xml:space="preserve">Sredstva za izvajanje ukrepov </w:t>
                  </w:r>
                  <w:proofErr w:type="spellStart"/>
                  <w:r w:rsidRPr="008A2364">
                    <w:rPr>
                      <w:rFonts w:ascii="Arial" w:hAnsi="Arial" w:cs="Arial"/>
                      <w:color w:val="000000"/>
                      <w:sz w:val="18"/>
                      <w:szCs w:val="18"/>
                      <w:lang w:eastAsia="sl-SI"/>
                    </w:rPr>
                    <w:t>elektro</w:t>
                  </w:r>
                  <w:proofErr w:type="spellEnd"/>
                  <w:r w:rsidRPr="008A2364">
                    <w:rPr>
                      <w:rFonts w:ascii="Arial" w:hAnsi="Arial" w:cs="Arial"/>
                      <w:color w:val="000000"/>
                      <w:sz w:val="18"/>
                      <w:szCs w:val="18"/>
                      <w:lang w:eastAsia="sl-SI"/>
                    </w:rPr>
                    <w:t xml:space="preserve"> mobilnosti so zagotovljena</w:t>
                  </w:r>
                  <w:r w:rsidR="008A2364" w:rsidRPr="008A2364">
                    <w:rPr>
                      <w:rFonts w:ascii="Arial" w:hAnsi="Arial" w:cs="Arial"/>
                      <w:color w:val="000000"/>
                      <w:sz w:val="18"/>
                      <w:szCs w:val="18"/>
                      <w:lang w:eastAsia="sl-SI"/>
                    </w:rPr>
                    <w:t xml:space="preserve"> (v EUR)</w:t>
                  </w:r>
                </w:p>
              </w:tc>
              <w:tc>
                <w:tcPr>
                  <w:tcW w:w="1307" w:type="dxa"/>
                  <w:tcBorders>
                    <w:top w:val="nil"/>
                    <w:left w:val="nil"/>
                    <w:bottom w:val="single" w:sz="4" w:space="0" w:color="auto"/>
                    <w:right w:val="single" w:sz="4" w:space="0" w:color="auto"/>
                  </w:tcBorders>
                  <w:shd w:val="clear" w:color="auto" w:fill="auto"/>
                  <w:noWrap/>
                  <w:vAlign w:val="bottom"/>
                  <w:hideMark/>
                </w:tcPr>
                <w:p w14:paraId="2D47FCA4" w14:textId="77777777" w:rsidR="001B37BA" w:rsidRPr="008A2364" w:rsidRDefault="001B37BA" w:rsidP="001B37BA">
                  <w:pPr>
                    <w:suppressAutoHyphens w:val="0"/>
                    <w:jc w:val="right"/>
                    <w:rPr>
                      <w:rFonts w:ascii="Arial" w:hAnsi="Arial" w:cs="Arial"/>
                      <w:color w:val="000000"/>
                      <w:sz w:val="18"/>
                      <w:szCs w:val="18"/>
                      <w:lang w:eastAsia="sl-SI"/>
                    </w:rPr>
                  </w:pPr>
                  <w:r w:rsidRPr="008A2364">
                    <w:rPr>
                      <w:rFonts w:ascii="Arial" w:hAnsi="Arial" w:cs="Arial"/>
                      <w:color w:val="000000"/>
                      <w:sz w:val="18"/>
                      <w:szCs w:val="18"/>
                      <w:lang w:eastAsia="sl-SI"/>
                    </w:rPr>
                    <w:t>2019</w:t>
                  </w:r>
                </w:p>
              </w:tc>
              <w:tc>
                <w:tcPr>
                  <w:tcW w:w="1409" w:type="dxa"/>
                  <w:tcBorders>
                    <w:top w:val="nil"/>
                    <w:left w:val="nil"/>
                    <w:bottom w:val="single" w:sz="4" w:space="0" w:color="auto"/>
                    <w:right w:val="single" w:sz="4" w:space="0" w:color="auto"/>
                  </w:tcBorders>
                  <w:shd w:val="clear" w:color="auto" w:fill="auto"/>
                  <w:noWrap/>
                  <w:vAlign w:val="bottom"/>
                  <w:hideMark/>
                </w:tcPr>
                <w:p w14:paraId="3DB3DEBE" w14:textId="77777777" w:rsidR="001B37BA" w:rsidRPr="008A2364" w:rsidRDefault="001B37BA" w:rsidP="001B37BA">
                  <w:pPr>
                    <w:suppressAutoHyphens w:val="0"/>
                    <w:jc w:val="right"/>
                    <w:rPr>
                      <w:rFonts w:ascii="Arial" w:hAnsi="Arial" w:cs="Arial"/>
                      <w:color w:val="000000"/>
                      <w:sz w:val="18"/>
                      <w:szCs w:val="18"/>
                      <w:lang w:eastAsia="sl-SI"/>
                    </w:rPr>
                  </w:pPr>
                  <w:r w:rsidRPr="008A2364">
                    <w:rPr>
                      <w:rFonts w:ascii="Arial" w:hAnsi="Arial" w:cs="Arial"/>
                      <w:color w:val="000000"/>
                      <w:sz w:val="18"/>
                      <w:szCs w:val="18"/>
                      <w:lang w:eastAsia="sl-SI"/>
                    </w:rPr>
                    <w:t>2020</w:t>
                  </w:r>
                </w:p>
              </w:tc>
            </w:tr>
            <w:tr w:rsidR="00F01B6B" w:rsidRPr="001B37BA" w14:paraId="0AA05DE3" w14:textId="77777777" w:rsidTr="008A2364">
              <w:trPr>
                <w:trHeight w:val="300"/>
              </w:trPr>
              <w:tc>
                <w:tcPr>
                  <w:tcW w:w="6803" w:type="dxa"/>
                  <w:tcBorders>
                    <w:top w:val="nil"/>
                    <w:left w:val="single" w:sz="4" w:space="0" w:color="auto"/>
                    <w:bottom w:val="single" w:sz="4" w:space="0" w:color="auto"/>
                    <w:right w:val="single" w:sz="4" w:space="0" w:color="auto"/>
                  </w:tcBorders>
                  <w:shd w:val="clear" w:color="auto" w:fill="auto"/>
                  <w:noWrap/>
                  <w:vAlign w:val="bottom"/>
                </w:tcPr>
                <w:p w14:paraId="6068F502" w14:textId="2D2A7429" w:rsidR="00F01B6B" w:rsidRPr="008A2364" w:rsidRDefault="00F01B6B" w:rsidP="001B37BA">
                  <w:pPr>
                    <w:suppressAutoHyphens w:val="0"/>
                    <w:rPr>
                      <w:rFonts w:ascii="Arial" w:hAnsi="Arial" w:cs="Arial"/>
                      <w:color w:val="000000"/>
                      <w:sz w:val="18"/>
                      <w:szCs w:val="18"/>
                      <w:lang w:eastAsia="sl-SI"/>
                    </w:rPr>
                  </w:pPr>
                  <w:r w:rsidRPr="008A2364">
                    <w:rPr>
                      <w:rFonts w:ascii="Arial" w:hAnsi="Arial" w:cs="Arial"/>
                      <w:color w:val="000000"/>
                      <w:sz w:val="18"/>
                      <w:szCs w:val="18"/>
                      <w:lang w:eastAsia="sl-SI"/>
                    </w:rPr>
                    <w:t>V poslovno finančnem načrtu EKO Sklada je v točki 3.2 zagotovljenih 36,5 mio evrov za izboljšanje energetske učinkovitosti in v točki 3.3. 45 mio evrov za finančne spodbude iz Sklada za podnebne spremembe</w:t>
                  </w:r>
                </w:p>
              </w:tc>
              <w:tc>
                <w:tcPr>
                  <w:tcW w:w="1307" w:type="dxa"/>
                  <w:tcBorders>
                    <w:top w:val="nil"/>
                    <w:left w:val="nil"/>
                    <w:bottom w:val="single" w:sz="4" w:space="0" w:color="auto"/>
                    <w:right w:val="single" w:sz="4" w:space="0" w:color="auto"/>
                  </w:tcBorders>
                  <w:shd w:val="clear" w:color="auto" w:fill="auto"/>
                  <w:noWrap/>
                  <w:vAlign w:val="bottom"/>
                </w:tcPr>
                <w:p w14:paraId="358C331B" w14:textId="50B710D3" w:rsidR="00F01B6B" w:rsidRPr="008A2364" w:rsidRDefault="00F01B6B" w:rsidP="001B37BA">
                  <w:pPr>
                    <w:suppressAutoHyphens w:val="0"/>
                    <w:jc w:val="right"/>
                    <w:rPr>
                      <w:rFonts w:ascii="Arial" w:hAnsi="Arial" w:cs="Arial"/>
                      <w:color w:val="000000"/>
                      <w:sz w:val="18"/>
                      <w:szCs w:val="18"/>
                      <w:lang w:eastAsia="sl-SI"/>
                    </w:rPr>
                  </w:pPr>
                  <w:r w:rsidRPr="008A2364">
                    <w:rPr>
                      <w:rFonts w:ascii="Arial" w:hAnsi="Arial" w:cs="Arial"/>
                      <w:color w:val="000000"/>
                      <w:sz w:val="18"/>
                      <w:szCs w:val="18"/>
                      <w:lang w:eastAsia="sl-SI"/>
                    </w:rPr>
                    <w:t xml:space="preserve">         28.555.000,00   </w:t>
                  </w:r>
                </w:p>
              </w:tc>
              <w:tc>
                <w:tcPr>
                  <w:tcW w:w="1409" w:type="dxa"/>
                  <w:tcBorders>
                    <w:top w:val="nil"/>
                    <w:left w:val="nil"/>
                    <w:bottom w:val="single" w:sz="4" w:space="0" w:color="auto"/>
                    <w:right w:val="single" w:sz="4" w:space="0" w:color="auto"/>
                  </w:tcBorders>
                  <w:shd w:val="clear" w:color="auto" w:fill="auto"/>
                  <w:noWrap/>
                  <w:vAlign w:val="bottom"/>
                </w:tcPr>
                <w:p w14:paraId="5E91636E" w14:textId="1A0D56E1" w:rsidR="00F01B6B" w:rsidRPr="008A2364" w:rsidRDefault="00F01B6B" w:rsidP="001B37BA">
                  <w:pPr>
                    <w:suppressAutoHyphens w:val="0"/>
                    <w:jc w:val="right"/>
                    <w:rPr>
                      <w:rFonts w:ascii="Arial" w:hAnsi="Arial" w:cs="Arial"/>
                      <w:color w:val="000000"/>
                      <w:sz w:val="18"/>
                      <w:szCs w:val="18"/>
                      <w:lang w:eastAsia="sl-SI"/>
                    </w:rPr>
                  </w:pPr>
                  <w:r w:rsidRPr="008A2364">
                    <w:rPr>
                      <w:rFonts w:ascii="Arial" w:hAnsi="Arial" w:cs="Arial"/>
                      <w:color w:val="000000"/>
                      <w:sz w:val="18"/>
                      <w:szCs w:val="18"/>
                      <w:lang w:eastAsia="sl-SI"/>
                    </w:rPr>
                    <w:t xml:space="preserve">        35.890.000,00   </w:t>
                  </w:r>
                </w:p>
              </w:tc>
            </w:tr>
            <w:tr w:rsidR="004F008C" w:rsidRPr="001B37BA" w14:paraId="5106B988" w14:textId="77777777" w:rsidTr="008A2364">
              <w:trPr>
                <w:trHeight w:val="300"/>
              </w:trPr>
              <w:tc>
                <w:tcPr>
                  <w:tcW w:w="6803" w:type="dxa"/>
                  <w:tcBorders>
                    <w:top w:val="nil"/>
                    <w:left w:val="single" w:sz="4" w:space="0" w:color="auto"/>
                    <w:bottom w:val="single" w:sz="4" w:space="0" w:color="auto"/>
                    <w:right w:val="single" w:sz="4" w:space="0" w:color="auto"/>
                  </w:tcBorders>
                  <w:shd w:val="clear" w:color="auto" w:fill="auto"/>
                  <w:noWrap/>
                  <w:vAlign w:val="bottom"/>
                </w:tcPr>
                <w:p w14:paraId="7AED4D99" w14:textId="6D6D26A5" w:rsidR="004F008C" w:rsidRPr="008A2364" w:rsidRDefault="004F008C" w:rsidP="001B37BA">
                  <w:pPr>
                    <w:suppressAutoHyphens w:val="0"/>
                    <w:rPr>
                      <w:rFonts w:ascii="Arial" w:hAnsi="Arial" w:cs="Arial"/>
                      <w:color w:val="000000"/>
                      <w:sz w:val="18"/>
                      <w:szCs w:val="18"/>
                      <w:lang w:eastAsia="sl-SI"/>
                    </w:rPr>
                  </w:pPr>
                  <w:r w:rsidRPr="008A2364">
                    <w:rPr>
                      <w:rFonts w:ascii="Arial" w:hAnsi="Arial" w:cs="Arial"/>
                      <w:color w:val="000000"/>
                      <w:sz w:val="18"/>
                      <w:szCs w:val="18"/>
                      <w:lang w:eastAsia="sl-SI"/>
                    </w:rPr>
                    <w:t>MZI proračunska postavka 765210 Razvoj in urejanje prometa</w:t>
                  </w:r>
                </w:p>
              </w:tc>
              <w:tc>
                <w:tcPr>
                  <w:tcW w:w="1307" w:type="dxa"/>
                  <w:tcBorders>
                    <w:top w:val="nil"/>
                    <w:left w:val="nil"/>
                    <w:bottom w:val="single" w:sz="4" w:space="0" w:color="auto"/>
                    <w:right w:val="single" w:sz="4" w:space="0" w:color="auto"/>
                  </w:tcBorders>
                  <w:shd w:val="clear" w:color="auto" w:fill="auto"/>
                  <w:noWrap/>
                  <w:vAlign w:val="bottom"/>
                </w:tcPr>
                <w:p w14:paraId="7CC6EB0D" w14:textId="4758F708" w:rsidR="004F008C" w:rsidRPr="008A2364" w:rsidRDefault="004F008C" w:rsidP="001B37BA">
                  <w:pPr>
                    <w:suppressAutoHyphens w:val="0"/>
                    <w:jc w:val="right"/>
                    <w:rPr>
                      <w:rFonts w:ascii="Arial" w:hAnsi="Arial" w:cs="Arial"/>
                      <w:color w:val="000000"/>
                      <w:sz w:val="18"/>
                      <w:szCs w:val="18"/>
                      <w:lang w:eastAsia="sl-SI"/>
                    </w:rPr>
                  </w:pPr>
                  <w:r w:rsidRPr="008A2364">
                    <w:rPr>
                      <w:rFonts w:ascii="Arial" w:hAnsi="Arial" w:cs="Arial"/>
                      <w:color w:val="000000"/>
                      <w:sz w:val="18"/>
                      <w:szCs w:val="18"/>
                      <w:lang w:eastAsia="sl-SI"/>
                    </w:rPr>
                    <w:t xml:space="preserve">140.000,00   </w:t>
                  </w:r>
                </w:p>
              </w:tc>
              <w:tc>
                <w:tcPr>
                  <w:tcW w:w="1409" w:type="dxa"/>
                  <w:tcBorders>
                    <w:top w:val="nil"/>
                    <w:left w:val="nil"/>
                    <w:bottom w:val="single" w:sz="4" w:space="0" w:color="auto"/>
                    <w:right w:val="single" w:sz="4" w:space="0" w:color="auto"/>
                  </w:tcBorders>
                  <w:shd w:val="clear" w:color="auto" w:fill="auto"/>
                  <w:noWrap/>
                  <w:vAlign w:val="bottom"/>
                </w:tcPr>
                <w:p w14:paraId="76345751" w14:textId="6687E1B7" w:rsidR="004F008C" w:rsidRPr="008A2364" w:rsidRDefault="004F008C" w:rsidP="001B37BA">
                  <w:pPr>
                    <w:suppressAutoHyphens w:val="0"/>
                    <w:jc w:val="right"/>
                    <w:rPr>
                      <w:rFonts w:ascii="Arial" w:hAnsi="Arial" w:cs="Arial"/>
                      <w:color w:val="000000"/>
                      <w:sz w:val="18"/>
                      <w:szCs w:val="18"/>
                      <w:lang w:eastAsia="sl-SI"/>
                    </w:rPr>
                  </w:pPr>
                  <w:r w:rsidRPr="008A2364">
                    <w:rPr>
                      <w:rFonts w:ascii="Arial" w:hAnsi="Arial" w:cs="Arial"/>
                      <w:color w:val="000000"/>
                      <w:sz w:val="18"/>
                      <w:szCs w:val="18"/>
                      <w:lang w:eastAsia="sl-SI"/>
                    </w:rPr>
                    <w:t xml:space="preserve">240.000,00   </w:t>
                  </w:r>
                </w:p>
              </w:tc>
            </w:tr>
            <w:tr w:rsidR="004F008C" w:rsidRPr="001B37BA" w14:paraId="316ACCE6" w14:textId="77777777" w:rsidTr="008A2364">
              <w:trPr>
                <w:trHeight w:val="300"/>
              </w:trPr>
              <w:tc>
                <w:tcPr>
                  <w:tcW w:w="6803" w:type="dxa"/>
                  <w:tcBorders>
                    <w:top w:val="nil"/>
                    <w:left w:val="single" w:sz="4" w:space="0" w:color="auto"/>
                    <w:bottom w:val="single" w:sz="4" w:space="0" w:color="auto"/>
                    <w:right w:val="single" w:sz="4" w:space="0" w:color="auto"/>
                  </w:tcBorders>
                  <w:shd w:val="clear" w:color="auto" w:fill="auto"/>
                  <w:noWrap/>
                  <w:vAlign w:val="bottom"/>
                </w:tcPr>
                <w:p w14:paraId="3F87DF28" w14:textId="41D8BB40" w:rsidR="004F008C" w:rsidRPr="008A2364" w:rsidRDefault="004F008C" w:rsidP="001B37BA">
                  <w:pPr>
                    <w:suppressAutoHyphens w:val="0"/>
                    <w:rPr>
                      <w:rFonts w:ascii="Arial" w:hAnsi="Arial" w:cs="Arial"/>
                      <w:color w:val="000000"/>
                      <w:sz w:val="18"/>
                      <w:szCs w:val="18"/>
                      <w:lang w:eastAsia="sl-SI"/>
                    </w:rPr>
                  </w:pPr>
                  <w:r w:rsidRPr="008A2364">
                    <w:rPr>
                      <w:rFonts w:ascii="Arial" w:hAnsi="Arial" w:cs="Arial"/>
                      <w:color w:val="000000"/>
                      <w:sz w:val="18"/>
                      <w:szCs w:val="18"/>
                      <w:lang w:eastAsia="sl-SI"/>
                    </w:rPr>
                    <w:t>MZI Pogodba z EK o izvajanju projekta za uveljavitev Direktive 2014/94</w:t>
                  </w:r>
                </w:p>
              </w:tc>
              <w:tc>
                <w:tcPr>
                  <w:tcW w:w="1307" w:type="dxa"/>
                  <w:tcBorders>
                    <w:top w:val="nil"/>
                    <w:left w:val="nil"/>
                    <w:bottom w:val="single" w:sz="4" w:space="0" w:color="auto"/>
                    <w:right w:val="single" w:sz="4" w:space="0" w:color="auto"/>
                  </w:tcBorders>
                  <w:shd w:val="clear" w:color="auto" w:fill="auto"/>
                  <w:noWrap/>
                  <w:vAlign w:val="bottom"/>
                </w:tcPr>
                <w:p w14:paraId="5A88D646" w14:textId="09BA2250" w:rsidR="004F008C" w:rsidRPr="008A2364" w:rsidRDefault="004F008C" w:rsidP="001B37BA">
                  <w:pPr>
                    <w:suppressAutoHyphens w:val="0"/>
                    <w:jc w:val="right"/>
                    <w:rPr>
                      <w:rFonts w:ascii="Arial" w:hAnsi="Arial" w:cs="Arial"/>
                      <w:color w:val="000000"/>
                      <w:sz w:val="18"/>
                      <w:szCs w:val="18"/>
                      <w:lang w:eastAsia="sl-SI"/>
                    </w:rPr>
                  </w:pPr>
                  <w:r w:rsidRPr="008A2364">
                    <w:rPr>
                      <w:rFonts w:ascii="Arial" w:hAnsi="Arial" w:cs="Arial"/>
                      <w:color w:val="000000"/>
                      <w:sz w:val="18"/>
                      <w:szCs w:val="18"/>
                      <w:lang w:eastAsia="sl-SI"/>
                    </w:rPr>
                    <w:t xml:space="preserve">30.000,00   </w:t>
                  </w:r>
                </w:p>
              </w:tc>
              <w:tc>
                <w:tcPr>
                  <w:tcW w:w="1409" w:type="dxa"/>
                  <w:tcBorders>
                    <w:top w:val="nil"/>
                    <w:left w:val="nil"/>
                    <w:bottom w:val="single" w:sz="4" w:space="0" w:color="auto"/>
                    <w:right w:val="single" w:sz="4" w:space="0" w:color="auto"/>
                  </w:tcBorders>
                  <w:shd w:val="clear" w:color="auto" w:fill="auto"/>
                  <w:noWrap/>
                  <w:vAlign w:val="bottom"/>
                </w:tcPr>
                <w:p w14:paraId="4E9125FA" w14:textId="0ABC69A9" w:rsidR="004F008C" w:rsidRPr="008A2364" w:rsidRDefault="004F008C" w:rsidP="001B37BA">
                  <w:pPr>
                    <w:suppressAutoHyphens w:val="0"/>
                    <w:jc w:val="right"/>
                    <w:rPr>
                      <w:rFonts w:ascii="Arial" w:hAnsi="Arial" w:cs="Arial"/>
                      <w:color w:val="000000"/>
                      <w:sz w:val="18"/>
                      <w:szCs w:val="18"/>
                      <w:lang w:eastAsia="sl-SI"/>
                    </w:rPr>
                  </w:pPr>
                  <w:r w:rsidRPr="008A2364">
                    <w:rPr>
                      <w:rFonts w:ascii="Arial" w:hAnsi="Arial" w:cs="Arial"/>
                      <w:color w:val="000000"/>
                      <w:sz w:val="18"/>
                      <w:szCs w:val="18"/>
                      <w:lang w:eastAsia="sl-SI"/>
                    </w:rPr>
                    <w:t xml:space="preserve">120.000,00   </w:t>
                  </w:r>
                </w:p>
              </w:tc>
            </w:tr>
            <w:tr w:rsidR="00F01B6B" w:rsidRPr="001B37BA" w14:paraId="1E79CD76" w14:textId="77777777" w:rsidTr="008A2364">
              <w:trPr>
                <w:trHeight w:val="300"/>
              </w:trPr>
              <w:tc>
                <w:tcPr>
                  <w:tcW w:w="6803" w:type="dxa"/>
                  <w:tcBorders>
                    <w:top w:val="nil"/>
                    <w:left w:val="single" w:sz="4" w:space="0" w:color="auto"/>
                    <w:bottom w:val="single" w:sz="4" w:space="0" w:color="auto"/>
                    <w:right w:val="single" w:sz="4" w:space="0" w:color="auto"/>
                  </w:tcBorders>
                  <w:shd w:val="clear" w:color="auto" w:fill="auto"/>
                  <w:noWrap/>
                  <w:vAlign w:val="bottom"/>
                  <w:hideMark/>
                </w:tcPr>
                <w:p w14:paraId="137FE199" w14:textId="201B8E07" w:rsidR="00F01B6B" w:rsidRPr="008A2364" w:rsidRDefault="00F01B6B" w:rsidP="00C477EA">
                  <w:pPr>
                    <w:suppressAutoHyphens w:val="0"/>
                    <w:rPr>
                      <w:rFonts w:ascii="Arial" w:hAnsi="Arial" w:cs="Arial"/>
                      <w:color w:val="000000"/>
                      <w:sz w:val="18"/>
                      <w:szCs w:val="18"/>
                      <w:lang w:eastAsia="sl-SI"/>
                    </w:rPr>
                  </w:pPr>
                  <w:r w:rsidRPr="008A2364">
                    <w:rPr>
                      <w:rFonts w:ascii="Arial" w:hAnsi="Arial" w:cs="Arial"/>
                      <w:color w:val="000000"/>
                      <w:sz w:val="18"/>
                      <w:szCs w:val="18"/>
                      <w:lang w:eastAsia="sl-SI"/>
                    </w:rPr>
                    <w:t xml:space="preserve">Evropska kohezijska politika, prednostna naložba 4.4. postavitev sistemov parkiraj in prestopi (vrednost </w:t>
                  </w:r>
                  <w:r w:rsidR="00C477EA">
                    <w:rPr>
                      <w:rFonts w:ascii="Arial" w:hAnsi="Arial" w:cs="Arial"/>
                      <w:color w:val="000000"/>
                      <w:sz w:val="18"/>
                      <w:szCs w:val="18"/>
                      <w:lang w:eastAsia="sl-SI"/>
                    </w:rPr>
                    <w:t>sedmih</w:t>
                  </w:r>
                  <w:r w:rsidRPr="008A2364">
                    <w:rPr>
                      <w:rFonts w:ascii="Arial" w:hAnsi="Arial" w:cs="Arial"/>
                      <w:color w:val="000000"/>
                      <w:sz w:val="18"/>
                      <w:szCs w:val="18"/>
                      <w:lang w:eastAsia="sl-SI"/>
                    </w:rPr>
                    <w:t xml:space="preserve"> sklenjenih pogodb je </w:t>
                  </w:r>
                  <w:r w:rsidR="00C477EA">
                    <w:rPr>
                      <w:rFonts w:ascii="Arial" w:hAnsi="Arial" w:cs="Arial"/>
                      <w:color w:val="000000"/>
                      <w:sz w:val="18"/>
                      <w:szCs w:val="18"/>
                      <w:lang w:eastAsia="sl-SI"/>
                    </w:rPr>
                    <w:t xml:space="preserve"> 10,3 mio evrov</w:t>
                  </w:r>
                </w:p>
              </w:tc>
              <w:tc>
                <w:tcPr>
                  <w:tcW w:w="1307" w:type="dxa"/>
                  <w:tcBorders>
                    <w:top w:val="nil"/>
                    <w:left w:val="nil"/>
                    <w:bottom w:val="single" w:sz="4" w:space="0" w:color="auto"/>
                    <w:right w:val="single" w:sz="4" w:space="0" w:color="auto"/>
                  </w:tcBorders>
                  <w:shd w:val="clear" w:color="auto" w:fill="auto"/>
                  <w:noWrap/>
                  <w:vAlign w:val="bottom"/>
                  <w:hideMark/>
                </w:tcPr>
                <w:p w14:paraId="2BFE55F8" w14:textId="77777777" w:rsidR="00F01B6B" w:rsidRPr="008A2364" w:rsidRDefault="00F01B6B" w:rsidP="004F008C">
                  <w:pPr>
                    <w:suppressAutoHyphens w:val="0"/>
                    <w:jc w:val="right"/>
                    <w:rPr>
                      <w:rFonts w:ascii="Arial" w:hAnsi="Arial" w:cs="Arial"/>
                      <w:color w:val="000000"/>
                      <w:sz w:val="18"/>
                      <w:szCs w:val="18"/>
                      <w:lang w:eastAsia="sl-SI"/>
                    </w:rPr>
                  </w:pPr>
                  <w:r w:rsidRPr="008A2364">
                    <w:rPr>
                      <w:rFonts w:ascii="Arial" w:hAnsi="Arial" w:cs="Arial"/>
                      <w:color w:val="000000"/>
                      <w:sz w:val="18"/>
                      <w:szCs w:val="18"/>
                      <w:lang w:eastAsia="sl-SI"/>
                    </w:rPr>
                    <w:t xml:space="preserve">                 60.000,00   </w:t>
                  </w:r>
                </w:p>
              </w:tc>
              <w:tc>
                <w:tcPr>
                  <w:tcW w:w="1409" w:type="dxa"/>
                  <w:tcBorders>
                    <w:top w:val="nil"/>
                    <w:left w:val="nil"/>
                    <w:bottom w:val="single" w:sz="4" w:space="0" w:color="auto"/>
                    <w:right w:val="single" w:sz="4" w:space="0" w:color="auto"/>
                  </w:tcBorders>
                  <w:shd w:val="clear" w:color="auto" w:fill="auto"/>
                  <w:noWrap/>
                  <w:vAlign w:val="bottom"/>
                  <w:hideMark/>
                </w:tcPr>
                <w:p w14:paraId="5734C516" w14:textId="77777777" w:rsidR="00F01B6B" w:rsidRPr="008A2364" w:rsidRDefault="00F01B6B" w:rsidP="004F008C">
                  <w:pPr>
                    <w:suppressAutoHyphens w:val="0"/>
                    <w:jc w:val="right"/>
                    <w:rPr>
                      <w:rFonts w:ascii="Arial" w:hAnsi="Arial" w:cs="Arial"/>
                      <w:color w:val="000000"/>
                      <w:sz w:val="18"/>
                      <w:szCs w:val="18"/>
                      <w:lang w:eastAsia="sl-SI"/>
                    </w:rPr>
                  </w:pPr>
                  <w:r w:rsidRPr="008A2364">
                    <w:rPr>
                      <w:rFonts w:ascii="Arial" w:hAnsi="Arial" w:cs="Arial"/>
                      <w:color w:val="000000"/>
                      <w:sz w:val="18"/>
                      <w:szCs w:val="18"/>
                      <w:lang w:eastAsia="sl-SI"/>
                    </w:rPr>
                    <w:t xml:space="preserve">              120.000,00   </w:t>
                  </w:r>
                </w:p>
              </w:tc>
            </w:tr>
            <w:tr w:rsidR="004F008C" w:rsidRPr="001B37BA" w14:paraId="3E8977B1" w14:textId="77777777" w:rsidTr="008A2364">
              <w:trPr>
                <w:trHeight w:val="300"/>
              </w:trPr>
              <w:tc>
                <w:tcPr>
                  <w:tcW w:w="6803" w:type="dxa"/>
                  <w:tcBorders>
                    <w:top w:val="nil"/>
                    <w:left w:val="single" w:sz="4" w:space="0" w:color="auto"/>
                    <w:bottom w:val="single" w:sz="4" w:space="0" w:color="auto"/>
                    <w:right w:val="single" w:sz="4" w:space="0" w:color="auto"/>
                  </w:tcBorders>
                  <w:shd w:val="clear" w:color="auto" w:fill="auto"/>
                  <w:noWrap/>
                  <w:vAlign w:val="bottom"/>
                </w:tcPr>
                <w:p w14:paraId="3F11FA7D" w14:textId="57B5910D" w:rsidR="004F008C" w:rsidRPr="008A2364" w:rsidRDefault="004F008C" w:rsidP="001B37BA">
                  <w:pPr>
                    <w:suppressAutoHyphens w:val="0"/>
                    <w:rPr>
                      <w:rFonts w:ascii="Arial" w:hAnsi="Arial" w:cs="Arial"/>
                      <w:color w:val="000000"/>
                      <w:sz w:val="18"/>
                      <w:szCs w:val="18"/>
                      <w:lang w:eastAsia="sl-SI"/>
                    </w:rPr>
                  </w:pPr>
                  <w:r w:rsidRPr="008A2364">
                    <w:rPr>
                      <w:rFonts w:ascii="Arial" w:hAnsi="Arial" w:cs="Arial"/>
                      <w:color w:val="000000"/>
                      <w:sz w:val="18"/>
                      <w:szCs w:val="18"/>
                      <w:lang w:eastAsia="sl-SI"/>
                    </w:rPr>
                    <w:t>Sredstva so zagotovljena iz Sklada za podnebne spremembe in sredstev ministrstev, ki bodo sodelovala v skupnem javnem naročilu za nakup vozil na električni pogon</w:t>
                  </w:r>
                </w:p>
              </w:tc>
              <w:tc>
                <w:tcPr>
                  <w:tcW w:w="1307" w:type="dxa"/>
                  <w:tcBorders>
                    <w:top w:val="nil"/>
                    <w:left w:val="nil"/>
                    <w:bottom w:val="single" w:sz="4" w:space="0" w:color="auto"/>
                    <w:right w:val="single" w:sz="4" w:space="0" w:color="auto"/>
                  </w:tcBorders>
                  <w:shd w:val="clear" w:color="auto" w:fill="auto"/>
                  <w:noWrap/>
                  <w:vAlign w:val="bottom"/>
                </w:tcPr>
                <w:p w14:paraId="2FC37124" w14:textId="39902490" w:rsidR="004F008C" w:rsidRPr="008A2364" w:rsidRDefault="004F008C" w:rsidP="004F008C">
                  <w:pPr>
                    <w:suppressAutoHyphens w:val="0"/>
                    <w:jc w:val="right"/>
                    <w:rPr>
                      <w:rFonts w:ascii="Arial" w:hAnsi="Arial" w:cs="Arial"/>
                      <w:color w:val="000000"/>
                      <w:sz w:val="18"/>
                      <w:szCs w:val="18"/>
                      <w:lang w:eastAsia="sl-SI"/>
                    </w:rPr>
                  </w:pPr>
                  <w:r w:rsidRPr="008A2364">
                    <w:rPr>
                      <w:rFonts w:ascii="Arial" w:hAnsi="Arial" w:cs="Arial"/>
                      <w:color w:val="000000"/>
                      <w:sz w:val="18"/>
                      <w:szCs w:val="18"/>
                      <w:lang w:eastAsia="sl-SI"/>
                    </w:rPr>
                    <w:t xml:space="preserve">360.000,00  </w:t>
                  </w:r>
                </w:p>
              </w:tc>
              <w:tc>
                <w:tcPr>
                  <w:tcW w:w="1409" w:type="dxa"/>
                  <w:tcBorders>
                    <w:top w:val="nil"/>
                    <w:left w:val="nil"/>
                    <w:bottom w:val="single" w:sz="4" w:space="0" w:color="auto"/>
                    <w:right w:val="single" w:sz="4" w:space="0" w:color="auto"/>
                  </w:tcBorders>
                  <w:shd w:val="clear" w:color="auto" w:fill="auto"/>
                  <w:noWrap/>
                  <w:vAlign w:val="bottom"/>
                </w:tcPr>
                <w:p w14:paraId="77D842D9" w14:textId="37FEB620" w:rsidR="004F008C" w:rsidRPr="008A2364" w:rsidRDefault="004F008C" w:rsidP="004F008C">
                  <w:pPr>
                    <w:suppressAutoHyphens w:val="0"/>
                    <w:jc w:val="right"/>
                    <w:rPr>
                      <w:rFonts w:ascii="Arial" w:hAnsi="Arial" w:cs="Arial"/>
                      <w:color w:val="000000"/>
                      <w:sz w:val="18"/>
                      <w:szCs w:val="18"/>
                      <w:lang w:eastAsia="sl-SI"/>
                    </w:rPr>
                  </w:pPr>
                  <w:r w:rsidRPr="008A2364">
                    <w:rPr>
                      <w:rFonts w:ascii="Arial" w:hAnsi="Arial" w:cs="Arial"/>
                      <w:color w:val="000000"/>
                      <w:sz w:val="18"/>
                      <w:szCs w:val="18"/>
                      <w:lang w:eastAsia="sl-SI"/>
                    </w:rPr>
                    <w:t xml:space="preserve">1.200.000,00   </w:t>
                  </w:r>
                </w:p>
              </w:tc>
            </w:tr>
            <w:tr w:rsidR="008A2364" w:rsidRPr="001B37BA" w14:paraId="08A30FF0" w14:textId="77777777" w:rsidTr="008A2364">
              <w:trPr>
                <w:trHeight w:val="300"/>
              </w:trPr>
              <w:tc>
                <w:tcPr>
                  <w:tcW w:w="6803" w:type="dxa"/>
                  <w:tcBorders>
                    <w:top w:val="nil"/>
                    <w:left w:val="single" w:sz="4" w:space="0" w:color="auto"/>
                    <w:bottom w:val="single" w:sz="4" w:space="0" w:color="auto"/>
                    <w:right w:val="single" w:sz="4" w:space="0" w:color="auto"/>
                  </w:tcBorders>
                  <w:shd w:val="clear" w:color="auto" w:fill="auto"/>
                  <w:noWrap/>
                  <w:vAlign w:val="bottom"/>
                </w:tcPr>
                <w:p w14:paraId="1E32654F" w14:textId="2762D47F" w:rsidR="008A2364" w:rsidRPr="008A2364" w:rsidRDefault="008A2364" w:rsidP="001B37BA">
                  <w:pPr>
                    <w:suppressAutoHyphens w:val="0"/>
                    <w:rPr>
                      <w:rFonts w:ascii="Arial" w:hAnsi="Arial" w:cs="Arial"/>
                      <w:color w:val="000000"/>
                      <w:sz w:val="18"/>
                      <w:szCs w:val="18"/>
                      <w:lang w:eastAsia="sl-SI"/>
                    </w:rPr>
                  </w:pPr>
                  <w:r w:rsidRPr="008A2364">
                    <w:rPr>
                      <w:rFonts w:ascii="Arial" w:hAnsi="Arial" w:cs="Arial"/>
                      <w:color w:val="000000"/>
                      <w:sz w:val="18"/>
                      <w:szCs w:val="18"/>
                      <w:lang w:eastAsia="sl-SI"/>
                    </w:rPr>
                    <w:t>Evropska kohezijska politika prednostna naložba 4.1 (energetska sanacija) in 4.4. postavitev polnilnic za vozila na električni pogon</w:t>
                  </w:r>
                </w:p>
              </w:tc>
              <w:tc>
                <w:tcPr>
                  <w:tcW w:w="1307" w:type="dxa"/>
                  <w:tcBorders>
                    <w:top w:val="nil"/>
                    <w:left w:val="nil"/>
                    <w:bottom w:val="single" w:sz="4" w:space="0" w:color="auto"/>
                    <w:right w:val="single" w:sz="4" w:space="0" w:color="auto"/>
                  </w:tcBorders>
                  <w:shd w:val="clear" w:color="auto" w:fill="auto"/>
                  <w:noWrap/>
                  <w:vAlign w:val="bottom"/>
                </w:tcPr>
                <w:p w14:paraId="0E654BD0" w14:textId="180EF334" w:rsidR="008A2364" w:rsidRPr="008A2364" w:rsidRDefault="008A2364" w:rsidP="004F008C">
                  <w:pPr>
                    <w:suppressAutoHyphens w:val="0"/>
                    <w:jc w:val="right"/>
                    <w:rPr>
                      <w:rFonts w:ascii="Arial" w:hAnsi="Arial" w:cs="Arial"/>
                      <w:color w:val="000000"/>
                      <w:sz w:val="18"/>
                      <w:szCs w:val="18"/>
                      <w:lang w:eastAsia="sl-SI"/>
                    </w:rPr>
                  </w:pPr>
                  <w:r w:rsidRPr="008A2364">
                    <w:rPr>
                      <w:rFonts w:ascii="Arial" w:hAnsi="Arial" w:cs="Arial"/>
                      <w:color w:val="000000"/>
                      <w:sz w:val="18"/>
                      <w:szCs w:val="18"/>
                      <w:lang w:eastAsia="sl-SI"/>
                    </w:rPr>
                    <w:t>0,00</w:t>
                  </w:r>
                </w:p>
              </w:tc>
              <w:tc>
                <w:tcPr>
                  <w:tcW w:w="1409" w:type="dxa"/>
                  <w:tcBorders>
                    <w:top w:val="nil"/>
                    <w:left w:val="nil"/>
                    <w:bottom w:val="single" w:sz="4" w:space="0" w:color="auto"/>
                    <w:right w:val="single" w:sz="4" w:space="0" w:color="auto"/>
                  </w:tcBorders>
                  <w:shd w:val="clear" w:color="auto" w:fill="auto"/>
                  <w:noWrap/>
                  <w:vAlign w:val="bottom"/>
                </w:tcPr>
                <w:p w14:paraId="5F1A224F" w14:textId="731C1999" w:rsidR="008A2364" w:rsidRPr="008A2364" w:rsidRDefault="008A2364" w:rsidP="004F008C">
                  <w:pPr>
                    <w:suppressAutoHyphens w:val="0"/>
                    <w:jc w:val="right"/>
                    <w:rPr>
                      <w:rFonts w:ascii="Arial" w:hAnsi="Arial" w:cs="Arial"/>
                      <w:color w:val="000000"/>
                      <w:sz w:val="18"/>
                      <w:szCs w:val="18"/>
                      <w:lang w:eastAsia="sl-SI"/>
                    </w:rPr>
                  </w:pPr>
                  <w:r w:rsidRPr="008A2364">
                    <w:rPr>
                      <w:rFonts w:ascii="Arial" w:hAnsi="Arial" w:cs="Arial"/>
                      <w:color w:val="000000"/>
                      <w:sz w:val="18"/>
                      <w:szCs w:val="18"/>
                      <w:lang w:eastAsia="sl-SI"/>
                    </w:rPr>
                    <w:t xml:space="preserve">1.105.000,00   </w:t>
                  </w:r>
                </w:p>
              </w:tc>
            </w:tr>
            <w:tr w:rsidR="008A2364" w:rsidRPr="001B37BA" w14:paraId="71965C2A" w14:textId="77777777" w:rsidTr="008A2364">
              <w:trPr>
                <w:trHeight w:val="300"/>
              </w:trPr>
              <w:tc>
                <w:tcPr>
                  <w:tcW w:w="6803" w:type="dxa"/>
                  <w:tcBorders>
                    <w:top w:val="nil"/>
                    <w:left w:val="single" w:sz="4" w:space="0" w:color="auto"/>
                    <w:bottom w:val="single" w:sz="4" w:space="0" w:color="auto"/>
                    <w:right w:val="single" w:sz="4" w:space="0" w:color="auto"/>
                  </w:tcBorders>
                  <w:shd w:val="clear" w:color="auto" w:fill="auto"/>
                  <w:noWrap/>
                  <w:vAlign w:val="bottom"/>
                </w:tcPr>
                <w:p w14:paraId="11C12F0A" w14:textId="7C52487C" w:rsidR="008A2364" w:rsidRPr="008A2364" w:rsidRDefault="008A2364" w:rsidP="001B37BA">
                  <w:pPr>
                    <w:suppressAutoHyphens w:val="0"/>
                    <w:rPr>
                      <w:rFonts w:ascii="Arial" w:hAnsi="Arial" w:cs="Arial"/>
                      <w:color w:val="000000"/>
                      <w:sz w:val="18"/>
                      <w:szCs w:val="18"/>
                      <w:lang w:eastAsia="sl-SI"/>
                    </w:rPr>
                  </w:pPr>
                  <w:r w:rsidRPr="008A2364">
                    <w:rPr>
                      <w:rFonts w:ascii="Arial" w:hAnsi="Arial" w:cs="Arial"/>
                      <w:color w:val="000000"/>
                      <w:sz w:val="18"/>
                      <w:szCs w:val="18"/>
                      <w:lang w:eastAsia="sl-SI"/>
                    </w:rPr>
                    <w:t>MZI Dogovor za razvoj regij (projekta v MO Koper, MO Ljubljana)</w:t>
                  </w:r>
                </w:p>
              </w:tc>
              <w:tc>
                <w:tcPr>
                  <w:tcW w:w="1307" w:type="dxa"/>
                  <w:tcBorders>
                    <w:top w:val="nil"/>
                    <w:left w:val="nil"/>
                    <w:bottom w:val="single" w:sz="4" w:space="0" w:color="auto"/>
                    <w:right w:val="single" w:sz="4" w:space="0" w:color="auto"/>
                  </w:tcBorders>
                  <w:shd w:val="clear" w:color="auto" w:fill="auto"/>
                  <w:noWrap/>
                  <w:vAlign w:val="bottom"/>
                </w:tcPr>
                <w:p w14:paraId="3B363B9F" w14:textId="288B6FC4" w:rsidR="008A2364" w:rsidRPr="008A2364" w:rsidRDefault="008A2364" w:rsidP="004F008C">
                  <w:pPr>
                    <w:suppressAutoHyphens w:val="0"/>
                    <w:jc w:val="right"/>
                    <w:rPr>
                      <w:rFonts w:ascii="Arial" w:hAnsi="Arial" w:cs="Arial"/>
                      <w:color w:val="000000"/>
                      <w:sz w:val="18"/>
                      <w:szCs w:val="18"/>
                      <w:lang w:eastAsia="sl-SI"/>
                    </w:rPr>
                  </w:pPr>
                  <w:r>
                    <w:rPr>
                      <w:rFonts w:ascii="Arial" w:hAnsi="Arial" w:cs="Arial"/>
                      <w:color w:val="000000"/>
                      <w:sz w:val="18"/>
                      <w:szCs w:val="18"/>
                      <w:lang w:eastAsia="sl-SI"/>
                    </w:rPr>
                    <w:t>0,00</w:t>
                  </w:r>
                </w:p>
              </w:tc>
              <w:tc>
                <w:tcPr>
                  <w:tcW w:w="1409" w:type="dxa"/>
                  <w:tcBorders>
                    <w:top w:val="nil"/>
                    <w:left w:val="nil"/>
                    <w:bottom w:val="single" w:sz="4" w:space="0" w:color="auto"/>
                    <w:right w:val="single" w:sz="4" w:space="0" w:color="auto"/>
                  </w:tcBorders>
                  <w:shd w:val="clear" w:color="auto" w:fill="auto"/>
                  <w:noWrap/>
                  <w:vAlign w:val="bottom"/>
                </w:tcPr>
                <w:p w14:paraId="2A9A03F3" w14:textId="5AE544C0" w:rsidR="008A2364" w:rsidRPr="008A2364" w:rsidRDefault="008A2364" w:rsidP="004F008C">
                  <w:pPr>
                    <w:suppressAutoHyphens w:val="0"/>
                    <w:jc w:val="right"/>
                    <w:rPr>
                      <w:rFonts w:ascii="Arial" w:hAnsi="Arial" w:cs="Arial"/>
                      <w:color w:val="000000"/>
                      <w:sz w:val="18"/>
                      <w:szCs w:val="18"/>
                      <w:lang w:eastAsia="sl-SI"/>
                    </w:rPr>
                  </w:pPr>
                  <w:r w:rsidRPr="001B37BA">
                    <w:rPr>
                      <w:rFonts w:ascii="Calibri" w:hAnsi="Calibri"/>
                      <w:color w:val="000000"/>
                      <w:sz w:val="20"/>
                      <w:szCs w:val="20"/>
                      <w:lang w:eastAsia="sl-SI"/>
                    </w:rPr>
                    <w:t xml:space="preserve">400.000,00   </w:t>
                  </w:r>
                </w:p>
              </w:tc>
            </w:tr>
            <w:tr w:rsidR="008A2364" w:rsidRPr="001B37BA" w14:paraId="7AC0E43F" w14:textId="77777777" w:rsidTr="008A2364">
              <w:trPr>
                <w:trHeight w:val="300"/>
              </w:trPr>
              <w:tc>
                <w:tcPr>
                  <w:tcW w:w="6803" w:type="dxa"/>
                  <w:tcBorders>
                    <w:top w:val="nil"/>
                    <w:left w:val="single" w:sz="4" w:space="0" w:color="auto"/>
                    <w:bottom w:val="single" w:sz="4" w:space="0" w:color="auto"/>
                    <w:right w:val="single" w:sz="4" w:space="0" w:color="auto"/>
                  </w:tcBorders>
                  <w:shd w:val="clear" w:color="auto" w:fill="auto"/>
                  <w:noWrap/>
                  <w:vAlign w:val="bottom"/>
                </w:tcPr>
                <w:p w14:paraId="7BB5645D" w14:textId="5ECF3F7E" w:rsidR="008A2364" w:rsidRPr="008A2364" w:rsidRDefault="008A2364" w:rsidP="001B37BA">
                  <w:pPr>
                    <w:suppressAutoHyphens w:val="0"/>
                    <w:rPr>
                      <w:rFonts w:ascii="Arial" w:hAnsi="Arial" w:cs="Arial"/>
                      <w:color w:val="000000"/>
                      <w:sz w:val="18"/>
                      <w:szCs w:val="18"/>
                      <w:lang w:eastAsia="sl-SI"/>
                    </w:rPr>
                  </w:pPr>
                  <w:r w:rsidRPr="008A2364">
                    <w:rPr>
                      <w:rFonts w:ascii="Arial" w:hAnsi="Arial" w:cs="Arial"/>
                      <w:color w:val="000000"/>
                      <w:sz w:val="18"/>
                      <w:szCs w:val="18"/>
                      <w:lang w:eastAsia="sl-SI"/>
                    </w:rPr>
                    <w:t xml:space="preserve">MZI Proračunska postavka 978610 Gospodarska javna služba v linijskem prometu - višji stroški izvajanja GJS z vozili na </w:t>
                  </w:r>
                  <w:r w:rsidR="00C477EA">
                    <w:rPr>
                      <w:rFonts w:ascii="Arial" w:hAnsi="Arial" w:cs="Arial"/>
                      <w:color w:val="000000"/>
                      <w:sz w:val="18"/>
                      <w:szCs w:val="18"/>
                      <w:lang w:eastAsia="sl-SI"/>
                    </w:rPr>
                    <w:t xml:space="preserve">alternativna goriva in </w:t>
                  </w:r>
                  <w:r w:rsidRPr="008A2364">
                    <w:rPr>
                      <w:rFonts w:ascii="Arial" w:hAnsi="Arial" w:cs="Arial"/>
                      <w:color w:val="000000"/>
                      <w:sz w:val="18"/>
                      <w:szCs w:val="18"/>
                      <w:lang w:eastAsia="sl-SI"/>
                    </w:rPr>
                    <w:t>električni pogon</w:t>
                  </w:r>
                </w:p>
              </w:tc>
              <w:tc>
                <w:tcPr>
                  <w:tcW w:w="1307" w:type="dxa"/>
                  <w:tcBorders>
                    <w:top w:val="nil"/>
                    <w:left w:val="nil"/>
                    <w:bottom w:val="single" w:sz="4" w:space="0" w:color="auto"/>
                    <w:right w:val="single" w:sz="4" w:space="0" w:color="auto"/>
                  </w:tcBorders>
                  <w:shd w:val="clear" w:color="auto" w:fill="auto"/>
                  <w:noWrap/>
                  <w:vAlign w:val="bottom"/>
                </w:tcPr>
                <w:p w14:paraId="78D848EE" w14:textId="175E0EB3" w:rsidR="008A2364" w:rsidRDefault="008A2364" w:rsidP="004F008C">
                  <w:pPr>
                    <w:suppressAutoHyphens w:val="0"/>
                    <w:jc w:val="right"/>
                    <w:rPr>
                      <w:rFonts w:ascii="Arial" w:hAnsi="Arial" w:cs="Arial"/>
                      <w:color w:val="000000"/>
                      <w:sz w:val="18"/>
                      <w:szCs w:val="18"/>
                      <w:lang w:eastAsia="sl-SI"/>
                    </w:rPr>
                  </w:pPr>
                  <w:r>
                    <w:rPr>
                      <w:rFonts w:ascii="Arial" w:hAnsi="Arial" w:cs="Arial"/>
                      <w:color w:val="000000"/>
                      <w:sz w:val="18"/>
                      <w:szCs w:val="18"/>
                      <w:lang w:eastAsia="sl-SI"/>
                    </w:rPr>
                    <w:t>0,00</w:t>
                  </w:r>
                </w:p>
              </w:tc>
              <w:tc>
                <w:tcPr>
                  <w:tcW w:w="1409" w:type="dxa"/>
                  <w:tcBorders>
                    <w:top w:val="nil"/>
                    <w:left w:val="nil"/>
                    <w:bottom w:val="single" w:sz="4" w:space="0" w:color="auto"/>
                    <w:right w:val="single" w:sz="4" w:space="0" w:color="auto"/>
                  </w:tcBorders>
                  <w:shd w:val="clear" w:color="auto" w:fill="auto"/>
                  <w:noWrap/>
                  <w:vAlign w:val="bottom"/>
                </w:tcPr>
                <w:p w14:paraId="1C72CA20" w14:textId="6ECBB14F" w:rsidR="008A2364" w:rsidRPr="001B37BA" w:rsidRDefault="008A2364" w:rsidP="004F008C">
                  <w:pPr>
                    <w:suppressAutoHyphens w:val="0"/>
                    <w:jc w:val="right"/>
                    <w:rPr>
                      <w:rFonts w:ascii="Calibri" w:hAnsi="Calibri"/>
                      <w:color w:val="000000"/>
                      <w:sz w:val="20"/>
                      <w:szCs w:val="20"/>
                      <w:lang w:eastAsia="sl-SI"/>
                    </w:rPr>
                  </w:pPr>
                  <w:r w:rsidRPr="001B37BA">
                    <w:rPr>
                      <w:rFonts w:ascii="Calibri" w:hAnsi="Calibri"/>
                      <w:color w:val="000000"/>
                      <w:sz w:val="20"/>
                      <w:szCs w:val="20"/>
                      <w:lang w:eastAsia="sl-SI"/>
                    </w:rPr>
                    <w:t xml:space="preserve">180.000,00   </w:t>
                  </w:r>
                </w:p>
              </w:tc>
            </w:tr>
            <w:tr w:rsidR="00F01B6B" w:rsidRPr="001B37BA" w14:paraId="06638E56" w14:textId="77777777" w:rsidTr="008A2364">
              <w:trPr>
                <w:trHeight w:val="300"/>
              </w:trPr>
              <w:tc>
                <w:tcPr>
                  <w:tcW w:w="6803" w:type="dxa"/>
                  <w:tcBorders>
                    <w:top w:val="nil"/>
                    <w:left w:val="single" w:sz="4" w:space="0" w:color="auto"/>
                    <w:bottom w:val="single" w:sz="4" w:space="0" w:color="auto"/>
                    <w:right w:val="single" w:sz="4" w:space="0" w:color="auto"/>
                  </w:tcBorders>
                  <w:shd w:val="clear" w:color="auto" w:fill="auto"/>
                  <w:noWrap/>
                  <w:vAlign w:val="bottom"/>
                  <w:hideMark/>
                </w:tcPr>
                <w:p w14:paraId="22607B17" w14:textId="77777777" w:rsidR="00F01B6B" w:rsidRPr="008A2364" w:rsidRDefault="00F01B6B" w:rsidP="001B37BA">
                  <w:pPr>
                    <w:suppressAutoHyphens w:val="0"/>
                    <w:rPr>
                      <w:rFonts w:ascii="Arial" w:hAnsi="Arial" w:cs="Arial"/>
                      <w:b/>
                      <w:color w:val="000000"/>
                      <w:sz w:val="18"/>
                      <w:szCs w:val="18"/>
                      <w:lang w:eastAsia="sl-SI"/>
                    </w:rPr>
                  </w:pPr>
                  <w:r w:rsidRPr="008A2364">
                    <w:rPr>
                      <w:rFonts w:ascii="Arial" w:hAnsi="Arial" w:cs="Arial"/>
                      <w:b/>
                      <w:color w:val="000000"/>
                      <w:sz w:val="18"/>
                      <w:szCs w:val="18"/>
                      <w:lang w:eastAsia="sl-SI"/>
                    </w:rPr>
                    <w:t>SKUPAJ</w:t>
                  </w:r>
                </w:p>
              </w:tc>
              <w:tc>
                <w:tcPr>
                  <w:tcW w:w="1307" w:type="dxa"/>
                  <w:tcBorders>
                    <w:top w:val="nil"/>
                    <w:left w:val="nil"/>
                    <w:bottom w:val="single" w:sz="4" w:space="0" w:color="auto"/>
                    <w:right w:val="single" w:sz="4" w:space="0" w:color="auto"/>
                  </w:tcBorders>
                  <w:shd w:val="clear" w:color="auto" w:fill="auto"/>
                  <w:noWrap/>
                  <w:vAlign w:val="bottom"/>
                  <w:hideMark/>
                </w:tcPr>
                <w:p w14:paraId="6A5ED979" w14:textId="77777777" w:rsidR="00F01B6B" w:rsidRPr="008A2364" w:rsidRDefault="00F01B6B" w:rsidP="008A2364">
                  <w:pPr>
                    <w:suppressAutoHyphens w:val="0"/>
                    <w:jc w:val="right"/>
                    <w:rPr>
                      <w:rFonts w:ascii="Arial" w:hAnsi="Arial" w:cs="Arial"/>
                      <w:b/>
                      <w:color w:val="000000"/>
                      <w:sz w:val="18"/>
                      <w:szCs w:val="18"/>
                      <w:lang w:eastAsia="sl-SI"/>
                    </w:rPr>
                  </w:pPr>
                  <w:r w:rsidRPr="008A2364">
                    <w:rPr>
                      <w:rFonts w:ascii="Arial" w:hAnsi="Arial" w:cs="Arial"/>
                      <w:b/>
                      <w:color w:val="000000"/>
                      <w:sz w:val="18"/>
                      <w:szCs w:val="18"/>
                      <w:lang w:eastAsia="sl-SI"/>
                    </w:rPr>
                    <w:t xml:space="preserve">         29.145.000,00   </w:t>
                  </w:r>
                </w:p>
              </w:tc>
              <w:tc>
                <w:tcPr>
                  <w:tcW w:w="1409" w:type="dxa"/>
                  <w:tcBorders>
                    <w:top w:val="nil"/>
                    <w:left w:val="nil"/>
                    <w:bottom w:val="single" w:sz="4" w:space="0" w:color="auto"/>
                    <w:right w:val="single" w:sz="4" w:space="0" w:color="auto"/>
                  </w:tcBorders>
                  <w:shd w:val="clear" w:color="auto" w:fill="auto"/>
                  <w:noWrap/>
                  <w:vAlign w:val="bottom"/>
                  <w:hideMark/>
                </w:tcPr>
                <w:p w14:paraId="53C9F908" w14:textId="77777777" w:rsidR="00F01B6B" w:rsidRPr="008A2364" w:rsidRDefault="00F01B6B" w:rsidP="008A2364">
                  <w:pPr>
                    <w:suppressAutoHyphens w:val="0"/>
                    <w:jc w:val="right"/>
                    <w:rPr>
                      <w:rFonts w:ascii="Arial" w:hAnsi="Arial" w:cs="Arial"/>
                      <w:b/>
                      <w:color w:val="000000"/>
                      <w:sz w:val="18"/>
                      <w:szCs w:val="18"/>
                      <w:lang w:eastAsia="sl-SI"/>
                    </w:rPr>
                  </w:pPr>
                  <w:r w:rsidRPr="008A2364">
                    <w:rPr>
                      <w:rFonts w:ascii="Arial" w:hAnsi="Arial" w:cs="Arial"/>
                      <w:b/>
                      <w:color w:val="000000"/>
                      <w:sz w:val="18"/>
                      <w:szCs w:val="18"/>
                      <w:lang w:eastAsia="sl-SI"/>
                    </w:rPr>
                    <w:t xml:space="preserve">        39.255.000,00   </w:t>
                  </w:r>
                </w:p>
              </w:tc>
            </w:tr>
          </w:tbl>
          <w:p w14:paraId="1B04C0CF" w14:textId="77777777" w:rsidR="001B37BA" w:rsidRDefault="001B37BA" w:rsidP="00255AE9">
            <w:pPr>
              <w:pStyle w:val="Oddelek"/>
              <w:widowControl w:val="0"/>
              <w:numPr>
                <w:ilvl w:val="0"/>
                <w:numId w:val="0"/>
              </w:numPr>
              <w:spacing w:before="40" w:afterLines="40" w:after="96" w:line="260" w:lineRule="atLeast"/>
              <w:jc w:val="both"/>
              <w:rPr>
                <w:b w:val="0"/>
                <w:sz w:val="20"/>
                <w:szCs w:val="20"/>
              </w:rPr>
            </w:pPr>
          </w:p>
          <w:p w14:paraId="7695B2B6" w14:textId="45EE9C64" w:rsidR="002B5ED0" w:rsidRDefault="00347578" w:rsidP="00255AE9">
            <w:pPr>
              <w:pStyle w:val="Oddelek"/>
              <w:widowControl w:val="0"/>
              <w:numPr>
                <w:ilvl w:val="0"/>
                <w:numId w:val="0"/>
              </w:numPr>
              <w:spacing w:before="40" w:afterLines="40" w:after="96" w:line="260" w:lineRule="atLeast"/>
              <w:jc w:val="both"/>
              <w:rPr>
                <w:b w:val="0"/>
                <w:sz w:val="20"/>
                <w:szCs w:val="20"/>
              </w:rPr>
            </w:pPr>
            <w:r>
              <w:rPr>
                <w:b w:val="0"/>
                <w:sz w:val="20"/>
                <w:szCs w:val="20"/>
              </w:rPr>
              <w:t xml:space="preserve">Akcijski program predvideva tudi spremembe zakonodaje in finančne posledice v primeru, da se bodo </w:t>
            </w:r>
            <w:r>
              <w:rPr>
                <w:b w:val="0"/>
                <w:sz w:val="20"/>
                <w:szCs w:val="20"/>
              </w:rPr>
              <w:lastRenderedPageBreak/>
              <w:t xml:space="preserve">spremembe izvedle. Akcijski program upošteva predvidene zakonske spremembe, ki omogočajo celovito izvajanje Strategije in uspešen prehod na alternativna goriva in predstavlja tudi finančne posledice, če se bodo spremembe v zakonodajnih postopkih izvedle. </w:t>
            </w:r>
            <w:r w:rsidR="00917AD3">
              <w:rPr>
                <w:b w:val="0"/>
                <w:sz w:val="20"/>
                <w:szCs w:val="20"/>
              </w:rPr>
              <w:t>Navedene so tudi ocene</w:t>
            </w:r>
            <w:r>
              <w:rPr>
                <w:b w:val="0"/>
                <w:sz w:val="20"/>
                <w:szCs w:val="20"/>
              </w:rPr>
              <w:t xml:space="preserve"> </w:t>
            </w:r>
            <w:r w:rsidR="00917AD3">
              <w:rPr>
                <w:b w:val="0"/>
                <w:sz w:val="20"/>
                <w:szCs w:val="20"/>
              </w:rPr>
              <w:t xml:space="preserve">izpadov </w:t>
            </w:r>
            <w:r>
              <w:rPr>
                <w:b w:val="0"/>
                <w:sz w:val="20"/>
                <w:szCs w:val="20"/>
              </w:rPr>
              <w:t xml:space="preserve">prihodkov pri drugih deležnikih (npr. </w:t>
            </w:r>
            <w:r w:rsidR="00145500">
              <w:rPr>
                <w:b w:val="0"/>
                <w:sz w:val="20"/>
                <w:szCs w:val="20"/>
              </w:rPr>
              <w:t xml:space="preserve">v </w:t>
            </w:r>
            <w:r>
              <w:rPr>
                <w:b w:val="0"/>
                <w:sz w:val="20"/>
                <w:szCs w:val="20"/>
              </w:rPr>
              <w:t xml:space="preserve">občinah, ki zagotavljajo brezplačna polnjenja za vozila na električni pogon in brezplačna parkiranja </w:t>
            </w:r>
            <w:r w:rsidR="00917AD3">
              <w:rPr>
                <w:b w:val="0"/>
                <w:sz w:val="20"/>
                <w:szCs w:val="20"/>
              </w:rPr>
              <w:t xml:space="preserve">ali </w:t>
            </w:r>
            <w:r>
              <w:rPr>
                <w:b w:val="0"/>
                <w:sz w:val="20"/>
                <w:szCs w:val="20"/>
              </w:rPr>
              <w:t>investicije drugih oseb javnega ali zasebnega prava</w:t>
            </w:r>
            <w:r w:rsidR="00917AD3">
              <w:rPr>
                <w:b w:val="0"/>
                <w:sz w:val="20"/>
                <w:szCs w:val="20"/>
              </w:rPr>
              <w:t>)</w:t>
            </w:r>
            <w:r>
              <w:rPr>
                <w:b w:val="0"/>
                <w:sz w:val="20"/>
                <w:szCs w:val="20"/>
              </w:rPr>
              <w:t xml:space="preserve">. Izračun finančnih posledic uveljavitve akcijskega programa za alternativna goriva v preglednicah ne upošteva finančnih posledic zamenjave vozil in izpada prihodkov iz naslova trošarine in drugih dajatev na fosilna goriva. </w:t>
            </w:r>
          </w:p>
          <w:p w14:paraId="67F5E60D" w14:textId="0A1309F0" w:rsidR="002B5ED0" w:rsidRPr="00D03C10" w:rsidRDefault="002B5ED0" w:rsidP="00255AE9">
            <w:pPr>
              <w:pStyle w:val="Oddelek"/>
              <w:widowControl w:val="0"/>
              <w:numPr>
                <w:ilvl w:val="0"/>
                <w:numId w:val="0"/>
              </w:numPr>
              <w:spacing w:before="40" w:afterLines="40" w:after="96" w:line="260" w:lineRule="atLeast"/>
              <w:jc w:val="both"/>
              <w:rPr>
                <w:b w:val="0"/>
                <w:sz w:val="20"/>
                <w:szCs w:val="20"/>
              </w:rPr>
            </w:pPr>
            <w:r>
              <w:rPr>
                <w:b w:val="0"/>
                <w:sz w:val="20"/>
                <w:szCs w:val="20"/>
              </w:rPr>
              <w:t xml:space="preserve">Uvedba vozil na električni pogon ima v prometu izjemno pomembne okoljske </w:t>
            </w:r>
            <w:r w:rsidR="00636EAB">
              <w:rPr>
                <w:b w:val="0"/>
                <w:sz w:val="20"/>
                <w:szCs w:val="20"/>
              </w:rPr>
              <w:t xml:space="preserve">in zdravstvene </w:t>
            </w:r>
            <w:r>
              <w:rPr>
                <w:b w:val="0"/>
                <w:sz w:val="20"/>
                <w:szCs w:val="20"/>
              </w:rPr>
              <w:t>učinke saj so ta vozila z ničelno emisijo. Z enim vozilo</w:t>
            </w:r>
            <w:r w:rsidR="00580CB1">
              <w:rPr>
                <w:b w:val="0"/>
                <w:sz w:val="20"/>
                <w:szCs w:val="20"/>
              </w:rPr>
              <w:t>m</w:t>
            </w:r>
            <w:r>
              <w:rPr>
                <w:b w:val="0"/>
                <w:sz w:val="20"/>
                <w:szCs w:val="20"/>
              </w:rPr>
              <w:t xml:space="preserve"> na električni pogon se v prometu zmanjšajo obremenitve okolja za 3 t CO</w:t>
            </w:r>
            <w:r w:rsidRPr="001E5919">
              <w:rPr>
                <w:b w:val="0"/>
                <w:sz w:val="20"/>
                <w:szCs w:val="20"/>
                <w:vertAlign w:val="subscript"/>
              </w:rPr>
              <w:t>2</w:t>
            </w:r>
            <w:r w:rsidR="00580CB1">
              <w:rPr>
                <w:b w:val="0"/>
                <w:sz w:val="20"/>
                <w:szCs w:val="20"/>
              </w:rPr>
              <w:t xml:space="preserve"> na leto</w:t>
            </w:r>
            <w:r>
              <w:rPr>
                <w:b w:val="0"/>
                <w:sz w:val="20"/>
                <w:szCs w:val="20"/>
                <w:vertAlign w:val="subscript"/>
              </w:rPr>
              <w:t xml:space="preserve">. </w:t>
            </w:r>
            <w:r w:rsidR="00D03C10">
              <w:rPr>
                <w:b w:val="0"/>
                <w:sz w:val="20"/>
                <w:szCs w:val="20"/>
              </w:rPr>
              <w:t xml:space="preserve">V letu 2020 bo to pomenilo zmanjšanje obremenitev okolja za </w:t>
            </w:r>
            <w:r w:rsidR="00953162">
              <w:rPr>
                <w:b w:val="0"/>
                <w:sz w:val="20"/>
                <w:szCs w:val="20"/>
              </w:rPr>
              <w:t>9</w:t>
            </w:r>
            <w:r w:rsidR="00D03C10">
              <w:rPr>
                <w:b w:val="0"/>
                <w:sz w:val="20"/>
                <w:szCs w:val="20"/>
              </w:rPr>
              <w:t>.</w:t>
            </w:r>
            <w:r w:rsidR="00953162">
              <w:rPr>
                <w:b w:val="0"/>
                <w:sz w:val="20"/>
                <w:szCs w:val="20"/>
              </w:rPr>
              <w:t>0</w:t>
            </w:r>
            <w:r w:rsidR="00D03C10">
              <w:rPr>
                <w:b w:val="0"/>
                <w:sz w:val="20"/>
                <w:szCs w:val="20"/>
              </w:rPr>
              <w:t xml:space="preserve">00 ton </w:t>
            </w:r>
            <w:r w:rsidR="00D03C10" w:rsidRPr="00D03C10">
              <w:rPr>
                <w:b w:val="0"/>
                <w:sz w:val="20"/>
                <w:szCs w:val="20"/>
              </w:rPr>
              <w:t>CO</w:t>
            </w:r>
            <w:r w:rsidR="00D03C10" w:rsidRPr="00D03C10">
              <w:rPr>
                <w:b w:val="0"/>
                <w:sz w:val="20"/>
                <w:szCs w:val="20"/>
                <w:vertAlign w:val="subscript"/>
              </w:rPr>
              <w:t>2</w:t>
            </w:r>
            <w:r w:rsidR="00D03C10" w:rsidRPr="001E5919">
              <w:rPr>
                <w:b w:val="0"/>
                <w:sz w:val="20"/>
                <w:szCs w:val="20"/>
              </w:rPr>
              <w:t xml:space="preserve"> in </w:t>
            </w:r>
            <w:r w:rsidR="00317F33">
              <w:rPr>
                <w:b w:val="0"/>
                <w:sz w:val="20"/>
                <w:szCs w:val="20"/>
              </w:rPr>
              <w:t xml:space="preserve">zmanjšanje </w:t>
            </w:r>
            <w:r w:rsidR="00D03C10" w:rsidRPr="001E5919">
              <w:rPr>
                <w:b w:val="0"/>
                <w:sz w:val="20"/>
                <w:szCs w:val="20"/>
              </w:rPr>
              <w:t>ustrezne</w:t>
            </w:r>
            <w:r w:rsidR="00317F33">
              <w:rPr>
                <w:b w:val="0"/>
                <w:sz w:val="20"/>
                <w:szCs w:val="20"/>
              </w:rPr>
              <w:t>ga</w:t>
            </w:r>
            <w:r w:rsidR="00D03C10" w:rsidRPr="001E5919">
              <w:rPr>
                <w:b w:val="0"/>
                <w:sz w:val="20"/>
                <w:szCs w:val="20"/>
              </w:rPr>
              <w:t xml:space="preserve"> delež</w:t>
            </w:r>
            <w:r w:rsidR="00317F33">
              <w:rPr>
                <w:b w:val="0"/>
                <w:sz w:val="20"/>
                <w:szCs w:val="20"/>
              </w:rPr>
              <w:t>a</w:t>
            </w:r>
            <w:r w:rsidR="00D03C10" w:rsidRPr="001E5919">
              <w:rPr>
                <w:b w:val="0"/>
                <w:sz w:val="20"/>
                <w:szCs w:val="20"/>
              </w:rPr>
              <w:t xml:space="preserve"> prašnih delcev ter drugih onesnaževal. </w:t>
            </w:r>
          </w:p>
          <w:tbl>
            <w:tblPr>
              <w:tblStyle w:val="Tabelamrea"/>
              <w:tblW w:w="9065" w:type="dxa"/>
              <w:tblLook w:val="04A0" w:firstRow="1" w:lastRow="0" w:firstColumn="1" w:lastColumn="0" w:noHBand="0" w:noVBand="1"/>
            </w:tblPr>
            <w:tblGrid>
              <w:gridCol w:w="1560"/>
              <w:gridCol w:w="1842"/>
              <w:gridCol w:w="1985"/>
              <w:gridCol w:w="3678"/>
            </w:tblGrid>
            <w:tr w:rsidR="00ED60FF" w14:paraId="6BDFDBFA" w14:textId="77777777" w:rsidTr="00505797">
              <w:tc>
                <w:tcPr>
                  <w:tcW w:w="9065" w:type="dxa"/>
                  <w:gridSpan w:val="4"/>
                  <w:shd w:val="clear" w:color="auto" w:fill="B4C6E7" w:themeFill="accent5" w:themeFillTint="66"/>
                </w:tcPr>
                <w:p w14:paraId="5F877D54" w14:textId="14CEA1A9" w:rsidR="00ED60FF" w:rsidRPr="008A2364" w:rsidRDefault="00ED60FF" w:rsidP="008A2364">
                  <w:pPr>
                    <w:pStyle w:val="Oddelek"/>
                    <w:widowControl w:val="0"/>
                    <w:numPr>
                      <w:ilvl w:val="0"/>
                      <w:numId w:val="0"/>
                    </w:numPr>
                    <w:spacing w:before="40" w:afterLines="40" w:after="96" w:line="260" w:lineRule="atLeast"/>
                    <w:jc w:val="both"/>
                    <w:rPr>
                      <w:b w:val="0"/>
                      <w:sz w:val="18"/>
                      <w:szCs w:val="18"/>
                    </w:rPr>
                  </w:pPr>
                  <w:r w:rsidRPr="008A2364">
                    <w:rPr>
                      <w:b w:val="0"/>
                      <w:sz w:val="18"/>
                      <w:szCs w:val="18"/>
                    </w:rPr>
                    <w:t xml:space="preserve"> </w:t>
                  </w:r>
                  <w:r w:rsidR="008A2364" w:rsidRPr="008A2364">
                    <w:rPr>
                      <w:b w:val="0"/>
                      <w:sz w:val="18"/>
                      <w:szCs w:val="18"/>
                    </w:rPr>
                    <w:t>Vsi u</w:t>
                  </w:r>
                  <w:r w:rsidRPr="008A2364">
                    <w:rPr>
                      <w:b w:val="0"/>
                      <w:sz w:val="18"/>
                      <w:szCs w:val="18"/>
                    </w:rPr>
                    <w:t xml:space="preserve">krepi na področju </w:t>
                  </w:r>
                  <w:proofErr w:type="spellStart"/>
                  <w:r w:rsidRPr="008A2364">
                    <w:rPr>
                      <w:b w:val="0"/>
                      <w:sz w:val="18"/>
                      <w:szCs w:val="18"/>
                    </w:rPr>
                    <w:t>elektro</w:t>
                  </w:r>
                  <w:proofErr w:type="spellEnd"/>
                  <w:r w:rsidRPr="008A2364">
                    <w:rPr>
                      <w:b w:val="0"/>
                      <w:sz w:val="18"/>
                      <w:szCs w:val="18"/>
                    </w:rPr>
                    <w:t xml:space="preserve"> mobilnosti</w:t>
                  </w:r>
                  <w:r w:rsidR="008E3B30" w:rsidRPr="008A2364">
                    <w:rPr>
                      <w:b w:val="0"/>
                      <w:sz w:val="18"/>
                      <w:szCs w:val="18"/>
                    </w:rPr>
                    <w:t xml:space="preserve"> (v EUR)</w:t>
                  </w:r>
                </w:p>
              </w:tc>
            </w:tr>
            <w:tr w:rsidR="00636EAB" w:rsidRPr="005B1B1A" w14:paraId="5F58782D" w14:textId="77777777" w:rsidTr="00505797">
              <w:trPr>
                <w:trHeight w:val="600"/>
              </w:trPr>
              <w:tc>
                <w:tcPr>
                  <w:tcW w:w="1560" w:type="dxa"/>
                  <w:shd w:val="clear" w:color="auto" w:fill="B4C6E7" w:themeFill="accent5" w:themeFillTint="66"/>
                  <w:noWrap/>
                  <w:vAlign w:val="center"/>
                </w:tcPr>
                <w:p w14:paraId="0606E535" w14:textId="77777777" w:rsidR="00636EAB" w:rsidRPr="008A2364" w:rsidRDefault="00636EAB" w:rsidP="005B1B1A">
                  <w:pPr>
                    <w:suppressAutoHyphens w:val="0"/>
                    <w:rPr>
                      <w:rFonts w:ascii="Arial" w:hAnsi="Arial" w:cs="Arial"/>
                      <w:color w:val="000000"/>
                      <w:sz w:val="18"/>
                      <w:szCs w:val="18"/>
                    </w:rPr>
                  </w:pPr>
                  <w:r w:rsidRPr="008A2364">
                    <w:rPr>
                      <w:rFonts w:ascii="Arial" w:hAnsi="Arial" w:cs="Arial"/>
                      <w:color w:val="000000"/>
                      <w:sz w:val="18"/>
                      <w:szCs w:val="18"/>
                    </w:rPr>
                    <w:t>Leto</w:t>
                  </w:r>
                </w:p>
              </w:tc>
              <w:tc>
                <w:tcPr>
                  <w:tcW w:w="1842" w:type="dxa"/>
                  <w:shd w:val="clear" w:color="auto" w:fill="B4C6E7" w:themeFill="accent5" w:themeFillTint="66"/>
                  <w:noWrap/>
                  <w:vAlign w:val="center"/>
                </w:tcPr>
                <w:p w14:paraId="5193DE92" w14:textId="77777777" w:rsidR="00636EAB" w:rsidRPr="008A2364" w:rsidRDefault="00636EAB" w:rsidP="00505797">
                  <w:pPr>
                    <w:suppressAutoHyphens w:val="0"/>
                    <w:jc w:val="center"/>
                    <w:rPr>
                      <w:rFonts w:ascii="Arial" w:hAnsi="Arial" w:cs="Arial"/>
                      <w:color w:val="000000"/>
                      <w:sz w:val="18"/>
                      <w:szCs w:val="18"/>
                    </w:rPr>
                  </w:pPr>
                  <w:r w:rsidRPr="008A2364">
                    <w:rPr>
                      <w:rFonts w:ascii="Arial" w:hAnsi="Arial" w:cs="Arial"/>
                      <w:color w:val="000000"/>
                      <w:sz w:val="18"/>
                      <w:szCs w:val="18"/>
                    </w:rPr>
                    <w:t>2019</w:t>
                  </w:r>
                </w:p>
              </w:tc>
              <w:tc>
                <w:tcPr>
                  <w:tcW w:w="1985" w:type="dxa"/>
                  <w:shd w:val="clear" w:color="auto" w:fill="B4C6E7" w:themeFill="accent5" w:themeFillTint="66"/>
                  <w:noWrap/>
                  <w:vAlign w:val="center"/>
                </w:tcPr>
                <w:p w14:paraId="30CE6959" w14:textId="77777777" w:rsidR="00636EAB" w:rsidRPr="008A2364" w:rsidRDefault="00636EAB" w:rsidP="00505797">
                  <w:pPr>
                    <w:suppressAutoHyphens w:val="0"/>
                    <w:jc w:val="center"/>
                    <w:rPr>
                      <w:rFonts w:ascii="Arial" w:hAnsi="Arial" w:cs="Arial"/>
                      <w:color w:val="000000"/>
                      <w:sz w:val="18"/>
                      <w:szCs w:val="18"/>
                    </w:rPr>
                  </w:pPr>
                  <w:r w:rsidRPr="008A2364">
                    <w:rPr>
                      <w:rFonts w:ascii="Arial" w:hAnsi="Arial" w:cs="Arial"/>
                      <w:color w:val="000000"/>
                      <w:sz w:val="18"/>
                      <w:szCs w:val="18"/>
                    </w:rPr>
                    <w:t>2020</w:t>
                  </w:r>
                </w:p>
              </w:tc>
              <w:tc>
                <w:tcPr>
                  <w:tcW w:w="3678" w:type="dxa"/>
                  <w:vAlign w:val="center"/>
                </w:tcPr>
                <w:p w14:paraId="79AC3ACB" w14:textId="77777777" w:rsidR="00636EAB" w:rsidRPr="008A2364" w:rsidRDefault="00636EAB" w:rsidP="005B1B1A">
                  <w:pPr>
                    <w:suppressAutoHyphens w:val="0"/>
                    <w:rPr>
                      <w:rFonts w:ascii="Arial" w:hAnsi="Arial" w:cs="Arial"/>
                      <w:color w:val="000000"/>
                      <w:sz w:val="18"/>
                      <w:szCs w:val="18"/>
                    </w:rPr>
                  </w:pPr>
                </w:p>
              </w:tc>
            </w:tr>
            <w:tr w:rsidR="00CF5341" w:rsidRPr="005B1B1A" w14:paraId="337091EA" w14:textId="77777777" w:rsidTr="00505797">
              <w:trPr>
                <w:trHeight w:val="600"/>
              </w:trPr>
              <w:tc>
                <w:tcPr>
                  <w:tcW w:w="1560" w:type="dxa"/>
                  <w:noWrap/>
                  <w:vAlign w:val="bottom"/>
                </w:tcPr>
                <w:p w14:paraId="60074F0E" w14:textId="78F3F8F9" w:rsidR="00CF5341" w:rsidRPr="008A2364" w:rsidRDefault="00CF5341" w:rsidP="001B1CF2">
                  <w:pPr>
                    <w:suppressAutoHyphens w:val="0"/>
                    <w:rPr>
                      <w:rFonts w:ascii="Arial" w:hAnsi="Arial" w:cs="Arial"/>
                      <w:color w:val="000000"/>
                      <w:sz w:val="18"/>
                      <w:szCs w:val="18"/>
                      <w:lang w:eastAsia="sl-SI"/>
                    </w:rPr>
                  </w:pPr>
                  <w:r w:rsidRPr="008A2364">
                    <w:rPr>
                      <w:rFonts w:ascii="Arial" w:hAnsi="Arial" w:cs="Arial"/>
                      <w:color w:val="000000"/>
                      <w:sz w:val="18"/>
                      <w:szCs w:val="18"/>
                    </w:rPr>
                    <w:t xml:space="preserve">SKUPAJ </w:t>
                  </w:r>
                  <w:r w:rsidR="007A7905">
                    <w:rPr>
                      <w:rFonts w:ascii="Arial" w:hAnsi="Arial" w:cs="Arial"/>
                      <w:color w:val="000000"/>
                      <w:sz w:val="18"/>
                      <w:szCs w:val="18"/>
                    </w:rPr>
                    <w:t>VS</w:t>
                  </w:r>
                  <w:r w:rsidRPr="008A2364">
                    <w:rPr>
                      <w:rFonts w:ascii="Arial" w:hAnsi="Arial" w:cs="Arial"/>
                      <w:color w:val="000000"/>
                      <w:sz w:val="18"/>
                      <w:szCs w:val="18"/>
                    </w:rPr>
                    <w:t>E</w:t>
                  </w:r>
                </w:p>
              </w:tc>
              <w:tc>
                <w:tcPr>
                  <w:tcW w:w="1842" w:type="dxa"/>
                  <w:noWrap/>
                  <w:vAlign w:val="bottom"/>
                </w:tcPr>
                <w:p w14:paraId="1370BDD5" w14:textId="0C13AC4C" w:rsidR="00CF5341" w:rsidRPr="008A2364" w:rsidRDefault="00CF5341" w:rsidP="00505797">
                  <w:pPr>
                    <w:suppressAutoHyphens w:val="0"/>
                    <w:jc w:val="center"/>
                    <w:rPr>
                      <w:rFonts w:ascii="Arial" w:hAnsi="Arial" w:cs="Arial"/>
                      <w:color w:val="000000"/>
                      <w:sz w:val="18"/>
                      <w:szCs w:val="18"/>
                      <w:lang w:eastAsia="sl-SI"/>
                    </w:rPr>
                  </w:pPr>
                  <w:r w:rsidRPr="008A2364">
                    <w:rPr>
                      <w:rFonts w:ascii="Arial" w:hAnsi="Arial" w:cs="Arial"/>
                      <w:color w:val="000000"/>
                      <w:sz w:val="18"/>
                      <w:szCs w:val="18"/>
                    </w:rPr>
                    <w:t xml:space="preserve">                  29.145.000,00   </w:t>
                  </w:r>
                </w:p>
              </w:tc>
              <w:tc>
                <w:tcPr>
                  <w:tcW w:w="1985" w:type="dxa"/>
                  <w:noWrap/>
                  <w:vAlign w:val="bottom"/>
                </w:tcPr>
                <w:p w14:paraId="672F3D83" w14:textId="69C5A5D1" w:rsidR="00CF5341" w:rsidRPr="008A2364" w:rsidRDefault="00CF5341" w:rsidP="00505797">
                  <w:pPr>
                    <w:suppressAutoHyphens w:val="0"/>
                    <w:jc w:val="center"/>
                    <w:rPr>
                      <w:rFonts w:ascii="Arial" w:hAnsi="Arial" w:cs="Arial"/>
                      <w:color w:val="000000"/>
                      <w:sz w:val="18"/>
                      <w:szCs w:val="18"/>
                      <w:lang w:eastAsia="sl-SI"/>
                    </w:rPr>
                  </w:pPr>
                  <w:r w:rsidRPr="008A2364">
                    <w:rPr>
                      <w:rFonts w:ascii="Arial" w:hAnsi="Arial" w:cs="Arial"/>
                      <w:color w:val="000000"/>
                      <w:sz w:val="18"/>
                      <w:szCs w:val="18"/>
                    </w:rPr>
                    <w:t xml:space="preserve">            39.255.000,00   </w:t>
                  </w:r>
                </w:p>
              </w:tc>
              <w:tc>
                <w:tcPr>
                  <w:tcW w:w="3678" w:type="dxa"/>
                  <w:vAlign w:val="center"/>
                </w:tcPr>
                <w:p w14:paraId="1A57C014" w14:textId="77777777" w:rsidR="00CF5341" w:rsidRPr="008A2364" w:rsidRDefault="00CF5341" w:rsidP="005B1B1A">
                  <w:pPr>
                    <w:suppressAutoHyphens w:val="0"/>
                    <w:rPr>
                      <w:rFonts w:ascii="Arial" w:hAnsi="Arial" w:cs="Arial"/>
                      <w:color w:val="000000"/>
                      <w:sz w:val="18"/>
                      <w:szCs w:val="18"/>
                      <w:lang w:eastAsia="sl-SI"/>
                    </w:rPr>
                  </w:pPr>
                  <w:r w:rsidRPr="008A2364">
                    <w:rPr>
                      <w:rFonts w:ascii="Arial" w:hAnsi="Arial" w:cs="Arial"/>
                      <w:color w:val="000000"/>
                      <w:sz w:val="18"/>
                      <w:szCs w:val="18"/>
                    </w:rPr>
                    <w:t>Zagotovljena sredstva v Proračunu RS, v namenskih skladih ali poslovnih načrtih</w:t>
                  </w:r>
                </w:p>
              </w:tc>
            </w:tr>
            <w:tr w:rsidR="00CF5341" w:rsidRPr="005B1B1A" w14:paraId="73C23C31" w14:textId="77777777" w:rsidTr="00505797">
              <w:trPr>
                <w:trHeight w:val="600"/>
              </w:trPr>
              <w:tc>
                <w:tcPr>
                  <w:tcW w:w="1560" w:type="dxa"/>
                  <w:noWrap/>
                  <w:vAlign w:val="bottom"/>
                </w:tcPr>
                <w:p w14:paraId="009A7EE6" w14:textId="66215FFC" w:rsidR="00CF5341" w:rsidRPr="008A2364" w:rsidRDefault="00CF5341" w:rsidP="00A41BFB">
                  <w:pPr>
                    <w:suppressAutoHyphens w:val="0"/>
                    <w:rPr>
                      <w:rFonts w:ascii="Arial" w:hAnsi="Arial" w:cs="Arial"/>
                      <w:color w:val="000000"/>
                      <w:sz w:val="18"/>
                      <w:szCs w:val="18"/>
                      <w:lang w:eastAsia="sl-SI"/>
                    </w:rPr>
                  </w:pPr>
                  <w:r w:rsidRPr="008A2364">
                    <w:rPr>
                      <w:rFonts w:ascii="Arial" w:hAnsi="Arial" w:cs="Arial"/>
                      <w:color w:val="000000"/>
                      <w:sz w:val="18"/>
                      <w:szCs w:val="18"/>
                    </w:rPr>
                    <w:t>SKUPAJ</w:t>
                  </w:r>
                </w:p>
              </w:tc>
              <w:tc>
                <w:tcPr>
                  <w:tcW w:w="1842" w:type="dxa"/>
                  <w:noWrap/>
                  <w:vAlign w:val="bottom"/>
                  <w:hideMark/>
                </w:tcPr>
                <w:p w14:paraId="4202FC92" w14:textId="5E772455" w:rsidR="00CF5341" w:rsidRPr="008A2364" w:rsidRDefault="00CF5341" w:rsidP="00505797">
                  <w:pPr>
                    <w:suppressAutoHyphens w:val="0"/>
                    <w:jc w:val="center"/>
                    <w:rPr>
                      <w:rFonts w:ascii="Arial" w:hAnsi="Arial" w:cs="Arial"/>
                      <w:color w:val="000000"/>
                      <w:sz w:val="18"/>
                      <w:szCs w:val="18"/>
                      <w:lang w:eastAsia="sl-SI"/>
                    </w:rPr>
                  </w:pPr>
                  <w:r w:rsidRPr="008A2364">
                    <w:rPr>
                      <w:rFonts w:ascii="Arial" w:hAnsi="Arial" w:cs="Arial"/>
                      <w:color w:val="000000"/>
                      <w:sz w:val="18"/>
                      <w:szCs w:val="18"/>
                    </w:rPr>
                    <w:t xml:space="preserve">                    2.117.500,00   </w:t>
                  </w:r>
                </w:p>
              </w:tc>
              <w:tc>
                <w:tcPr>
                  <w:tcW w:w="1985" w:type="dxa"/>
                  <w:noWrap/>
                  <w:vAlign w:val="bottom"/>
                  <w:hideMark/>
                </w:tcPr>
                <w:p w14:paraId="07A03DAB" w14:textId="1BB9AFD1" w:rsidR="00CF5341" w:rsidRPr="008A2364" w:rsidRDefault="00CF5341" w:rsidP="00505797">
                  <w:pPr>
                    <w:suppressAutoHyphens w:val="0"/>
                    <w:jc w:val="center"/>
                    <w:rPr>
                      <w:rFonts w:ascii="Arial" w:hAnsi="Arial" w:cs="Arial"/>
                      <w:color w:val="000000"/>
                      <w:sz w:val="18"/>
                      <w:szCs w:val="18"/>
                      <w:lang w:eastAsia="sl-SI"/>
                    </w:rPr>
                  </w:pPr>
                  <w:r w:rsidRPr="008A2364">
                    <w:rPr>
                      <w:rFonts w:ascii="Arial" w:hAnsi="Arial" w:cs="Arial"/>
                      <w:color w:val="000000"/>
                      <w:sz w:val="18"/>
                      <w:szCs w:val="18"/>
                    </w:rPr>
                    <w:t xml:space="preserve">              7.241.503,83   </w:t>
                  </w:r>
                </w:p>
              </w:tc>
              <w:tc>
                <w:tcPr>
                  <w:tcW w:w="3678" w:type="dxa"/>
                  <w:vAlign w:val="center"/>
                  <w:hideMark/>
                </w:tcPr>
                <w:p w14:paraId="296A72C8" w14:textId="349AF23F" w:rsidR="00CF5341" w:rsidRPr="008A2364" w:rsidRDefault="00CF5341" w:rsidP="00630AA5">
                  <w:pPr>
                    <w:suppressAutoHyphens w:val="0"/>
                    <w:rPr>
                      <w:rFonts w:ascii="Arial" w:hAnsi="Arial" w:cs="Arial"/>
                      <w:color w:val="000000"/>
                      <w:sz w:val="18"/>
                      <w:szCs w:val="18"/>
                      <w:lang w:eastAsia="sl-SI"/>
                    </w:rPr>
                  </w:pPr>
                  <w:r w:rsidRPr="008A2364">
                    <w:rPr>
                      <w:rFonts w:ascii="Arial" w:hAnsi="Arial" w:cs="Arial"/>
                      <w:color w:val="000000"/>
                      <w:sz w:val="18"/>
                      <w:szCs w:val="18"/>
                    </w:rPr>
                    <w:t xml:space="preserve">Sredstva, ki se ne financirajo iz Proračuna RS in ocena sredstev zaradi izpada prihodkov </w:t>
                  </w:r>
                </w:p>
              </w:tc>
            </w:tr>
            <w:tr w:rsidR="00CF5341" w:rsidRPr="005B1B1A" w14:paraId="5D33393F" w14:textId="77777777" w:rsidTr="00505797">
              <w:trPr>
                <w:trHeight w:val="300"/>
              </w:trPr>
              <w:tc>
                <w:tcPr>
                  <w:tcW w:w="1560" w:type="dxa"/>
                  <w:noWrap/>
                  <w:vAlign w:val="bottom"/>
                </w:tcPr>
                <w:p w14:paraId="7D8C2653" w14:textId="32C357C5" w:rsidR="00CF5341" w:rsidRPr="008A2364" w:rsidRDefault="00CF5341" w:rsidP="00CB765B">
                  <w:pPr>
                    <w:suppressAutoHyphens w:val="0"/>
                    <w:rPr>
                      <w:rFonts w:ascii="Arial" w:hAnsi="Arial" w:cs="Arial"/>
                      <w:color w:val="000000"/>
                      <w:sz w:val="18"/>
                      <w:szCs w:val="18"/>
                      <w:lang w:eastAsia="sl-SI"/>
                    </w:rPr>
                  </w:pPr>
                  <w:r w:rsidRPr="008A2364">
                    <w:rPr>
                      <w:rFonts w:ascii="Arial" w:hAnsi="Arial" w:cs="Arial"/>
                      <w:color w:val="000000"/>
                      <w:sz w:val="18"/>
                      <w:szCs w:val="18"/>
                    </w:rPr>
                    <w:t xml:space="preserve">SKUPAJ VSE EL. </w:t>
                  </w:r>
                  <w:r w:rsidR="00CB765B" w:rsidRPr="008A2364">
                    <w:rPr>
                      <w:rFonts w:ascii="Arial" w:hAnsi="Arial" w:cs="Arial"/>
                      <w:color w:val="000000"/>
                      <w:sz w:val="18"/>
                      <w:szCs w:val="18"/>
                    </w:rPr>
                    <w:t xml:space="preserve"> MOBILNOST</w:t>
                  </w:r>
                </w:p>
              </w:tc>
              <w:tc>
                <w:tcPr>
                  <w:tcW w:w="1842" w:type="dxa"/>
                  <w:noWrap/>
                  <w:vAlign w:val="bottom"/>
                  <w:hideMark/>
                </w:tcPr>
                <w:p w14:paraId="04A7282E" w14:textId="3D9A9DB9" w:rsidR="00CF5341" w:rsidRPr="008A2364" w:rsidRDefault="00CF5341" w:rsidP="00505797">
                  <w:pPr>
                    <w:suppressAutoHyphens w:val="0"/>
                    <w:jc w:val="center"/>
                    <w:rPr>
                      <w:rFonts w:ascii="Arial" w:hAnsi="Arial" w:cs="Arial"/>
                      <w:color w:val="000000"/>
                      <w:sz w:val="18"/>
                      <w:szCs w:val="18"/>
                      <w:lang w:eastAsia="sl-SI"/>
                    </w:rPr>
                  </w:pPr>
                  <w:r w:rsidRPr="008A2364">
                    <w:rPr>
                      <w:rFonts w:ascii="Arial" w:hAnsi="Arial" w:cs="Arial"/>
                      <w:color w:val="000000"/>
                      <w:sz w:val="18"/>
                      <w:szCs w:val="18"/>
                    </w:rPr>
                    <w:t xml:space="preserve">                  31.262.500,00   </w:t>
                  </w:r>
                </w:p>
              </w:tc>
              <w:tc>
                <w:tcPr>
                  <w:tcW w:w="1985" w:type="dxa"/>
                  <w:noWrap/>
                  <w:vAlign w:val="bottom"/>
                  <w:hideMark/>
                </w:tcPr>
                <w:p w14:paraId="1BBD2117" w14:textId="6FA18FE8" w:rsidR="00CF5341" w:rsidRPr="008A2364" w:rsidRDefault="00CF5341" w:rsidP="00505797">
                  <w:pPr>
                    <w:suppressAutoHyphens w:val="0"/>
                    <w:jc w:val="center"/>
                    <w:rPr>
                      <w:rFonts w:ascii="Arial" w:hAnsi="Arial" w:cs="Arial"/>
                      <w:color w:val="000000"/>
                      <w:sz w:val="18"/>
                      <w:szCs w:val="18"/>
                      <w:lang w:eastAsia="sl-SI"/>
                    </w:rPr>
                  </w:pPr>
                  <w:r w:rsidRPr="008A2364">
                    <w:rPr>
                      <w:rFonts w:ascii="Arial" w:hAnsi="Arial" w:cs="Arial"/>
                      <w:color w:val="000000"/>
                      <w:sz w:val="18"/>
                      <w:szCs w:val="18"/>
                    </w:rPr>
                    <w:t xml:space="preserve">            46.496.503,83   </w:t>
                  </w:r>
                </w:p>
              </w:tc>
              <w:tc>
                <w:tcPr>
                  <w:tcW w:w="3678" w:type="dxa"/>
                  <w:noWrap/>
                  <w:vAlign w:val="center"/>
                  <w:hideMark/>
                </w:tcPr>
                <w:p w14:paraId="41AB218F" w14:textId="77777777" w:rsidR="00CF5341" w:rsidRPr="008A2364" w:rsidRDefault="00CF5341" w:rsidP="005B1B1A">
                  <w:pPr>
                    <w:suppressAutoHyphens w:val="0"/>
                    <w:rPr>
                      <w:rFonts w:ascii="Arial" w:hAnsi="Arial" w:cs="Arial"/>
                      <w:color w:val="000000"/>
                      <w:sz w:val="18"/>
                      <w:szCs w:val="18"/>
                      <w:lang w:eastAsia="sl-SI"/>
                    </w:rPr>
                  </w:pPr>
                  <w:r w:rsidRPr="008A2364">
                    <w:rPr>
                      <w:rFonts w:ascii="Arial" w:hAnsi="Arial" w:cs="Arial"/>
                      <w:color w:val="000000"/>
                      <w:sz w:val="18"/>
                      <w:szCs w:val="18"/>
                    </w:rPr>
                    <w:t>Ocena vseh finančnih posledic izvedenih ukrepov v posameznih letih</w:t>
                  </w:r>
                </w:p>
              </w:tc>
            </w:tr>
          </w:tbl>
          <w:p w14:paraId="11281EF9" w14:textId="77777777" w:rsidR="005B1B1A" w:rsidRDefault="005B1B1A" w:rsidP="00255AE9">
            <w:pPr>
              <w:pStyle w:val="Oddelek"/>
              <w:widowControl w:val="0"/>
              <w:numPr>
                <w:ilvl w:val="0"/>
                <w:numId w:val="0"/>
              </w:numPr>
              <w:spacing w:before="40" w:afterLines="40" w:after="96" w:line="260" w:lineRule="atLeast"/>
              <w:jc w:val="both"/>
              <w:rPr>
                <w:b w:val="0"/>
                <w:sz w:val="20"/>
                <w:szCs w:val="20"/>
              </w:rPr>
            </w:pPr>
          </w:p>
          <w:p w14:paraId="64812451" w14:textId="1D84CC28" w:rsidR="00A37B44" w:rsidRDefault="00EC5783" w:rsidP="00255AE9">
            <w:pPr>
              <w:pStyle w:val="Oddelek"/>
              <w:widowControl w:val="0"/>
              <w:numPr>
                <w:ilvl w:val="0"/>
                <w:numId w:val="0"/>
              </w:numPr>
              <w:spacing w:before="40" w:afterLines="40" w:after="96" w:line="260" w:lineRule="atLeast"/>
              <w:jc w:val="both"/>
              <w:rPr>
                <w:b w:val="0"/>
                <w:sz w:val="20"/>
                <w:szCs w:val="20"/>
              </w:rPr>
            </w:pPr>
            <w:r>
              <w:rPr>
                <w:b w:val="0"/>
                <w:sz w:val="20"/>
                <w:szCs w:val="20"/>
              </w:rPr>
              <w:t>Za vse vrste plinov, ki se kot alternativna goriva uporabljajo v prometne</w:t>
            </w:r>
            <w:r w:rsidR="00D30461">
              <w:rPr>
                <w:b w:val="0"/>
                <w:sz w:val="20"/>
                <w:szCs w:val="20"/>
              </w:rPr>
              <w:t>m</w:t>
            </w:r>
            <w:r>
              <w:rPr>
                <w:b w:val="0"/>
                <w:sz w:val="20"/>
                <w:szCs w:val="20"/>
              </w:rPr>
              <w:t xml:space="preserve"> sektorju</w:t>
            </w:r>
            <w:r w:rsidR="00D30461">
              <w:rPr>
                <w:b w:val="0"/>
                <w:sz w:val="20"/>
                <w:szCs w:val="20"/>
              </w:rPr>
              <w:t>,</w:t>
            </w:r>
            <w:r>
              <w:rPr>
                <w:b w:val="0"/>
                <w:sz w:val="20"/>
                <w:szCs w:val="20"/>
              </w:rPr>
              <w:t xml:space="preserve"> so predvideni ukrepi za stisnjen in utekočinjen zemeljski plin</w:t>
            </w:r>
            <w:r w:rsidR="00D30461">
              <w:rPr>
                <w:b w:val="0"/>
                <w:sz w:val="20"/>
                <w:szCs w:val="20"/>
              </w:rPr>
              <w:t>,</w:t>
            </w:r>
            <w:r>
              <w:rPr>
                <w:b w:val="0"/>
                <w:sz w:val="20"/>
                <w:szCs w:val="20"/>
              </w:rPr>
              <w:t xml:space="preserve"> s katerim bi omogočili prehod na alternativna goriva predvsem mestnim avtobusom in težkim tovornim vozilom. Za omogočanje in spodbujanje ukrepov za pline je zagotovljenih v letu 2019 </w:t>
            </w:r>
            <w:r w:rsidR="002D394B">
              <w:rPr>
                <w:b w:val="0"/>
                <w:sz w:val="20"/>
                <w:szCs w:val="20"/>
              </w:rPr>
              <w:t>2</w:t>
            </w:r>
            <w:r>
              <w:rPr>
                <w:b w:val="0"/>
                <w:sz w:val="20"/>
                <w:szCs w:val="20"/>
              </w:rPr>
              <w:t>,</w:t>
            </w:r>
            <w:r w:rsidR="00861661">
              <w:rPr>
                <w:b w:val="0"/>
                <w:sz w:val="20"/>
                <w:szCs w:val="20"/>
              </w:rPr>
              <w:t xml:space="preserve">7 </w:t>
            </w:r>
            <w:r>
              <w:rPr>
                <w:b w:val="0"/>
                <w:sz w:val="20"/>
                <w:szCs w:val="20"/>
              </w:rPr>
              <w:t>mi</w:t>
            </w:r>
            <w:r w:rsidR="008E3B30">
              <w:rPr>
                <w:b w:val="0"/>
                <w:sz w:val="20"/>
                <w:szCs w:val="20"/>
              </w:rPr>
              <w:t>lijonov</w:t>
            </w:r>
            <w:r>
              <w:rPr>
                <w:b w:val="0"/>
                <w:sz w:val="20"/>
                <w:szCs w:val="20"/>
              </w:rPr>
              <w:t xml:space="preserve"> evrov in v letu 2020 </w:t>
            </w:r>
            <w:r w:rsidR="002D394B">
              <w:rPr>
                <w:b w:val="0"/>
                <w:sz w:val="20"/>
                <w:szCs w:val="20"/>
              </w:rPr>
              <w:t>4</w:t>
            </w:r>
            <w:r>
              <w:rPr>
                <w:b w:val="0"/>
                <w:sz w:val="20"/>
                <w:szCs w:val="20"/>
              </w:rPr>
              <w:t>,</w:t>
            </w:r>
            <w:r w:rsidR="00630AA5">
              <w:rPr>
                <w:b w:val="0"/>
                <w:sz w:val="20"/>
                <w:szCs w:val="20"/>
              </w:rPr>
              <w:t xml:space="preserve">8 </w:t>
            </w:r>
            <w:r>
              <w:rPr>
                <w:b w:val="0"/>
                <w:sz w:val="20"/>
                <w:szCs w:val="20"/>
              </w:rPr>
              <w:t>mi</w:t>
            </w:r>
            <w:r w:rsidR="008E3B30">
              <w:rPr>
                <w:b w:val="0"/>
                <w:sz w:val="20"/>
                <w:szCs w:val="20"/>
              </w:rPr>
              <w:t>lijonov</w:t>
            </w:r>
            <w:r>
              <w:rPr>
                <w:b w:val="0"/>
                <w:sz w:val="20"/>
                <w:szCs w:val="20"/>
              </w:rPr>
              <w:t xml:space="preserve"> evrov</w:t>
            </w:r>
            <w:r w:rsidR="00A37B44">
              <w:rPr>
                <w:b w:val="0"/>
                <w:sz w:val="20"/>
                <w:szCs w:val="20"/>
              </w:rPr>
              <w:t>.</w:t>
            </w:r>
            <w:r>
              <w:rPr>
                <w:b w:val="0"/>
                <w:sz w:val="20"/>
                <w:szCs w:val="20"/>
              </w:rPr>
              <w:t xml:space="preserve"> </w:t>
            </w:r>
            <w:r w:rsidR="00DB0394">
              <w:rPr>
                <w:b w:val="0"/>
                <w:sz w:val="20"/>
                <w:szCs w:val="20"/>
              </w:rPr>
              <w:t xml:space="preserve">Večina sredstev je namenjena ukrepom za </w:t>
            </w:r>
            <w:r w:rsidR="002D394B">
              <w:rPr>
                <w:b w:val="0"/>
                <w:sz w:val="20"/>
                <w:szCs w:val="20"/>
              </w:rPr>
              <w:t xml:space="preserve">sofinanciranje nabave novih vozil na utekočinjen zemeljski plin in sofinanciranje predelave vozil na </w:t>
            </w:r>
            <w:proofErr w:type="spellStart"/>
            <w:r w:rsidR="002D394B">
              <w:rPr>
                <w:b w:val="0"/>
                <w:sz w:val="20"/>
                <w:szCs w:val="20"/>
              </w:rPr>
              <w:t>dvogorivne</w:t>
            </w:r>
            <w:proofErr w:type="spellEnd"/>
            <w:r w:rsidR="002D394B">
              <w:rPr>
                <w:b w:val="0"/>
                <w:sz w:val="20"/>
                <w:szCs w:val="20"/>
              </w:rPr>
              <w:t xml:space="preserve"> sisteme, da se spodbudi prehod na alternativna goriva tudi pri težkih tovornih vozilih. </w:t>
            </w:r>
            <w:r w:rsidR="000B2068">
              <w:rPr>
                <w:b w:val="0"/>
                <w:sz w:val="20"/>
                <w:szCs w:val="20"/>
              </w:rPr>
              <w:t xml:space="preserve">Ministrstvo za infrastrukturo ima za te ukrepe zagotovljena sredstva na proračunski postavki </w:t>
            </w:r>
            <w:r w:rsidR="000B2068" w:rsidRPr="000B2068">
              <w:rPr>
                <w:b w:val="0"/>
                <w:sz w:val="20"/>
                <w:szCs w:val="20"/>
              </w:rPr>
              <w:t>765210 Razvoj in urejanje prometa</w:t>
            </w:r>
            <w:r w:rsidR="000B2068">
              <w:rPr>
                <w:b w:val="0"/>
                <w:sz w:val="20"/>
                <w:szCs w:val="20"/>
              </w:rPr>
              <w:t xml:space="preserve">. </w:t>
            </w:r>
            <w:r w:rsidR="002D394B">
              <w:rPr>
                <w:b w:val="0"/>
                <w:sz w:val="20"/>
                <w:szCs w:val="20"/>
              </w:rPr>
              <w:t xml:space="preserve">Poleg tega so predvidena sredstva za sofinanciranje </w:t>
            </w:r>
            <w:r w:rsidR="00DB0394">
              <w:rPr>
                <w:b w:val="0"/>
                <w:sz w:val="20"/>
                <w:szCs w:val="20"/>
              </w:rPr>
              <w:t>postavitv</w:t>
            </w:r>
            <w:r w:rsidR="002D394B">
              <w:rPr>
                <w:b w:val="0"/>
                <w:sz w:val="20"/>
                <w:szCs w:val="20"/>
              </w:rPr>
              <w:t>e</w:t>
            </w:r>
            <w:r w:rsidR="00DB0394">
              <w:rPr>
                <w:b w:val="0"/>
                <w:sz w:val="20"/>
                <w:szCs w:val="20"/>
              </w:rPr>
              <w:t xml:space="preserve"> polnilne infrastrukture za stisnjen zemeljski plin, ker mora Slovenija do leta 2020 zagotoviti polnilno infrastrukturo v vseh statističnih regijah</w:t>
            </w:r>
            <w:r w:rsidR="002D394B">
              <w:rPr>
                <w:b w:val="0"/>
                <w:sz w:val="20"/>
                <w:szCs w:val="20"/>
              </w:rPr>
              <w:t>.</w:t>
            </w:r>
          </w:p>
          <w:tbl>
            <w:tblPr>
              <w:tblStyle w:val="Tabelamrea"/>
              <w:tblW w:w="9065" w:type="dxa"/>
              <w:tblLook w:val="04A0" w:firstRow="1" w:lastRow="0" w:firstColumn="1" w:lastColumn="0" w:noHBand="0" w:noVBand="1"/>
            </w:tblPr>
            <w:tblGrid>
              <w:gridCol w:w="1559"/>
              <w:gridCol w:w="1843"/>
              <w:gridCol w:w="1985"/>
              <w:gridCol w:w="3678"/>
            </w:tblGrid>
            <w:tr w:rsidR="005D1946" w:rsidRPr="008A2364" w14:paraId="4A1EBC6C" w14:textId="77777777" w:rsidTr="00505797">
              <w:tc>
                <w:tcPr>
                  <w:tcW w:w="9065" w:type="dxa"/>
                  <w:gridSpan w:val="4"/>
                  <w:shd w:val="clear" w:color="auto" w:fill="B4C6E7" w:themeFill="accent5" w:themeFillTint="66"/>
                </w:tcPr>
                <w:p w14:paraId="495B2EC9" w14:textId="77777777" w:rsidR="005D1946" w:rsidRPr="008A2364" w:rsidRDefault="005D1946" w:rsidP="005D1946">
                  <w:pPr>
                    <w:pStyle w:val="Oddelek"/>
                    <w:widowControl w:val="0"/>
                    <w:numPr>
                      <w:ilvl w:val="0"/>
                      <w:numId w:val="0"/>
                    </w:numPr>
                    <w:spacing w:before="40" w:afterLines="40" w:after="96" w:line="260" w:lineRule="atLeast"/>
                    <w:jc w:val="both"/>
                    <w:rPr>
                      <w:b w:val="0"/>
                      <w:sz w:val="18"/>
                      <w:szCs w:val="18"/>
                    </w:rPr>
                  </w:pPr>
                  <w:r w:rsidRPr="008A2364">
                    <w:rPr>
                      <w:b w:val="0"/>
                      <w:sz w:val="18"/>
                      <w:szCs w:val="18"/>
                    </w:rPr>
                    <w:t>Ukrepi na področju uvajanja plinov kot alternativnih goriv</w:t>
                  </w:r>
                  <w:r w:rsidR="008E3B30" w:rsidRPr="008A2364">
                    <w:rPr>
                      <w:b w:val="0"/>
                      <w:sz w:val="18"/>
                      <w:szCs w:val="18"/>
                    </w:rPr>
                    <w:t xml:space="preserve"> (v EUR)</w:t>
                  </w:r>
                </w:p>
              </w:tc>
            </w:tr>
            <w:tr w:rsidR="00636EAB" w:rsidRPr="008A2364" w14:paraId="6A02B4BD" w14:textId="77777777" w:rsidTr="00505797">
              <w:trPr>
                <w:trHeight w:val="272"/>
              </w:trPr>
              <w:tc>
                <w:tcPr>
                  <w:tcW w:w="1559" w:type="dxa"/>
                  <w:shd w:val="clear" w:color="auto" w:fill="B4C6E7" w:themeFill="accent5" w:themeFillTint="66"/>
                  <w:noWrap/>
                </w:tcPr>
                <w:p w14:paraId="182F4830" w14:textId="77777777" w:rsidR="00636EAB" w:rsidRPr="008A2364" w:rsidRDefault="00636EAB" w:rsidP="006E4F1C">
                  <w:pPr>
                    <w:suppressAutoHyphens w:val="0"/>
                    <w:rPr>
                      <w:rFonts w:ascii="Arial" w:hAnsi="Arial" w:cs="Arial"/>
                      <w:color w:val="000000"/>
                      <w:sz w:val="18"/>
                      <w:szCs w:val="18"/>
                    </w:rPr>
                  </w:pPr>
                  <w:r w:rsidRPr="008A2364">
                    <w:rPr>
                      <w:rFonts w:ascii="Arial" w:hAnsi="Arial" w:cs="Arial"/>
                      <w:color w:val="000000"/>
                      <w:sz w:val="18"/>
                      <w:szCs w:val="18"/>
                    </w:rPr>
                    <w:t>Leto</w:t>
                  </w:r>
                </w:p>
              </w:tc>
              <w:tc>
                <w:tcPr>
                  <w:tcW w:w="1843" w:type="dxa"/>
                  <w:shd w:val="clear" w:color="auto" w:fill="B4C6E7" w:themeFill="accent5" w:themeFillTint="66"/>
                  <w:noWrap/>
                </w:tcPr>
                <w:p w14:paraId="68F121D1" w14:textId="77777777" w:rsidR="00636EAB" w:rsidRPr="008A2364" w:rsidRDefault="00636EAB" w:rsidP="002026B7">
                  <w:pPr>
                    <w:suppressAutoHyphens w:val="0"/>
                    <w:jc w:val="center"/>
                    <w:rPr>
                      <w:rFonts w:ascii="Arial" w:hAnsi="Arial" w:cs="Arial"/>
                      <w:color w:val="000000"/>
                      <w:sz w:val="18"/>
                      <w:szCs w:val="18"/>
                    </w:rPr>
                  </w:pPr>
                  <w:r w:rsidRPr="008A2364">
                    <w:rPr>
                      <w:rFonts w:ascii="Arial" w:hAnsi="Arial" w:cs="Arial"/>
                      <w:color w:val="000000"/>
                      <w:sz w:val="18"/>
                      <w:szCs w:val="18"/>
                    </w:rPr>
                    <w:t>2019</w:t>
                  </w:r>
                </w:p>
              </w:tc>
              <w:tc>
                <w:tcPr>
                  <w:tcW w:w="1985" w:type="dxa"/>
                  <w:shd w:val="clear" w:color="auto" w:fill="B4C6E7" w:themeFill="accent5" w:themeFillTint="66"/>
                  <w:noWrap/>
                </w:tcPr>
                <w:p w14:paraId="05AB3A9A" w14:textId="77777777" w:rsidR="00636EAB" w:rsidRPr="008A2364" w:rsidRDefault="00636EAB" w:rsidP="002026B7">
                  <w:pPr>
                    <w:suppressAutoHyphens w:val="0"/>
                    <w:jc w:val="center"/>
                    <w:rPr>
                      <w:rFonts w:ascii="Arial" w:hAnsi="Arial" w:cs="Arial"/>
                      <w:color w:val="000000"/>
                      <w:sz w:val="18"/>
                      <w:szCs w:val="18"/>
                    </w:rPr>
                  </w:pPr>
                  <w:r w:rsidRPr="008A2364">
                    <w:rPr>
                      <w:rFonts w:ascii="Arial" w:hAnsi="Arial" w:cs="Arial"/>
                      <w:color w:val="000000"/>
                      <w:sz w:val="18"/>
                      <w:szCs w:val="18"/>
                    </w:rPr>
                    <w:t>2020</w:t>
                  </w:r>
                </w:p>
              </w:tc>
              <w:tc>
                <w:tcPr>
                  <w:tcW w:w="3678" w:type="dxa"/>
                  <w:shd w:val="clear" w:color="auto" w:fill="B4C6E7" w:themeFill="accent5" w:themeFillTint="66"/>
                </w:tcPr>
                <w:p w14:paraId="14F3DA19" w14:textId="77777777" w:rsidR="00636EAB" w:rsidRPr="008A2364" w:rsidRDefault="00636EAB" w:rsidP="006E4F1C">
                  <w:pPr>
                    <w:suppressAutoHyphens w:val="0"/>
                    <w:rPr>
                      <w:rFonts w:ascii="Arial" w:hAnsi="Arial" w:cs="Arial"/>
                      <w:color w:val="000000"/>
                      <w:sz w:val="18"/>
                      <w:szCs w:val="18"/>
                    </w:rPr>
                  </w:pPr>
                </w:p>
              </w:tc>
            </w:tr>
            <w:tr w:rsidR="00CB765B" w:rsidRPr="008A2364" w14:paraId="3121C52F" w14:textId="77777777" w:rsidTr="00505797">
              <w:trPr>
                <w:trHeight w:val="600"/>
              </w:trPr>
              <w:tc>
                <w:tcPr>
                  <w:tcW w:w="1559" w:type="dxa"/>
                  <w:noWrap/>
                </w:tcPr>
                <w:p w14:paraId="1B674B4E" w14:textId="77777777" w:rsidR="008A2364" w:rsidRDefault="008A2364" w:rsidP="006E4F1C">
                  <w:pPr>
                    <w:suppressAutoHyphens w:val="0"/>
                    <w:rPr>
                      <w:rFonts w:ascii="Arial" w:hAnsi="Arial" w:cs="Arial"/>
                      <w:color w:val="000000"/>
                      <w:sz w:val="18"/>
                      <w:szCs w:val="18"/>
                    </w:rPr>
                  </w:pPr>
                </w:p>
                <w:p w14:paraId="04DCB7B1" w14:textId="77777777" w:rsidR="00CB765B" w:rsidRPr="008A2364" w:rsidRDefault="00CB765B" w:rsidP="006E4F1C">
                  <w:pPr>
                    <w:suppressAutoHyphens w:val="0"/>
                    <w:rPr>
                      <w:rFonts w:ascii="Arial" w:hAnsi="Arial" w:cs="Arial"/>
                      <w:color w:val="000000"/>
                      <w:sz w:val="18"/>
                      <w:szCs w:val="18"/>
                      <w:lang w:eastAsia="sl-SI"/>
                    </w:rPr>
                  </w:pPr>
                  <w:r w:rsidRPr="008A2364">
                    <w:rPr>
                      <w:rFonts w:ascii="Arial" w:hAnsi="Arial" w:cs="Arial"/>
                      <w:color w:val="000000"/>
                      <w:sz w:val="18"/>
                      <w:szCs w:val="18"/>
                    </w:rPr>
                    <w:t>SKUPAJ VSI</w:t>
                  </w:r>
                </w:p>
              </w:tc>
              <w:tc>
                <w:tcPr>
                  <w:tcW w:w="1843" w:type="dxa"/>
                  <w:noWrap/>
                </w:tcPr>
                <w:p w14:paraId="75406824" w14:textId="77777777" w:rsidR="002026B7" w:rsidRDefault="002026B7" w:rsidP="002026B7">
                  <w:pPr>
                    <w:suppressAutoHyphens w:val="0"/>
                    <w:jc w:val="right"/>
                    <w:rPr>
                      <w:rFonts w:ascii="Arial" w:hAnsi="Arial" w:cs="Arial"/>
                      <w:color w:val="000000"/>
                      <w:sz w:val="18"/>
                      <w:szCs w:val="18"/>
                    </w:rPr>
                  </w:pPr>
                </w:p>
                <w:p w14:paraId="227FAC89" w14:textId="483D8668" w:rsidR="00CB765B" w:rsidRPr="008A2364" w:rsidRDefault="00CB765B" w:rsidP="002026B7">
                  <w:pPr>
                    <w:suppressAutoHyphens w:val="0"/>
                    <w:jc w:val="right"/>
                    <w:rPr>
                      <w:rFonts w:ascii="Arial" w:hAnsi="Arial" w:cs="Arial"/>
                      <w:color w:val="000000"/>
                      <w:sz w:val="18"/>
                      <w:szCs w:val="18"/>
                      <w:lang w:eastAsia="sl-SI"/>
                    </w:rPr>
                  </w:pPr>
                  <w:r w:rsidRPr="008A2364">
                    <w:rPr>
                      <w:rFonts w:ascii="Arial" w:hAnsi="Arial" w:cs="Arial"/>
                      <w:color w:val="000000"/>
                      <w:sz w:val="18"/>
                      <w:szCs w:val="18"/>
                    </w:rPr>
                    <w:t xml:space="preserve">2.680.000,00   </w:t>
                  </w:r>
                </w:p>
              </w:tc>
              <w:tc>
                <w:tcPr>
                  <w:tcW w:w="1985" w:type="dxa"/>
                  <w:noWrap/>
                </w:tcPr>
                <w:p w14:paraId="634ECA3F" w14:textId="77777777" w:rsidR="008A2364" w:rsidRDefault="00CB765B" w:rsidP="002026B7">
                  <w:pPr>
                    <w:suppressAutoHyphens w:val="0"/>
                    <w:jc w:val="right"/>
                    <w:rPr>
                      <w:rFonts w:ascii="Arial" w:hAnsi="Arial" w:cs="Arial"/>
                      <w:color w:val="000000"/>
                      <w:sz w:val="18"/>
                      <w:szCs w:val="18"/>
                    </w:rPr>
                  </w:pPr>
                  <w:r w:rsidRPr="008A2364">
                    <w:rPr>
                      <w:rFonts w:ascii="Arial" w:hAnsi="Arial" w:cs="Arial"/>
                      <w:color w:val="000000"/>
                      <w:sz w:val="18"/>
                      <w:szCs w:val="18"/>
                    </w:rPr>
                    <w:t xml:space="preserve">            </w:t>
                  </w:r>
                </w:p>
                <w:p w14:paraId="170AD632" w14:textId="60B1ADD9" w:rsidR="00CB765B" w:rsidRPr="008A2364" w:rsidRDefault="00CB765B" w:rsidP="002026B7">
                  <w:pPr>
                    <w:suppressAutoHyphens w:val="0"/>
                    <w:jc w:val="right"/>
                    <w:rPr>
                      <w:rFonts w:ascii="Arial" w:hAnsi="Arial" w:cs="Arial"/>
                      <w:color w:val="000000"/>
                      <w:sz w:val="18"/>
                      <w:szCs w:val="18"/>
                      <w:lang w:eastAsia="sl-SI"/>
                    </w:rPr>
                  </w:pPr>
                  <w:r w:rsidRPr="008A2364">
                    <w:rPr>
                      <w:rFonts w:ascii="Arial" w:hAnsi="Arial" w:cs="Arial"/>
                      <w:color w:val="000000"/>
                      <w:sz w:val="18"/>
                      <w:szCs w:val="18"/>
                    </w:rPr>
                    <w:t xml:space="preserve"> 4.780.000,00   </w:t>
                  </w:r>
                </w:p>
              </w:tc>
              <w:tc>
                <w:tcPr>
                  <w:tcW w:w="3678" w:type="dxa"/>
                </w:tcPr>
                <w:p w14:paraId="15C7E826" w14:textId="77777777" w:rsidR="00CB765B" w:rsidRPr="008A2364" w:rsidRDefault="00CB765B" w:rsidP="00D85B74">
                  <w:pPr>
                    <w:suppressAutoHyphens w:val="0"/>
                    <w:rPr>
                      <w:rFonts w:ascii="Arial" w:hAnsi="Arial" w:cs="Arial"/>
                      <w:color w:val="000000"/>
                      <w:sz w:val="18"/>
                      <w:szCs w:val="18"/>
                      <w:lang w:eastAsia="sl-SI"/>
                    </w:rPr>
                  </w:pPr>
                  <w:r w:rsidRPr="008A2364">
                    <w:rPr>
                      <w:rFonts w:ascii="Arial" w:hAnsi="Arial" w:cs="Arial"/>
                      <w:color w:val="000000"/>
                      <w:sz w:val="18"/>
                      <w:szCs w:val="18"/>
                      <w:lang w:eastAsia="sl-SI"/>
                    </w:rPr>
                    <w:t>Zagotovljena sredstva v Proračunu RS, v namenskih skladih ali poslovnih načrtih</w:t>
                  </w:r>
                </w:p>
              </w:tc>
            </w:tr>
            <w:tr w:rsidR="00CB765B" w:rsidRPr="008A2364" w14:paraId="5B279FD0" w14:textId="77777777" w:rsidTr="00505797">
              <w:trPr>
                <w:trHeight w:val="600"/>
              </w:trPr>
              <w:tc>
                <w:tcPr>
                  <w:tcW w:w="1559" w:type="dxa"/>
                  <w:noWrap/>
                </w:tcPr>
                <w:p w14:paraId="64C0B145" w14:textId="77777777" w:rsidR="008A2364" w:rsidRDefault="008A2364" w:rsidP="006E4F1C">
                  <w:pPr>
                    <w:suppressAutoHyphens w:val="0"/>
                    <w:rPr>
                      <w:rFonts w:ascii="Arial" w:hAnsi="Arial" w:cs="Arial"/>
                      <w:color w:val="000000"/>
                      <w:sz w:val="18"/>
                      <w:szCs w:val="18"/>
                    </w:rPr>
                  </w:pPr>
                </w:p>
                <w:p w14:paraId="77966B92" w14:textId="77777777" w:rsidR="00CB765B" w:rsidRPr="008A2364" w:rsidRDefault="00CB765B" w:rsidP="006E4F1C">
                  <w:pPr>
                    <w:suppressAutoHyphens w:val="0"/>
                    <w:rPr>
                      <w:rFonts w:ascii="Arial" w:hAnsi="Arial" w:cs="Arial"/>
                      <w:color w:val="000000"/>
                      <w:sz w:val="18"/>
                      <w:szCs w:val="18"/>
                      <w:lang w:eastAsia="sl-SI"/>
                    </w:rPr>
                  </w:pPr>
                  <w:r w:rsidRPr="008A2364">
                    <w:rPr>
                      <w:rFonts w:ascii="Arial" w:hAnsi="Arial" w:cs="Arial"/>
                      <w:color w:val="000000"/>
                      <w:sz w:val="18"/>
                      <w:szCs w:val="18"/>
                    </w:rPr>
                    <w:t>SKUPAJ VSI</w:t>
                  </w:r>
                </w:p>
              </w:tc>
              <w:tc>
                <w:tcPr>
                  <w:tcW w:w="1843" w:type="dxa"/>
                  <w:noWrap/>
                  <w:vAlign w:val="bottom"/>
                  <w:hideMark/>
                </w:tcPr>
                <w:p w14:paraId="60A9B586" w14:textId="14019DED" w:rsidR="00CB765B" w:rsidRPr="008A2364" w:rsidRDefault="00CB765B" w:rsidP="002026B7">
                  <w:pPr>
                    <w:suppressAutoHyphens w:val="0"/>
                    <w:jc w:val="right"/>
                    <w:rPr>
                      <w:rFonts w:ascii="Arial" w:hAnsi="Arial" w:cs="Arial"/>
                      <w:color w:val="000000"/>
                      <w:sz w:val="18"/>
                      <w:szCs w:val="18"/>
                      <w:lang w:eastAsia="sl-SI"/>
                    </w:rPr>
                  </w:pPr>
                  <w:r w:rsidRPr="008A2364">
                    <w:rPr>
                      <w:rFonts w:ascii="Arial" w:hAnsi="Arial" w:cs="Arial"/>
                      <w:color w:val="000000"/>
                      <w:sz w:val="18"/>
                      <w:szCs w:val="18"/>
                    </w:rPr>
                    <w:t xml:space="preserve">            4.627.912,00   </w:t>
                  </w:r>
                </w:p>
              </w:tc>
              <w:tc>
                <w:tcPr>
                  <w:tcW w:w="1985" w:type="dxa"/>
                  <w:noWrap/>
                  <w:vAlign w:val="bottom"/>
                  <w:hideMark/>
                </w:tcPr>
                <w:p w14:paraId="69A5CEB0" w14:textId="529FC54F" w:rsidR="00CB765B" w:rsidRPr="008A2364" w:rsidRDefault="00CB765B" w:rsidP="002026B7">
                  <w:pPr>
                    <w:suppressAutoHyphens w:val="0"/>
                    <w:jc w:val="right"/>
                    <w:rPr>
                      <w:rFonts w:ascii="Arial" w:hAnsi="Arial" w:cs="Arial"/>
                      <w:color w:val="000000"/>
                      <w:sz w:val="18"/>
                      <w:szCs w:val="18"/>
                      <w:lang w:eastAsia="sl-SI"/>
                    </w:rPr>
                  </w:pPr>
                  <w:r w:rsidRPr="008A2364">
                    <w:rPr>
                      <w:rFonts w:ascii="Arial" w:hAnsi="Arial" w:cs="Arial"/>
                      <w:color w:val="000000"/>
                      <w:sz w:val="18"/>
                      <w:szCs w:val="18"/>
                    </w:rPr>
                    <w:t xml:space="preserve">             7.906.180,40   </w:t>
                  </w:r>
                </w:p>
              </w:tc>
              <w:tc>
                <w:tcPr>
                  <w:tcW w:w="3678" w:type="dxa"/>
                  <w:hideMark/>
                </w:tcPr>
                <w:p w14:paraId="18F71D31" w14:textId="5BFCA6C5" w:rsidR="00CB765B" w:rsidRPr="008A2364" w:rsidRDefault="00CB765B" w:rsidP="00630AA5">
                  <w:pPr>
                    <w:suppressAutoHyphens w:val="0"/>
                    <w:rPr>
                      <w:rFonts w:ascii="Arial" w:hAnsi="Arial" w:cs="Arial"/>
                      <w:color w:val="000000"/>
                      <w:sz w:val="18"/>
                      <w:szCs w:val="18"/>
                      <w:lang w:eastAsia="sl-SI"/>
                    </w:rPr>
                  </w:pPr>
                  <w:r w:rsidRPr="008A2364">
                    <w:rPr>
                      <w:rFonts w:ascii="Arial" w:hAnsi="Arial" w:cs="Arial"/>
                      <w:color w:val="000000"/>
                      <w:sz w:val="18"/>
                      <w:szCs w:val="18"/>
                      <w:lang w:eastAsia="sl-SI"/>
                    </w:rPr>
                    <w:t xml:space="preserve">Sredstva, ki se ne financirajo iz Proračuna RS in ocena izpada prihodkov zaradi predvidenih ukrepov </w:t>
                  </w:r>
                </w:p>
              </w:tc>
            </w:tr>
            <w:tr w:rsidR="00CB765B" w:rsidRPr="008A2364" w14:paraId="2EB05E12" w14:textId="77777777" w:rsidTr="00505797">
              <w:trPr>
                <w:trHeight w:val="300"/>
              </w:trPr>
              <w:tc>
                <w:tcPr>
                  <w:tcW w:w="1559" w:type="dxa"/>
                  <w:noWrap/>
                </w:tcPr>
                <w:p w14:paraId="1A2AE58D" w14:textId="77777777" w:rsidR="00CB765B" w:rsidRPr="008A2364" w:rsidRDefault="00CB765B" w:rsidP="006E4F1C">
                  <w:pPr>
                    <w:suppressAutoHyphens w:val="0"/>
                    <w:rPr>
                      <w:rFonts w:ascii="Arial" w:hAnsi="Arial" w:cs="Arial"/>
                      <w:color w:val="000000"/>
                      <w:sz w:val="18"/>
                      <w:szCs w:val="18"/>
                      <w:lang w:eastAsia="sl-SI"/>
                    </w:rPr>
                  </w:pPr>
                  <w:r w:rsidRPr="008A2364">
                    <w:rPr>
                      <w:rFonts w:ascii="Arial" w:hAnsi="Arial" w:cs="Arial"/>
                      <w:color w:val="000000"/>
                      <w:sz w:val="18"/>
                      <w:szCs w:val="18"/>
                    </w:rPr>
                    <w:t xml:space="preserve">SKUPAJ </w:t>
                  </w:r>
                </w:p>
              </w:tc>
              <w:tc>
                <w:tcPr>
                  <w:tcW w:w="1843" w:type="dxa"/>
                  <w:noWrap/>
                  <w:vAlign w:val="bottom"/>
                  <w:hideMark/>
                </w:tcPr>
                <w:p w14:paraId="7AB516C7" w14:textId="566139BF" w:rsidR="00CB765B" w:rsidRPr="008A2364" w:rsidRDefault="00CB765B" w:rsidP="002026B7">
                  <w:pPr>
                    <w:suppressAutoHyphens w:val="0"/>
                    <w:jc w:val="right"/>
                    <w:rPr>
                      <w:rFonts w:ascii="Arial" w:hAnsi="Arial" w:cs="Arial"/>
                      <w:color w:val="000000"/>
                      <w:sz w:val="18"/>
                      <w:szCs w:val="18"/>
                      <w:lang w:eastAsia="sl-SI"/>
                    </w:rPr>
                  </w:pPr>
                  <w:r w:rsidRPr="008A2364">
                    <w:rPr>
                      <w:rFonts w:ascii="Arial" w:hAnsi="Arial" w:cs="Arial"/>
                      <w:color w:val="000000"/>
                      <w:sz w:val="18"/>
                      <w:szCs w:val="18"/>
                    </w:rPr>
                    <w:t xml:space="preserve">                7.307.912,00   </w:t>
                  </w:r>
                </w:p>
              </w:tc>
              <w:tc>
                <w:tcPr>
                  <w:tcW w:w="1985" w:type="dxa"/>
                  <w:noWrap/>
                  <w:vAlign w:val="bottom"/>
                  <w:hideMark/>
                </w:tcPr>
                <w:p w14:paraId="1037D837" w14:textId="6AF12A41" w:rsidR="00CB765B" w:rsidRPr="008A2364" w:rsidRDefault="00CB765B" w:rsidP="002026B7">
                  <w:pPr>
                    <w:suppressAutoHyphens w:val="0"/>
                    <w:jc w:val="right"/>
                    <w:rPr>
                      <w:rFonts w:ascii="Arial" w:hAnsi="Arial" w:cs="Arial"/>
                      <w:color w:val="000000"/>
                      <w:sz w:val="18"/>
                      <w:szCs w:val="18"/>
                      <w:lang w:eastAsia="sl-SI"/>
                    </w:rPr>
                  </w:pPr>
                  <w:r w:rsidRPr="008A2364">
                    <w:rPr>
                      <w:rFonts w:ascii="Arial" w:hAnsi="Arial" w:cs="Arial"/>
                      <w:color w:val="000000"/>
                      <w:sz w:val="18"/>
                      <w:szCs w:val="18"/>
                    </w:rPr>
                    <w:t xml:space="preserve">           12.686.180,40   </w:t>
                  </w:r>
                </w:p>
              </w:tc>
              <w:tc>
                <w:tcPr>
                  <w:tcW w:w="3678" w:type="dxa"/>
                  <w:noWrap/>
                  <w:hideMark/>
                </w:tcPr>
                <w:p w14:paraId="496E7CA3" w14:textId="77777777" w:rsidR="00CB765B" w:rsidRPr="008A2364" w:rsidRDefault="00CB765B" w:rsidP="006E4F1C">
                  <w:pPr>
                    <w:suppressAutoHyphens w:val="0"/>
                    <w:rPr>
                      <w:rFonts w:ascii="Arial" w:hAnsi="Arial" w:cs="Arial"/>
                      <w:color w:val="000000"/>
                      <w:sz w:val="18"/>
                      <w:szCs w:val="18"/>
                      <w:lang w:eastAsia="sl-SI"/>
                    </w:rPr>
                  </w:pPr>
                  <w:r w:rsidRPr="008A2364">
                    <w:rPr>
                      <w:rFonts w:ascii="Arial" w:hAnsi="Arial" w:cs="Arial"/>
                      <w:color w:val="000000"/>
                      <w:sz w:val="18"/>
                      <w:szCs w:val="18"/>
                      <w:lang w:eastAsia="sl-SI"/>
                    </w:rPr>
                    <w:t>Ocena vseh finančnih posledic izvedenih ukrepov v posameznih letih</w:t>
                  </w:r>
                </w:p>
              </w:tc>
            </w:tr>
          </w:tbl>
          <w:p w14:paraId="3F159EBF" w14:textId="77777777" w:rsidR="003D67DE" w:rsidRDefault="003D67DE" w:rsidP="00DB0394">
            <w:pPr>
              <w:pStyle w:val="Oddelek"/>
              <w:widowControl w:val="0"/>
              <w:numPr>
                <w:ilvl w:val="0"/>
                <w:numId w:val="0"/>
              </w:numPr>
              <w:spacing w:before="40" w:afterLines="40" w:after="96" w:line="260" w:lineRule="atLeast"/>
              <w:jc w:val="both"/>
              <w:rPr>
                <w:b w:val="0"/>
                <w:sz w:val="20"/>
                <w:szCs w:val="20"/>
              </w:rPr>
            </w:pPr>
          </w:p>
          <w:p w14:paraId="3B77E6CB" w14:textId="1D143EDA" w:rsidR="0044215B" w:rsidRDefault="00DB0394" w:rsidP="00DB0394">
            <w:pPr>
              <w:pStyle w:val="Oddelek"/>
              <w:widowControl w:val="0"/>
              <w:numPr>
                <w:ilvl w:val="0"/>
                <w:numId w:val="0"/>
              </w:numPr>
              <w:spacing w:before="40" w:afterLines="40" w:after="96" w:line="260" w:lineRule="atLeast"/>
              <w:jc w:val="both"/>
              <w:rPr>
                <w:b w:val="0"/>
                <w:sz w:val="20"/>
                <w:szCs w:val="20"/>
              </w:rPr>
            </w:pPr>
            <w:r>
              <w:rPr>
                <w:b w:val="0"/>
                <w:sz w:val="20"/>
                <w:szCs w:val="20"/>
              </w:rPr>
              <w:t xml:space="preserve">Slovenija bo spodbujala tudi uvajanje vodikovih tehnologij, za katere je v letu </w:t>
            </w:r>
            <w:r w:rsidR="000E080E">
              <w:rPr>
                <w:b w:val="0"/>
                <w:sz w:val="20"/>
                <w:szCs w:val="20"/>
              </w:rPr>
              <w:t xml:space="preserve">2019 predvidenih 2,3 milijonov evrov in leta </w:t>
            </w:r>
            <w:r>
              <w:rPr>
                <w:b w:val="0"/>
                <w:sz w:val="20"/>
                <w:szCs w:val="20"/>
              </w:rPr>
              <w:t xml:space="preserve">2020 </w:t>
            </w:r>
            <w:r w:rsidR="00630AA5">
              <w:rPr>
                <w:b w:val="0"/>
                <w:sz w:val="20"/>
                <w:szCs w:val="20"/>
              </w:rPr>
              <w:t xml:space="preserve"> </w:t>
            </w:r>
            <w:r w:rsidR="004F008C">
              <w:rPr>
                <w:b w:val="0"/>
                <w:sz w:val="20"/>
                <w:szCs w:val="20"/>
              </w:rPr>
              <w:t>3</w:t>
            </w:r>
            <w:r>
              <w:rPr>
                <w:b w:val="0"/>
                <w:sz w:val="20"/>
                <w:szCs w:val="20"/>
              </w:rPr>
              <w:t>,</w:t>
            </w:r>
            <w:r w:rsidR="0044215B">
              <w:rPr>
                <w:b w:val="0"/>
                <w:sz w:val="20"/>
                <w:szCs w:val="20"/>
              </w:rPr>
              <w:t xml:space="preserve">8 </w:t>
            </w:r>
            <w:r>
              <w:rPr>
                <w:b w:val="0"/>
                <w:sz w:val="20"/>
                <w:szCs w:val="20"/>
              </w:rPr>
              <w:t>mi</w:t>
            </w:r>
            <w:r w:rsidR="008E3B30">
              <w:rPr>
                <w:b w:val="0"/>
                <w:sz w:val="20"/>
                <w:szCs w:val="20"/>
              </w:rPr>
              <w:t>lijonov</w:t>
            </w:r>
            <w:r>
              <w:rPr>
                <w:b w:val="0"/>
                <w:sz w:val="20"/>
                <w:szCs w:val="20"/>
              </w:rPr>
              <w:t xml:space="preserve"> evrov. </w:t>
            </w:r>
          </w:p>
          <w:p w14:paraId="01DDD8AF" w14:textId="77777777" w:rsidR="00A37B44" w:rsidRPr="00D462AF" w:rsidRDefault="00A37B44" w:rsidP="000843FC">
            <w:pPr>
              <w:pStyle w:val="Oddelek"/>
              <w:widowControl w:val="0"/>
              <w:numPr>
                <w:ilvl w:val="0"/>
                <w:numId w:val="0"/>
              </w:numPr>
              <w:spacing w:before="40" w:afterLines="40" w:after="96" w:line="260" w:lineRule="atLeast"/>
              <w:jc w:val="both"/>
              <w:rPr>
                <w:b w:val="0"/>
                <w:sz w:val="20"/>
                <w:szCs w:val="20"/>
              </w:rPr>
            </w:pPr>
            <w:r>
              <w:rPr>
                <w:b w:val="0"/>
                <w:sz w:val="20"/>
                <w:szCs w:val="20"/>
              </w:rPr>
              <w:t>Na vseh področjih alternativnih goriv so v velikem deležu predvidena tudi sredstva evrop</w:t>
            </w:r>
            <w:r w:rsidR="009E0601">
              <w:rPr>
                <w:b w:val="0"/>
                <w:sz w:val="20"/>
                <w:szCs w:val="20"/>
              </w:rPr>
              <w:t>s</w:t>
            </w:r>
            <w:r>
              <w:rPr>
                <w:b w:val="0"/>
                <w:sz w:val="20"/>
                <w:szCs w:val="20"/>
              </w:rPr>
              <w:t>ke kohezijske politike in uspešno prijavljenih projektov na IPE razpise Evropske komisije.</w:t>
            </w:r>
            <w:r w:rsidR="00C81366">
              <w:rPr>
                <w:b w:val="0"/>
                <w:sz w:val="20"/>
                <w:szCs w:val="20"/>
              </w:rPr>
              <w:t xml:space="preserve"> V novem finančnem okviru za obdobje 2021 – 2027 so predvideni ukrepi </w:t>
            </w:r>
            <w:r w:rsidR="00EA4BBF">
              <w:rPr>
                <w:b w:val="0"/>
                <w:sz w:val="20"/>
                <w:szCs w:val="20"/>
              </w:rPr>
              <w:t xml:space="preserve">sofinanciranja </w:t>
            </w:r>
            <w:r w:rsidR="00C81366">
              <w:rPr>
                <w:b w:val="0"/>
                <w:sz w:val="20"/>
                <w:szCs w:val="20"/>
              </w:rPr>
              <w:t xml:space="preserve">infrastrukture za alternativna goriva in sofinanciranja vozil za javni potniški promet in sicer </w:t>
            </w:r>
            <w:r w:rsidR="000843FC">
              <w:rPr>
                <w:b w:val="0"/>
                <w:sz w:val="20"/>
                <w:szCs w:val="20"/>
              </w:rPr>
              <w:t xml:space="preserve">v obsegu </w:t>
            </w:r>
            <w:r w:rsidR="00C81366">
              <w:rPr>
                <w:b w:val="0"/>
                <w:sz w:val="20"/>
                <w:szCs w:val="20"/>
              </w:rPr>
              <w:t xml:space="preserve">razlike v ceni med vozili na dizelski pogon </w:t>
            </w:r>
            <w:r w:rsidR="000843FC">
              <w:rPr>
                <w:b w:val="0"/>
                <w:sz w:val="20"/>
                <w:szCs w:val="20"/>
              </w:rPr>
              <w:t xml:space="preserve">in </w:t>
            </w:r>
            <w:r w:rsidR="00C81366">
              <w:rPr>
                <w:b w:val="0"/>
                <w:sz w:val="20"/>
                <w:szCs w:val="20"/>
              </w:rPr>
              <w:t>med vozili s pogonom na alternativna goriva.</w:t>
            </w:r>
          </w:p>
        </w:tc>
      </w:tr>
    </w:tbl>
    <w:p w14:paraId="27D38C37" w14:textId="77777777" w:rsidR="00F02B4B" w:rsidRPr="00D462AF" w:rsidRDefault="00F02B4B" w:rsidP="00487EAD">
      <w:pPr>
        <w:spacing w:before="40" w:afterLines="40" w:after="96" w:line="260" w:lineRule="atLeast"/>
        <w:rPr>
          <w:rFonts w:ascii="Arial" w:hAnsi="Arial" w:cs="Arial"/>
          <w:vanish/>
          <w:sz w:val="20"/>
          <w:szCs w:val="20"/>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
        <w:gridCol w:w="1933"/>
        <w:gridCol w:w="8"/>
        <w:gridCol w:w="664"/>
        <w:gridCol w:w="1398"/>
        <w:gridCol w:w="8"/>
        <w:gridCol w:w="365"/>
        <w:gridCol w:w="1567"/>
        <w:gridCol w:w="8"/>
        <w:gridCol w:w="245"/>
        <w:gridCol w:w="438"/>
        <w:gridCol w:w="378"/>
        <w:gridCol w:w="293"/>
        <w:gridCol w:w="308"/>
        <w:gridCol w:w="1579"/>
        <w:gridCol w:w="8"/>
      </w:tblGrid>
      <w:tr w:rsidR="00F02B4B" w:rsidRPr="00D462AF" w14:paraId="7A7B138B" w14:textId="77777777" w:rsidTr="001E5919">
        <w:trPr>
          <w:gridBefore w:val="1"/>
          <w:wBefore w:w="8" w:type="dxa"/>
          <w:cantSplit/>
          <w:trHeight w:val="35"/>
        </w:trPr>
        <w:tc>
          <w:tcPr>
            <w:tcW w:w="9200" w:type="dxa"/>
            <w:gridSpan w:val="15"/>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79B6F251" w14:textId="77777777" w:rsidR="00F02B4B" w:rsidRPr="00D462AF" w:rsidRDefault="00F02B4B" w:rsidP="00D462AF">
            <w:pPr>
              <w:pStyle w:val="Naslov1"/>
              <w:keepNext w:val="0"/>
              <w:pageBreakBefore/>
              <w:widowControl w:val="0"/>
              <w:tabs>
                <w:tab w:val="left" w:pos="2340"/>
              </w:tabs>
              <w:spacing w:before="0" w:after="0" w:line="260" w:lineRule="atLeast"/>
              <w:ind w:left="142" w:hanging="142"/>
              <w:rPr>
                <w:sz w:val="20"/>
                <w:szCs w:val="20"/>
              </w:rPr>
            </w:pPr>
            <w:r w:rsidRPr="00D462AF">
              <w:rPr>
                <w:sz w:val="20"/>
                <w:szCs w:val="20"/>
              </w:rPr>
              <w:lastRenderedPageBreak/>
              <w:t>I. Ocena finančnih posledic, ki niso načrtovane v sprejetem proračunu</w:t>
            </w:r>
          </w:p>
        </w:tc>
      </w:tr>
      <w:tr w:rsidR="00F02B4B" w:rsidRPr="00D462AF" w14:paraId="1063D65B" w14:textId="77777777" w:rsidTr="00A74846">
        <w:trPr>
          <w:gridBefore w:val="1"/>
          <w:wBefore w:w="8" w:type="dxa"/>
          <w:cantSplit/>
          <w:trHeight w:val="276"/>
        </w:trPr>
        <w:tc>
          <w:tcPr>
            <w:tcW w:w="2605" w:type="dxa"/>
            <w:gridSpan w:val="3"/>
            <w:tcBorders>
              <w:top w:val="single" w:sz="4" w:space="0" w:color="auto"/>
              <w:left w:val="single" w:sz="4" w:space="0" w:color="auto"/>
              <w:bottom w:val="single" w:sz="4" w:space="0" w:color="auto"/>
              <w:right w:val="single" w:sz="4" w:space="0" w:color="auto"/>
            </w:tcBorders>
            <w:vAlign w:val="center"/>
          </w:tcPr>
          <w:p w14:paraId="5EA9C117" w14:textId="77777777" w:rsidR="00F02B4B" w:rsidRPr="00D462AF" w:rsidRDefault="00F02B4B" w:rsidP="00D462AF">
            <w:pPr>
              <w:widowControl w:val="0"/>
              <w:spacing w:line="260" w:lineRule="atLeast"/>
              <w:ind w:left="-122" w:right="-112"/>
              <w:jc w:val="center"/>
              <w:rPr>
                <w:rFonts w:ascii="Arial" w:hAnsi="Arial" w:cs="Arial"/>
                <w:sz w:val="20"/>
                <w:szCs w:val="20"/>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31618A77" w14:textId="77777777" w:rsidR="00F02B4B" w:rsidRPr="00D462AF" w:rsidRDefault="00F02B4B" w:rsidP="00D462AF">
            <w:pPr>
              <w:widowControl w:val="0"/>
              <w:spacing w:line="260" w:lineRule="atLeast"/>
              <w:jc w:val="center"/>
              <w:rPr>
                <w:rFonts w:ascii="Arial" w:hAnsi="Arial" w:cs="Arial"/>
                <w:sz w:val="20"/>
                <w:szCs w:val="20"/>
              </w:rPr>
            </w:pPr>
            <w:r w:rsidRPr="00D462AF">
              <w:rPr>
                <w:rFonts w:ascii="Arial" w:hAnsi="Arial" w:cs="Arial"/>
                <w:sz w:val="20"/>
                <w:szCs w:val="20"/>
              </w:rPr>
              <w:t>Tekoče leto (t)</w:t>
            </w:r>
          </w:p>
        </w:tc>
        <w:tc>
          <w:tcPr>
            <w:tcW w:w="1820" w:type="dxa"/>
            <w:gridSpan w:val="3"/>
            <w:tcBorders>
              <w:top w:val="single" w:sz="4" w:space="0" w:color="auto"/>
              <w:left w:val="single" w:sz="4" w:space="0" w:color="auto"/>
              <w:bottom w:val="single" w:sz="4" w:space="0" w:color="auto"/>
              <w:right w:val="single" w:sz="4" w:space="0" w:color="auto"/>
            </w:tcBorders>
            <w:vAlign w:val="center"/>
          </w:tcPr>
          <w:p w14:paraId="0609BB6B" w14:textId="77777777" w:rsidR="00F02B4B" w:rsidRPr="00D462AF" w:rsidRDefault="00F02B4B" w:rsidP="00D462AF">
            <w:pPr>
              <w:widowControl w:val="0"/>
              <w:spacing w:line="260" w:lineRule="atLeast"/>
              <w:jc w:val="center"/>
              <w:rPr>
                <w:rFonts w:ascii="Arial" w:hAnsi="Arial" w:cs="Arial"/>
                <w:sz w:val="20"/>
                <w:szCs w:val="20"/>
              </w:rPr>
            </w:pPr>
            <w:r w:rsidRPr="00D462AF">
              <w:rPr>
                <w:rFonts w:ascii="Arial" w:hAnsi="Arial" w:cs="Arial"/>
                <w:sz w:val="20"/>
                <w:szCs w:val="20"/>
              </w:rPr>
              <w:t>t + 1</w:t>
            </w:r>
          </w:p>
        </w:tc>
        <w:tc>
          <w:tcPr>
            <w:tcW w:w="1109" w:type="dxa"/>
            <w:gridSpan w:val="3"/>
            <w:tcBorders>
              <w:top w:val="single" w:sz="4" w:space="0" w:color="auto"/>
              <w:left w:val="single" w:sz="4" w:space="0" w:color="auto"/>
              <w:bottom w:val="single" w:sz="4" w:space="0" w:color="auto"/>
              <w:right w:val="single" w:sz="4" w:space="0" w:color="auto"/>
            </w:tcBorders>
            <w:vAlign w:val="center"/>
          </w:tcPr>
          <w:p w14:paraId="3E67B696" w14:textId="77777777" w:rsidR="00F02B4B" w:rsidRPr="00D462AF" w:rsidRDefault="00F02B4B" w:rsidP="00D462AF">
            <w:pPr>
              <w:widowControl w:val="0"/>
              <w:spacing w:line="260" w:lineRule="atLeast"/>
              <w:jc w:val="center"/>
              <w:rPr>
                <w:rFonts w:ascii="Arial" w:hAnsi="Arial" w:cs="Arial"/>
                <w:sz w:val="20"/>
                <w:szCs w:val="20"/>
              </w:rPr>
            </w:pPr>
            <w:r w:rsidRPr="00D462AF">
              <w:rPr>
                <w:rFonts w:ascii="Arial" w:hAnsi="Arial" w:cs="Arial"/>
                <w:sz w:val="20"/>
                <w:szCs w:val="20"/>
              </w:rPr>
              <w:t>t + 2</w:t>
            </w:r>
          </w:p>
        </w:tc>
        <w:tc>
          <w:tcPr>
            <w:tcW w:w="1895" w:type="dxa"/>
            <w:gridSpan w:val="3"/>
            <w:tcBorders>
              <w:top w:val="single" w:sz="4" w:space="0" w:color="auto"/>
              <w:left w:val="single" w:sz="4" w:space="0" w:color="auto"/>
              <w:bottom w:val="single" w:sz="4" w:space="0" w:color="auto"/>
              <w:right w:val="single" w:sz="4" w:space="0" w:color="auto"/>
            </w:tcBorders>
            <w:vAlign w:val="center"/>
          </w:tcPr>
          <w:p w14:paraId="2BD4739B" w14:textId="77777777" w:rsidR="00F02B4B" w:rsidRPr="00D462AF" w:rsidRDefault="00F02B4B" w:rsidP="00D462AF">
            <w:pPr>
              <w:widowControl w:val="0"/>
              <w:spacing w:line="260" w:lineRule="atLeast"/>
              <w:jc w:val="center"/>
              <w:rPr>
                <w:rFonts w:ascii="Arial" w:hAnsi="Arial" w:cs="Arial"/>
                <w:sz w:val="20"/>
                <w:szCs w:val="20"/>
              </w:rPr>
            </w:pPr>
            <w:r w:rsidRPr="00D462AF">
              <w:rPr>
                <w:rFonts w:ascii="Arial" w:hAnsi="Arial" w:cs="Arial"/>
                <w:sz w:val="20"/>
                <w:szCs w:val="20"/>
              </w:rPr>
              <w:t>t + 3</w:t>
            </w:r>
          </w:p>
        </w:tc>
      </w:tr>
      <w:tr w:rsidR="00F02B4B" w:rsidRPr="00D462AF" w14:paraId="45304512" w14:textId="77777777" w:rsidTr="00A74846">
        <w:trPr>
          <w:gridBefore w:val="1"/>
          <w:wBefore w:w="8" w:type="dxa"/>
          <w:cantSplit/>
          <w:trHeight w:val="423"/>
        </w:trPr>
        <w:tc>
          <w:tcPr>
            <w:tcW w:w="2605" w:type="dxa"/>
            <w:gridSpan w:val="3"/>
            <w:tcBorders>
              <w:top w:val="single" w:sz="4" w:space="0" w:color="auto"/>
              <w:left w:val="single" w:sz="4" w:space="0" w:color="auto"/>
              <w:bottom w:val="single" w:sz="4" w:space="0" w:color="auto"/>
              <w:right w:val="single" w:sz="4" w:space="0" w:color="auto"/>
            </w:tcBorders>
            <w:vAlign w:val="center"/>
          </w:tcPr>
          <w:p w14:paraId="61231AC0" w14:textId="77777777" w:rsidR="00F02B4B" w:rsidRPr="00404B6F" w:rsidRDefault="00F02B4B" w:rsidP="00D462AF">
            <w:pPr>
              <w:widowControl w:val="0"/>
              <w:spacing w:line="260" w:lineRule="atLeast"/>
              <w:rPr>
                <w:rFonts w:ascii="Arial" w:hAnsi="Arial" w:cs="Arial"/>
                <w:bCs/>
                <w:sz w:val="18"/>
                <w:szCs w:val="18"/>
              </w:rPr>
            </w:pPr>
            <w:r w:rsidRPr="00404B6F">
              <w:rPr>
                <w:rFonts w:ascii="Arial" w:hAnsi="Arial" w:cs="Arial"/>
                <w:bCs/>
                <w:sz w:val="18"/>
                <w:szCs w:val="18"/>
              </w:rPr>
              <w:t>Predvideno povečanje (+) ali zmanjšanje (</w:t>
            </w:r>
            <w:r w:rsidRPr="00404B6F">
              <w:rPr>
                <w:rFonts w:ascii="Arial" w:hAnsi="Arial" w:cs="Arial"/>
                <w:b/>
                <w:sz w:val="18"/>
                <w:szCs w:val="18"/>
              </w:rPr>
              <w:t>–</w:t>
            </w:r>
            <w:r w:rsidRPr="00404B6F">
              <w:rPr>
                <w:rFonts w:ascii="Arial" w:hAnsi="Arial" w:cs="Arial"/>
                <w:bCs/>
                <w:sz w:val="18"/>
                <w:szCs w:val="18"/>
              </w:rPr>
              <w:t xml:space="preserve">) prihodkov državnega proračuna </w:t>
            </w: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1AC632B6" w14:textId="77777777" w:rsidR="00F02B4B" w:rsidRPr="00D462AF" w:rsidRDefault="00F02B4B" w:rsidP="00D462AF">
            <w:pPr>
              <w:pStyle w:val="Naslov1"/>
              <w:keepNext w:val="0"/>
              <w:widowControl w:val="0"/>
              <w:tabs>
                <w:tab w:val="left" w:pos="360"/>
              </w:tabs>
              <w:spacing w:before="0" w:after="0" w:line="260" w:lineRule="atLeast"/>
              <w:jc w:val="center"/>
              <w:rPr>
                <w:b w:val="0"/>
                <w:bCs w:val="0"/>
                <w:sz w:val="20"/>
                <w:szCs w:val="20"/>
              </w:rPr>
            </w:pPr>
          </w:p>
        </w:tc>
        <w:tc>
          <w:tcPr>
            <w:tcW w:w="1820" w:type="dxa"/>
            <w:gridSpan w:val="3"/>
            <w:tcBorders>
              <w:top w:val="single" w:sz="4" w:space="0" w:color="auto"/>
              <w:left w:val="single" w:sz="4" w:space="0" w:color="auto"/>
              <w:bottom w:val="single" w:sz="4" w:space="0" w:color="auto"/>
              <w:right w:val="single" w:sz="4" w:space="0" w:color="auto"/>
            </w:tcBorders>
            <w:vAlign w:val="center"/>
          </w:tcPr>
          <w:p w14:paraId="4094265E" w14:textId="77777777" w:rsidR="00F02B4B" w:rsidRPr="00D462AF" w:rsidRDefault="00F02B4B" w:rsidP="00D462AF">
            <w:pPr>
              <w:pStyle w:val="Naslov1"/>
              <w:keepNext w:val="0"/>
              <w:widowControl w:val="0"/>
              <w:tabs>
                <w:tab w:val="left" w:pos="360"/>
              </w:tabs>
              <w:spacing w:before="0" w:after="0" w:line="260" w:lineRule="atLeast"/>
              <w:jc w:val="center"/>
              <w:rPr>
                <w:b w:val="0"/>
                <w:bCs w:val="0"/>
                <w:sz w:val="20"/>
                <w:szCs w:val="20"/>
              </w:rPr>
            </w:pPr>
          </w:p>
        </w:tc>
        <w:tc>
          <w:tcPr>
            <w:tcW w:w="1109" w:type="dxa"/>
            <w:gridSpan w:val="3"/>
            <w:tcBorders>
              <w:top w:val="single" w:sz="4" w:space="0" w:color="auto"/>
              <w:left w:val="single" w:sz="4" w:space="0" w:color="auto"/>
              <w:bottom w:val="single" w:sz="4" w:space="0" w:color="auto"/>
              <w:right w:val="single" w:sz="4" w:space="0" w:color="auto"/>
            </w:tcBorders>
            <w:vAlign w:val="center"/>
          </w:tcPr>
          <w:p w14:paraId="0E90AB1C" w14:textId="77777777" w:rsidR="00F02B4B" w:rsidRPr="00D462AF" w:rsidRDefault="00F02B4B" w:rsidP="00D462AF">
            <w:pPr>
              <w:pStyle w:val="Naslov1"/>
              <w:keepNext w:val="0"/>
              <w:widowControl w:val="0"/>
              <w:tabs>
                <w:tab w:val="left" w:pos="360"/>
              </w:tabs>
              <w:spacing w:before="0" w:after="0" w:line="260" w:lineRule="atLeast"/>
              <w:jc w:val="center"/>
              <w:rPr>
                <w:b w:val="0"/>
                <w:sz w:val="20"/>
                <w:szCs w:val="20"/>
              </w:rPr>
            </w:pPr>
          </w:p>
        </w:tc>
        <w:tc>
          <w:tcPr>
            <w:tcW w:w="1895" w:type="dxa"/>
            <w:gridSpan w:val="3"/>
            <w:tcBorders>
              <w:top w:val="single" w:sz="4" w:space="0" w:color="auto"/>
              <w:left w:val="single" w:sz="4" w:space="0" w:color="auto"/>
              <w:bottom w:val="single" w:sz="4" w:space="0" w:color="auto"/>
              <w:right w:val="single" w:sz="4" w:space="0" w:color="auto"/>
            </w:tcBorders>
            <w:vAlign w:val="center"/>
          </w:tcPr>
          <w:p w14:paraId="5F01052C" w14:textId="77777777" w:rsidR="00F02B4B" w:rsidRPr="00D462AF" w:rsidRDefault="00F02B4B" w:rsidP="00D462AF">
            <w:pPr>
              <w:pStyle w:val="Naslov1"/>
              <w:keepNext w:val="0"/>
              <w:widowControl w:val="0"/>
              <w:tabs>
                <w:tab w:val="left" w:pos="360"/>
              </w:tabs>
              <w:spacing w:before="0" w:after="0" w:line="260" w:lineRule="atLeast"/>
              <w:jc w:val="center"/>
              <w:rPr>
                <w:b w:val="0"/>
                <w:sz w:val="20"/>
                <w:szCs w:val="20"/>
              </w:rPr>
            </w:pPr>
          </w:p>
        </w:tc>
      </w:tr>
      <w:tr w:rsidR="00F02B4B" w:rsidRPr="00D462AF" w14:paraId="6BE2837B" w14:textId="77777777" w:rsidTr="00A74846">
        <w:trPr>
          <w:gridBefore w:val="1"/>
          <w:wBefore w:w="8" w:type="dxa"/>
          <w:cantSplit/>
          <w:trHeight w:val="423"/>
        </w:trPr>
        <w:tc>
          <w:tcPr>
            <w:tcW w:w="2605" w:type="dxa"/>
            <w:gridSpan w:val="3"/>
            <w:tcBorders>
              <w:top w:val="single" w:sz="4" w:space="0" w:color="auto"/>
              <w:left w:val="single" w:sz="4" w:space="0" w:color="auto"/>
              <w:bottom w:val="single" w:sz="4" w:space="0" w:color="auto"/>
              <w:right w:val="single" w:sz="4" w:space="0" w:color="auto"/>
            </w:tcBorders>
            <w:vAlign w:val="center"/>
          </w:tcPr>
          <w:p w14:paraId="67D6A671" w14:textId="77777777" w:rsidR="00F02B4B" w:rsidRPr="00404B6F" w:rsidRDefault="00F02B4B" w:rsidP="00D462AF">
            <w:pPr>
              <w:widowControl w:val="0"/>
              <w:spacing w:line="260" w:lineRule="atLeast"/>
              <w:rPr>
                <w:rFonts w:ascii="Arial" w:hAnsi="Arial" w:cs="Arial"/>
                <w:bCs/>
                <w:sz w:val="18"/>
                <w:szCs w:val="18"/>
              </w:rPr>
            </w:pPr>
            <w:r w:rsidRPr="00404B6F">
              <w:rPr>
                <w:rFonts w:ascii="Arial" w:hAnsi="Arial" w:cs="Arial"/>
                <w:bCs/>
                <w:sz w:val="18"/>
                <w:szCs w:val="18"/>
              </w:rPr>
              <w:t>Predvideno povečanje (+) ali zmanjšanje (</w:t>
            </w:r>
            <w:r w:rsidRPr="00404B6F">
              <w:rPr>
                <w:rFonts w:ascii="Arial" w:hAnsi="Arial" w:cs="Arial"/>
                <w:b/>
                <w:sz w:val="18"/>
                <w:szCs w:val="18"/>
              </w:rPr>
              <w:t>–</w:t>
            </w:r>
            <w:r w:rsidRPr="00404B6F">
              <w:rPr>
                <w:rFonts w:ascii="Arial" w:hAnsi="Arial" w:cs="Arial"/>
                <w:bCs/>
                <w:sz w:val="18"/>
                <w:szCs w:val="18"/>
              </w:rPr>
              <w:t xml:space="preserve">) prihodkov občinskih proračunov </w:t>
            </w: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30BC3443" w14:textId="77777777" w:rsidR="00F02B4B" w:rsidRPr="00D462AF" w:rsidRDefault="00F02B4B" w:rsidP="00D462AF">
            <w:pPr>
              <w:pStyle w:val="Naslov1"/>
              <w:keepNext w:val="0"/>
              <w:widowControl w:val="0"/>
              <w:tabs>
                <w:tab w:val="left" w:pos="360"/>
              </w:tabs>
              <w:spacing w:before="0" w:after="0" w:line="260" w:lineRule="atLeast"/>
              <w:jc w:val="center"/>
              <w:rPr>
                <w:b w:val="0"/>
                <w:bCs w:val="0"/>
                <w:sz w:val="20"/>
                <w:szCs w:val="20"/>
              </w:rPr>
            </w:pPr>
          </w:p>
        </w:tc>
        <w:tc>
          <w:tcPr>
            <w:tcW w:w="1820" w:type="dxa"/>
            <w:gridSpan w:val="3"/>
            <w:tcBorders>
              <w:top w:val="single" w:sz="4" w:space="0" w:color="auto"/>
              <w:left w:val="single" w:sz="4" w:space="0" w:color="auto"/>
              <w:bottom w:val="single" w:sz="4" w:space="0" w:color="auto"/>
              <w:right w:val="single" w:sz="4" w:space="0" w:color="auto"/>
            </w:tcBorders>
            <w:vAlign w:val="center"/>
          </w:tcPr>
          <w:p w14:paraId="3F2DC7CE" w14:textId="77777777" w:rsidR="00F02B4B" w:rsidRPr="00D462AF" w:rsidRDefault="00F02B4B" w:rsidP="00D462AF">
            <w:pPr>
              <w:pStyle w:val="Naslov1"/>
              <w:keepNext w:val="0"/>
              <w:widowControl w:val="0"/>
              <w:tabs>
                <w:tab w:val="left" w:pos="360"/>
              </w:tabs>
              <w:spacing w:before="0" w:after="0" w:line="260" w:lineRule="atLeast"/>
              <w:jc w:val="center"/>
              <w:rPr>
                <w:b w:val="0"/>
                <w:bCs w:val="0"/>
                <w:sz w:val="20"/>
                <w:szCs w:val="20"/>
              </w:rPr>
            </w:pPr>
          </w:p>
        </w:tc>
        <w:tc>
          <w:tcPr>
            <w:tcW w:w="1109" w:type="dxa"/>
            <w:gridSpan w:val="3"/>
            <w:tcBorders>
              <w:top w:val="single" w:sz="4" w:space="0" w:color="auto"/>
              <w:left w:val="single" w:sz="4" w:space="0" w:color="auto"/>
              <w:bottom w:val="single" w:sz="4" w:space="0" w:color="auto"/>
              <w:right w:val="single" w:sz="4" w:space="0" w:color="auto"/>
            </w:tcBorders>
            <w:vAlign w:val="center"/>
          </w:tcPr>
          <w:p w14:paraId="5A56FF07" w14:textId="77777777" w:rsidR="00F02B4B" w:rsidRPr="00D462AF" w:rsidRDefault="00F02B4B" w:rsidP="00D462AF">
            <w:pPr>
              <w:pStyle w:val="Naslov1"/>
              <w:keepNext w:val="0"/>
              <w:widowControl w:val="0"/>
              <w:tabs>
                <w:tab w:val="left" w:pos="360"/>
              </w:tabs>
              <w:spacing w:before="0" w:after="0" w:line="260" w:lineRule="atLeast"/>
              <w:jc w:val="center"/>
              <w:rPr>
                <w:b w:val="0"/>
                <w:sz w:val="20"/>
                <w:szCs w:val="20"/>
              </w:rPr>
            </w:pPr>
          </w:p>
        </w:tc>
        <w:tc>
          <w:tcPr>
            <w:tcW w:w="1895" w:type="dxa"/>
            <w:gridSpan w:val="3"/>
            <w:tcBorders>
              <w:top w:val="single" w:sz="4" w:space="0" w:color="auto"/>
              <w:left w:val="single" w:sz="4" w:space="0" w:color="auto"/>
              <w:bottom w:val="single" w:sz="4" w:space="0" w:color="auto"/>
              <w:right w:val="single" w:sz="4" w:space="0" w:color="auto"/>
            </w:tcBorders>
            <w:vAlign w:val="center"/>
          </w:tcPr>
          <w:p w14:paraId="56829D89" w14:textId="77777777" w:rsidR="00F02B4B" w:rsidRPr="00D462AF" w:rsidRDefault="00F02B4B" w:rsidP="00D462AF">
            <w:pPr>
              <w:pStyle w:val="Naslov1"/>
              <w:keepNext w:val="0"/>
              <w:widowControl w:val="0"/>
              <w:tabs>
                <w:tab w:val="left" w:pos="360"/>
              </w:tabs>
              <w:spacing w:before="0" w:after="0" w:line="260" w:lineRule="atLeast"/>
              <w:jc w:val="center"/>
              <w:rPr>
                <w:b w:val="0"/>
                <w:sz w:val="20"/>
                <w:szCs w:val="20"/>
              </w:rPr>
            </w:pPr>
          </w:p>
        </w:tc>
      </w:tr>
      <w:tr w:rsidR="00F02B4B" w:rsidRPr="00D462AF" w14:paraId="0E1163B4" w14:textId="77777777" w:rsidTr="00A74846">
        <w:trPr>
          <w:gridBefore w:val="1"/>
          <w:wBefore w:w="8" w:type="dxa"/>
          <w:cantSplit/>
          <w:trHeight w:val="423"/>
        </w:trPr>
        <w:tc>
          <w:tcPr>
            <w:tcW w:w="2605" w:type="dxa"/>
            <w:gridSpan w:val="3"/>
            <w:tcBorders>
              <w:top w:val="single" w:sz="4" w:space="0" w:color="auto"/>
              <w:left w:val="single" w:sz="4" w:space="0" w:color="auto"/>
              <w:bottom w:val="single" w:sz="4" w:space="0" w:color="auto"/>
              <w:right w:val="single" w:sz="4" w:space="0" w:color="auto"/>
            </w:tcBorders>
            <w:vAlign w:val="center"/>
          </w:tcPr>
          <w:p w14:paraId="6BDB0968" w14:textId="77777777" w:rsidR="00F02B4B" w:rsidRPr="00D462AF" w:rsidRDefault="00F02B4B" w:rsidP="00D462AF">
            <w:pPr>
              <w:widowControl w:val="0"/>
              <w:spacing w:line="260" w:lineRule="atLeast"/>
              <w:rPr>
                <w:rFonts w:ascii="Arial" w:hAnsi="Arial" w:cs="Arial"/>
                <w:bCs/>
                <w:sz w:val="20"/>
                <w:szCs w:val="20"/>
              </w:rPr>
            </w:pPr>
            <w:r w:rsidRPr="00D462AF">
              <w:rPr>
                <w:rFonts w:ascii="Arial" w:hAnsi="Arial" w:cs="Arial"/>
                <w:bCs/>
                <w:sz w:val="20"/>
                <w:szCs w:val="20"/>
              </w:rPr>
              <w:t>Predvideno povečanje (+) ali zmanjšanje (</w:t>
            </w:r>
            <w:r w:rsidRPr="00D462AF">
              <w:rPr>
                <w:rFonts w:ascii="Arial" w:hAnsi="Arial" w:cs="Arial"/>
                <w:b/>
                <w:sz w:val="20"/>
                <w:szCs w:val="20"/>
              </w:rPr>
              <w:t>–</w:t>
            </w:r>
            <w:r w:rsidRPr="00D462AF">
              <w:rPr>
                <w:rFonts w:ascii="Arial" w:hAnsi="Arial" w:cs="Arial"/>
                <w:bCs/>
                <w:sz w:val="20"/>
                <w:szCs w:val="20"/>
              </w:rPr>
              <w:t xml:space="preserve">) odhodkov državnega proračuna </w:t>
            </w: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4D04C135" w14:textId="07547223" w:rsidR="00F02B4B" w:rsidRPr="00505797" w:rsidRDefault="008E3B30" w:rsidP="00A74846">
            <w:pPr>
              <w:widowControl w:val="0"/>
              <w:spacing w:line="260" w:lineRule="atLeast"/>
              <w:jc w:val="right"/>
              <w:rPr>
                <w:rFonts w:ascii="Arial" w:hAnsi="Arial" w:cs="Arial"/>
                <w:sz w:val="20"/>
                <w:szCs w:val="20"/>
              </w:rPr>
            </w:pPr>
            <w:r>
              <w:rPr>
                <w:rFonts w:ascii="Arial" w:hAnsi="Arial" w:cs="Arial"/>
                <w:sz w:val="20"/>
                <w:szCs w:val="20"/>
              </w:rPr>
              <w:t xml:space="preserve">- </w:t>
            </w:r>
            <w:r w:rsidR="003F620F" w:rsidRPr="00505797">
              <w:rPr>
                <w:rFonts w:ascii="Arial" w:hAnsi="Arial" w:cs="Arial"/>
                <w:sz w:val="20"/>
                <w:szCs w:val="20"/>
              </w:rPr>
              <w:t>1</w:t>
            </w:r>
            <w:r w:rsidR="00A74846">
              <w:rPr>
                <w:rFonts w:ascii="Arial" w:hAnsi="Arial" w:cs="Arial"/>
                <w:sz w:val="20"/>
                <w:szCs w:val="20"/>
              </w:rPr>
              <w:t>.000.00</w:t>
            </w:r>
            <w:r w:rsidR="003F620F" w:rsidRPr="00505797">
              <w:rPr>
                <w:rFonts w:ascii="Arial" w:hAnsi="Arial" w:cs="Arial"/>
                <w:sz w:val="20"/>
                <w:szCs w:val="20"/>
              </w:rPr>
              <w:t>0</w:t>
            </w:r>
            <w:r w:rsidR="00A74846">
              <w:rPr>
                <w:rFonts w:ascii="Arial" w:hAnsi="Arial" w:cs="Arial"/>
                <w:sz w:val="20"/>
                <w:szCs w:val="20"/>
              </w:rPr>
              <w:t xml:space="preserve"> EUR</w:t>
            </w:r>
          </w:p>
        </w:tc>
        <w:tc>
          <w:tcPr>
            <w:tcW w:w="1820" w:type="dxa"/>
            <w:gridSpan w:val="3"/>
            <w:tcBorders>
              <w:top w:val="single" w:sz="4" w:space="0" w:color="auto"/>
              <w:left w:val="single" w:sz="4" w:space="0" w:color="auto"/>
              <w:bottom w:val="single" w:sz="4" w:space="0" w:color="auto"/>
              <w:right w:val="single" w:sz="4" w:space="0" w:color="auto"/>
            </w:tcBorders>
            <w:vAlign w:val="center"/>
          </w:tcPr>
          <w:p w14:paraId="4A74F3C8" w14:textId="7DA53CB5" w:rsidR="00F02B4B" w:rsidRPr="00505797" w:rsidRDefault="00A74846" w:rsidP="00665E21">
            <w:pPr>
              <w:widowControl w:val="0"/>
              <w:spacing w:line="260" w:lineRule="atLeast"/>
              <w:jc w:val="right"/>
              <w:rPr>
                <w:rFonts w:ascii="Arial" w:hAnsi="Arial" w:cs="Arial"/>
                <w:sz w:val="20"/>
                <w:szCs w:val="20"/>
              </w:rPr>
            </w:pPr>
            <w:r>
              <w:rPr>
                <w:rFonts w:ascii="Arial" w:hAnsi="Arial" w:cs="Arial"/>
                <w:sz w:val="20"/>
                <w:szCs w:val="20"/>
              </w:rPr>
              <w:t>- 2.000.00</w:t>
            </w:r>
            <w:r w:rsidRPr="00505797">
              <w:rPr>
                <w:rFonts w:ascii="Arial" w:hAnsi="Arial" w:cs="Arial"/>
                <w:sz w:val="20"/>
                <w:szCs w:val="20"/>
              </w:rPr>
              <w:t>0</w:t>
            </w:r>
            <w:r>
              <w:rPr>
                <w:rFonts w:ascii="Arial" w:hAnsi="Arial" w:cs="Arial"/>
                <w:sz w:val="20"/>
                <w:szCs w:val="20"/>
              </w:rPr>
              <w:t xml:space="preserve"> EUR</w:t>
            </w:r>
          </w:p>
        </w:tc>
        <w:tc>
          <w:tcPr>
            <w:tcW w:w="1109" w:type="dxa"/>
            <w:gridSpan w:val="3"/>
            <w:tcBorders>
              <w:top w:val="single" w:sz="4" w:space="0" w:color="auto"/>
              <w:left w:val="single" w:sz="4" w:space="0" w:color="auto"/>
              <w:bottom w:val="single" w:sz="4" w:space="0" w:color="auto"/>
              <w:right w:val="single" w:sz="4" w:space="0" w:color="auto"/>
            </w:tcBorders>
            <w:vAlign w:val="center"/>
          </w:tcPr>
          <w:p w14:paraId="03B91E38" w14:textId="77777777" w:rsidR="00F02B4B" w:rsidRPr="00D462AF" w:rsidRDefault="00F02B4B" w:rsidP="00D462AF">
            <w:pPr>
              <w:widowControl w:val="0"/>
              <w:spacing w:line="260" w:lineRule="atLeast"/>
              <w:jc w:val="center"/>
              <w:rPr>
                <w:rFonts w:ascii="Arial" w:hAnsi="Arial" w:cs="Arial"/>
                <w:sz w:val="20"/>
                <w:szCs w:val="20"/>
              </w:rPr>
            </w:pPr>
          </w:p>
        </w:tc>
        <w:tc>
          <w:tcPr>
            <w:tcW w:w="1895" w:type="dxa"/>
            <w:gridSpan w:val="3"/>
            <w:tcBorders>
              <w:top w:val="single" w:sz="4" w:space="0" w:color="auto"/>
              <w:left w:val="single" w:sz="4" w:space="0" w:color="auto"/>
              <w:bottom w:val="single" w:sz="4" w:space="0" w:color="auto"/>
              <w:right w:val="single" w:sz="4" w:space="0" w:color="auto"/>
            </w:tcBorders>
            <w:vAlign w:val="center"/>
          </w:tcPr>
          <w:p w14:paraId="6FC906A9" w14:textId="77777777" w:rsidR="00F02B4B" w:rsidRPr="00D462AF" w:rsidRDefault="00F02B4B" w:rsidP="00D462AF">
            <w:pPr>
              <w:widowControl w:val="0"/>
              <w:spacing w:line="260" w:lineRule="atLeast"/>
              <w:jc w:val="center"/>
              <w:rPr>
                <w:rFonts w:ascii="Arial" w:hAnsi="Arial" w:cs="Arial"/>
                <w:sz w:val="20"/>
                <w:szCs w:val="20"/>
              </w:rPr>
            </w:pPr>
          </w:p>
        </w:tc>
      </w:tr>
      <w:tr w:rsidR="00F02B4B" w:rsidRPr="00D462AF" w14:paraId="2FFA828F" w14:textId="77777777" w:rsidTr="00A74846">
        <w:trPr>
          <w:gridBefore w:val="1"/>
          <w:wBefore w:w="8" w:type="dxa"/>
          <w:cantSplit/>
          <w:trHeight w:val="623"/>
        </w:trPr>
        <w:tc>
          <w:tcPr>
            <w:tcW w:w="2605" w:type="dxa"/>
            <w:gridSpan w:val="3"/>
            <w:tcBorders>
              <w:top w:val="single" w:sz="4" w:space="0" w:color="auto"/>
              <w:left w:val="single" w:sz="4" w:space="0" w:color="auto"/>
              <w:bottom w:val="single" w:sz="4" w:space="0" w:color="auto"/>
              <w:right w:val="single" w:sz="4" w:space="0" w:color="auto"/>
            </w:tcBorders>
            <w:vAlign w:val="center"/>
          </w:tcPr>
          <w:p w14:paraId="4C2AAFDB" w14:textId="77777777" w:rsidR="00F02B4B" w:rsidRPr="00D462AF" w:rsidRDefault="00F02B4B" w:rsidP="00D462AF">
            <w:pPr>
              <w:widowControl w:val="0"/>
              <w:spacing w:line="260" w:lineRule="atLeast"/>
              <w:rPr>
                <w:rFonts w:ascii="Arial" w:hAnsi="Arial" w:cs="Arial"/>
                <w:bCs/>
                <w:sz w:val="20"/>
                <w:szCs w:val="20"/>
              </w:rPr>
            </w:pPr>
            <w:r w:rsidRPr="00D462AF">
              <w:rPr>
                <w:rFonts w:ascii="Arial" w:hAnsi="Arial" w:cs="Arial"/>
                <w:bCs/>
                <w:sz w:val="20"/>
                <w:szCs w:val="20"/>
              </w:rPr>
              <w:t>Predvideno povečanje (+) ali zmanjšanje (</w:t>
            </w:r>
            <w:r w:rsidRPr="00D462AF">
              <w:rPr>
                <w:rFonts w:ascii="Arial" w:hAnsi="Arial" w:cs="Arial"/>
                <w:b/>
                <w:sz w:val="20"/>
                <w:szCs w:val="20"/>
              </w:rPr>
              <w:t>–</w:t>
            </w:r>
            <w:r w:rsidRPr="00D462AF">
              <w:rPr>
                <w:rFonts w:ascii="Arial" w:hAnsi="Arial" w:cs="Arial"/>
                <w:bCs/>
                <w:sz w:val="20"/>
                <w:szCs w:val="20"/>
              </w:rPr>
              <w:t>) odhodkov občinskih proračunov</w:t>
            </w: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1CA938A1" w14:textId="734B8CBE" w:rsidR="00F02B4B" w:rsidRPr="00505797" w:rsidRDefault="008E3B30" w:rsidP="00A74846">
            <w:pPr>
              <w:widowControl w:val="0"/>
              <w:spacing w:line="260" w:lineRule="atLeast"/>
              <w:jc w:val="right"/>
              <w:rPr>
                <w:rFonts w:ascii="Arial" w:hAnsi="Arial" w:cs="Arial"/>
                <w:sz w:val="20"/>
                <w:szCs w:val="20"/>
              </w:rPr>
            </w:pPr>
            <w:r>
              <w:rPr>
                <w:rFonts w:ascii="Arial" w:hAnsi="Arial" w:cs="Arial"/>
                <w:sz w:val="20"/>
                <w:szCs w:val="20"/>
              </w:rPr>
              <w:t xml:space="preserve">- </w:t>
            </w:r>
            <w:r w:rsidR="00D03C10" w:rsidRPr="00505797">
              <w:rPr>
                <w:rFonts w:ascii="Arial" w:hAnsi="Arial" w:cs="Arial"/>
                <w:sz w:val="20"/>
                <w:szCs w:val="20"/>
              </w:rPr>
              <w:t>1.2</w:t>
            </w:r>
            <w:r w:rsidR="00A74846">
              <w:rPr>
                <w:rFonts w:ascii="Arial" w:hAnsi="Arial" w:cs="Arial"/>
                <w:sz w:val="20"/>
                <w:szCs w:val="20"/>
              </w:rPr>
              <w:t>00.000 EUR</w:t>
            </w:r>
          </w:p>
        </w:tc>
        <w:tc>
          <w:tcPr>
            <w:tcW w:w="1820" w:type="dxa"/>
            <w:gridSpan w:val="3"/>
            <w:tcBorders>
              <w:top w:val="single" w:sz="4" w:space="0" w:color="auto"/>
              <w:left w:val="single" w:sz="4" w:space="0" w:color="auto"/>
              <w:bottom w:val="single" w:sz="4" w:space="0" w:color="auto"/>
              <w:right w:val="single" w:sz="4" w:space="0" w:color="auto"/>
            </w:tcBorders>
            <w:vAlign w:val="center"/>
          </w:tcPr>
          <w:p w14:paraId="22EE4AB0" w14:textId="09B3C99D" w:rsidR="00F02B4B" w:rsidRPr="00505797" w:rsidRDefault="008E3B30" w:rsidP="00665E21">
            <w:pPr>
              <w:widowControl w:val="0"/>
              <w:spacing w:line="260" w:lineRule="atLeast"/>
              <w:jc w:val="right"/>
              <w:rPr>
                <w:rFonts w:ascii="Arial" w:hAnsi="Arial" w:cs="Arial"/>
                <w:sz w:val="20"/>
                <w:szCs w:val="20"/>
              </w:rPr>
            </w:pPr>
            <w:r>
              <w:rPr>
                <w:rFonts w:ascii="Arial" w:hAnsi="Arial" w:cs="Arial"/>
                <w:sz w:val="20"/>
                <w:szCs w:val="20"/>
              </w:rPr>
              <w:t xml:space="preserve">- </w:t>
            </w:r>
            <w:r w:rsidR="003F620F" w:rsidRPr="00505797">
              <w:rPr>
                <w:rFonts w:ascii="Arial" w:hAnsi="Arial" w:cs="Arial"/>
                <w:sz w:val="20"/>
                <w:szCs w:val="20"/>
              </w:rPr>
              <w:t>1.3</w:t>
            </w:r>
            <w:r w:rsidR="00A74846">
              <w:rPr>
                <w:rFonts w:ascii="Arial" w:hAnsi="Arial" w:cs="Arial"/>
                <w:sz w:val="20"/>
                <w:szCs w:val="20"/>
              </w:rPr>
              <w:t>00</w:t>
            </w:r>
            <w:r w:rsidR="00665E21">
              <w:rPr>
                <w:rFonts w:ascii="Arial" w:hAnsi="Arial" w:cs="Arial"/>
                <w:sz w:val="20"/>
                <w:szCs w:val="20"/>
              </w:rPr>
              <w:t>.000</w:t>
            </w:r>
            <w:r>
              <w:rPr>
                <w:rFonts w:ascii="Arial" w:hAnsi="Arial" w:cs="Arial"/>
                <w:sz w:val="20"/>
                <w:szCs w:val="20"/>
              </w:rPr>
              <w:t xml:space="preserve"> </w:t>
            </w:r>
            <w:r w:rsidR="00665E21">
              <w:rPr>
                <w:rFonts w:ascii="Arial" w:hAnsi="Arial" w:cs="Arial"/>
                <w:sz w:val="20"/>
                <w:szCs w:val="20"/>
              </w:rPr>
              <w:t>EUR</w:t>
            </w:r>
          </w:p>
        </w:tc>
        <w:tc>
          <w:tcPr>
            <w:tcW w:w="1109" w:type="dxa"/>
            <w:gridSpan w:val="3"/>
            <w:tcBorders>
              <w:top w:val="single" w:sz="4" w:space="0" w:color="auto"/>
              <w:left w:val="single" w:sz="4" w:space="0" w:color="auto"/>
              <w:bottom w:val="single" w:sz="4" w:space="0" w:color="auto"/>
              <w:right w:val="single" w:sz="4" w:space="0" w:color="auto"/>
            </w:tcBorders>
            <w:vAlign w:val="center"/>
          </w:tcPr>
          <w:p w14:paraId="2AB3FF61" w14:textId="77777777" w:rsidR="00F02B4B" w:rsidRPr="00D462AF" w:rsidRDefault="00F02B4B" w:rsidP="00D462AF">
            <w:pPr>
              <w:widowControl w:val="0"/>
              <w:spacing w:line="260" w:lineRule="atLeast"/>
              <w:jc w:val="center"/>
              <w:rPr>
                <w:rFonts w:ascii="Arial" w:hAnsi="Arial" w:cs="Arial"/>
                <w:sz w:val="20"/>
                <w:szCs w:val="20"/>
              </w:rPr>
            </w:pPr>
          </w:p>
        </w:tc>
        <w:tc>
          <w:tcPr>
            <w:tcW w:w="1895" w:type="dxa"/>
            <w:gridSpan w:val="3"/>
            <w:tcBorders>
              <w:top w:val="single" w:sz="4" w:space="0" w:color="auto"/>
              <w:left w:val="single" w:sz="4" w:space="0" w:color="auto"/>
              <w:bottom w:val="single" w:sz="4" w:space="0" w:color="auto"/>
              <w:right w:val="single" w:sz="4" w:space="0" w:color="auto"/>
            </w:tcBorders>
            <w:vAlign w:val="center"/>
          </w:tcPr>
          <w:p w14:paraId="565903FA" w14:textId="77777777" w:rsidR="00F02B4B" w:rsidRPr="00D462AF" w:rsidRDefault="00F02B4B" w:rsidP="00D462AF">
            <w:pPr>
              <w:widowControl w:val="0"/>
              <w:spacing w:line="260" w:lineRule="atLeast"/>
              <w:jc w:val="center"/>
              <w:rPr>
                <w:rFonts w:ascii="Arial" w:hAnsi="Arial" w:cs="Arial"/>
                <w:sz w:val="20"/>
                <w:szCs w:val="20"/>
              </w:rPr>
            </w:pPr>
          </w:p>
        </w:tc>
      </w:tr>
      <w:tr w:rsidR="00F02B4B" w:rsidRPr="00D462AF" w14:paraId="7066EF46" w14:textId="77777777" w:rsidTr="00A74846">
        <w:trPr>
          <w:gridBefore w:val="1"/>
          <w:wBefore w:w="8" w:type="dxa"/>
          <w:cantSplit/>
          <w:trHeight w:val="423"/>
        </w:trPr>
        <w:tc>
          <w:tcPr>
            <w:tcW w:w="2605" w:type="dxa"/>
            <w:gridSpan w:val="3"/>
            <w:tcBorders>
              <w:top w:val="single" w:sz="4" w:space="0" w:color="auto"/>
              <w:left w:val="single" w:sz="4" w:space="0" w:color="auto"/>
              <w:bottom w:val="single" w:sz="4" w:space="0" w:color="auto"/>
              <w:right w:val="single" w:sz="4" w:space="0" w:color="auto"/>
            </w:tcBorders>
            <w:vAlign w:val="center"/>
          </w:tcPr>
          <w:p w14:paraId="386F81A4" w14:textId="77777777" w:rsidR="00F02B4B" w:rsidRPr="00404B6F" w:rsidRDefault="00F02B4B" w:rsidP="00D462AF">
            <w:pPr>
              <w:widowControl w:val="0"/>
              <w:spacing w:line="260" w:lineRule="atLeast"/>
              <w:rPr>
                <w:rFonts w:ascii="Arial" w:hAnsi="Arial" w:cs="Arial"/>
                <w:bCs/>
                <w:sz w:val="18"/>
                <w:szCs w:val="18"/>
              </w:rPr>
            </w:pPr>
            <w:r w:rsidRPr="00404B6F">
              <w:rPr>
                <w:rFonts w:ascii="Arial" w:hAnsi="Arial" w:cs="Arial"/>
                <w:bCs/>
                <w:sz w:val="18"/>
                <w:szCs w:val="18"/>
              </w:rPr>
              <w:t>Predvideno povečanje (+) ali zmanjšanje (</w:t>
            </w:r>
            <w:r w:rsidRPr="00404B6F">
              <w:rPr>
                <w:rFonts w:ascii="Arial" w:hAnsi="Arial" w:cs="Arial"/>
                <w:b/>
                <w:sz w:val="18"/>
                <w:szCs w:val="18"/>
              </w:rPr>
              <w:t>–</w:t>
            </w:r>
            <w:r w:rsidRPr="00404B6F">
              <w:rPr>
                <w:rFonts w:ascii="Arial" w:hAnsi="Arial" w:cs="Arial"/>
                <w:bCs/>
                <w:sz w:val="18"/>
                <w:szCs w:val="18"/>
              </w:rPr>
              <w:t>) obveznosti za druga javnofinančna sredstva</w:t>
            </w: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28CD3451" w14:textId="77777777" w:rsidR="00F02B4B" w:rsidRPr="00D462AF" w:rsidRDefault="00F02B4B" w:rsidP="00D462AF">
            <w:pPr>
              <w:pStyle w:val="Naslov1"/>
              <w:keepNext w:val="0"/>
              <w:widowControl w:val="0"/>
              <w:tabs>
                <w:tab w:val="left" w:pos="360"/>
              </w:tabs>
              <w:spacing w:before="0" w:after="0" w:line="260" w:lineRule="atLeast"/>
              <w:jc w:val="center"/>
              <w:rPr>
                <w:b w:val="0"/>
                <w:bCs w:val="0"/>
                <w:sz w:val="20"/>
                <w:szCs w:val="20"/>
              </w:rPr>
            </w:pPr>
          </w:p>
        </w:tc>
        <w:tc>
          <w:tcPr>
            <w:tcW w:w="1820" w:type="dxa"/>
            <w:gridSpan w:val="3"/>
            <w:tcBorders>
              <w:top w:val="single" w:sz="4" w:space="0" w:color="auto"/>
              <w:left w:val="single" w:sz="4" w:space="0" w:color="auto"/>
              <w:bottom w:val="single" w:sz="4" w:space="0" w:color="auto"/>
              <w:right w:val="single" w:sz="4" w:space="0" w:color="auto"/>
            </w:tcBorders>
            <w:vAlign w:val="center"/>
          </w:tcPr>
          <w:p w14:paraId="635CC2B1" w14:textId="77777777" w:rsidR="00F02B4B" w:rsidRPr="00D462AF" w:rsidRDefault="00F02B4B" w:rsidP="00D462AF">
            <w:pPr>
              <w:pStyle w:val="Naslov1"/>
              <w:keepNext w:val="0"/>
              <w:widowControl w:val="0"/>
              <w:tabs>
                <w:tab w:val="left" w:pos="360"/>
              </w:tabs>
              <w:spacing w:before="0" w:after="0" w:line="260" w:lineRule="atLeast"/>
              <w:jc w:val="center"/>
              <w:rPr>
                <w:b w:val="0"/>
                <w:bCs w:val="0"/>
                <w:sz w:val="20"/>
                <w:szCs w:val="20"/>
              </w:rPr>
            </w:pPr>
          </w:p>
        </w:tc>
        <w:tc>
          <w:tcPr>
            <w:tcW w:w="1109" w:type="dxa"/>
            <w:gridSpan w:val="3"/>
            <w:tcBorders>
              <w:top w:val="single" w:sz="4" w:space="0" w:color="auto"/>
              <w:left w:val="single" w:sz="4" w:space="0" w:color="auto"/>
              <w:bottom w:val="single" w:sz="4" w:space="0" w:color="auto"/>
              <w:right w:val="single" w:sz="4" w:space="0" w:color="auto"/>
            </w:tcBorders>
            <w:vAlign w:val="center"/>
          </w:tcPr>
          <w:p w14:paraId="78A5F423" w14:textId="77777777" w:rsidR="00F02B4B" w:rsidRPr="00D462AF" w:rsidRDefault="00F02B4B" w:rsidP="00D462AF">
            <w:pPr>
              <w:pStyle w:val="Naslov1"/>
              <w:keepNext w:val="0"/>
              <w:widowControl w:val="0"/>
              <w:tabs>
                <w:tab w:val="left" w:pos="360"/>
              </w:tabs>
              <w:spacing w:before="0" w:after="0" w:line="260" w:lineRule="atLeast"/>
              <w:jc w:val="center"/>
              <w:rPr>
                <w:b w:val="0"/>
                <w:sz w:val="20"/>
                <w:szCs w:val="20"/>
              </w:rPr>
            </w:pPr>
          </w:p>
        </w:tc>
        <w:tc>
          <w:tcPr>
            <w:tcW w:w="1895" w:type="dxa"/>
            <w:gridSpan w:val="3"/>
            <w:tcBorders>
              <w:top w:val="single" w:sz="4" w:space="0" w:color="auto"/>
              <w:left w:val="single" w:sz="4" w:space="0" w:color="auto"/>
              <w:bottom w:val="single" w:sz="4" w:space="0" w:color="auto"/>
              <w:right w:val="single" w:sz="4" w:space="0" w:color="auto"/>
            </w:tcBorders>
            <w:vAlign w:val="center"/>
          </w:tcPr>
          <w:p w14:paraId="1193DBE1" w14:textId="77777777" w:rsidR="00F02B4B" w:rsidRPr="00D462AF" w:rsidRDefault="00F02B4B" w:rsidP="00D462AF">
            <w:pPr>
              <w:pStyle w:val="Naslov1"/>
              <w:keepNext w:val="0"/>
              <w:widowControl w:val="0"/>
              <w:tabs>
                <w:tab w:val="left" w:pos="360"/>
              </w:tabs>
              <w:spacing w:before="0" w:after="0" w:line="260" w:lineRule="atLeast"/>
              <w:jc w:val="center"/>
              <w:rPr>
                <w:b w:val="0"/>
                <w:sz w:val="20"/>
                <w:szCs w:val="20"/>
              </w:rPr>
            </w:pPr>
          </w:p>
        </w:tc>
      </w:tr>
      <w:tr w:rsidR="0092592A" w:rsidRPr="00D462AF" w14:paraId="0262C55D" w14:textId="77777777" w:rsidTr="006E4F1C">
        <w:trPr>
          <w:gridBefore w:val="1"/>
          <w:wBefore w:w="8" w:type="dxa"/>
          <w:cantSplit/>
          <w:trHeight w:val="423"/>
        </w:trPr>
        <w:tc>
          <w:tcPr>
            <w:tcW w:w="9200" w:type="dxa"/>
            <w:gridSpan w:val="15"/>
            <w:tcBorders>
              <w:top w:val="single" w:sz="4" w:space="0" w:color="auto"/>
              <w:left w:val="single" w:sz="4" w:space="0" w:color="auto"/>
              <w:bottom w:val="single" w:sz="4" w:space="0" w:color="auto"/>
              <w:right w:val="single" w:sz="4" w:space="0" w:color="auto"/>
            </w:tcBorders>
            <w:vAlign w:val="center"/>
          </w:tcPr>
          <w:p w14:paraId="3D305612" w14:textId="33DFC86C" w:rsidR="0092592A" w:rsidRPr="00D462AF" w:rsidRDefault="0092592A" w:rsidP="0092592A">
            <w:pPr>
              <w:pStyle w:val="Naslov1"/>
              <w:keepNext w:val="0"/>
              <w:widowControl w:val="0"/>
              <w:tabs>
                <w:tab w:val="left" w:pos="360"/>
              </w:tabs>
              <w:spacing w:before="0" w:after="0" w:line="260" w:lineRule="atLeast"/>
              <w:rPr>
                <w:b w:val="0"/>
                <w:sz w:val="20"/>
                <w:szCs w:val="20"/>
              </w:rPr>
            </w:pPr>
            <w:r>
              <w:rPr>
                <w:b w:val="0"/>
                <w:sz w:val="20"/>
                <w:szCs w:val="20"/>
              </w:rPr>
              <w:t>Prihodki bodo zmanjšani zaradi zmanjšanja prihodkov iz naslova trošarin ter prihodki iz naslova drugih dajatev na fosilna goriva in prihodki iz dajatev, ki so vezane na uporabo vozila z bencinskim oziroma dizelskim motorjem.</w:t>
            </w:r>
          </w:p>
        </w:tc>
      </w:tr>
      <w:tr w:rsidR="00F02B4B" w:rsidRPr="00D462AF" w14:paraId="7B4A3904" w14:textId="77777777" w:rsidTr="001E5919">
        <w:trPr>
          <w:gridBefore w:val="1"/>
          <w:wBefore w:w="8" w:type="dxa"/>
          <w:cantSplit/>
          <w:trHeight w:val="257"/>
        </w:trPr>
        <w:tc>
          <w:tcPr>
            <w:tcW w:w="9200" w:type="dxa"/>
            <w:gridSpan w:val="15"/>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7F63489" w14:textId="77777777" w:rsidR="00F02B4B" w:rsidRPr="00D462AF" w:rsidRDefault="00F02B4B" w:rsidP="00D462AF">
            <w:pPr>
              <w:pStyle w:val="Naslov1"/>
              <w:keepNext w:val="0"/>
              <w:widowControl w:val="0"/>
              <w:tabs>
                <w:tab w:val="left" w:pos="2340"/>
              </w:tabs>
              <w:spacing w:before="0" w:after="0" w:line="260" w:lineRule="atLeast"/>
              <w:ind w:left="142" w:hanging="142"/>
              <w:rPr>
                <w:sz w:val="20"/>
                <w:szCs w:val="20"/>
              </w:rPr>
            </w:pPr>
            <w:r w:rsidRPr="00D462AF">
              <w:rPr>
                <w:sz w:val="20"/>
                <w:szCs w:val="20"/>
              </w:rPr>
              <w:t>II. Finančne posledice za državni proračun</w:t>
            </w:r>
          </w:p>
        </w:tc>
      </w:tr>
      <w:tr w:rsidR="00F02B4B" w:rsidRPr="00D462AF" w14:paraId="15B7E2E1" w14:textId="77777777" w:rsidTr="001E5919">
        <w:trPr>
          <w:gridBefore w:val="1"/>
          <w:wBefore w:w="8" w:type="dxa"/>
          <w:cantSplit/>
          <w:trHeight w:val="257"/>
        </w:trPr>
        <w:tc>
          <w:tcPr>
            <w:tcW w:w="9200" w:type="dxa"/>
            <w:gridSpan w:val="15"/>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97A5911" w14:textId="77777777" w:rsidR="00F02B4B" w:rsidRPr="00D462AF" w:rsidRDefault="00F02B4B" w:rsidP="00D462AF">
            <w:pPr>
              <w:pStyle w:val="Naslov1"/>
              <w:keepNext w:val="0"/>
              <w:widowControl w:val="0"/>
              <w:tabs>
                <w:tab w:val="left" w:pos="2340"/>
              </w:tabs>
              <w:spacing w:before="0" w:after="0" w:line="260" w:lineRule="atLeast"/>
              <w:ind w:left="142" w:hanging="142"/>
              <w:rPr>
                <w:sz w:val="20"/>
                <w:szCs w:val="20"/>
              </w:rPr>
            </w:pPr>
            <w:proofErr w:type="spellStart"/>
            <w:r w:rsidRPr="00D462AF">
              <w:rPr>
                <w:sz w:val="20"/>
                <w:szCs w:val="20"/>
              </w:rPr>
              <w:t>II.a</w:t>
            </w:r>
            <w:proofErr w:type="spellEnd"/>
            <w:r w:rsidRPr="00D462AF">
              <w:rPr>
                <w:sz w:val="20"/>
                <w:szCs w:val="20"/>
              </w:rPr>
              <w:t xml:space="preserve"> Pravice porabe za izvedbo predlaganih rešitev so zagotovljene:</w:t>
            </w:r>
          </w:p>
        </w:tc>
      </w:tr>
      <w:tr w:rsidR="00C80652" w:rsidRPr="00D462AF" w14:paraId="32EDBDAE" w14:textId="77777777" w:rsidTr="00665E21">
        <w:trPr>
          <w:gridBefore w:val="1"/>
          <w:wBefore w:w="8" w:type="dxa"/>
          <w:cantSplit/>
          <w:trHeight w:val="100"/>
        </w:trPr>
        <w:tc>
          <w:tcPr>
            <w:tcW w:w="1941" w:type="dxa"/>
            <w:gridSpan w:val="2"/>
            <w:tcBorders>
              <w:top w:val="single" w:sz="4" w:space="0" w:color="auto"/>
              <w:left w:val="single" w:sz="4" w:space="0" w:color="auto"/>
              <w:bottom w:val="single" w:sz="4" w:space="0" w:color="auto"/>
              <w:right w:val="single" w:sz="4" w:space="0" w:color="auto"/>
            </w:tcBorders>
            <w:vAlign w:val="center"/>
          </w:tcPr>
          <w:p w14:paraId="4A879553" w14:textId="77777777" w:rsidR="00D03C10" w:rsidRPr="00D462AF" w:rsidRDefault="00D03C10" w:rsidP="006E4F1C">
            <w:pPr>
              <w:widowControl w:val="0"/>
              <w:spacing w:line="260" w:lineRule="atLeast"/>
              <w:jc w:val="center"/>
              <w:rPr>
                <w:rFonts w:ascii="Arial" w:hAnsi="Arial" w:cs="Arial"/>
                <w:sz w:val="20"/>
                <w:szCs w:val="20"/>
              </w:rPr>
            </w:pPr>
            <w:r w:rsidRPr="00D462AF">
              <w:rPr>
                <w:rFonts w:ascii="Arial" w:hAnsi="Arial" w:cs="Arial"/>
                <w:sz w:val="20"/>
                <w:szCs w:val="20"/>
              </w:rPr>
              <w:t xml:space="preserve">Ime proračunskega uporabnika </w:t>
            </w:r>
          </w:p>
        </w:tc>
        <w:tc>
          <w:tcPr>
            <w:tcW w:w="2070" w:type="dxa"/>
            <w:gridSpan w:val="3"/>
            <w:tcBorders>
              <w:top w:val="single" w:sz="4" w:space="0" w:color="auto"/>
              <w:left w:val="single" w:sz="4" w:space="0" w:color="auto"/>
              <w:bottom w:val="single" w:sz="4" w:space="0" w:color="auto"/>
              <w:right w:val="single" w:sz="4" w:space="0" w:color="auto"/>
            </w:tcBorders>
            <w:vAlign w:val="center"/>
          </w:tcPr>
          <w:p w14:paraId="4E7864D9" w14:textId="77777777" w:rsidR="00D03C10" w:rsidRPr="00D462AF" w:rsidRDefault="00D03C10" w:rsidP="006E4F1C">
            <w:pPr>
              <w:widowControl w:val="0"/>
              <w:spacing w:line="260" w:lineRule="atLeast"/>
              <w:jc w:val="center"/>
              <w:rPr>
                <w:rFonts w:ascii="Arial" w:hAnsi="Arial" w:cs="Arial"/>
                <w:sz w:val="20"/>
                <w:szCs w:val="20"/>
              </w:rPr>
            </w:pPr>
            <w:r w:rsidRPr="00D462AF">
              <w:rPr>
                <w:rFonts w:ascii="Arial" w:hAnsi="Arial" w:cs="Arial"/>
                <w:sz w:val="20"/>
                <w:szCs w:val="20"/>
              </w:rPr>
              <w:t>Šifra in naziv ukrepa, projekta</w:t>
            </w:r>
          </w:p>
        </w:tc>
        <w:tc>
          <w:tcPr>
            <w:tcW w:w="1940" w:type="dxa"/>
            <w:gridSpan w:val="3"/>
            <w:tcBorders>
              <w:top w:val="single" w:sz="4" w:space="0" w:color="auto"/>
              <w:left w:val="single" w:sz="4" w:space="0" w:color="auto"/>
              <w:bottom w:val="single" w:sz="4" w:space="0" w:color="auto"/>
              <w:right w:val="single" w:sz="4" w:space="0" w:color="auto"/>
            </w:tcBorders>
            <w:vAlign w:val="center"/>
          </w:tcPr>
          <w:p w14:paraId="7BC1AE8C" w14:textId="77777777" w:rsidR="00D03C10" w:rsidRPr="00D462AF" w:rsidRDefault="00D03C10" w:rsidP="006E4F1C">
            <w:pPr>
              <w:widowControl w:val="0"/>
              <w:spacing w:line="260" w:lineRule="atLeast"/>
              <w:jc w:val="center"/>
              <w:rPr>
                <w:rFonts w:ascii="Arial" w:hAnsi="Arial" w:cs="Arial"/>
                <w:sz w:val="20"/>
                <w:szCs w:val="20"/>
              </w:rPr>
            </w:pPr>
            <w:r w:rsidRPr="00D462AF">
              <w:rPr>
                <w:rFonts w:ascii="Arial" w:hAnsi="Arial" w:cs="Arial"/>
                <w:sz w:val="20"/>
                <w:szCs w:val="20"/>
              </w:rPr>
              <w:t>Šifra in naziv proračunske postavke</w:t>
            </w:r>
          </w:p>
        </w:tc>
        <w:tc>
          <w:tcPr>
            <w:tcW w:w="1662" w:type="dxa"/>
            <w:gridSpan w:val="5"/>
            <w:tcBorders>
              <w:top w:val="single" w:sz="4" w:space="0" w:color="auto"/>
              <w:left w:val="single" w:sz="4" w:space="0" w:color="auto"/>
              <w:bottom w:val="single" w:sz="4" w:space="0" w:color="auto"/>
              <w:right w:val="single" w:sz="4" w:space="0" w:color="auto"/>
            </w:tcBorders>
            <w:vAlign w:val="center"/>
          </w:tcPr>
          <w:p w14:paraId="50522945" w14:textId="77777777" w:rsidR="00D03C10" w:rsidRPr="00D462AF" w:rsidRDefault="00D03C10" w:rsidP="006E4F1C">
            <w:pPr>
              <w:widowControl w:val="0"/>
              <w:spacing w:line="260" w:lineRule="atLeast"/>
              <w:jc w:val="center"/>
              <w:rPr>
                <w:rFonts w:ascii="Arial" w:hAnsi="Arial" w:cs="Arial"/>
                <w:sz w:val="20"/>
                <w:szCs w:val="20"/>
              </w:rPr>
            </w:pPr>
            <w:r w:rsidRPr="00D462AF">
              <w:rPr>
                <w:rFonts w:ascii="Arial" w:hAnsi="Arial" w:cs="Arial"/>
                <w:sz w:val="20"/>
                <w:szCs w:val="20"/>
              </w:rPr>
              <w:t>Znesek za tekoče leto (t)</w:t>
            </w:r>
          </w:p>
        </w:tc>
        <w:tc>
          <w:tcPr>
            <w:tcW w:w="1587" w:type="dxa"/>
            <w:gridSpan w:val="2"/>
            <w:tcBorders>
              <w:top w:val="single" w:sz="4" w:space="0" w:color="auto"/>
              <w:left w:val="single" w:sz="4" w:space="0" w:color="auto"/>
              <w:bottom w:val="single" w:sz="4" w:space="0" w:color="auto"/>
              <w:right w:val="single" w:sz="4" w:space="0" w:color="auto"/>
            </w:tcBorders>
            <w:vAlign w:val="center"/>
          </w:tcPr>
          <w:p w14:paraId="7B061202" w14:textId="77777777" w:rsidR="00D03C10" w:rsidRPr="00D462AF" w:rsidRDefault="00D03C10" w:rsidP="006E4F1C">
            <w:pPr>
              <w:widowControl w:val="0"/>
              <w:spacing w:line="260" w:lineRule="atLeast"/>
              <w:jc w:val="center"/>
              <w:rPr>
                <w:rFonts w:ascii="Arial" w:hAnsi="Arial" w:cs="Arial"/>
                <w:sz w:val="20"/>
                <w:szCs w:val="20"/>
              </w:rPr>
            </w:pPr>
            <w:r w:rsidRPr="00D462AF">
              <w:rPr>
                <w:rFonts w:ascii="Arial" w:hAnsi="Arial" w:cs="Arial"/>
                <w:sz w:val="20"/>
                <w:szCs w:val="20"/>
              </w:rPr>
              <w:t>Znesek za t + 1</w:t>
            </w:r>
          </w:p>
        </w:tc>
      </w:tr>
      <w:tr w:rsidR="00F02B4B" w:rsidRPr="00D462AF" w14:paraId="3FCFF740" w14:textId="77777777" w:rsidTr="00665E21">
        <w:trPr>
          <w:gridBefore w:val="1"/>
          <w:wBefore w:w="8" w:type="dxa"/>
          <w:cantSplit/>
          <w:trHeight w:val="100"/>
        </w:trPr>
        <w:tc>
          <w:tcPr>
            <w:tcW w:w="1941" w:type="dxa"/>
            <w:gridSpan w:val="2"/>
            <w:tcBorders>
              <w:top w:val="single" w:sz="4" w:space="0" w:color="auto"/>
              <w:left w:val="single" w:sz="4" w:space="0" w:color="auto"/>
              <w:bottom w:val="single" w:sz="4" w:space="0" w:color="auto"/>
              <w:right w:val="single" w:sz="4" w:space="0" w:color="auto"/>
            </w:tcBorders>
            <w:vAlign w:val="center"/>
          </w:tcPr>
          <w:p w14:paraId="659285DD" w14:textId="77777777" w:rsidR="00F02B4B" w:rsidRPr="00D462AF" w:rsidRDefault="00D03C10" w:rsidP="00D462AF">
            <w:pPr>
              <w:widowControl w:val="0"/>
              <w:spacing w:line="260" w:lineRule="atLeast"/>
              <w:jc w:val="center"/>
              <w:rPr>
                <w:rFonts w:ascii="Arial" w:hAnsi="Arial" w:cs="Arial"/>
                <w:sz w:val="20"/>
                <w:szCs w:val="20"/>
              </w:rPr>
            </w:pPr>
            <w:r>
              <w:rPr>
                <w:rFonts w:ascii="Arial" w:hAnsi="Arial" w:cs="Arial"/>
                <w:sz w:val="20"/>
                <w:szCs w:val="20"/>
              </w:rPr>
              <w:t>MZI</w:t>
            </w:r>
            <w:r w:rsidR="00F02B4B" w:rsidRPr="00D462AF">
              <w:rPr>
                <w:rFonts w:ascii="Arial" w:hAnsi="Arial" w:cs="Arial"/>
                <w:sz w:val="20"/>
                <w:szCs w:val="20"/>
              </w:rPr>
              <w:t xml:space="preserve"> </w:t>
            </w:r>
          </w:p>
        </w:tc>
        <w:tc>
          <w:tcPr>
            <w:tcW w:w="2070" w:type="dxa"/>
            <w:gridSpan w:val="3"/>
            <w:tcBorders>
              <w:top w:val="single" w:sz="4" w:space="0" w:color="auto"/>
              <w:left w:val="single" w:sz="4" w:space="0" w:color="auto"/>
              <w:bottom w:val="single" w:sz="4" w:space="0" w:color="auto"/>
              <w:right w:val="single" w:sz="4" w:space="0" w:color="auto"/>
            </w:tcBorders>
            <w:vAlign w:val="center"/>
          </w:tcPr>
          <w:p w14:paraId="41265E54" w14:textId="23416C3E" w:rsidR="00F02B4B" w:rsidRPr="00D462AF" w:rsidRDefault="00665E21" w:rsidP="00665E21">
            <w:pPr>
              <w:widowControl w:val="0"/>
              <w:spacing w:line="260" w:lineRule="atLeast"/>
              <w:jc w:val="center"/>
              <w:rPr>
                <w:rFonts w:ascii="Arial" w:hAnsi="Arial" w:cs="Arial"/>
                <w:sz w:val="20"/>
                <w:szCs w:val="20"/>
              </w:rPr>
            </w:pPr>
            <w:r>
              <w:rPr>
                <w:rFonts w:ascii="Arial" w:hAnsi="Arial" w:cs="Arial"/>
                <w:sz w:val="20"/>
                <w:szCs w:val="20"/>
              </w:rPr>
              <w:t>2430</w:t>
            </w:r>
            <w:r w:rsidR="00367EE1">
              <w:rPr>
                <w:rFonts w:ascii="Arial" w:hAnsi="Arial" w:cs="Arial"/>
                <w:sz w:val="20"/>
                <w:szCs w:val="20"/>
              </w:rPr>
              <w:t>-1</w:t>
            </w:r>
            <w:r>
              <w:rPr>
                <w:rFonts w:ascii="Arial" w:hAnsi="Arial" w:cs="Arial"/>
                <w:sz w:val="20"/>
                <w:szCs w:val="20"/>
              </w:rPr>
              <w:t>7</w:t>
            </w:r>
            <w:r w:rsidR="00367EE1">
              <w:rPr>
                <w:rFonts w:ascii="Arial" w:hAnsi="Arial" w:cs="Arial"/>
                <w:sz w:val="20"/>
                <w:szCs w:val="20"/>
              </w:rPr>
              <w:t>-</w:t>
            </w:r>
            <w:r>
              <w:rPr>
                <w:rFonts w:ascii="Arial" w:hAnsi="Arial" w:cs="Arial"/>
                <w:sz w:val="20"/>
                <w:szCs w:val="20"/>
              </w:rPr>
              <w:t>0003  Upravljanje prometne politike</w:t>
            </w:r>
            <w:r w:rsidR="00367EE1">
              <w:rPr>
                <w:rFonts w:ascii="Arial" w:hAnsi="Arial" w:cs="Arial"/>
                <w:sz w:val="20"/>
                <w:szCs w:val="20"/>
              </w:rPr>
              <w:t xml:space="preserve"> </w:t>
            </w:r>
            <w:r w:rsidR="00D03C10">
              <w:rPr>
                <w:rFonts w:ascii="Arial" w:hAnsi="Arial" w:cs="Arial"/>
                <w:sz w:val="20"/>
                <w:szCs w:val="20"/>
              </w:rPr>
              <w:t xml:space="preserve"> </w:t>
            </w:r>
          </w:p>
        </w:tc>
        <w:tc>
          <w:tcPr>
            <w:tcW w:w="1940" w:type="dxa"/>
            <w:gridSpan w:val="3"/>
            <w:tcBorders>
              <w:top w:val="single" w:sz="4" w:space="0" w:color="auto"/>
              <w:left w:val="single" w:sz="4" w:space="0" w:color="auto"/>
              <w:bottom w:val="single" w:sz="4" w:space="0" w:color="auto"/>
              <w:right w:val="single" w:sz="4" w:space="0" w:color="auto"/>
            </w:tcBorders>
            <w:vAlign w:val="center"/>
          </w:tcPr>
          <w:p w14:paraId="77FD9DB2" w14:textId="77777777" w:rsidR="00F02B4B" w:rsidRPr="00D462AF" w:rsidRDefault="00ED67C3" w:rsidP="00D462AF">
            <w:pPr>
              <w:widowControl w:val="0"/>
              <w:spacing w:line="260" w:lineRule="atLeast"/>
              <w:jc w:val="center"/>
              <w:rPr>
                <w:rFonts w:ascii="Arial" w:hAnsi="Arial" w:cs="Arial"/>
                <w:sz w:val="20"/>
                <w:szCs w:val="20"/>
              </w:rPr>
            </w:pPr>
            <w:r>
              <w:rPr>
                <w:rFonts w:ascii="Arial" w:hAnsi="Arial" w:cs="Arial"/>
                <w:sz w:val="20"/>
                <w:szCs w:val="20"/>
              </w:rPr>
              <w:t>765210 Razvoj in urejanje prometa</w:t>
            </w:r>
          </w:p>
        </w:tc>
        <w:tc>
          <w:tcPr>
            <w:tcW w:w="1662" w:type="dxa"/>
            <w:gridSpan w:val="5"/>
            <w:tcBorders>
              <w:top w:val="single" w:sz="4" w:space="0" w:color="auto"/>
              <w:left w:val="single" w:sz="4" w:space="0" w:color="auto"/>
              <w:bottom w:val="single" w:sz="4" w:space="0" w:color="auto"/>
              <w:right w:val="single" w:sz="4" w:space="0" w:color="auto"/>
            </w:tcBorders>
            <w:vAlign w:val="center"/>
          </w:tcPr>
          <w:p w14:paraId="5797A60E" w14:textId="08AABC0F" w:rsidR="00F02B4B" w:rsidRPr="00D462AF" w:rsidRDefault="00A0299F" w:rsidP="00665E21">
            <w:pPr>
              <w:widowControl w:val="0"/>
              <w:spacing w:line="260" w:lineRule="atLeast"/>
              <w:rPr>
                <w:rFonts w:ascii="Arial" w:hAnsi="Arial" w:cs="Arial"/>
                <w:sz w:val="20"/>
                <w:szCs w:val="20"/>
              </w:rPr>
            </w:pPr>
            <w:r>
              <w:rPr>
                <w:rFonts w:ascii="Arial" w:hAnsi="Arial" w:cs="Arial"/>
                <w:sz w:val="20"/>
                <w:szCs w:val="20"/>
              </w:rPr>
              <w:t>2</w:t>
            </w:r>
            <w:r w:rsidR="00C80652">
              <w:rPr>
                <w:rFonts w:ascii="Arial" w:hAnsi="Arial" w:cs="Arial"/>
                <w:sz w:val="20"/>
                <w:szCs w:val="20"/>
              </w:rPr>
              <w:t>.</w:t>
            </w:r>
            <w:r w:rsidR="00665E21">
              <w:rPr>
                <w:rFonts w:ascii="Arial" w:hAnsi="Arial" w:cs="Arial"/>
                <w:sz w:val="20"/>
                <w:szCs w:val="20"/>
              </w:rPr>
              <w:t>016</w:t>
            </w:r>
            <w:r w:rsidR="00C80652">
              <w:rPr>
                <w:rFonts w:ascii="Arial" w:hAnsi="Arial" w:cs="Arial"/>
                <w:sz w:val="20"/>
                <w:szCs w:val="20"/>
              </w:rPr>
              <w:t>.</w:t>
            </w:r>
            <w:r w:rsidR="00665E21">
              <w:rPr>
                <w:rFonts w:ascii="Arial" w:hAnsi="Arial" w:cs="Arial"/>
                <w:sz w:val="20"/>
                <w:szCs w:val="20"/>
              </w:rPr>
              <w:t>839 EUR</w:t>
            </w:r>
          </w:p>
        </w:tc>
        <w:tc>
          <w:tcPr>
            <w:tcW w:w="1587" w:type="dxa"/>
            <w:gridSpan w:val="2"/>
            <w:tcBorders>
              <w:top w:val="single" w:sz="4" w:space="0" w:color="auto"/>
              <w:left w:val="single" w:sz="4" w:space="0" w:color="auto"/>
              <w:bottom w:val="single" w:sz="4" w:space="0" w:color="auto"/>
              <w:right w:val="single" w:sz="4" w:space="0" w:color="auto"/>
            </w:tcBorders>
            <w:vAlign w:val="center"/>
          </w:tcPr>
          <w:p w14:paraId="6FCA529B" w14:textId="18FD2EE5" w:rsidR="00F02B4B" w:rsidRPr="00D462AF" w:rsidRDefault="00C80652" w:rsidP="00D462AF">
            <w:pPr>
              <w:widowControl w:val="0"/>
              <w:spacing w:line="260" w:lineRule="atLeast"/>
              <w:jc w:val="center"/>
              <w:rPr>
                <w:rFonts w:ascii="Arial" w:hAnsi="Arial" w:cs="Arial"/>
                <w:sz w:val="20"/>
                <w:szCs w:val="20"/>
              </w:rPr>
            </w:pPr>
            <w:r>
              <w:rPr>
                <w:rFonts w:ascii="Arial" w:hAnsi="Arial" w:cs="Arial"/>
                <w:sz w:val="20"/>
                <w:szCs w:val="20"/>
              </w:rPr>
              <w:t>5.800.000</w:t>
            </w:r>
            <w:r w:rsidR="00665E21">
              <w:rPr>
                <w:rFonts w:ascii="Arial" w:hAnsi="Arial" w:cs="Arial"/>
                <w:sz w:val="20"/>
                <w:szCs w:val="20"/>
              </w:rPr>
              <w:t xml:space="preserve"> EUR</w:t>
            </w:r>
          </w:p>
        </w:tc>
      </w:tr>
      <w:tr w:rsidR="00367EE1" w:rsidRPr="00D462AF" w14:paraId="1E509397" w14:textId="77777777" w:rsidTr="00665E21">
        <w:trPr>
          <w:gridAfter w:val="1"/>
          <w:wAfter w:w="8" w:type="dxa"/>
          <w:cantSplit/>
          <w:trHeight w:val="100"/>
        </w:trPr>
        <w:tc>
          <w:tcPr>
            <w:tcW w:w="1941" w:type="dxa"/>
            <w:gridSpan w:val="2"/>
            <w:tcBorders>
              <w:top w:val="single" w:sz="4" w:space="0" w:color="auto"/>
              <w:left w:val="single" w:sz="4" w:space="0" w:color="auto"/>
              <w:bottom w:val="single" w:sz="4" w:space="0" w:color="auto"/>
              <w:right w:val="single" w:sz="4" w:space="0" w:color="auto"/>
            </w:tcBorders>
            <w:vAlign w:val="center"/>
          </w:tcPr>
          <w:p w14:paraId="284D1E4E" w14:textId="77777777" w:rsidR="00367EE1" w:rsidRPr="00D462AF" w:rsidRDefault="00367EE1" w:rsidP="006E4F1C">
            <w:pPr>
              <w:widowControl w:val="0"/>
              <w:spacing w:line="260" w:lineRule="atLeast"/>
              <w:jc w:val="center"/>
              <w:rPr>
                <w:rFonts w:ascii="Arial" w:hAnsi="Arial" w:cs="Arial"/>
                <w:sz w:val="20"/>
                <w:szCs w:val="20"/>
              </w:rPr>
            </w:pPr>
            <w:r>
              <w:rPr>
                <w:rFonts w:ascii="Arial" w:hAnsi="Arial" w:cs="Arial"/>
                <w:sz w:val="20"/>
                <w:szCs w:val="20"/>
              </w:rPr>
              <w:t>MZI</w:t>
            </w:r>
            <w:r w:rsidRPr="00D462AF">
              <w:rPr>
                <w:rFonts w:ascii="Arial" w:hAnsi="Arial" w:cs="Arial"/>
                <w:sz w:val="20"/>
                <w:szCs w:val="20"/>
              </w:rPr>
              <w:t xml:space="preserve"> </w:t>
            </w:r>
          </w:p>
        </w:tc>
        <w:tc>
          <w:tcPr>
            <w:tcW w:w="2070" w:type="dxa"/>
            <w:gridSpan w:val="3"/>
            <w:tcBorders>
              <w:top w:val="single" w:sz="4" w:space="0" w:color="auto"/>
              <w:left w:val="single" w:sz="4" w:space="0" w:color="auto"/>
              <w:bottom w:val="single" w:sz="4" w:space="0" w:color="auto"/>
              <w:right w:val="single" w:sz="4" w:space="0" w:color="auto"/>
            </w:tcBorders>
            <w:vAlign w:val="center"/>
          </w:tcPr>
          <w:p w14:paraId="319057D3" w14:textId="77777777" w:rsidR="00367EE1" w:rsidRPr="00D462AF" w:rsidRDefault="00367EE1" w:rsidP="00367EE1">
            <w:pPr>
              <w:widowControl w:val="0"/>
              <w:spacing w:line="260" w:lineRule="atLeast"/>
              <w:jc w:val="center"/>
              <w:rPr>
                <w:rFonts w:ascii="Arial" w:hAnsi="Arial" w:cs="Arial"/>
                <w:sz w:val="20"/>
                <w:szCs w:val="20"/>
              </w:rPr>
            </w:pPr>
            <w:r>
              <w:rPr>
                <w:rFonts w:ascii="Arial" w:hAnsi="Arial" w:cs="Arial"/>
                <w:sz w:val="20"/>
                <w:szCs w:val="20"/>
              </w:rPr>
              <w:t xml:space="preserve">2415-11-0003  Izvajanje GJS prevoza potnikov </w:t>
            </w:r>
          </w:p>
        </w:tc>
        <w:tc>
          <w:tcPr>
            <w:tcW w:w="1940" w:type="dxa"/>
            <w:gridSpan w:val="3"/>
            <w:tcBorders>
              <w:top w:val="single" w:sz="4" w:space="0" w:color="auto"/>
              <w:left w:val="single" w:sz="4" w:space="0" w:color="auto"/>
              <w:bottom w:val="single" w:sz="4" w:space="0" w:color="auto"/>
              <w:right w:val="single" w:sz="4" w:space="0" w:color="auto"/>
            </w:tcBorders>
            <w:vAlign w:val="center"/>
          </w:tcPr>
          <w:p w14:paraId="09860A0E" w14:textId="1F76D162" w:rsidR="00367EE1" w:rsidRPr="00D462AF" w:rsidRDefault="00367EE1" w:rsidP="00367EE1">
            <w:pPr>
              <w:widowControl w:val="0"/>
              <w:spacing w:line="260" w:lineRule="atLeast"/>
              <w:jc w:val="center"/>
              <w:rPr>
                <w:rFonts w:ascii="Arial" w:hAnsi="Arial" w:cs="Arial"/>
                <w:sz w:val="20"/>
                <w:szCs w:val="20"/>
              </w:rPr>
            </w:pPr>
            <w:r>
              <w:rPr>
                <w:rFonts w:ascii="Arial" w:hAnsi="Arial" w:cs="Arial"/>
                <w:sz w:val="20"/>
                <w:szCs w:val="20"/>
              </w:rPr>
              <w:t>978610 GJS v linijskem prometu</w:t>
            </w:r>
          </w:p>
        </w:tc>
        <w:tc>
          <w:tcPr>
            <w:tcW w:w="1670" w:type="dxa"/>
            <w:gridSpan w:val="6"/>
            <w:tcBorders>
              <w:top w:val="single" w:sz="4" w:space="0" w:color="auto"/>
              <w:left w:val="single" w:sz="4" w:space="0" w:color="auto"/>
              <w:bottom w:val="single" w:sz="4" w:space="0" w:color="auto"/>
              <w:right w:val="single" w:sz="4" w:space="0" w:color="auto"/>
            </w:tcBorders>
            <w:vAlign w:val="center"/>
          </w:tcPr>
          <w:p w14:paraId="763C6ABD" w14:textId="77777777" w:rsidR="00367EE1" w:rsidRPr="00D462AF" w:rsidRDefault="00367EE1" w:rsidP="006E4F1C">
            <w:pPr>
              <w:widowControl w:val="0"/>
              <w:spacing w:line="260" w:lineRule="atLeast"/>
              <w:jc w:val="center"/>
              <w:rPr>
                <w:rFonts w:ascii="Arial" w:hAnsi="Arial" w:cs="Arial"/>
                <w:sz w:val="20"/>
                <w:szCs w:val="20"/>
              </w:rPr>
            </w:pPr>
            <w:r>
              <w:rPr>
                <w:rFonts w:ascii="Arial" w:hAnsi="Arial" w:cs="Arial"/>
                <w:sz w:val="20"/>
                <w:szCs w:val="20"/>
              </w:rPr>
              <w:t>0</w:t>
            </w:r>
          </w:p>
        </w:tc>
        <w:tc>
          <w:tcPr>
            <w:tcW w:w="1579" w:type="dxa"/>
            <w:tcBorders>
              <w:top w:val="single" w:sz="4" w:space="0" w:color="auto"/>
              <w:left w:val="single" w:sz="4" w:space="0" w:color="auto"/>
              <w:bottom w:val="single" w:sz="4" w:space="0" w:color="auto"/>
              <w:right w:val="single" w:sz="4" w:space="0" w:color="auto"/>
            </w:tcBorders>
            <w:vAlign w:val="center"/>
          </w:tcPr>
          <w:p w14:paraId="06D7C295" w14:textId="43FCB772" w:rsidR="00367EE1" w:rsidRPr="00D462AF" w:rsidRDefault="000B2068" w:rsidP="006E4F1C">
            <w:pPr>
              <w:widowControl w:val="0"/>
              <w:spacing w:line="260" w:lineRule="atLeast"/>
              <w:jc w:val="center"/>
              <w:rPr>
                <w:rFonts w:ascii="Arial" w:hAnsi="Arial" w:cs="Arial"/>
                <w:sz w:val="20"/>
                <w:szCs w:val="20"/>
              </w:rPr>
            </w:pPr>
            <w:r>
              <w:rPr>
                <w:rFonts w:ascii="Arial" w:hAnsi="Arial" w:cs="Arial"/>
                <w:sz w:val="20"/>
                <w:szCs w:val="20"/>
              </w:rPr>
              <w:t>180</w:t>
            </w:r>
            <w:r w:rsidR="00367EE1">
              <w:rPr>
                <w:rFonts w:ascii="Arial" w:hAnsi="Arial" w:cs="Arial"/>
                <w:sz w:val="20"/>
                <w:szCs w:val="20"/>
              </w:rPr>
              <w:t>.000</w:t>
            </w:r>
            <w:r w:rsidR="00665E21">
              <w:rPr>
                <w:rFonts w:ascii="Arial" w:hAnsi="Arial" w:cs="Arial"/>
                <w:sz w:val="20"/>
                <w:szCs w:val="20"/>
              </w:rPr>
              <w:t xml:space="preserve"> EUR</w:t>
            </w:r>
          </w:p>
        </w:tc>
      </w:tr>
      <w:tr w:rsidR="002C19CD" w:rsidRPr="00D462AF" w14:paraId="03DD63CE" w14:textId="77777777" w:rsidTr="001E5919">
        <w:trPr>
          <w:gridBefore w:val="1"/>
          <w:wBefore w:w="8" w:type="dxa"/>
          <w:cantSplit/>
          <w:trHeight w:val="598"/>
        </w:trPr>
        <w:tc>
          <w:tcPr>
            <w:tcW w:w="9200" w:type="dxa"/>
            <w:gridSpan w:val="15"/>
            <w:tcBorders>
              <w:top w:val="single" w:sz="4" w:space="0" w:color="auto"/>
              <w:left w:val="single" w:sz="4" w:space="0" w:color="auto"/>
              <w:right w:val="single" w:sz="4" w:space="0" w:color="auto"/>
            </w:tcBorders>
            <w:vAlign w:val="center"/>
          </w:tcPr>
          <w:p w14:paraId="143AC9F2" w14:textId="390173D6" w:rsidR="00894733" w:rsidRPr="00505797" w:rsidRDefault="00ED67C3" w:rsidP="00505797">
            <w:pPr>
              <w:suppressAutoHyphens w:val="0"/>
              <w:autoSpaceDE w:val="0"/>
              <w:autoSpaceDN w:val="0"/>
              <w:adjustRightInd w:val="0"/>
              <w:jc w:val="both"/>
              <w:rPr>
                <w:rFonts w:ascii="Arial" w:hAnsi="Arial" w:cs="Arial"/>
                <w:sz w:val="20"/>
                <w:szCs w:val="20"/>
              </w:rPr>
            </w:pPr>
            <w:r w:rsidRPr="00505797">
              <w:rPr>
                <w:rFonts w:ascii="Arial" w:hAnsi="Arial" w:cs="Arial"/>
                <w:sz w:val="20"/>
                <w:szCs w:val="20"/>
              </w:rPr>
              <w:t>Na proračunski postavki 765210 so zagotovljena sredstva za izvajanje ukrepov E8 (MZI)</w:t>
            </w:r>
            <w:r w:rsidR="00A2114C">
              <w:rPr>
                <w:rFonts w:ascii="Arial" w:hAnsi="Arial" w:cs="Arial"/>
                <w:sz w:val="20"/>
                <w:szCs w:val="20"/>
              </w:rPr>
              <w:t>,</w:t>
            </w:r>
            <w:r w:rsidRPr="00505797">
              <w:rPr>
                <w:rFonts w:ascii="Arial" w:hAnsi="Arial" w:cs="Arial"/>
                <w:sz w:val="20"/>
                <w:szCs w:val="20"/>
              </w:rPr>
              <w:t xml:space="preserve"> E1</w:t>
            </w:r>
            <w:r w:rsidR="00C80652" w:rsidRPr="00505797">
              <w:rPr>
                <w:rFonts w:ascii="Arial" w:hAnsi="Arial" w:cs="Arial"/>
                <w:sz w:val="20"/>
                <w:szCs w:val="20"/>
              </w:rPr>
              <w:t>5</w:t>
            </w:r>
            <w:r w:rsidRPr="00505797">
              <w:rPr>
                <w:rFonts w:ascii="Arial" w:hAnsi="Arial" w:cs="Arial"/>
                <w:sz w:val="20"/>
                <w:szCs w:val="20"/>
              </w:rPr>
              <w:t>, E</w:t>
            </w:r>
            <w:r w:rsidR="00C80652" w:rsidRPr="00505797">
              <w:rPr>
                <w:rFonts w:ascii="Arial" w:hAnsi="Arial" w:cs="Arial"/>
                <w:sz w:val="20"/>
                <w:szCs w:val="20"/>
              </w:rPr>
              <w:t>19</w:t>
            </w:r>
            <w:r w:rsidRPr="00505797">
              <w:rPr>
                <w:rFonts w:ascii="Arial" w:hAnsi="Arial" w:cs="Arial"/>
                <w:sz w:val="20"/>
                <w:szCs w:val="20"/>
              </w:rPr>
              <w:t>, E2</w:t>
            </w:r>
            <w:r w:rsidR="00C80652" w:rsidRPr="00505797">
              <w:rPr>
                <w:rFonts w:ascii="Arial" w:hAnsi="Arial" w:cs="Arial"/>
                <w:sz w:val="20"/>
                <w:szCs w:val="20"/>
              </w:rPr>
              <w:t>0</w:t>
            </w:r>
            <w:r w:rsidRPr="00505797">
              <w:rPr>
                <w:rFonts w:ascii="Arial" w:hAnsi="Arial" w:cs="Arial"/>
                <w:sz w:val="20"/>
                <w:szCs w:val="20"/>
              </w:rPr>
              <w:t>, E2</w:t>
            </w:r>
            <w:r w:rsidR="00C80652" w:rsidRPr="00505797">
              <w:rPr>
                <w:rFonts w:ascii="Arial" w:hAnsi="Arial" w:cs="Arial"/>
                <w:sz w:val="20"/>
                <w:szCs w:val="20"/>
              </w:rPr>
              <w:t>4</w:t>
            </w:r>
            <w:r w:rsidRPr="00505797">
              <w:rPr>
                <w:rFonts w:ascii="Arial" w:hAnsi="Arial" w:cs="Arial"/>
                <w:sz w:val="20"/>
                <w:szCs w:val="20"/>
              </w:rPr>
              <w:t xml:space="preserve">, UZP </w:t>
            </w:r>
            <w:r w:rsidR="0062021D">
              <w:rPr>
                <w:rFonts w:ascii="Arial" w:hAnsi="Arial" w:cs="Arial"/>
                <w:sz w:val="20"/>
                <w:szCs w:val="20"/>
              </w:rPr>
              <w:t>1 in UZP</w:t>
            </w:r>
            <w:r w:rsidRPr="00505797">
              <w:rPr>
                <w:rFonts w:ascii="Arial" w:hAnsi="Arial" w:cs="Arial"/>
                <w:sz w:val="20"/>
                <w:szCs w:val="20"/>
              </w:rPr>
              <w:t>2</w:t>
            </w:r>
            <w:r w:rsidR="0062021D">
              <w:rPr>
                <w:rFonts w:ascii="Arial" w:hAnsi="Arial" w:cs="Arial"/>
                <w:sz w:val="20"/>
                <w:szCs w:val="20"/>
              </w:rPr>
              <w:t>,</w:t>
            </w:r>
            <w:r w:rsidRPr="00505797">
              <w:rPr>
                <w:rFonts w:ascii="Arial" w:hAnsi="Arial" w:cs="Arial"/>
                <w:sz w:val="20"/>
                <w:szCs w:val="20"/>
              </w:rPr>
              <w:t xml:space="preserve"> V3</w:t>
            </w:r>
            <w:r w:rsidR="0062021D">
              <w:rPr>
                <w:rFonts w:ascii="Arial" w:hAnsi="Arial" w:cs="Arial"/>
                <w:sz w:val="20"/>
                <w:szCs w:val="20"/>
              </w:rPr>
              <w:t xml:space="preserve"> in </w:t>
            </w:r>
            <w:r w:rsidRPr="00505797">
              <w:rPr>
                <w:rFonts w:ascii="Arial" w:hAnsi="Arial" w:cs="Arial"/>
                <w:sz w:val="20"/>
                <w:szCs w:val="20"/>
              </w:rPr>
              <w:t xml:space="preserve">V4. </w:t>
            </w:r>
            <w:r w:rsidR="00E1019D">
              <w:rPr>
                <w:rFonts w:ascii="Arial" w:hAnsi="Arial" w:cs="Arial"/>
                <w:sz w:val="20"/>
                <w:szCs w:val="20"/>
              </w:rPr>
              <w:t xml:space="preserve">Na proračunski postavki </w:t>
            </w:r>
            <w:r w:rsidR="00367EE1" w:rsidRPr="00505797">
              <w:rPr>
                <w:rFonts w:ascii="Arial" w:hAnsi="Arial" w:cs="Arial"/>
                <w:sz w:val="20"/>
                <w:szCs w:val="20"/>
              </w:rPr>
              <w:t>97</w:t>
            </w:r>
            <w:r w:rsidR="001F0FAB">
              <w:rPr>
                <w:rFonts w:ascii="Arial" w:hAnsi="Arial" w:cs="Arial"/>
                <w:sz w:val="20"/>
                <w:szCs w:val="20"/>
              </w:rPr>
              <w:t>8</w:t>
            </w:r>
            <w:r w:rsidR="00367EE1" w:rsidRPr="00505797">
              <w:rPr>
                <w:rFonts w:ascii="Arial" w:hAnsi="Arial" w:cs="Arial"/>
                <w:sz w:val="20"/>
                <w:szCs w:val="20"/>
              </w:rPr>
              <w:t>610 so zagotovljena sredstva za ukrep E25.</w:t>
            </w:r>
          </w:p>
          <w:p w14:paraId="2E620455" w14:textId="77777777" w:rsidR="00C80652" w:rsidRPr="00505797" w:rsidRDefault="00C80652" w:rsidP="00505797">
            <w:pPr>
              <w:suppressAutoHyphens w:val="0"/>
              <w:autoSpaceDE w:val="0"/>
              <w:autoSpaceDN w:val="0"/>
              <w:adjustRightInd w:val="0"/>
              <w:jc w:val="both"/>
              <w:rPr>
                <w:rFonts w:ascii="Arial" w:hAnsi="Arial" w:cs="Arial"/>
                <w:sz w:val="20"/>
                <w:szCs w:val="20"/>
              </w:rPr>
            </w:pPr>
            <w:r w:rsidRPr="00505797">
              <w:rPr>
                <w:rFonts w:ascii="Arial" w:hAnsi="Arial" w:cs="Arial"/>
                <w:sz w:val="20"/>
                <w:szCs w:val="20"/>
              </w:rPr>
              <w:t>Ukrepa E1 in E2 se financirata s sredstvi za učinkovito rabo energije na podlagi EZ1 in v skladu s poslovno finančnim načrtom EKO Sklada za vsako posamezno leto. Ukrep</w:t>
            </w:r>
            <w:r w:rsidR="006100DD" w:rsidRPr="00505797">
              <w:rPr>
                <w:rFonts w:ascii="Arial" w:hAnsi="Arial" w:cs="Arial"/>
                <w:sz w:val="20"/>
                <w:szCs w:val="20"/>
              </w:rPr>
              <w:t>a</w:t>
            </w:r>
            <w:r w:rsidRPr="00505797">
              <w:rPr>
                <w:rFonts w:ascii="Arial" w:hAnsi="Arial" w:cs="Arial"/>
                <w:sz w:val="20"/>
                <w:szCs w:val="20"/>
              </w:rPr>
              <w:t xml:space="preserve"> E5 </w:t>
            </w:r>
            <w:r w:rsidR="006100DD" w:rsidRPr="00505797">
              <w:rPr>
                <w:rFonts w:ascii="Arial" w:hAnsi="Arial" w:cs="Arial"/>
                <w:sz w:val="20"/>
                <w:szCs w:val="20"/>
              </w:rPr>
              <w:t xml:space="preserve">in SZP 2 </w:t>
            </w:r>
            <w:r w:rsidRPr="00505797">
              <w:rPr>
                <w:rFonts w:ascii="Arial" w:hAnsi="Arial" w:cs="Arial"/>
                <w:sz w:val="20"/>
                <w:szCs w:val="20"/>
              </w:rPr>
              <w:t>se financira</w:t>
            </w:r>
            <w:r w:rsidR="006100DD" w:rsidRPr="00505797">
              <w:rPr>
                <w:rFonts w:ascii="Arial" w:hAnsi="Arial" w:cs="Arial"/>
                <w:sz w:val="20"/>
                <w:szCs w:val="20"/>
              </w:rPr>
              <w:t>ta</w:t>
            </w:r>
            <w:r w:rsidRPr="00505797">
              <w:rPr>
                <w:rFonts w:ascii="Arial" w:hAnsi="Arial" w:cs="Arial"/>
                <w:sz w:val="20"/>
                <w:szCs w:val="20"/>
              </w:rPr>
              <w:t xml:space="preserve"> iz sredstev podnebnega sklada v skladu s </w:t>
            </w:r>
            <w:r w:rsidR="006100DD" w:rsidRPr="00505797">
              <w:rPr>
                <w:rFonts w:ascii="Arial" w:hAnsi="Arial" w:cs="Arial"/>
                <w:sz w:val="20"/>
                <w:szCs w:val="20"/>
              </w:rPr>
              <w:t>P</w:t>
            </w:r>
            <w:r w:rsidRPr="00505797">
              <w:rPr>
                <w:rFonts w:ascii="Arial" w:hAnsi="Arial" w:cs="Arial"/>
                <w:sz w:val="20"/>
                <w:szCs w:val="20"/>
              </w:rPr>
              <w:t xml:space="preserve">rogramom </w:t>
            </w:r>
            <w:r w:rsidR="006100DD" w:rsidRPr="00505797">
              <w:rPr>
                <w:rFonts w:ascii="Arial" w:hAnsi="Arial" w:cs="Arial"/>
                <w:sz w:val="20"/>
                <w:szCs w:val="20"/>
              </w:rPr>
              <w:t>porabe sredstev Sklada za p</w:t>
            </w:r>
            <w:r w:rsidRPr="00505797">
              <w:rPr>
                <w:rFonts w:ascii="Arial" w:hAnsi="Arial" w:cs="Arial"/>
                <w:sz w:val="20"/>
                <w:szCs w:val="20"/>
              </w:rPr>
              <w:t>odnebne</w:t>
            </w:r>
            <w:r w:rsidR="006100DD" w:rsidRPr="00505797">
              <w:rPr>
                <w:rFonts w:ascii="Arial" w:hAnsi="Arial" w:cs="Arial"/>
                <w:sz w:val="20"/>
                <w:szCs w:val="20"/>
              </w:rPr>
              <w:t xml:space="preserve"> spremembe v letu 2019 (ukrep zamenjave avtobusov JPP)</w:t>
            </w:r>
            <w:r w:rsidRPr="00505797">
              <w:rPr>
                <w:rFonts w:ascii="Arial" w:hAnsi="Arial" w:cs="Arial"/>
                <w:sz w:val="20"/>
                <w:szCs w:val="20"/>
              </w:rPr>
              <w:t xml:space="preserve">. </w:t>
            </w:r>
          </w:p>
          <w:p w14:paraId="014D0C4C" w14:textId="77777777" w:rsidR="00894733" w:rsidRPr="00D462AF" w:rsidRDefault="00953162" w:rsidP="00505797">
            <w:pPr>
              <w:suppressAutoHyphens w:val="0"/>
              <w:autoSpaceDE w:val="0"/>
              <w:autoSpaceDN w:val="0"/>
              <w:adjustRightInd w:val="0"/>
              <w:jc w:val="both"/>
              <w:rPr>
                <w:sz w:val="20"/>
                <w:szCs w:val="20"/>
              </w:rPr>
            </w:pPr>
            <w:r w:rsidRPr="00505797">
              <w:rPr>
                <w:rFonts w:ascii="Arial" w:hAnsi="Arial" w:cs="Arial"/>
                <w:sz w:val="20"/>
                <w:szCs w:val="20"/>
              </w:rPr>
              <w:t>Ukrep E26 se financira iz sredstev Dogovora za razvoj regij na podlagi podpisanih dogovorov z Osrednjo slovensko in Obalno kraško regijo.</w:t>
            </w:r>
          </w:p>
        </w:tc>
      </w:tr>
      <w:tr w:rsidR="00F02B4B" w:rsidRPr="00D462AF" w14:paraId="2F567BF1" w14:textId="77777777" w:rsidTr="00665E21">
        <w:trPr>
          <w:gridBefore w:val="1"/>
          <w:wBefore w:w="8" w:type="dxa"/>
          <w:cantSplit/>
          <w:trHeight w:val="95"/>
        </w:trPr>
        <w:tc>
          <w:tcPr>
            <w:tcW w:w="5951" w:type="dxa"/>
            <w:gridSpan w:val="8"/>
            <w:tcBorders>
              <w:top w:val="single" w:sz="4" w:space="0" w:color="auto"/>
              <w:left w:val="single" w:sz="4" w:space="0" w:color="auto"/>
              <w:bottom w:val="single" w:sz="4" w:space="0" w:color="auto"/>
              <w:right w:val="single" w:sz="4" w:space="0" w:color="auto"/>
            </w:tcBorders>
            <w:vAlign w:val="center"/>
          </w:tcPr>
          <w:p w14:paraId="5F4A7F0C" w14:textId="77777777" w:rsidR="00F02B4B" w:rsidRPr="00D462AF" w:rsidRDefault="00F02B4B" w:rsidP="00D462AF">
            <w:pPr>
              <w:pStyle w:val="Naslov1"/>
              <w:keepNext w:val="0"/>
              <w:widowControl w:val="0"/>
              <w:tabs>
                <w:tab w:val="left" w:pos="360"/>
              </w:tabs>
              <w:spacing w:before="0" w:after="0" w:line="260" w:lineRule="atLeast"/>
              <w:rPr>
                <w:sz w:val="20"/>
                <w:szCs w:val="20"/>
              </w:rPr>
            </w:pPr>
            <w:r w:rsidRPr="00D462AF">
              <w:rPr>
                <w:sz w:val="20"/>
                <w:szCs w:val="20"/>
              </w:rPr>
              <w:t>SKUPAJ</w:t>
            </w:r>
          </w:p>
        </w:tc>
        <w:tc>
          <w:tcPr>
            <w:tcW w:w="1662" w:type="dxa"/>
            <w:gridSpan w:val="5"/>
            <w:tcBorders>
              <w:top w:val="single" w:sz="4" w:space="0" w:color="auto"/>
              <w:left w:val="single" w:sz="4" w:space="0" w:color="auto"/>
              <w:bottom w:val="single" w:sz="4" w:space="0" w:color="auto"/>
              <w:right w:val="single" w:sz="4" w:space="0" w:color="auto"/>
            </w:tcBorders>
            <w:vAlign w:val="center"/>
          </w:tcPr>
          <w:p w14:paraId="47F8D0F3" w14:textId="669F546F" w:rsidR="00F02B4B" w:rsidRPr="00665E21" w:rsidRDefault="00665E21" w:rsidP="00D462AF">
            <w:pPr>
              <w:widowControl w:val="0"/>
              <w:spacing w:line="260" w:lineRule="atLeast"/>
              <w:jc w:val="center"/>
              <w:rPr>
                <w:rFonts w:ascii="Arial" w:hAnsi="Arial" w:cs="Arial"/>
                <w:b/>
                <w:sz w:val="20"/>
                <w:szCs w:val="20"/>
              </w:rPr>
            </w:pPr>
            <w:r w:rsidRPr="00665E21">
              <w:rPr>
                <w:rFonts w:ascii="Arial" w:hAnsi="Arial" w:cs="Arial"/>
                <w:b/>
                <w:sz w:val="20"/>
                <w:szCs w:val="20"/>
              </w:rPr>
              <w:t>2.016.839 EUR</w:t>
            </w:r>
          </w:p>
        </w:tc>
        <w:tc>
          <w:tcPr>
            <w:tcW w:w="1587" w:type="dxa"/>
            <w:gridSpan w:val="2"/>
            <w:tcBorders>
              <w:top w:val="single" w:sz="4" w:space="0" w:color="auto"/>
              <w:left w:val="single" w:sz="4" w:space="0" w:color="auto"/>
              <w:bottom w:val="single" w:sz="4" w:space="0" w:color="auto"/>
              <w:right w:val="single" w:sz="4" w:space="0" w:color="auto"/>
            </w:tcBorders>
            <w:vAlign w:val="center"/>
          </w:tcPr>
          <w:p w14:paraId="2F74CFD9" w14:textId="09771C57" w:rsidR="00F02B4B" w:rsidRPr="00D462AF" w:rsidRDefault="00E96B45" w:rsidP="00E96B45">
            <w:pPr>
              <w:pStyle w:val="Naslov1"/>
              <w:keepNext w:val="0"/>
              <w:widowControl w:val="0"/>
              <w:tabs>
                <w:tab w:val="left" w:pos="360"/>
              </w:tabs>
              <w:spacing w:before="0" w:after="0" w:line="260" w:lineRule="atLeast"/>
              <w:jc w:val="center"/>
              <w:rPr>
                <w:sz w:val="20"/>
                <w:szCs w:val="20"/>
              </w:rPr>
            </w:pPr>
            <w:r>
              <w:rPr>
                <w:sz w:val="20"/>
                <w:szCs w:val="20"/>
              </w:rPr>
              <w:t>5.980.000</w:t>
            </w:r>
            <w:r w:rsidR="00665E21">
              <w:rPr>
                <w:sz w:val="20"/>
                <w:szCs w:val="20"/>
              </w:rPr>
              <w:t xml:space="preserve"> EUR</w:t>
            </w:r>
          </w:p>
        </w:tc>
      </w:tr>
      <w:tr w:rsidR="00F02B4B" w:rsidRPr="00D462AF" w14:paraId="09E8F4A2" w14:textId="77777777" w:rsidTr="001E5919">
        <w:trPr>
          <w:gridBefore w:val="1"/>
          <w:wBefore w:w="8" w:type="dxa"/>
          <w:cantSplit/>
          <w:trHeight w:val="294"/>
        </w:trPr>
        <w:tc>
          <w:tcPr>
            <w:tcW w:w="9200" w:type="dxa"/>
            <w:gridSpan w:val="15"/>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3DDAAAA" w14:textId="77777777" w:rsidR="00F02B4B" w:rsidRPr="00D462AF" w:rsidRDefault="00F02B4B" w:rsidP="00D462AF">
            <w:pPr>
              <w:pStyle w:val="Naslov1"/>
              <w:keepNext w:val="0"/>
              <w:widowControl w:val="0"/>
              <w:tabs>
                <w:tab w:val="left" w:pos="2340"/>
              </w:tabs>
              <w:spacing w:before="0" w:after="0" w:line="260" w:lineRule="atLeast"/>
              <w:rPr>
                <w:sz w:val="20"/>
                <w:szCs w:val="20"/>
              </w:rPr>
            </w:pPr>
            <w:proofErr w:type="spellStart"/>
            <w:r w:rsidRPr="00D462AF">
              <w:rPr>
                <w:sz w:val="20"/>
                <w:szCs w:val="20"/>
              </w:rPr>
              <w:t>II.b</w:t>
            </w:r>
            <w:proofErr w:type="spellEnd"/>
            <w:r w:rsidRPr="00D462AF">
              <w:rPr>
                <w:sz w:val="20"/>
                <w:szCs w:val="20"/>
              </w:rPr>
              <w:t xml:space="preserve"> Manjkajoče pravice porabe bodo zagotovljene s prerazporeditvijo:</w:t>
            </w:r>
          </w:p>
        </w:tc>
      </w:tr>
      <w:tr w:rsidR="00F02B4B" w:rsidRPr="00D462AF" w14:paraId="1DF8102D" w14:textId="77777777" w:rsidTr="001E5919">
        <w:trPr>
          <w:gridBefore w:val="1"/>
          <w:wBefore w:w="8" w:type="dxa"/>
          <w:cantSplit/>
          <w:trHeight w:val="100"/>
        </w:trPr>
        <w:tc>
          <w:tcPr>
            <w:tcW w:w="1941" w:type="dxa"/>
            <w:gridSpan w:val="2"/>
            <w:tcBorders>
              <w:top w:val="single" w:sz="4" w:space="0" w:color="auto"/>
              <w:left w:val="single" w:sz="4" w:space="0" w:color="auto"/>
              <w:bottom w:val="single" w:sz="4" w:space="0" w:color="auto"/>
              <w:right w:val="single" w:sz="4" w:space="0" w:color="auto"/>
            </w:tcBorders>
            <w:vAlign w:val="center"/>
          </w:tcPr>
          <w:p w14:paraId="48FD9928" w14:textId="77777777" w:rsidR="00F02B4B" w:rsidRPr="00D462AF" w:rsidRDefault="00F02B4B" w:rsidP="00D462AF">
            <w:pPr>
              <w:widowControl w:val="0"/>
              <w:spacing w:line="260" w:lineRule="atLeast"/>
              <w:jc w:val="center"/>
              <w:rPr>
                <w:rFonts w:ascii="Arial" w:hAnsi="Arial" w:cs="Arial"/>
                <w:sz w:val="20"/>
                <w:szCs w:val="20"/>
              </w:rPr>
            </w:pPr>
            <w:r w:rsidRPr="00D462AF">
              <w:rPr>
                <w:rFonts w:ascii="Arial" w:hAnsi="Arial" w:cs="Arial"/>
                <w:sz w:val="20"/>
                <w:szCs w:val="20"/>
              </w:rPr>
              <w:t xml:space="preserve">Ime proračunskega uporabnika </w:t>
            </w:r>
          </w:p>
        </w:tc>
        <w:tc>
          <w:tcPr>
            <w:tcW w:w="2070" w:type="dxa"/>
            <w:gridSpan w:val="3"/>
            <w:tcBorders>
              <w:top w:val="single" w:sz="4" w:space="0" w:color="auto"/>
              <w:left w:val="single" w:sz="4" w:space="0" w:color="auto"/>
              <w:bottom w:val="single" w:sz="4" w:space="0" w:color="auto"/>
              <w:right w:val="single" w:sz="4" w:space="0" w:color="auto"/>
            </w:tcBorders>
            <w:vAlign w:val="center"/>
          </w:tcPr>
          <w:p w14:paraId="43E9771C" w14:textId="77777777" w:rsidR="00F02B4B" w:rsidRPr="00D462AF" w:rsidRDefault="00F02B4B" w:rsidP="00D462AF">
            <w:pPr>
              <w:widowControl w:val="0"/>
              <w:spacing w:line="260" w:lineRule="atLeast"/>
              <w:jc w:val="center"/>
              <w:rPr>
                <w:rFonts w:ascii="Arial" w:hAnsi="Arial" w:cs="Arial"/>
                <w:sz w:val="20"/>
                <w:szCs w:val="20"/>
              </w:rPr>
            </w:pPr>
            <w:r w:rsidRPr="00D462AF">
              <w:rPr>
                <w:rFonts w:ascii="Arial" w:hAnsi="Arial" w:cs="Arial"/>
                <w:sz w:val="20"/>
                <w:szCs w:val="20"/>
              </w:rPr>
              <w:t>Šifra in naziv ukrepa, projekta</w:t>
            </w:r>
          </w:p>
        </w:tc>
        <w:tc>
          <w:tcPr>
            <w:tcW w:w="1940" w:type="dxa"/>
            <w:gridSpan w:val="3"/>
            <w:tcBorders>
              <w:top w:val="single" w:sz="4" w:space="0" w:color="auto"/>
              <w:left w:val="single" w:sz="4" w:space="0" w:color="auto"/>
              <w:bottom w:val="single" w:sz="4" w:space="0" w:color="auto"/>
              <w:right w:val="single" w:sz="4" w:space="0" w:color="auto"/>
            </w:tcBorders>
            <w:vAlign w:val="center"/>
          </w:tcPr>
          <w:p w14:paraId="6E8B565E" w14:textId="77777777" w:rsidR="00F02B4B" w:rsidRPr="00D462AF" w:rsidRDefault="00F02B4B" w:rsidP="00D462AF">
            <w:pPr>
              <w:widowControl w:val="0"/>
              <w:spacing w:line="260" w:lineRule="atLeast"/>
              <w:jc w:val="center"/>
              <w:rPr>
                <w:rFonts w:ascii="Arial" w:hAnsi="Arial" w:cs="Arial"/>
                <w:sz w:val="20"/>
                <w:szCs w:val="20"/>
              </w:rPr>
            </w:pPr>
            <w:r w:rsidRPr="00D462AF">
              <w:rPr>
                <w:rFonts w:ascii="Arial" w:hAnsi="Arial" w:cs="Arial"/>
                <w:sz w:val="20"/>
                <w:szCs w:val="20"/>
              </w:rPr>
              <w:t xml:space="preserve">Šifra in naziv proračunske postavke </w:t>
            </w:r>
          </w:p>
        </w:tc>
        <w:tc>
          <w:tcPr>
            <w:tcW w:w="1354" w:type="dxa"/>
            <w:gridSpan w:val="4"/>
            <w:tcBorders>
              <w:top w:val="single" w:sz="4" w:space="0" w:color="auto"/>
              <w:left w:val="single" w:sz="4" w:space="0" w:color="auto"/>
              <w:bottom w:val="single" w:sz="4" w:space="0" w:color="auto"/>
              <w:right w:val="single" w:sz="4" w:space="0" w:color="auto"/>
            </w:tcBorders>
            <w:vAlign w:val="center"/>
          </w:tcPr>
          <w:p w14:paraId="727D553F" w14:textId="77777777" w:rsidR="00F02B4B" w:rsidRPr="00D462AF" w:rsidRDefault="00F02B4B" w:rsidP="00D462AF">
            <w:pPr>
              <w:widowControl w:val="0"/>
              <w:spacing w:line="260" w:lineRule="atLeast"/>
              <w:jc w:val="center"/>
              <w:rPr>
                <w:rFonts w:ascii="Arial" w:hAnsi="Arial" w:cs="Arial"/>
                <w:sz w:val="20"/>
                <w:szCs w:val="20"/>
              </w:rPr>
            </w:pPr>
            <w:r w:rsidRPr="00D462AF">
              <w:rPr>
                <w:rFonts w:ascii="Arial" w:hAnsi="Arial" w:cs="Arial"/>
                <w:sz w:val="20"/>
                <w:szCs w:val="20"/>
              </w:rPr>
              <w:t>Znesek za tekoče leto (t)</w:t>
            </w:r>
          </w:p>
        </w:tc>
        <w:tc>
          <w:tcPr>
            <w:tcW w:w="1895" w:type="dxa"/>
            <w:gridSpan w:val="3"/>
            <w:tcBorders>
              <w:top w:val="single" w:sz="4" w:space="0" w:color="auto"/>
              <w:left w:val="single" w:sz="4" w:space="0" w:color="auto"/>
              <w:bottom w:val="single" w:sz="4" w:space="0" w:color="auto"/>
              <w:right w:val="single" w:sz="4" w:space="0" w:color="auto"/>
            </w:tcBorders>
            <w:vAlign w:val="center"/>
          </w:tcPr>
          <w:p w14:paraId="4D3C50E4" w14:textId="77777777" w:rsidR="00F02B4B" w:rsidRPr="00D462AF" w:rsidRDefault="00F02B4B" w:rsidP="00D462AF">
            <w:pPr>
              <w:widowControl w:val="0"/>
              <w:spacing w:line="260" w:lineRule="atLeast"/>
              <w:jc w:val="center"/>
              <w:rPr>
                <w:rFonts w:ascii="Arial" w:hAnsi="Arial" w:cs="Arial"/>
                <w:sz w:val="20"/>
                <w:szCs w:val="20"/>
              </w:rPr>
            </w:pPr>
            <w:r w:rsidRPr="00D462AF">
              <w:rPr>
                <w:rFonts w:ascii="Arial" w:hAnsi="Arial" w:cs="Arial"/>
                <w:sz w:val="20"/>
                <w:szCs w:val="20"/>
              </w:rPr>
              <w:t xml:space="preserve">Znesek za t + 1 </w:t>
            </w:r>
          </w:p>
        </w:tc>
      </w:tr>
      <w:tr w:rsidR="002C19CD" w:rsidRPr="00D462AF" w14:paraId="03396EC7" w14:textId="77777777" w:rsidTr="00404B6F">
        <w:trPr>
          <w:gridBefore w:val="1"/>
          <w:wBefore w:w="8" w:type="dxa"/>
          <w:cantSplit/>
          <w:trHeight w:val="268"/>
        </w:trPr>
        <w:tc>
          <w:tcPr>
            <w:tcW w:w="9200" w:type="dxa"/>
            <w:gridSpan w:val="15"/>
            <w:tcBorders>
              <w:top w:val="single" w:sz="4" w:space="0" w:color="auto"/>
              <w:left w:val="single" w:sz="4" w:space="0" w:color="auto"/>
              <w:right w:val="single" w:sz="4" w:space="0" w:color="auto"/>
            </w:tcBorders>
            <w:vAlign w:val="center"/>
          </w:tcPr>
          <w:p w14:paraId="50913D8D" w14:textId="77777777" w:rsidR="00C31064" w:rsidRDefault="00C31064" w:rsidP="002C19CD">
            <w:pPr>
              <w:suppressAutoHyphens w:val="0"/>
              <w:autoSpaceDE w:val="0"/>
              <w:autoSpaceDN w:val="0"/>
              <w:adjustRightInd w:val="0"/>
              <w:rPr>
                <w:rFonts w:ascii="Helv" w:hAnsi="Helv" w:cs="Helv"/>
                <w:color w:val="000000"/>
                <w:sz w:val="20"/>
                <w:szCs w:val="20"/>
                <w:lang w:eastAsia="sl-SI"/>
              </w:rPr>
            </w:pPr>
          </w:p>
          <w:p w14:paraId="6EF334B1" w14:textId="77777777" w:rsidR="002C19CD" w:rsidRPr="00D462AF" w:rsidRDefault="002C19CD" w:rsidP="002C19CD">
            <w:pPr>
              <w:pStyle w:val="Naslov1"/>
              <w:keepNext w:val="0"/>
              <w:widowControl w:val="0"/>
              <w:tabs>
                <w:tab w:val="left" w:pos="360"/>
              </w:tabs>
              <w:spacing w:before="0" w:after="0" w:line="260" w:lineRule="atLeast"/>
              <w:rPr>
                <w:b w:val="0"/>
                <w:bCs w:val="0"/>
                <w:sz w:val="20"/>
                <w:szCs w:val="20"/>
              </w:rPr>
            </w:pPr>
          </w:p>
        </w:tc>
      </w:tr>
      <w:tr w:rsidR="00F02B4B" w:rsidRPr="00D462AF" w14:paraId="01F09559" w14:textId="77777777" w:rsidTr="001E5919">
        <w:trPr>
          <w:gridBefore w:val="1"/>
          <w:wBefore w:w="8" w:type="dxa"/>
          <w:cantSplit/>
          <w:trHeight w:val="95"/>
        </w:trPr>
        <w:tc>
          <w:tcPr>
            <w:tcW w:w="5951" w:type="dxa"/>
            <w:gridSpan w:val="8"/>
            <w:tcBorders>
              <w:top w:val="single" w:sz="4" w:space="0" w:color="auto"/>
              <w:left w:val="single" w:sz="4" w:space="0" w:color="auto"/>
              <w:bottom w:val="single" w:sz="4" w:space="0" w:color="auto"/>
              <w:right w:val="single" w:sz="4" w:space="0" w:color="auto"/>
            </w:tcBorders>
            <w:vAlign w:val="center"/>
          </w:tcPr>
          <w:p w14:paraId="4D5B812A" w14:textId="77777777" w:rsidR="00F02B4B" w:rsidRPr="00D462AF" w:rsidRDefault="00F02B4B" w:rsidP="00D462AF">
            <w:pPr>
              <w:pStyle w:val="Naslov1"/>
              <w:keepNext w:val="0"/>
              <w:widowControl w:val="0"/>
              <w:tabs>
                <w:tab w:val="left" w:pos="360"/>
              </w:tabs>
              <w:spacing w:before="0" w:after="0" w:line="260" w:lineRule="atLeast"/>
              <w:rPr>
                <w:sz w:val="20"/>
                <w:szCs w:val="20"/>
              </w:rPr>
            </w:pPr>
            <w:r w:rsidRPr="00D462AF">
              <w:rPr>
                <w:sz w:val="20"/>
                <w:szCs w:val="20"/>
              </w:rPr>
              <w:t>SKUPAJ</w:t>
            </w:r>
          </w:p>
        </w:tc>
        <w:tc>
          <w:tcPr>
            <w:tcW w:w="1354" w:type="dxa"/>
            <w:gridSpan w:val="4"/>
            <w:tcBorders>
              <w:top w:val="single" w:sz="4" w:space="0" w:color="auto"/>
              <w:left w:val="single" w:sz="4" w:space="0" w:color="auto"/>
              <w:bottom w:val="single" w:sz="4" w:space="0" w:color="auto"/>
              <w:right w:val="single" w:sz="4" w:space="0" w:color="auto"/>
            </w:tcBorders>
            <w:vAlign w:val="center"/>
          </w:tcPr>
          <w:p w14:paraId="4A76FCEE" w14:textId="77777777" w:rsidR="00F02B4B" w:rsidRPr="00D462AF" w:rsidRDefault="00F02B4B" w:rsidP="00D462AF">
            <w:pPr>
              <w:pStyle w:val="Naslov1"/>
              <w:keepNext w:val="0"/>
              <w:widowControl w:val="0"/>
              <w:tabs>
                <w:tab w:val="left" w:pos="360"/>
              </w:tabs>
              <w:spacing w:before="0" w:after="0" w:line="260" w:lineRule="atLeast"/>
              <w:rPr>
                <w:sz w:val="20"/>
                <w:szCs w:val="20"/>
              </w:rPr>
            </w:pPr>
          </w:p>
        </w:tc>
        <w:tc>
          <w:tcPr>
            <w:tcW w:w="1895" w:type="dxa"/>
            <w:gridSpan w:val="3"/>
            <w:tcBorders>
              <w:top w:val="single" w:sz="4" w:space="0" w:color="auto"/>
              <w:left w:val="single" w:sz="4" w:space="0" w:color="auto"/>
              <w:bottom w:val="single" w:sz="4" w:space="0" w:color="auto"/>
              <w:right w:val="single" w:sz="4" w:space="0" w:color="auto"/>
            </w:tcBorders>
            <w:vAlign w:val="center"/>
          </w:tcPr>
          <w:p w14:paraId="51D20AAE" w14:textId="77777777" w:rsidR="00F02B4B" w:rsidRPr="00D462AF" w:rsidRDefault="00F02B4B" w:rsidP="00D462AF">
            <w:pPr>
              <w:pStyle w:val="Naslov1"/>
              <w:keepNext w:val="0"/>
              <w:widowControl w:val="0"/>
              <w:tabs>
                <w:tab w:val="left" w:pos="360"/>
              </w:tabs>
              <w:spacing w:before="0" w:after="0" w:line="260" w:lineRule="atLeast"/>
              <w:rPr>
                <w:sz w:val="20"/>
                <w:szCs w:val="20"/>
              </w:rPr>
            </w:pPr>
          </w:p>
        </w:tc>
      </w:tr>
      <w:tr w:rsidR="00F02B4B" w:rsidRPr="00D462AF" w14:paraId="201F35E7" w14:textId="77777777" w:rsidTr="001E5919">
        <w:trPr>
          <w:gridBefore w:val="1"/>
          <w:wBefore w:w="8" w:type="dxa"/>
          <w:cantSplit/>
          <w:trHeight w:val="207"/>
        </w:trPr>
        <w:tc>
          <w:tcPr>
            <w:tcW w:w="9200" w:type="dxa"/>
            <w:gridSpan w:val="15"/>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59E2C89" w14:textId="77777777" w:rsidR="00F02B4B" w:rsidRPr="00D462AF" w:rsidRDefault="00F02B4B" w:rsidP="00D462AF">
            <w:pPr>
              <w:pStyle w:val="Naslov1"/>
              <w:keepNext w:val="0"/>
              <w:widowControl w:val="0"/>
              <w:tabs>
                <w:tab w:val="left" w:pos="2340"/>
              </w:tabs>
              <w:spacing w:before="0" w:after="0" w:line="260" w:lineRule="atLeast"/>
              <w:rPr>
                <w:sz w:val="20"/>
                <w:szCs w:val="20"/>
              </w:rPr>
            </w:pPr>
            <w:proofErr w:type="spellStart"/>
            <w:r w:rsidRPr="00D462AF">
              <w:rPr>
                <w:sz w:val="20"/>
                <w:szCs w:val="20"/>
              </w:rPr>
              <w:t>II.c</w:t>
            </w:r>
            <w:proofErr w:type="spellEnd"/>
            <w:r w:rsidRPr="00D462AF">
              <w:rPr>
                <w:sz w:val="20"/>
                <w:szCs w:val="20"/>
              </w:rPr>
              <w:t xml:space="preserve"> Načrtovana nadomestitev zmanjšanih prihodkov in povečanih odhodkov proračuna:</w:t>
            </w:r>
          </w:p>
        </w:tc>
      </w:tr>
      <w:tr w:rsidR="00F02B4B" w:rsidRPr="00D462AF" w14:paraId="13007EE3" w14:textId="77777777" w:rsidTr="001E5919">
        <w:trPr>
          <w:gridBefore w:val="1"/>
          <w:wBefore w:w="8" w:type="dxa"/>
          <w:cantSplit/>
          <w:trHeight w:val="100"/>
        </w:trPr>
        <w:tc>
          <w:tcPr>
            <w:tcW w:w="4011" w:type="dxa"/>
            <w:gridSpan w:val="5"/>
            <w:tcBorders>
              <w:top w:val="single" w:sz="4" w:space="0" w:color="auto"/>
              <w:left w:val="single" w:sz="4" w:space="0" w:color="auto"/>
              <w:bottom w:val="single" w:sz="4" w:space="0" w:color="auto"/>
              <w:right w:val="single" w:sz="4" w:space="0" w:color="auto"/>
            </w:tcBorders>
            <w:vAlign w:val="center"/>
          </w:tcPr>
          <w:p w14:paraId="686396E1" w14:textId="77777777" w:rsidR="00F02B4B" w:rsidRPr="00D462AF" w:rsidRDefault="00F02B4B" w:rsidP="00D462AF">
            <w:pPr>
              <w:widowControl w:val="0"/>
              <w:spacing w:line="260" w:lineRule="atLeast"/>
              <w:ind w:left="-122" w:right="-112"/>
              <w:jc w:val="center"/>
              <w:rPr>
                <w:rFonts w:ascii="Arial" w:hAnsi="Arial" w:cs="Arial"/>
                <w:sz w:val="20"/>
                <w:szCs w:val="20"/>
              </w:rPr>
            </w:pPr>
            <w:r w:rsidRPr="00D462AF">
              <w:rPr>
                <w:rFonts w:ascii="Arial" w:hAnsi="Arial" w:cs="Arial"/>
                <w:sz w:val="20"/>
                <w:szCs w:val="20"/>
              </w:rPr>
              <w:t>Novi prihodki</w:t>
            </w:r>
          </w:p>
        </w:tc>
        <w:tc>
          <w:tcPr>
            <w:tcW w:w="2623" w:type="dxa"/>
            <w:gridSpan w:val="5"/>
            <w:tcBorders>
              <w:top w:val="single" w:sz="4" w:space="0" w:color="auto"/>
              <w:left w:val="single" w:sz="4" w:space="0" w:color="auto"/>
              <w:bottom w:val="single" w:sz="4" w:space="0" w:color="auto"/>
              <w:right w:val="single" w:sz="4" w:space="0" w:color="auto"/>
            </w:tcBorders>
            <w:vAlign w:val="center"/>
          </w:tcPr>
          <w:p w14:paraId="4FA01AA1" w14:textId="77777777" w:rsidR="00F02B4B" w:rsidRPr="00D462AF" w:rsidRDefault="00F02B4B" w:rsidP="00D462AF">
            <w:pPr>
              <w:widowControl w:val="0"/>
              <w:spacing w:line="260" w:lineRule="atLeast"/>
              <w:ind w:left="-122" w:right="-112"/>
              <w:jc w:val="center"/>
              <w:rPr>
                <w:rFonts w:ascii="Arial" w:hAnsi="Arial" w:cs="Arial"/>
                <w:sz w:val="20"/>
                <w:szCs w:val="20"/>
              </w:rPr>
            </w:pPr>
            <w:r w:rsidRPr="00D462AF">
              <w:rPr>
                <w:rFonts w:ascii="Arial" w:hAnsi="Arial" w:cs="Arial"/>
                <w:sz w:val="20"/>
                <w:szCs w:val="20"/>
              </w:rPr>
              <w:t>Znesek za tekoče leto (t)</w:t>
            </w:r>
          </w:p>
        </w:tc>
        <w:tc>
          <w:tcPr>
            <w:tcW w:w="2566" w:type="dxa"/>
            <w:gridSpan w:val="5"/>
            <w:tcBorders>
              <w:top w:val="single" w:sz="4" w:space="0" w:color="auto"/>
              <w:left w:val="single" w:sz="4" w:space="0" w:color="auto"/>
              <w:bottom w:val="single" w:sz="4" w:space="0" w:color="auto"/>
              <w:right w:val="single" w:sz="4" w:space="0" w:color="auto"/>
            </w:tcBorders>
            <w:vAlign w:val="center"/>
          </w:tcPr>
          <w:p w14:paraId="4C2A6F66" w14:textId="77777777" w:rsidR="00F02B4B" w:rsidRPr="00D462AF" w:rsidRDefault="00F02B4B" w:rsidP="00D462AF">
            <w:pPr>
              <w:widowControl w:val="0"/>
              <w:spacing w:line="260" w:lineRule="atLeast"/>
              <w:ind w:left="-122" w:right="-112"/>
              <w:jc w:val="center"/>
              <w:rPr>
                <w:rFonts w:ascii="Arial" w:hAnsi="Arial" w:cs="Arial"/>
                <w:sz w:val="20"/>
                <w:szCs w:val="20"/>
              </w:rPr>
            </w:pPr>
            <w:r w:rsidRPr="00D462AF">
              <w:rPr>
                <w:rFonts w:ascii="Arial" w:hAnsi="Arial" w:cs="Arial"/>
                <w:sz w:val="20"/>
                <w:szCs w:val="20"/>
              </w:rPr>
              <w:t>Znesek za t + 1</w:t>
            </w:r>
          </w:p>
        </w:tc>
      </w:tr>
      <w:tr w:rsidR="00F02B4B" w:rsidRPr="00D462AF" w14:paraId="15A8A5F0" w14:textId="77777777" w:rsidTr="001E5919">
        <w:trPr>
          <w:gridBefore w:val="1"/>
          <w:wBefore w:w="8" w:type="dxa"/>
          <w:cantSplit/>
          <w:trHeight w:val="95"/>
        </w:trPr>
        <w:tc>
          <w:tcPr>
            <w:tcW w:w="4011" w:type="dxa"/>
            <w:gridSpan w:val="5"/>
            <w:tcBorders>
              <w:top w:val="single" w:sz="4" w:space="0" w:color="auto"/>
              <w:left w:val="single" w:sz="4" w:space="0" w:color="auto"/>
              <w:bottom w:val="single" w:sz="4" w:space="0" w:color="auto"/>
              <w:right w:val="single" w:sz="4" w:space="0" w:color="auto"/>
            </w:tcBorders>
            <w:vAlign w:val="center"/>
          </w:tcPr>
          <w:p w14:paraId="15109459" w14:textId="77777777" w:rsidR="00F02B4B" w:rsidRPr="00D462AF" w:rsidRDefault="00F02B4B" w:rsidP="00D462AF">
            <w:pPr>
              <w:pStyle w:val="Naslov1"/>
              <w:keepNext w:val="0"/>
              <w:widowControl w:val="0"/>
              <w:tabs>
                <w:tab w:val="left" w:pos="360"/>
              </w:tabs>
              <w:spacing w:before="0" w:after="0" w:line="260" w:lineRule="atLeast"/>
              <w:rPr>
                <w:b w:val="0"/>
                <w:bCs w:val="0"/>
                <w:sz w:val="20"/>
                <w:szCs w:val="20"/>
              </w:rPr>
            </w:pPr>
          </w:p>
        </w:tc>
        <w:tc>
          <w:tcPr>
            <w:tcW w:w="2623" w:type="dxa"/>
            <w:gridSpan w:val="5"/>
            <w:tcBorders>
              <w:top w:val="single" w:sz="4" w:space="0" w:color="auto"/>
              <w:left w:val="single" w:sz="4" w:space="0" w:color="auto"/>
              <w:bottom w:val="single" w:sz="4" w:space="0" w:color="auto"/>
              <w:right w:val="single" w:sz="4" w:space="0" w:color="auto"/>
            </w:tcBorders>
            <w:vAlign w:val="center"/>
          </w:tcPr>
          <w:p w14:paraId="3817D18E" w14:textId="77777777" w:rsidR="00F02B4B" w:rsidRPr="00D462AF" w:rsidRDefault="00F02B4B" w:rsidP="00D462AF">
            <w:pPr>
              <w:pStyle w:val="Naslov1"/>
              <w:keepNext w:val="0"/>
              <w:widowControl w:val="0"/>
              <w:tabs>
                <w:tab w:val="left" w:pos="360"/>
              </w:tabs>
              <w:spacing w:before="0" w:after="0" w:line="260" w:lineRule="atLeast"/>
              <w:rPr>
                <w:b w:val="0"/>
                <w:bCs w:val="0"/>
                <w:sz w:val="20"/>
                <w:szCs w:val="20"/>
              </w:rPr>
            </w:pPr>
          </w:p>
        </w:tc>
        <w:tc>
          <w:tcPr>
            <w:tcW w:w="2566" w:type="dxa"/>
            <w:gridSpan w:val="5"/>
            <w:tcBorders>
              <w:top w:val="single" w:sz="4" w:space="0" w:color="auto"/>
              <w:left w:val="single" w:sz="4" w:space="0" w:color="auto"/>
              <w:bottom w:val="single" w:sz="4" w:space="0" w:color="auto"/>
              <w:right w:val="single" w:sz="4" w:space="0" w:color="auto"/>
            </w:tcBorders>
            <w:vAlign w:val="center"/>
          </w:tcPr>
          <w:p w14:paraId="04CF0969" w14:textId="77777777" w:rsidR="00F02B4B" w:rsidRPr="00D462AF" w:rsidRDefault="00F02B4B" w:rsidP="00D462AF">
            <w:pPr>
              <w:pStyle w:val="Naslov1"/>
              <w:keepNext w:val="0"/>
              <w:widowControl w:val="0"/>
              <w:tabs>
                <w:tab w:val="left" w:pos="360"/>
              </w:tabs>
              <w:spacing w:before="0" w:after="0" w:line="260" w:lineRule="atLeast"/>
              <w:rPr>
                <w:b w:val="0"/>
                <w:bCs w:val="0"/>
                <w:sz w:val="20"/>
                <w:szCs w:val="20"/>
              </w:rPr>
            </w:pPr>
          </w:p>
        </w:tc>
      </w:tr>
      <w:tr w:rsidR="00F02B4B" w:rsidRPr="00D462AF" w14:paraId="67F6F02F" w14:textId="77777777" w:rsidTr="001E5919">
        <w:trPr>
          <w:gridBefore w:val="1"/>
          <w:wBefore w:w="8" w:type="dxa"/>
          <w:cantSplit/>
          <w:trHeight w:val="95"/>
        </w:trPr>
        <w:tc>
          <w:tcPr>
            <w:tcW w:w="4011" w:type="dxa"/>
            <w:gridSpan w:val="5"/>
            <w:tcBorders>
              <w:top w:val="single" w:sz="4" w:space="0" w:color="auto"/>
              <w:left w:val="single" w:sz="4" w:space="0" w:color="auto"/>
              <w:bottom w:val="single" w:sz="4" w:space="0" w:color="auto"/>
              <w:right w:val="single" w:sz="4" w:space="0" w:color="auto"/>
            </w:tcBorders>
            <w:vAlign w:val="center"/>
          </w:tcPr>
          <w:p w14:paraId="01F2A2C9" w14:textId="77777777" w:rsidR="00F02B4B" w:rsidRPr="00D462AF" w:rsidRDefault="00F02B4B" w:rsidP="00D462AF">
            <w:pPr>
              <w:pStyle w:val="Naslov1"/>
              <w:keepNext w:val="0"/>
              <w:widowControl w:val="0"/>
              <w:tabs>
                <w:tab w:val="left" w:pos="360"/>
              </w:tabs>
              <w:spacing w:before="0" w:after="0" w:line="260" w:lineRule="atLeast"/>
              <w:rPr>
                <w:sz w:val="20"/>
                <w:szCs w:val="20"/>
              </w:rPr>
            </w:pPr>
            <w:r w:rsidRPr="00D462AF">
              <w:rPr>
                <w:sz w:val="20"/>
                <w:szCs w:val="20"/>
              </w:rPr>
              <w:lastRenderedPageBreak/>
              <w:t>SKUPAJ</w:t>
            </w:r>
          </w:p>
        </w:tc>
        <w:tc>
          <w:tcPr>
            <w:tcW w:w="2623" w:type="dxa"/>
            <w:gridSpan w:val="5"/>
            <w:tcBorders>
              <w:top w:val="single" w:sz="4" w:space="0" w:color="auto"/>
              <w:left w:val="single" w:sz="4" w:space="0" w:color="auto"/>
              <w:bottom w:val="single" w:sz="4" w:space="0" w:color="auto"/>
              <w:right w:val="single" w:sz="4" w:space="0" w:color="auto"/>
            </w:tcBorders>
            <w:vAlign w:val="center"/>
          </w:tcPr>
          <w:p w14:paraId="545BAE25" w14:textId="77777777" w:rsidR="00F02B4B" w:rsidRPr="00D462AF" w:rsidRDefault="00F02B4B" w:rsidP="00D462AF">
            <w:pPr>
              <w:pStyle w:val="Naslov1"/>
              <w:keepNext w:val="0"/>
              <w:widowControl w:val="0"/>
              <w:tabs>
                <w:tab w:val="left" w:pos="360"/>
              </w:tabs>
              <w:spacing w:before="0" w:after="0" w:line="260" w:lineRule="atLeast"/>
              <w:rPr>
                <w:sz w:val="20"/>
                <w:szCs w:val="20"/>
              </w:rPr>
            </w:pPr>
          </w:p>
        </w:tc>
        <w:tc>
          <w:tcPr>
            <w:tcW w:w="2566" w:type="dxa"/>
            <w:gridSpan w:val="5"/>
            <w:tcBorders>
              <w:top w:val="single" w:sz="4" w:space="0" w:color="auto"/>
              <w:left w:val="single" w:sz="4" w:space="0" w:color="auto"/>
              <w:bottom w:val="single" w:sz="4" w:space="0" w:color="auto"/>
              <w:right w:val="single" w:sz="4" w:space="0" w:color="auto"/>
            </w:tcBorders>
            <w:vAlign w:val="center"/>
          </w:tcPr>
          <w:p w14:paraId="5C3492F7" w14:textId="77777777" w:rsidR="00F02B4B" w:rsidRPr="00D462AF" w:rsidRDefault="00F02B4B" w:rsidP="00D462AF">
            <w:pPr>
              <w:pStyle w:val="Naslov1"/>
              <w:keepNext w:val="0"/>
              <w:widowControl w:val="0"/>
              <w:tabs>
                <w:tab w:val="left" w:pos="360"/>
              </w:tabs>
              <w:spacing w:before="0" w:after="0" w:line="260" w:lineRule="atLeast"/>
              <w:rPr>
                <w:sz w:val="20"/>
                <w:szCs w:val="20"/>
              </w:rPr>
            </w:pPr>
          </w:p>
        </w:tc>
      </w:tr>
      <w:tr w:rsidR="00F02B4B" w:rsidRPr="00D462AF" w14:paraId="0BB328E9" w14:textId="77777777" w:rsidTr="001E59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8" w:type="dxa"/>
          <w:trHeight w:val="1125"/>
        </w:trPr>
        <w:tc>
          <w:tcPr>
            <w:tcW w:w="9200" w:type="dxa"/>
            <w:gridSpan w:val="15"/>
          </w:tcPr>
          <w:p w14:paraId="07692ED8" w14:textId="77777777" w:rsidR="00F02B4B" w:rsidRPr="00D462AF" w:rsidRDefault="00F02B4B" w:rsidP="00D462AF">
            <w:pPr>
              <w:widowControl w:val="0"/>
              <w:spacing w:line="260" w:lineRule="atLeast"/>
              <w:rPr>
                <w:rFonts w:ascii="Arial" w:hAnsi="Arial" w:cs="Arial"/>
                <w:b/>
                <w:sz w:val="20"/>
                <w:szCs w:val="20"/>
              </w:rPr>
            </w:pPr>
            <w:r w:rsidRPr="00D462AF">
              <w:rPr>
                <w:rFonts w:ascii="Arial" w:hAnsi="Arial" w:cs="Arial"/>
                <w:b/>
                <w:sz w:val="20"/>
                <w:szCs w:val="20"/>
              </w:rPr>
              <w:t>OBRAZLOŽITEV:</w:t>
            </w:r>
          </w:p>
          <w:p w14:paraId="6936B9EE" w14:textId="77777777" w:rsidR="00F02B4B" w:rsidRPr="00D462AF" w:rsidRDefault="00F02B4B" w:rsidP="00C1387F">
            <w:pPr>
              <w:widowControl w:val="0"/>
              <w:numPr>
                <w:ilvl w:val="0"/>
                <w:numId w:val="3"/>
              </w:numPr>
              <w:spacing w:line="260" w:lineRule="atLeast"/>
              <w:ind w:left="284" w:hanging="284"/>
              <w:jc w:val="both"/>
              <w:rPr>
                <w:rFonts w:ascii="Arial" w:hAnsi="Arial" w:cs="Arial"/>
                <w:b/>
                <w:sz w:val="20"/>
                <w:szCs w:val="20"/>
                <w:lang w:eastAsia="sl-SI"/>
              </w:rPr>
            </w:pPr>
            <w:r w:rsidRPr="00D462AF">
              <w:rPr>
                <w:rFonts w:ascii="Arial" w:hAnsi="Arial" w:cs="Arial"/>
                <w:b/>
                <w:sz w:val="20"/>
                <w:szCs w:val="20"/>
                <w:lang w:eastAsia="sl-SI"/>
              </w:rPr>
              <w:t>Ocena finančnih posledic, ki niso načrtovane v sprejetem proračunu</w:t>
            </w:r>
          </w:p>
          <w:p w14:paraId="7387D8C4" w14:textId="77777777" w:rsidR="00F02B4B" w:rsidRPr="00D462AF" w:rsidRDefault="00F02B4B" w:rsidP="00D462AF">
            <w:pPr>
              <w:widowControl w:val="0"/>
              <w:spacing w:line="260" w:lineRule="atLeast"/>
              <w:ind w:left="360" w:hanging="76"/>
              <w:jc w:val="both"/>
              <w:rPr>
                <w:rFonts w:ascii="Arial" w:hAnsi="Arial" w:cs="Arial"/>
                <w:sz w:val="20"/>
                <w:szCs w:val="20"/>
                <w:lang w:eastAsia="sl-SI"/>
              </w:rPr>
            </w:pPr>
            <w:r w:rsidRPr="00D462AF">
              <w:rPr>
                <w:rFonts w:ascii="Arial" w:hAnsi="Arial" w:cs="Arial"/>
                <w:sz w:val="20"/>
                <w:szCs w:val="20"/>
                <w:lang w:eastAsia="sl-SI"/>
              </w:rPr>
              <w:t>V zvezi s predlaganim vladnim gradivom se navedejo predvidene spremembe (povečanje, zmanjšanje):</w:t>
            </w:r>
          </w:p>
          <w:p w14:paraId="3D93DA54" w14:textId="77777777" w:rsidR="00F02B4B" w:rsidRPr="00D462AF" w:rsidRDefault="00F02B4B" w:rsidP="00C1387F">
            <w:pPr>
              <w:widowControl w:val="0"/>
              <w:numPr>
                <w:ilvl w:val="0"/>
                <w:numId w:val="5"/>
              </w:numPr>
              <w:spacing w:line="260" w:lineRule="atLeast"/>
              <w:jc w:val="both"/>
              <w:rPr>
                <w:rFonts w:ascii="Arial" w:hAnsi="Arial" w:cs="Arial"/>
                <w:sz w:val="20"/>
                <w:szCs w:val="20"/>
              </w:rPr>
            </w:pPr>
            <w:r w:rsidRPr="00D462AF">
              <w:rPr>
                <w:rFonts w:ascii="Arial" w:hAnsi="Arial" w:cs="Arial"/>
                <w:sz w:val="20"/>
                <w:szCs w:val="20"/>
                <w:lang w:eastAsia="sl-SI"/>
              </w:rPr>
              <w:t>prihodkov državnega proračuna in občinskih proračunov,</w:t>
            </w:r>
          </w:p>
          <w:p w14:paraId="6C2B9D8F" w14:textId="77777777" w:rsidR="00F02B4B" w:rsidRPr="00D462AF" w:rsidRDefault="00F02B4B" w:rsidP="00C1387F">
            <w:pPr>
              <w:widowControl w:val="0"/>
              <w:numPr>
                <w:ilvl w:val="0"/>
                <w:numId w:val="5"/>
              </w:numPr>
              <w:spacing w:line="260" w:lineRule="atLeast"/>
              <w:jc w:val="both"/>
              <w:rPr>
                <w:rFonts w:ascii="Arial" w:hAnsi="Arial" w:cs="Arial"/>
                <w:sz w:val="20"/>
                <w:szCs w:val="20"/>
              </w:rPr>
            </w:pPr>
            <w:r w:rsidRPr="00D462AF">
              <w:rPr>
                <w:rFonts w:ascii="Arial" w:hAnsi="Arial" w:cs="Arial"/>
                <w:sz w:val="20"/>
                <w:szCs w:val="20"/>
                <w:lang w:eastAsia="sl-SI"/>
              </w:rPr>
              <w:t>odhodkov državnega proračuna, ki niso načrtovani na ukrepih oziroma projektih sprejetih proračunov,</w:t>
            </w:r>
          </w:p>
          <w:p w14:paraId="60485701" w14:textId="77777777" w:rsidR="00F02B4B" w:rsidRDefault="00F02B4B" w:rsidP="00C1387F">
            <w:pPr>
              <w:widowControl w:val="0"/>
              <w:numPr>
                <w:ilvl w:val="0"/>
                <w:numId w:val="5"/>
              </w:numPr>
              <w:spacing w:line="260" w:lineRule="atLeast"/>
              <w:jc w:val="both"/>
              <w:rPr>
                <w:rFonts w:ascii="Arial" w:hAnsi="Arial" w:cs="Arial"/>
                <w:sz w:val="20"/>
                <w:szCs w:val="20"/>
              </w:rPr>
            </w:pPr>
            <w:r w:rsidRPr="00D462AF">
              <w:rPr>
                <w:rFonts w:ascii="Arial" w:hAnsi="Arial" w:cs="Arial"/>
                <w:sz w:val="20"/>
                <w:szCs w:val="20"/>
                <w:lang w:eastAsia="sl-SI"/>
              </w:rPr>
              <w:t>obveznosti za druga javnofinančna sredstva (drugi viri), ki niso načrtovana na ukrepih oziroma projektih sprejetih proračunov.</w:t>
            </w:r>
          </w:p>
          <w:p w14:paraId="523EBC78" w14:textId="2CBBFC0D" w:rsidR="003F620F" w:rsidRDefault="003F620F" w:rsidP="003F620F">
            <w:pPr>
              <w:pStyle w:val="Oddelek"/>
              <w:widowControl w:val="0"/>
              <w:numPr>
                <w:ilvl w:val="0"/>
                <w:numId w:val="0"/>
              </w:numPr>
              <w:spacing w:before="40" w:afterLines="40" w:after="96" w:line="260" w:lineRule="atLeast"/>
              <w:jc w:val="both"/>
              <w:rPr>
                <w:b w:val="0"/>
                <w:sz w:val="20"/>
                <w:szCs w:val="20"/>
              </w:rPr>
            </w:pPr>
            <w:r>
              <w:rPr>
                <w:b w:val="0"/>
                <w:sz w:val="20"/>
                <w:szCs w:val="20"/>
              </w:rPr>
              <w:t xml:space="preserve">Ocena je, da bo zamenjava enega avtomobila z bencinskim motorjem z avtomobilom na električni pogon </w:t>
            </w:r>
            <w:r w:rsidR="00953162">
              <w:rPr>
                <w:b w:val="0"/>
                <w:sz w:val="20"/>
                <w:szCs w:val="20"/>
              </w:rPr>
              <w:t>povzročila</w:t>
            </w:r>
            <w:r>
              <w:rPr>
                <w:b w:val="0"/>
                <w:sz w:val="20"/>
                <w:szCs w:val="20"/>
              </w:rPr>
              <w:t xml:space="preserve"> zaradi spremembe energenta</w:t>
            </w:r>
            <w:r w:rsidR="00953162">
              <w:rPr>
                <w:b w:val="0"/>
                <w:sz w:val="20"/>
                <w:szCs w:val="20"/>
              </w:rPr>
              <w:t>,</w:t>
            </w:r>
            <w:r>
              <w:rPr>
                <w:b w:val="0"/>
                <w:sz w:val="20"/>
                <w:szCs w:val="20"/>
              </w:rPr>
              <w:t xml:space="preserve"> na letni ravni</w:t>
            </w:r>
            <w:r w:rsidR="00953162">
              <w:rPr>
                <w:b w:val="0"/>
                <w:sz w:val="20"/>
                <w:szCs w:val="20"/>
              </w:rPr>
              <w:t>,</w:t>
            </w:r>
            <w:r>
              <w:rPr>
                <w:b w:val="0"/>
                <w:sz w:val="20"/>
                <w:szCs w:val="20"/>
              </w:rPr>
              <w:t xml:space="preserve"> za 750 evrov zmanjšanih prilivov iz naslova trošarin. Za vozilo na dizelski pogon je ocenjeno zmanjšanje 550 evrov. Pri oceni se upošteva, da se bodo najprej zamenjala vozila s katerimi se letno prevozi najmanj 20.000 km, ker so pri takšni uporabi vozila skupni stroški lastništva vozila na električni pogon že ugodnejši od drugih vozil. Upoštevano je, da ima vozilo z bencinskim motorjem povprečno porabo 7 litrov na 100 km, vozilo z dizelskim motorjem pa 6 litrov na 100 km. V letu 2019 bo predvideno zmanjšanje prihodkov iz trošarin v višini 1 mi</w:t>
            </w:r>
            <w:r w:rsidR="00580CB1">
              <w:rPr>
                <w:b w:val="0"/>
                <w:sz w:val="20"/>
                <w:szCs w:val="20"/>
              </w:rPr>
              <w:t>lij</w:t>
            </w:r>
            <w:r>
              <w:rPr>
                <w:b w:val="0"/>
                <w:sz w:val="20"/>
                <w:szCs w:val="20"/>
              </w:rPr>
              <w:t>o</w:t>
            </w:r>
            <w:r w:rsidR="00580CB1">
              <w:rPr>
                <w:b w:val="0"/>
                <w:sz w:val="20"/>
                <w:szCs w:val="20"/>
              </w:rPr>
              <w:t>n</w:t>
            </w:r>
            <w:r>
              <w:rPr>
                <w:b w:val="0"/>
                <w:sz w:val="20"/>
                <w:szCs w:val="20"/>
              </w:rPr>
              <w:t xml:space="preserve"> evrov (upoštevano je 1800 vozil na električni pogon od katerih jih bo 50% zamenjava za vozilo na bencinski pogon in 50% za vozila na dizelski pogon)</w:t>
            </w:r>
            <w:r w:rsidR="00953162">
              <w:rPr>
                <w:b w:val="0"/>
                <w:sz w:val="20"/>
                <w:szCs w:val="20"/>
              </w:rPr>
              <w:t>. Leta 2020, ko je predvidenih 3</w:t>
            </w:r>
            <w:r>
              <w:rPr>
                <w:b w:val="0"/>
                <w:sz w:val="20"/>
                <w:szCs w:val="20"/>
              </w:rPr>
              <w:t>.</w:t>
            </w:r>
            <w:r w:rsidR="00953162">
              <w:rPr>
                <w:b w:val="0"/>
                <w:sz w:val="20"/>
                <w:szCs w:val="20"/>
              </w:rPr>
              <w:t>0</w:t>
            </w:r>
            <w:r>
              <w:rPr>
                <w:b w:val="0"/>
                <w:sz w:val="20"/>
                <w:szCs w:val="20"/>
              </w:rPr>
              <w:t>00 vozil na električni pogon</w:t>
            </w:r>
            <w:r w:rsidR="00953162">
              <w:rPr>
                <w:b w:val="0"/>
                <w:sz w:val="20"/>
                <w:szCs w:val="20"/>
              </w:rPr>
              <w:t xml:space="preserve"> (začetek leta 2020)</w:t>
            </w:r>
            <w:r>
              <w:rPr>
                <w:b w:val="0"/>
                <w:sz w:val="20"/>
                <w:szCs w:val="20"/>
              </w:rPr>
              <w:t xml:space="preserve">, je ocenjen izpad prihodkov iz naslova trošarin </w:t>
            </w:r>
            <w:r w:rsidR="00953162">
              <w:rPr>
                <w:b w:val="0"/>
                <w:sz w:val="20"/>
                <w:szCs w:val="20"/>
              </w:rPr>
              <w:t>2</w:t>
            </w:r>
            <w:r>
              <w:rPr>
                <w:b w:val="0"/>
                <w:sz w:val="20"/>
                <w:szCs w:val="20"/>
              </w:rPr>
              <w:t xml:space="preserve"> mi</w:t>
            </w:r>
            <w:r w:rsidR="00580CB1">
              <w:rPr>
                <w:b w:val="0"/>
                <w:sz w:val="20"/>
                <w:szCs w:val="20"/>
              </w:rPr>
              <w:t>lij</w:t>
            </w:r>
            <w:r>
              <w:rPr>
                <w:b w:val="0"/>
                <w:sz w:val="20"/>
                <w:szCs w:val="20"/>
              </w:rPr>
              <w:t>o</w:t>
            </w:r>
            <w:r w:rsidR="00580CB1">
              <w:rPr>
                <w:b w:val="0"/>
                <w:sz w:val="20"/>
                <w:szCs w:val="20"/>
              </w:rPr>
              <w:t>na</w:t>
            </w:r>
            <w:r>
              <w:rPr>
                <w:b w:val="0"/>
                <w:sz w:val="20"/>
                <w:szCs w:val="20"/>
              </w:rPr>
              <w:t xml:space="preserve"> evrov.</w:t>
            </w:r>
            <w:r w:rsidR="006100DD">
              <w:rPr>
                <w:b w:val="0"/>
                <w:sz w:val="20"/>
                <w:szCs w:val="20"/>
              </w:rPr>
              <w:t xml:space="preserve"> </w:t>
            </w:r>
          </w:p>
          <w:p w14:paraId="4BD13224" w14:textId="42C143CF" w:rsidR="00953162" w:rsidRPr="001E5919" w:rsidRDefault="00953162" w:rsidP="003F620F">
            <w:pPr>
              <w:pStyle w:val="Oddelek"/>
              <w:widowControl w:val="0"/>
              <w:numPr>
                <w:ilvl w:val="0"/>
                <w:numId w:val="0"/>
              </w:numPr>
              <w:spacing w:before="40" w:afterLines="40" w:after="96" w:line="260" w:lineRule="atLeast"/>
              <w:jc w:val="both"/>
              <w:rPr>
                <w:sz w:val="20"/>
                <w:szCs w:val="20"/>
              </w:rPr>
            </w:pPr>
            <w:r w:rsidRPr="001E5919">
              <w:rPr>
                <w:sz w:val="20"/>
                <w:szCs w:val="20"/>
              </w:rPr>
              <w:t>Ukrep ima okoljske učinke</w:t>
            </w:r>
            <w:r w:rsidR="00733D3B">
              <w:rPr>
                <w:sz w:val="20"/>
                <w:szCs w:val="20"/>
              </w:rPr>
              <w:t>,</w:t>
            </w:r>
            <w:r w:rsidRPr="001E5919">
              <w:rPr>
                <w:sz w:val="20"/>
                <w:szCs w:val="20"/>
              </w:rPr>
              <w:t xml:space="preserve"> zaradi katerih se izvaja, ker se bo</w:t>
            </w:r>
            <w:r w:rsidR="006100DD" w:rsidRPr="001E5919">
              <w:rPr>
                <w:sz w:val="20"/>
                <w:szCs w:val="20"/>
              </w:rPr>
              <w:t>do</w:t>
            </w:r>
            <w:r w:rsidRPr="001E5919">
              <w:rPr>
                <w:sz w:val="20"/>
                <w:szCs w:val="20"/>
              </w:rPr>
              <w:t xml:space="preserve"> v letu 2020 za 9</w:t>
            </w:r>
            <w:r w:rsidR="006100DD" w:rsidRPr="001E5919">
              <w:rPr>
                <w:sz w:val="20"/>
                <w:szCs w:val="20"/>
              </w:rPr>
              <w:t>.000 ton zmanjšale emisije CO</w:t>
            </w:r>
            <w:r w:rsidR="006100DD" w:rsidRPr="001E5919">
              <w:rPr>
                <w:sz w:val="20"/>
                <w:szCs w:val="20"/>
                <w:vertAlign w:val="subscript"/>
              </w:rPr>
              <w:t>2</w:t>
            </w:r>
            <w:r w:rsidR="006100DD" w:rsidRPr="001E5919">
              <w:rPr>
                <w:sz w:val="20"/>
                <w:szCs w:val="20"/>
              </w:rPr>
              <w:t>.</w:t>
            </w:r>
          </w:p>
          <w:p w14:paraId="337D7428" w14:textId="0E58D972" w:rsidR="00D03C10" w:rsidRDefault="00D03C10" w:rsidP="00D03C10">
            <w:pPr>
              <w:pStyle w:val="Oddelek"/>
              <w:widowControl w:val="0"/>
              <w:numPr>
                <w:ilvl w:val="0"/>
                <w:numId w:val="0"/>
              </w:numPr>
              <w:spacing w:before="40" w:afterLines="40" w:after="96" w:line="260" w:lineRule="atLeast"/>
              <w:jc w:val="both"/>
              <w:rPr>
                <w:b w:val="0"/>
                <w:sz w:val="20"/>
                <w:szCs w:val="20"/>
              </w:rPr>
            </w:pPr>
            <w:r>
              <w:rPr>
                <w:b w:val="0"/>
                <w:sz w:val="20"/>
                <w:szCs w:val="20"/>
              </w:rPr>
              <w:t>V akcijskem programu so prikazani izpadi prihodkov občinskih proračunov v višini 1,2 mi</w:t>
            </w:r>
            <w:r w:rsidR="00336F9D">
              <w:rPr>
                <w:b w:val="0"/>
                <w:sz w:val="20"/>
                <w:szCs w:val="20"/>
              </w:rPr>
              <w:t>lijonov</w:t>
            </w:r>
            <w:r>
              <w:rPr>
                <w:b w:val="0"/>
                <w:sz w:val="20"/>
                <w:szCs w:val="20"/>
              </w:rPr>
              <w:t xml:space="preserve"> evrov v letu 2019 in 1,3 mi</w:t>
            </w:r>
            <w:r w:rsidR="00336F9D">
              <w:rPr>
                <w:b w:val="0"/>
                <w:sz w:val="20"/>
                <w:szCs w:val="20"/>
              </w:rPr>
              <w:t>lijonov</w:t>
            </w:r>
            <w:r>
              <w:rPr>
                <w:b w:val="0"/>
                <w:sz w:val="20"/>
                <w:szCs w:val="20"/>
              </w:rPr>
              <w:t xml:space="preserve"> evrov v letu 2020, če bodo lokalne skupnosti ohranile brezplačno parkiranje in polnjenje vozil na </w:t>
            </w:r>
            <w:r w:rsidR="00291347">
              <w:rPr>
                <w:b w:val="0"/>
                <w:sz w:val="20"/>
                <w:szCs w:val="20"/>
              </w:rPr>
              <w:t>e</w:t>
            </w:r>
            <w:r>
              <w:rPr>
                <w:b w:val="0"/>
                <w:sz w:val="20"/>
                <w:szCs w:val="20"/>
              </w:rPr>
              <w:t xml:space="preserve">lektrični pogon v mestnih središčih. Z ukrepom se spodbuja zamenjava vozil v mestnih središčih s pozitivno diskriminacijo.  </w:t>
            </w:r>
          </w:p>
          <w:p w14:paraId="6EDDFDA4" w14:textId="2F21B4D1" w:rsidR="00C81366" w:rsidRDefault="00A37B44" w:rsidP="009E0601">
            <w:pPr>
              <w:pStyle w:val="Oddelek"/>
              <w:widowControl w:val="0"/>
              <w:numPr>
                <w:ilvl w:val="0"/>
                <w:numId w:val="0"/>
              </w:numPr>
              <w:spacing w:before="40" w:afterLines="40" w:after="96" w:line="260" w:lineRule="atLeast"/>
              <w:jc w:val="both"/>
              <w:rPr>
                <w:b w:val="0"/>
                <w:sz w:val="20"/>
                <w:szCs w:val="20"/>
              </w:rPr>
            </w:pPr>
            <w:r>
              <w:rPr>
                <w:b w:val="0"/>
                <w:sz w:val="20"/>
                <w:szCs w:val="20"/>
              </w:rPr>
              <w:t>Sprememba davčne zakonodaje, ki je predlagana (</w:t>
            </w:r>
            <w:r w:rsidR="00C81366">
              <w:rPr>
                <w:b w:val="0"/>
                <w:sz w:val="20"/>
                <w:szCs w:val="20"/>
              </w:rPr>
              <w:t xml:space="preserve">sprememba </w:t>
            </w:r>
            <w:r w:rsidR="00062D0E">
              <w:rPr>
                <w:b w:val="0"/>
                <w:sz w:val="20"/>
                <w:szCs w:val="20"/>
              </w:rPr>
              <w:t xml:space="preserve">Zakona o </w:t>
            </w:r>
            <w:r w:rsidR="00C81366">
              <w:rPr>
                <w:b w:val="0"/>
                <w:sz w:val="20"/>
                <w:szCs w:val="20"/>
              </w:rPr>
              <w:t>dohodnin</w:t>
            </w:r>
            <w:r w:rsidR="00062D0E">
              <w:rPr>
                <w:b w:val="0"/>
                <w:sz w:val="20"/>
                <w:szCs w:val="20"/>
              </w:rPr>
              <w:t>i</w:t>
            </w:r>
            <w:r>
              <w:rPr>
                <w:b w:val="0"/>
                <w:sz w:val="20"/>
                <w:szCs w:val="20"/>
              </w:rPr>
              <w:t xml:space="preserve"> in možnosti </w:t>
            </w:r>
            <w:r w:rsidR="003A521A">
              <w:rPr>
                <w:b w:val="0"/>
                <w:sz w:val="20"/>
                <w:szCs w:val="20"/>
              </w:rPr>
              <w:t>odbitka</w:t>
            </w:r>
            <w:r w:rsidR="00580CB1">
              <w:rPr>
                <w:b w:val="0"/>
                <w:sz w:val="20"/>
                <w:szCs w:val="20"/>
              </w:rPr>
              <w:t xml:space="preserve"> </w:t>
            </w:r>
            <w:r>
              <w:rPr>
                <w:b w:val="0"/>
                <w:sz w:val="20"/>
                <w:szCs w:val="20"/>
              </w:rPr>
              <w:t>DDV) bi zmanjšala neposredna vplačila v višini 4,</w:t>
            </w:r>
            <w:r w:rsidR="00062D0E">
              <w:rPr>
                <w:b w:val="0"/>
                <w:sz w:val="20"/>
                <w:szCs w:val="20"/>
              </w:rPr>
              <w:t xml:space="preserve">1 </w:t>
            </w:r>
            <w:r>
              <w:rPr>
                <w:b w:val="0"/>
                <w:sz w:val="20"/>
                <w:szCs w:val="20"/>
              </w:rPr>
              <w:t>mi</w:t>
            </w:r>
            <w:r w:rsidR="00BA552F">
              <w:rPr>
                <w:b w:val="0"/>
                <w:sz w:val="20"/>
                <w:szCs w:val="20"/>
              </w:rPr>
              <w:t>lijonov evrov</w:t>
            </w:r>
            <w:r>
              <w:rPr>
                <w:b w:val="0"/>
                <w:sz w:val="20"/>
                <w:szCs w:val="20"/>
              </w:rPr>
              <w:t xml:space="preserve"> v letu 2020</w:t>
            </w:r>
            <w:r w:rsidR="00C81366">
              <w:rPr>
                <w:b w:val="0"/>
                <w:sz w:val="20"/>
                <w:szCs w:val="20"/>
              </w:rPr>
              <w:t>. Ocena finančnih posledic upošteva, da se število uporabnikov ne povečuje in le ti zamenjajo le vrsto vozil.</w:t>
            </w:r>
            <w:r>
              <w:rPr>
                <w:b w:val="0"/>
                <w:sz w:val="20"/>
                <w:szCs w:val="20"/>
              </w:rPr>
              <w:t xml:space="preserve"> V </w:t>
            </w:r>
            <w:r w:rsidR="000843FC">
              <w:rPr>
                <w:b w:val="0"/>
                <w:sz w:val="20"/>
                <w:szCs w:val="20"/>
              </w:rPr>
              <w:t xml:space="preserve">Sloveniji </w:t>
            </w:r>
            <w:r>
              <w:rPr>
                <w:b w:val="0"/>
                <w:sz w:val="20"/>
                <w:szCs w:val="20"/>
              </w:rPr>
              <w:t>je relativno majhno število zavezancev (9500), ki plačujejo boniteto</w:t>
            </w:r>
            <w:r w:rsidR="00062D0E">
              <w:rPr>
                <w:b w:val="0"/>
                <w:sz w:val="20"/>
                <w:szCs w:val="20"/>
              </w:rPr>
              <w:t xml:space="preserve"> za uporabo službenega vozila v zasebne namene</w:t>
            </w:r>
            <w:r>
              <w:rPr>
                <w:b w:val="0"/>
                <w:sz w:val="20"/>
                <w:szCs w:val="20"/>
              </w:rPr>
              <w:t>.</w:t>
            </w:r>
            <w:r w:rsidR="00062D0E">
              <w:rPr>
                <w:b w:val="0"/>
                <w:sz w:val="20"/>
                <w:szCs w:val="20"/>
              </w:rPr>
              <w:t xml:space="preserve"> Za hitrejšo uveljavitev vozil na električni pogon je prav zasebni sektor v začetnem obdobju elektro mobilnosti ključen, da se število vozil povečuje v skladu s predvidenim scenarijem. Višina bonitete, ki bi jo danes plačal uporabnik vozila golf na električni pogon je enaka kot če bi uporabljal v zasebne namene bistveno bolj prestižno vozilo AUDI A6. Avstrija je zato za spodbujanje uporabe elekt</w:t>
            </w:r>
            <w:r w:rsidR="00567ADC">
              <w:rPr>
                <w:b w:val="0"/>
                <w:sz w:val="20"/>
                <w:szCs w:val="20"/>
              </w:rPr>
              <w:t>r</w:t>
            </w:r>
            <w:r w:rsidR="00062D0E">
              <w:rPr>
                <w:b w:val="0"/>
                <w:sz w:val="20"/>
                <w:szCs w:val="20"/>
              </w:rPr>
              <w:t>ičnih vozil v celoti ukinila plačilo bonitete za uporabo službenih vozil v zasebne namene. V akcijskem programu pa je predvideno bistveno zmanjšanje bonitete, ne pa njena ukinitev.</w:t>
            </w:r>
            <w:r w:rsidR="00995D74">
              <w:rPr>
                <w:b w:val="0"/>
                <w:sz w:val="20"/>
                <w:szCs w:val="20"/>
              </w:rPr>
              <w:t xml:space="preserve"> Predlagana je sprememba sistema bonitet, ki bi bolj obremenile starejša vozila, ki povzročajo večje obremenitve okolja in bi s tem nadomestili izpad zaradi nižjih bonitet za vozila z ničelnim </w:t>
            </w:r>
            <w:proofErr w:type="spellStart"/>
            <w:r w:rsidR="00995D74">
              <w:rPr>
                <w:b w:val="0"/>
                <w:sz w:val="20"/>
                <w:szCs w:val="20"/>
              </w:rPr>
              <w:t>ogljičnim</w:t>
            </w:r>
            <w:proofErr w:type="spellEnd"/>
            <w:r w:rsidR="00995D74">
              <w:rPr>
                <w:b w:val="0"/>
                <w:sz w:val="20"/>
                <w:szCs w:val="20"/>
              </w:rPr>
              <w:t xml:space="preserve"> odtisom.</w:t>
            </w:r>
          </w:p>
          <w:p w14:paraId="555877FC" w14:textId="0F44D23A" w:rsidR="009E5A1F" w:rsidRDefault="00C81366" w:rsidP="009E0601">
            <w:pPr>
              <w:pStyle w:val="Oddelek"/>
              <w:widowControl w:val="0"/>
              <w:numPr>
                <w:ilvl w:val="0"/>
                <w:numId w:val="0"/>
              </w:numPr>
              <w:spacing w:before="40" w:afterLines="40" w:after="96" w:line="260" w:lineRule="atLeast"/>
              <w:jc w:val="both"/>
              <w:rPr>
                <w:b w:val="0"/>
                <w:sz w:val="20"/>
                <w:szCs w:val="20"/>
              </w:rPr>
            </w:pPr>
            <w:r>
              <w:rPr>
                <w:b w:val="0"/>
                <w:sz w:val="20"/>
                <w:szCs w:val="20"/>
              </w:rPr>
              <w:t>V državah, ki najbolj uspešno uvajajo vozila na alternativna goriva (npr. Nizozemska</w:t>
            </w:r>
            <w:r w:rsidR="00733D3B">
              <w:rPr>
                <w:b w:val="0"/>
                <w:sz w:val="20"/>
                <w:szCs w:val="20"/>
              </w:rPr>
              <w:t>,</w:t>
            </w:r>
            <w:r>
              <w:rPr>
                <w:b w:val="0"/>
                <w:sz w:val="20"/>
                <w:szCs w:val="20"/>
              </w:rPr>
              <w:t xml:space="preserve"> Norveška</w:t>
            </w:r>
            <w:r w:rsidR="00733D3B">
              <w:rPr>
                <w:b w:val="0"/>
                <w:sz w:val="20"/>
                <w:szCs w:val="20"/>
              </w:rPr>
              <w:t>,</w:t>
            </w:r>
            <w:r w:rsidR="00404B6F">
              <w:rPr>
                <w:b w:val="0"/>
                <w:sz w:val="20"/>
                <w:szCs w:val="20"/>
              </w:rPr>
              <w:t xml:space="preserve"> Avstrija</w:t>
            </w:r>
            <w:r>
              <w:rPr>
                <w:b w:val="0"/>
                <w:sz w:val="20"/>
                <w:szCs w:val="20"/>
              </w:rPr>
              <w:t>)</w:t>
            </w:r>
            <w:r w:rsidR="000843FC">
              <w:rPr>
                <w:b w:val="0"/>
                <w:sz w:val="20"/>
                <w:szCs w:val="20"/>
              </w:rPr>
              <w:t>,</w:t>
            </w:r>
            <w:r>
              <w:rPr>
                <w:b w:val="0"/>
                <w:sz w:val="20"/>
                <w:szCs w:val="20"/>
              </w:rPr>
              <w:t xml:space="preserve"> so </w:t>
            </w:r>
            <w:r w:rsidR="009E5A1F">
              <w:rPr>
                <w:b w:val="0"/>
                <w:sz w:val="20"/>
                <w:szCs w:val="20"/>
              </w:rPr>
              <w:t xml:space="preserve">ključni </w:t>
            </w:r>
            <w:r>
              <w:rPr>
                <w:b w:val="0"/>
                <w:sz w:val="20"/>
                <w:szCs w:val="20"/>
              </w:rPr>
              <w:t>ukrepi na davčnem področju</w:t>
            </w:r>
            <w:r w:rsidR="009E5A1F">
              <w:rPr>
                <w:b w:val="0"/>
                <w:sz w:val="20"/>
                <w:szCs w:val="20"/>
              </w:rPr>
              <w:t xml:space="preserve">. Z oprostitvijo plačila relativno visokega davka na motorna vozila ali davka na mobilnost </w:t>
            </w:r>
            <w:r>
              <w:rPr>
                <w:b w:val="0"/>
                <w:sz w:val="20"/>
                <w:szCs w:val="20"/>
              </w:rPr>
              <w:t xml:space="preserve">so vozila na električni pogon </w:t>
            </w:r>
            <w:r w:rsidR="009E5A1F">
              <w:rPr>
                <w:b w:val="0"/>
                <w:sz w:val="20"/>
                <w:szCs w:val="20"/>
              </w:rPr>
              <w:t xml:space="preserve">v teh državah </w:t>
            </w:r>
            <w:r>
              <w:rPr>
                <w:b w:val="0"/>
                <w:sz w:val="20"/>
                <w:szCs w:val="20"/>
              </w:rPr>
              <w:t>za kupca cenejša kot primerljiva vozila s pogonom na fosilna goriva</w:t>
            </w:r>
            <w:r w:rsidR="009E5A1F">
              <w:rPr>
                <w:b w:val="0"/>
                <w:sz w:val="20"/>
                <w:szCs w:val="20"/>
              </w:rPr>
              <w:t>. Nizozemska ima tako v uporabi že več kot 200.000 elektr</w:t>
            </w:r>
            <w:r w:rsidR="00733D3B">
              <w:rPr>
                <w:b w:val="0"/>
                <w:sz w:val="20"/>
                <w:szCs w:val="20"/>
              </w:rPr>
              <w:t>ičnih</w:t>
            </w:r>
            <w:r w:rsidR="009E5A1F">
              <w:rPr>
                <w:b w:val="0"/>
                <w:sz w:val="20"/>
                <w:szCs w:val="20"/>
              </w:rPr>
              <w:t xml:space="preserve"> vozil. V Avstriji so za spodbujanje elektro mobilnosti uvedli ukrepe, ki predvsem okoljsko osveščena podjetja nagrajujejo za prehod na elektro mobilnost. V celoti so ukinili plačilo bonitete za uporabo službenega vozila v zasebne namene in omogočili so </w:t>
            </w:r>
            <w:r w:rsidR="003A521A">
              <w:rPr>
                <w:b w:val="0"/>
                <w:sz w:val="20"/>
                <w:szCs w:val="20"/>
              </w:rPr>
              <w:t xml:space="preserve">odbitek </w:t>
            </w:r>
            <w:r w:rsidR="009E5A1F">
              <w:rPr>
                <w:b w:val="0"/>
                <w:sz w:val="20"/>
                <w:szCs w:val="20"/>
              </w:rPr>
              <w:t>DDV tudi za podjetja, ki z vozili ne izvajajo dejavnosti. Samo s temi ukrepi so dosegli, da se je delež elektro vozil med novo</w:t>
            </w:r>
            <w:r w:rsidR="001B63EC">
              <w:rPr>
                <w:b w:val="0"/>
                <w:sz w:val="20"/>
                <w:szCs w:val="20"/>
              </w:rPr>
              <w:t xml:space="preserve"> </w:t>
            </w:r>
            <w:r w:rsidR="009E5A1F">
              <w:rPr>
                <w:b w:val="0"/>
                <w:sz w:val="20"/>
                <w:szCs w:val="20"/>
              </w:rPr>
              <w:t xml:space="preserve">registriranimi vozili </w:t>
            </w:r>
            <w:r w:rsidR="001B63EC">
              <w:rPr>
                <w:b w:val="0"/>
                <w:sz w:val="20"/>
                <w:szCs w:val="20"/>
              </w:rPr>
              <w:t xml:space="preserve">povečal </w:t>
            </w:r>
            <w:r w:rsidR="009E5A1F">
              <w:rPr>
                <w:b w:val="0"/>
                <w:sz w:val="20"/>
                <w:szCs w:val="20"/>
              </w:rPr>
              <w:t>na 2</w:t>
            </w:r>
            <w:r w:rsidR="00EF16C8">
              <w:rPr>
                <w:b w:val="0"/>
                <w:sz w:val="20"/>
                <w:szCs w:val="20"/>
              </w:rPr>
              <w:t xml:space="preserve"> </w:t>
            </w:r>
            <w:r w:rsidR="009E5A1F">
              <w:rPr>
                <w:b w:val="0"/>
                <w:sz w:val="20"/>
                <w:szCs w:val="20"/>
              </w:rPr>
              <w:t xml:space="preserve">%. </w:t>
            </w:r>
          </w:p>
          <w:p w14:paraId="3DFFDEAE" w14:textId="77777777" w:rsidR="009E5A1F" w:rsidRPr="009E0601" w:rsidRDefault="009E5A1F" w:rsidP="009E0601">
            <w:pPr>
              <w:pStyle w:val="Oddelek"/>
              <w:widowControl w:val="0"/>
              <w:numPr>
                <w:ilvl w:val="0"/>
                <w:numId w:val="0"/>
              </w:numPr>
              <w:spacing w:before="40" w:afterLines="40" w:after="96" w:line="260" w:lineRule="atLeast"/>
              <w:jc w:val="both"/>
              <w:rPr>
                <w:b w:val="0"/>
                <w:sz w:val="20"/>
                <w:szCs w:val="20"/>
              </w:rPr>
            </w:pPr>
            <w:r>
              <w:rPr>
                <w:b w:val="0"/>
                <w:sz w:val="20"/>
                <w:szCs w:val="20"/>
              </w:rPr>
              <w:t>Ti prehodi so pomembni, ker se s tem</w:t>
            </w:r>
            <w:r w:rsidR="00EF16C8">
              <w:rPr>
                <w:b w:val="0"/>
                <w:sz w:val="20"/>
                <w:szCs w:val="20"/>
              </w:rPr>
              <w:t>i</w:t>
            </w:r>
            <w:r>
              <w:rPr>
                <w:b w:val="0"/>
                <w:sz w:val="20"/>
                <w:szCs w:val="20"/>
              </w:rPr>
              <w:t xml:space="preserve"> ukrepi postopno postavlja celovita prodajna mreža, oblikujejo se pozitivna stališča do elektro vozil in povečuje se krog ljudi, ki imajo pozitivne izkušnje.</w:t>
            </w:r>
          </w:p>
          <w:p w14:paraId="1C0E94C7" w14:textId="77777777" w:rsidR="00F02B4B" w:rsidRDefault="00F02B4B" w:rsidP="00D462AF">
            <w:pPr>
              <w:widowControl w:val="0"/>
              <w:spacing w:line="260" w:lineRule="atLeast"/>
              <w:ind w:left="284"/>
              <w:rPr>
                <w:rFonts w:ascii="Arial" w:hAnsi="Arial" w:cs="Arial"/>
                <w:sz w:val="20"/>
                <w:szCs w:val="20"/>
                <w:lang w:eastAsia="sl-SI"/>
              </w:rPr>
            </w:pPr>
          </w:p>
          <w:p w14:paraId="582DBE1B" w14:textId="77777777" w:rsidR="00782FD9" w:rsidRDefault="00782FD9" w:rsidP="00D462AF">
            <w:pPr>
              <w:widowControl w:val="0"/>
              <w:spacing w:line="260" w:lineRule="atLeast"/>
              <w:ind w:left="284"/>
              <w:rPr>
                <w:rFonts w:ascii="Arial" w:hAnsi="Arial" w:cs="Arial"/>
                <w:sz w:val="20"/>
                <w:szCs w:val="20"/>
                <w:lang w:eastAsia="sl-SI"/>
              </w:rPr>
            </w:pPr>
          </w:p>
          <w:p w14:paraId="7D4AF18D" w14:textId="77777777" w:rsidR="0062021D" w:rsidRPr="00D462AF" w:rsidRDefault="0062021D" w:rsidP="00D462AF">
            <w:pPr>
              <w:widowControl w:val="0"/>
              <w:spacing w:line="260" w:lineRule="atLeast"/>
              <w:ind w:left="284"/>
              <w:rPr>
                <w:rFonts w:ascii="Arial" w:hAnsi="Arial" w:cs="Arial"/>
                <w:sz w:val="20"/>
                <w:szCs w:val="20"/>
                <w:lang w:eastAsia="sl-SI"/>
              </w:rPr>
            </w:pPr>
          </w:p>
          <w:p w14:paraId="766E486B" w14:textId="77777777" w:rsidR="00F02B4B" w:rsidRPr="00D462AF" w:rsidRDefault="00F02B4B" w:rsidP="00C1387F">
            <w:pPr>
              <w:widowControl w:val="0"/>
              <w:numPr>
                <w:ilvl w:val="0"/>
                <w:numId w:val="3"/>
              </w:numPr>
              <w:spacing w:line="260" w:lineRule="atLeast"/>
              <w:ind w:left="284" w:hanging="284"/>
              <w:jc w:val="both"/>
              <w:rPr>
                <w:rFonts w:ascii="Arial" w:hAnsi="Arial" w:cs="Arial"/>
                <w:b/>
                <w:sz w:val="20"/>
                <w:szCs w:val="20"/>
                <w:lang w:eastAsia="sl-SI"/>
              </w:rPr>
            </w:pPr>
            <w:r w:rsidRPr="00D462AF">
              <w:rPr>
                <w:rFonts w:ascii="Arial" w:hAnsi="Arial" w:cs="Arial"/>
                <w:b/>
                <w:sz w:val="20"/>
                <w:szCs w:val="20"/>
                <w:lang w:eastAsia="sl-SI"/>
              </w:rPr>
              <w:t>Finančne posledice za državni proračun</w:t>
            </w:r>
          </w:p>
          <w:p w14:paraId="7FDD1E90" w14:textId="77777777" w:rsidR="00F02B4B" w:rsidRPr="00D462AF" w:rsidRDefault="00F02B4B" w:rsidP="00D462AF">
            <w:pPr>
              <w:widowControl w:val="0"/>
              <w:spacing w:line="260" w:lineRule="atLeast"/>
              <w:ind w:left="284"/>
              <w:jc w:val="both"/>
              <w:rPr>
                <w:rFonts w:ascii="Arial" w:hAnsi="Arial" w:cs="Arial"/>
                <w:sz w:val="20"/>
                <w:szCs w:val="20"/>
                <w:lang w:eastAsia="sl-SI"/>
              </w:rPr>
            </w:pPr>
            <w:r w:rsidRPr="00D462AF">
              <w:rPr>
                <w:rFonts w:ascii="Arial" w:hAnsi="Arial" w:cs="Arial"/>
                <w:sz w:val="20"/>
                <w:szCs w:val="20"/>
                <w:lang w:eastAsia="sl-SI"/>
              </w:rPr>
              <w:t>Prikazane morajo biti finančne posledice za državni proračun, ki so na proračunskih postavkah načrtovane v dinamiki projektov oziroma ukrepov:</w:t>
            </w:r>
          </w:p>
          <w:p w14:paraId="60EA7784" w14:textId="77777777" w:rsidR="00F02B4B" w:rsidRPr="00D462AF" w:rsidRDefault="00F02B4B" w:rsidP="00D462AF">
            <w:pPr>
              <w:widowControl w:val="0"/>
              <w:spacing w:line="260" w:lineRule="atLeast"/>
              <w:ind w:left="720"/>
              <w:jc w:val="both"/>
              <w:rPr>
                <w:rFonts w:ascii="Arial" w:hAnsi="Arial" w:cs="Arial"/>
                <w:b/>
                <w:sz w:val="20"/>
                <w:szCs w:val="20"/>
                <w:lang w:eastAsia="sl-SI"/>
              </w:rPr>
            </w:pPr>
            <w:proofErr w:type="spellStart"/>
            <w:r w:rsidRPr="00D462AF">
              <w:rPr>
                <w:rFonts w:ascii="Arial" w:hAnsi="Arial" w:cs="Arial"/>
                <w:b/>
                <w:sz w:val="20"/>
                <w:szCs w:val="20"/>
                <w:lang w:eastAsia="sl-SI"/>
              </w:rPr>
              <w:t>II.a</w:t>
            </w:r>
            <w:proofErr w:type="spellEnd"/>
            <w:r w:rsidRPr="00D462AF">
              <w:rPr>
                <w:rFonts w:ascii="Arial" w:hAnsi="Arial" w:cs="Arial"/>
                <w:b/>
                <w:sz w:val="20"/>
                <w:szCs w:val="20"/>
                <w:lang w:eastAsia="sl-SI"/>
              </w:rPr>
              <w:t xml:space="preserve"> Pravice porabe za izvedbo predlaganih rešitev so zagotovljene:</w:t>
            </w:r>
          </w:p>
          <w:p w14:paraId="1DF7F0E0" w14:textId="77777777" w:rsidR="00F02B4B" w:rsidRPr="00D462AF" w:rsidRDefault="00F02B4B" w:rsidP="00D462AF">
            <w:pPr>
              <w:widowControl w:val="0"/>
              <w:spacing w:line="260" w:lineRule="atLeast"/>
              <w:ind w:left="284"/>
              <w:jc w:val="both"/>
              <w:rPr>
                <w:rFonts w:ascii="Arial" w:hAnsi="Arial" w:cs="Arial"/>
                <w:sz w:val="20"/>
                <w:szCs w:val="20"/>
                <w:lang w:eastAsia="sl-SI"/>
              </w:rPr>
            </w:pPr>
            <w:r w:rsidRPr="00D462AF">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D462AF">
              <w:rPr>
                <w:rFonts w:ascii="Arial" w:hAnsi="Arial" w:cs="Arial"/>
                <w:sz w:val="20"/>
                <w:szCs w:val="20"/>
                <w:lang w:eastAsia="sl-SI"/>
              </w:rPr>
              <w:t>II.b</w:t>
            </w:r>
            <w:proofErr w:type="spellEnd"/>
            <w:r w:rsidRPr="00D462AF">
              <w:rPr>
                <w:rFonts w:ascii="Arial" w:hAnsi="Arial" w:cs="Arial"/>
                <w:sz w:val="20"/>
                <w:szCs w:val="20"/>
                <w:lang w:eastAsia="sl-SI"/>
              </w:rPr>
              <w:t>). Pri uvrstitvi novega projekta oziroma ukrepa v načrt razvojnih programov se navedejo:</w:t>
            </w:r>
          </w:p>
          <w:p w14:paraId="4BE086C2" w14:textId="77777777" w:rsidR="00F02B4B" w:rsidRPr="00D462AF" w:rsidRDefault="00F02B4B" w:rsidP="00C1387F">
            <w:pPr>
              <w:widowControl w:val="0"/>
              <w:numPr>
                <w:ilvl w:val="0"/>
                <w:numId w:val="6"/>
              </w:numPr>
              <w:spacing w:line="260" w:lineRule="atLeast"/>
              <w:jc w:val="both"/>
              <w:rPr>
                <w:rFonts w:ascii="Arial" w:hAnsi="Arial" w:cs="Arial"/>
                <w:sz w:val="20"/>
                <w:szCs w:val="20"/>
                <w:lang w:eastAsia="sl-SI"/>
              </w:rPr>
            </w:pPr>
            <w:r w:rsidRPr="00D462AF">
              <w:rPr>
                <w:rFonts w:ascii="Arial" w:hAnsi="Arial" w:cs="Arial"/>
                <w:sz w:val="20"/>
                <w:szCs w:val="20"/>
                <w:lang w:eastAsia="sl-SI"/>
              </w:rPr>
              <w:t>proračunski uporabnik, ki bo financiral novi projekt oziroma ukrep,</w:t>
            </w:r>
          </w:p>
          <w:p w14:paraId="7F9EA1F4" w14:textId="77777777" w:rsidR="00F02B4B" w:rsidRPr="00D462AF" w:rsidRDefault="00F02B4B" w:rsidP="00C1387F">
            <w:pPr>
              <w:widowControl w:val="0"/>
              <w:numPr>
                <w:ilvl w:val="0"/>
                <w:numId w:val="6"/>
              </w:numPr>
              <w:spacing w:line="260" w:lineRule="atLeast"/>
              <w:jc w:val="both"/>
              <w:rPr>
                <w:rFonts w:ascii="Arial" w:hAnsi="Arial" w:cs="Arial"/>
                <w:sz w:val="20"/>
                <w:szCs w:val="20"/>
                <w:lang w:eastAsia="sl-SI"/>
              </w:rPr>
            </w:pPr>
            <w:r w:rsidRPr="00D462AF">
              <w:rPr>
                <w:rFonts w:ascii="Arial" w:hAnsi="Arial" w:cs="Arial"/>
                <w:sz w:val="20"/>
                <w:szCs w:val="20"/>
                <w:lang w:eastAsia="sl-SI"/>
              </w:rPr>
              <w:t xml:space="preserve">projekt oziroma ukrep, s katerim se bodo dosegli cilji vladnega gradiva, in </w:t>
            </w:r>
          </w:p>
          <w:p w14:paraId="03B819E9" w14:textId="77777777" w:rsidR="00F02B4B" w:rsidRPr="00D462AF" w:rsidRDefault="00F02B4B" w:rsidP="00C1387F">
            <w:pPr>
              <w:widowControl w:val="0"/>
              <w:numPr>
                <w:ilvl w:val="0"/>
                <w:numId w:val="6"/>
              </w:numPr>
              <w:spacing w:line="260" w:lineRule="atLeast"/>
              <w:jc w:val="both"/>
              <w:rPr>
                <w:rFonts w:ascii="Arial" w:hAnsi="Arial" w:cs="Arial"/>
                <w:sz w:val="20"/>
                <w:szCs w:val="20"/>
                <w:lang w:eastAsia="sl-SI"/>
              </w:rPr>
            </w:pPr>
            <w:r w:rsidRPr="00D462AF">
              <w:rPr>
                <w:rFonts w:ascii="Arial" w:hAnsi="Arial" w:cs="Arial"/>
                <w:sz w:val="20"/>
                <w:szCs w:val="20"/>
                <w:lang w:eastAsia="sl-SI"/>
              </w:rPr>
              <w:t>proračunske postavke.</w:t>
            </w:r>
          </w:p>
          <w:p w14:paraId="48C6B452" w14:textId="77777777" w:rsidR="00F02B4B" w:rsidRDefault="00F02B4B" w:rsidP="00D462AF">
            <w:pPr>
              <w:widowControl w:val="0"/>
              <w:spacing w:line="260" w:lineRule="atLeast"/>
              <w:ind w:left="284"/>
              <w:jc w:val="both"/>
              <w:rPr>
                <w:rFonts w:ascii="Arial" w:hAnsi="Arial" w:cs="Arial"/>
                <w:sz w:val="20"/>
                <w:szCs w:val="20"/>
                <w:lang w:eastAsia="sl-SI"/>
              </w:rPr>
            </w:pPr>
            <w:r w:rsidRPr="00D462AF">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D462AF">
              <w:rPr>
                <w:rFonts w:ascii="Arial" w:hAnsi="Arial" w:cs="Arial"/>
                <w:sz w:val="20"/>
                <w:szCs w:val="20"/>
                <w:lang w:eastAsia="sl-SI"/>
              </w:rPr>
              <w:t>II.b</w:t>
            </w:r>
            <w:proofErr w:type="spellEnd"/>
            <w:r w:rsidRPr="00D462AF">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14:paraId="0A007BDE" w14:textId="77777777" w:rsidR="00062D0E" w:rsidRDefault="00062D0E" w:rsidP="00D462AF">
            <w:pPr>
              <w:widowControl w:val="0"/>
              <w:spacing w:line="260" w:lineRule="atLeast"/>
              <w:ind w:left="284"/>
              <w:jc w:val="both"/>
              <w:rPr>
                <w:rFonts w:ascii="Arial" w:hAnsi="Arial" w:cs="Arial"/>
                <w:sz w:val="20"/>
                <w:szCs w:val="20"/>
                <w:lang w:eastAsia="sl-SI"/>
              </w:rPr>
            </w:pPr>
          </w:p>
          <w:p w14:paraId="4F9CB177" w14:textId="77777777" w:rsidR="00062D0E" w:rsidRPr="001E5919" w:rsidRDefault="00062D0E" w:rsidP="00D462AF">
            <w:pPr>
              <w:widowControl w:val="0"/>
              <w:spacing w:line="260" w:lineRule="atLeast"/>
              <w:ind w:left="284"/>
              <w:jc w:val="both"/>
              <w:rPr>
                <w:rFonts w:ascii="Arial" w:hAnsi="Arial" w:cs="Arial"/>
                <w:b/>
                <w:sz w:val="20"/>
                <w:szCs w:val="20"/>
                <w:lang w:eastAsia="sl-SI"/>
              </w:rPr>
            </w:pPr>
            <w:r w:rsidRPr="001E5919">
              <w:rPr>
                <w:rFonts w:ascii="Arial" w:hAnsi="Arial" w:cs="Arial"/>
                <w:b/>
                <w:sz w:val="20"/>
                <w:szCs w:val="20"/>
                <w:lang w:eastAsia="sl-SI"/>
              </w:rPr>
              <w:t>Akcijski program ne povečuje pravic proračunskih uporabnikov.</w:t>
            </w:r>
          </w:p>
          <w:p w14:paraId="4950F673" w14:textId="77777777" w:rsidR="00062D0E" w:rsidRPr="00D462AF" w:rsidRDefault="00062D0E" w:rsidP="00D462AF">
            <w:pPr>
              <w:widowControl w:val="0"/>
              <w:spacing w:line="260" w:lineRule="atLeast"/>
              <w:ind w:left="284"/>
              <w:jc w:val="both"/>
              <w:rPr>
                <w:rFonts w:ascii="Arial" w:hAnsi="Arial" w:cs="Arial"/>
                <w:sz w:val="20"/>
                <w:szCs w:val="20"/>
                <w:lang w:eastAsia="sl-SI"/>
              </w:rPr>
            </w:pPr>
          </w:p>
          <w:p w14:paraId="420B79E9" w14:textId="77777777" w:rsidR="00F02B4B" w:rsidRPr="00D462AF" w:rsidRDefault="00F02B4B" w:rsidP="00D462AF">
            <w:pPr>
              <w:widowControl w:val="0"/>
              <w:spacing w:line="260" w:lineRule="atLeast"/>
              <w:ind w:left="714"/>
              <w:jc w:val="both"/>
              <w:rPr>
                <w:rFonts w:ascii="Arial" w:hAnsi="Arial" w:cs="Arial"/>
                <w:b/>
                <w:sz w:val="20"/>
                <w:szCs w:val="20"/>
                <w:lang w:eastAsia="sl-SI"/>
              </w:rPr>
            </w:pPr>
            <w:proofErr w:type="spellStart"/>
            <w:r w:rsidRPr="00D462AF">
              <w:rPr>
                <w:rFonts w:ascii="Arial" w:hAnsi="Arial" w:cs="Arial"/>
                <w:b/>
                <w:sz w:val="20"/>
                <w:szCs w:val="20"/>
                <w:lang w:eastAsia="sl-SI"/>
              </w:rPr>
              <w:t>II.b</w:t>
            </w:r>
            <w:proofErr w:type="spellEnd"/>
            <w:r w:rsidRPr="00D462AF">
              <w:rPr>
                <w:rFonts w:ascii="Arial" w:hAnsi="Arial" w:cs="Arial"/>
                <w:b/>
                <w:sz w:val="20"/>
                <w:szCs w:val="20"/>
                <w:lang w:eastAsia="sl-SI"/>
              </w:rPr>
              <w:t xml:space="preserve"> Manjkajoče pravice porabe bodo zagotovljene s prerazporeditvijo:</w:t>
            </w:r>
          </w:p>
          <w:p w14:paraId="4D50BB35" w14:textId="77777777" w:rsidR="00F02B4B" w:rsidRDefault="00F02B4B" w:rsidP="00D462AF">
            <w:pPr>
              <w:widowControl w:val="0"/>
              <w:spacing w:line="260" w:lineRule="atLeast"/>
              <w:ind w:left="284"/>
              <w:jc w:val="both"/>
              <w:rPr>
                <w:rFonts w:ascii="Arial" w:hAnsi="Arial" w:cs="Arial"/>
                <w:sz w:val="20"/>
                <w:szCs w:val="20"/>
                <w:lang w:eastAsia="sl-SI"/>
              </w:rPr>
            </w:pPr>
            <w:r w:rsidRPr="00D462AF">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2D2AB8BF" w14:textId="77777777" w:rsidR="00BA552F" w:rsidRPr="00D462AF" w:rsidRDefault="00BA552F" w:rsidP="00D462AF">
            <w:pPr>
              <w:widowControl w:val="0"/>
              <w:spacing w:line="260" w:lineRule="atLeast"/>
              <w:ind w:left="284"/>
              <w:jc w:val="both"/>
              <w:rPr>
                <w:rFonts w:ascii="Arial" w:hAnsi="Arial" w:cs="Arial"/>
                <w:sz w:val="20"/>
                <w:szCs w:val="20"/>
                <w:lang w:eastAsia="sl-SI"/>
              </w:rPr>
            </w:pPr>
          </w:p>
          <w:p w14:paraId="5AFE3EB8" w14:textId="77777777" w:rsidR="00F02B4B" w:rsidRPr="00D462AF" w:rsidRDefault="00F02B4B" w:rsidP="00D462AF">
            <w:pPr>
              <w:widowControl w:val="0"/>
              <w:spacing w:line="260" w:lineRule="atLeast"/>
              <w:ind w:left="714"/>
              <w:jc w:val="both"/>
              <w:rPr>
                <w:rFonts w:ascii="Arial" w:hAnsi="Arial" w:cs="Arial"/>
                <w:b/>
                <w:sz w:val="20"/>
                <w:szCs w:val="20"/>
                <w:lang w:eastAsia="sl-SI"/>
              </w:rPr>
            </w:pPr>
            <w:proofErr w:type="spellStart"/>
            <w:r w:rsidRPr="00D462AF">
              <w:rPr>
                <w:rFonts w:ascii="Arial" w:hAnsi="Arial" w:cs="Arial"/>
                <w:b/>
                <w:sz w:val="20"/>
                <w:szCs w:val="20"/>
                <w:lang w:eastAsia="sl-SI"/>
              </w:rPr>
              <w:t>II.c</w:t>
            </w:r>
            <w:proofErr w:type="spellEnd"/>
            <w:r w:rsidRPr="00D462AF">
              <w:rPr>
                <w:rFonts w:ascii="Arial" w:hAnsi="Arial" w:cs="Arial"/>
                <w:b/>
                <w:sz w:val="20"/>
                <w:szCs w:val="20"/>
                <w:lang w:eastAsia="sl-SI"/>
              </w:rPr>
              <w:t xml:space="preserve"> Načrtovana nadomestitev zmanjšanih prihodkov in povečanih odhodkov proračuna:</w:t>
            </w:r>
          </w:p>
          <w:p w14:paraId="66B8EFAF" w14:textId="77777777" w:rsidR="00F02B4B" w:rsidRDefault="00F02B4B" w:rsidP="00D462AF">
            <w:pPr>
              <w:widowControl w:val="0"/>
              <w:spacing w:line="260" w:lineRule="atLeast"/>
              <w:ind w:left="284"/>
              <w:jc w:val="both"/>
              <w:rPr>
                <w:rFonts w:ascii="Arial" w:hAnsi="Arial" w:cs="Arial"/>
                <w:sz w:val="20"/>
                <w:szCs w:val="20"/>
                <w:lang w:eastAsia="sl-SI"/>
              </w:rPr>
            </w:pPr>
            <w:r w:rsidRPr="00D462AF">
              <w:rPr>
                <w:rFonts w:ascii="Arial" w:hAnsi="Arial" w:cs="Arial"/>
                <w:sz w:val="20"/>
                <w:szCs w:val="20"/>
                <w:lang w:eastAsia="sl-SI"/>
              </w:rPr>
              <w:t xml:space="preserve">Če se povečani odhodki (pravice porabe) ne bodo zagotovili tako, kot je določeno v točkah </w:t>
            </w:r>
            <w:proofErr w:type="spellStart"/>
            <w:r w:rsidRPr="00D462AF">
              <w:rPr>
                <w:rFonts w:ascii="Arial" w:hAnsi="Arial" w:cs="Arial"/>
                <w:sz w:val="20"/>
                <w:szCs w:val="20"/>
                <w:lang w:eastAsia="sl-SI"/>
              </w:rPr>
              <w:t>II.a</w:t>
            </w:r>
            <w:proofErr w:type="spellEnd"/>
            <w:r w:rsidRPr="00D462AF">
              <w:rPr>
                <w:rFonts w:ascii="Arial" w:hAnsi="Arial" w:cs="Arial"/>
                <w:sz w:val="20"/>
                <w:szCs w:val="20"/>
                <w:lang w:eastAsia="sl-SI"/>
              </w:rPr>
              <w:t xml:space="preserve"> in </w:t>
            </w:r>
            <w:proofErr w:type="spellStart"/>
            <w:r w:rsidRPr="00D462AF">
              <w:rPr>
                <w:rFonts w:ascii="Arial" w:hAnsi="Arial" w:cs="Arial"/>
                <w:sz w:val="20"/>
                <w:szCs w:val="20"/>
                <w:lang w:eastAsia="sl-SI"/>
              </w:rPr>
              <w:t>II.b</w:t>
            </w:r>
            <w:proofErr w:type="spellEnd"/>
            <w:r w:rsidRPr="00D462AF">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5FCFFA6B" w14:textId="77777777" w:rsidR="00A37B44" w:rsidRDefault="00A37B44" w:rsidP="00D462AF">
            <w:pPr>
              <w:widowControl w:val="0"/>
              <w:spacing w:line="260" w:lineRule="atLeast"/>
              <w:ind w:left="284"/>
              <w:jc w:val="both"/>
              <w:rPr>
                <w:rFonts w:ascii="Arial" w:hAnsi="Arial" w:cs="Arial"/>
                <w:sz w:val="20"/>
                <w:szCs w:val="20"/>
                <w:lang w:eastAsia="sl-SI"/>
              </w:rPr>
            </w:pPr>
          </w:p>
          <w:p w14:paraId="48C6BFA6" w14:textId="77777777" w:rsidR="00F02B4B" w:rsidRPr="001E5919" w:rsidRDefault="00A37B44" w:rsidP="00496409">
            <w:pPr>
              <w:widowControl w:val="0"/>
              <w:spacing w:line="260" w:lineRule="atLeast"/>
              <w:ind w:left="284"/>
              <w:jc w:val="both"/>
              <w:rPr>
                <w:b/>
              </w:rPr>
            </w:pPr>
            <w:r w:rsidRPr="001E5919">
              <w:rPr>
                <w:rFonts w:ascii="Arial" w:hAnsi="Arial" w:cs="Arial"/>
                <w:b/>
                <w:sz w:val="20"/>
                <w:szCs w:val="20"/>
                <w:lang w:eastAsia="sl-SI"/>
              </w:rPr>
              <w:t>Finančne posledice so podrobno navedene pri vsakem ukrepu in so navedeni tudi viri za njihovo izvedbo.</w:t>
            </w:r>
          </w:p>
        </w:tc>
      </w:tr>
      <w:tr w:rsidR="000C01EA" w:rsidRPr="000D7F9E" w14:paraId="46BDE54F" w14:textId="77777777" w:rsidTr="001E59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8" w:type="dxa"/>
        </w:trPr>
        <w:tc>
          <w:tcPr>
            <w:tcW w:w="9200" w:type="dxa"/>
            <w:gridSpan w:val="15"/>
          </w:tcPr>
          <w:p w14:paraId="733531CE" w14:textId="77777777" w:rsidR="000C01EA" w:rsidRPr="000D7F9E" w:rsidRDefault="000C01EA" w:rsidP="00062D15">
            <w:pPr>
              <w:pStyle w:val="Oddelek"/>
              <w:widowControl w:val="0"/>
              <w:numPr>
                <w:ilvl w:val="0"/>
                <w:numId w:val="0"/>
              </w:numPr>
              <w:spacing w:before="0" w:after="0" w:line="260" w:lineRule="exact"/>
              <w:jc w:val="left"/>
              <w:rPr>
                <w:sz w:val="20"/>
                <w:szCs w:val="20"/>
              </w:rPr>
            </w:pPr>
            <w:r w:rsidRPr="000D7F9E">
              <w:rPr>
                <w:sz w:val="20"/>
                <w:szCs w:val="20"/>
              </w:rPr>
              <w:lastRenderedPageBreak/>
              <w:t>7.b Predstavitev ocene finančnih posledic pod 40.000 EUR:</w:t>
            </w:r>
          </w:p>
          <w:p w14:paraId="5AC4B0C2" w14:textId="77777777" w:rsidR="000C01EA" w:rsidRPr="000D7F9E" w:rsidRDefault="000C01EA" w:rsidP="00062D15">
            <w:pPr>
              <w:pStyle w:val="Oddelek"/>
              <w:widowControl w:val="0"/>
              <w:numPr>
                <w:ilvl w:val="0"/>
                <w:numId w:val="0"/>
              </w:numPr>
              <w:spacing w:before="0" w:after="0" w:line="260" w:lineRule="exact"/>
              <w:jc w:val="left"/>
              <w:rPr>
                <w:b w:val="0"/>
                <w:sz w:val="20"/>
                <w:szCs w:val="20"/>
              </w:rPr>
            </w:pPr>
          </w:p>
        </w:tc>
      </w:tr>
      <w:tr w:rsidR="000C01EA" w:rsidRPr="000D7F9E" w14:paraId="32FEF85A" w14:textId="77777777" w:rsidTr="001E59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8" w:type="dxa"/>
          <w:trHeight w:val="371"/>
        </w:trPr>
        <w:tc>
          <w:tcPr>
            <w:tcW w:w="9200" w:type="dxa"/>
            <w:gridSpan w:val="15"/>
            <w:tcBorders>
              <w:top w:val="single" w:sz="4" w:space="0" w:color="000000"/>
              <w:left w:val="single" w:sz="4" w:space="0" w:color="000000"/>
              <w:bottom w:val="single" w:sz="4" w:space="0" w:color="000000"/>
              <w:right w:val="single" w:sz="4" w:space="0" w:color="000000"/>
            </w:tcBorders>
          </w:tcPr>
          <w:p w14:paraId="7E12D193" w14:textId="77777777" w:rsidR="000C01EA" w:rsidRPr="000D7F9E" w:rsidRDefault="000C01EA" w:rsidP="00062D15">
            <w:pPr>
              <w:pStyle w:val="Neotevilenodstavek"/>
              <w:widowControl w:val="0"/>
              <w:spacing w:before="0" w:after="0" w:line="260" w:lineRule="exact"/>
              <w:jc w:val="left"/>
              <w:rPr>
                <w:b/>
                <w:sz w:val="20"/>
                <w:szCs w:val="20"/>
              </w:rPr>
            </w:pPr>
            <w:r w:rsidRPr="000D7F9E">
              <w:rPr>
                <w:b/>
                <w:sz w:val="20"/>
                <w:szCs w:val="20"/>
              </w:rPr>
              <w:t>8. Predstavitev sodelovanja z združenji občin:</w:t>
            </w:r>
          </w:p>
        </w:tc>
      </w:tr>
      <w:tr w:rsidR="000C01EA" w:rsidRPr="000D7F9E" w14:paraId="164D50AB" w14:textId="77777777" w:rsidTr="001E59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8" w:type="dxa"/>
        </w:trPr>
        <w:tc>
          <w:tcPr>
            <w:tcW w:w="7012" w:type="dxa"/>
            <w:gridSpan w:val="11"/>
          </w:tcPr>
          <w:p w14:paraId="7A8A6996" w14:textId="77777777" w:rsidR="000C01EA" w:rsidRPr="000D7F9E" w:rsidRDefault="000C01EA" w:rsidP="00062D15">
            <w:pPr>
              <w:pStyle w:val="Neotevilenodstavek"/>
              <w:widowControl w:val="0"/>
              <w:spacing w:before="0" w:after="0" w:line="260" w:lineRule="exact"/>
              <w:rPr>
                <w:iCs/>
                <w:sz w:val="20"/>
                <w:szCs w:val="20"/>
              </w:rPr>
            </w:pPr>
            <w:r w:rsidRPr="000D7F9E">
              <w:rPr>
                <w:iCs/>
                <w:sz w:val="20"/>
                <w:szCs w:val="20"/>
              </w:rPr>
              <w:t>Vsebina predloženega gradiva (predpisa) vpliva na:</w:t>
            </w:r>
          </w:p>
          <w:p w14:paraId="2B0197FA" w14:textId="77777777" w:rsidR="000C01EA" w:rsidRPr="000D7F9E" w:rsidRDefault="000C01EA" w:rsidP="000C01EA">
            <w:pPr>
              <w:pStyle w:val="Neotevilenodstavek"/>
              <w:widowControl w:val="0"/>
              <w:numPr>
                <w:ilvl w:val="1"/>
                <w:numId w:val="5"/>
              </w:numPr>
              <w:spacing w:before="0" w:after="0" w:line="260" w:lineRule="exact"/>
              <w:rPr>
                <w:iCs/>
                <w:sz w:val="20"/>
                <w:szCs w:val="20"/>
              </w:rPr>
            </w:pPr>
            <w:r w:rsidRPr="000D7F9E">
              <w:rPr>
                <w:iCs/>
                <w:sz w:val="20"/>
                <w:szCs w:val="20"/>
              </w:rPr>
              <w:t>pristojnosti občin,</w:t>
            </w:r>
          </w:p>
          <w:p w14:paraId="77302EA7" w14:textId="77777777" w:rsidR="000C01EA" w:rsidRPr="000D7F9E" w:rsidRDefault="000C01EA" w:rsidP="000C01EA">
            <w:pPr>
              <w:pStyle w:val="Neotevilenodstavek"/>
              <w:widowControl w:val="0"/>
              <w:numPr>
                <w:ilvl w:val="1"/>
                <w:numId w:val="5"/>
              </w:numPr>
              <w:spacing w:before="0" w:after="0" w:line="260" w:lineRule="exact"/>
              <w:rPr>
                <w:iCs/>
                <w:sz w:val="20"/>
                <w:szCs w:val="20"/>
              </w:rPr>
            </w:pPr>
            <w:r w:rsidRPr="000D7F9E">
              <w:rPr>
                <w:iCs/>
                <w:sz w:val="20"/>
                <w:szCs w:val="20"/>
              </w:rPr>
              <w:t>delovanje občin,</w:t>
            </w:r>
          </w:p>
          <w:p w14:paraId="0E7ABEE6" w14:textId="77777777" w:rsidR="000C01EA" w:rsidRDefault="000C01EA" w:rsidP="00C31064">
            <w:pPr>
              <w:pStyle w:val="Neotevilenodstavek"/>
              <w:widowControl w:val="0"/>
              <w:numPr>
                <w:ilvl w:val="1"/>
                <w:numId w:val="5"/>
              </w:numPr>
              <w:spacing w:before="0" w:after="0" w:line="260" w:lineRule="exact"/>
              <w:rPr>
                <w:iCs/>
                <w:sz w:val="20"/>
                <w:szCs w:val="20"/>
              </w:rPr>
            </w:pPr>
            <w:r w:rsidRPr="000D7F9E">
              <w:rPr>
                <w:iCs/>
                <w:sz w:val="20"/>
                <w:szCs w:val="20"/>
              </w:rPr>
              <w:t>financiranje občin.</w:t>
            </w:r>
          </w:p>
          <w:p w14:paraId="15FA2558" w14:textId="77777777" w:rsidR="00A0217A" w:rsidRDefault="00A0217A" w:rsidP="009876E7">
            <w:pPr>
              <w:pStyle w:val="Neotevilenodstavek"/>
              <w:widowControl w:val="0"/>
              <w:spacing w:before="0" w:after="0" w:line="260" w:lineRule="exact"/>
              <w:rPr>
                <w:iCs/>
                <w:sz w:val="20"/>
                <w:szCs w:val="20"/>
              </w:rPr>
            </w:pPr>
          </w:p>
          <w:p w14:paraId="387765C1" w14:textId="77777777" w:rsidR="009876E7" w:rsidRDefault="009876E7" w:rsidP="009876E7">
            <w:pPr>
              <w:pStyle w:val="Neotevilenodstavek"/>
              <w:widowControl w:val="0"/>
              <w:spacing w:before="0" w:after="0" w:line="260" w:lineRule="exact"/>
              <w:rPr>
                <w:iCs/>
                <w:sz w:val="20"/>
                <w:szCs w:val="20"/>
              </w:rPr>
            </w:pPr>
            <w:r>
              <w:rPr>
                <w:iCs/>
                <w:sz w:val="20"/>
                <w:szCs w:val="20"/>
              </w:rPr>
              <w:t>Strategija priporoča občinam uvedbo določenih ukrepov na področju razvoja alternativnih goriv v prometu. Od občin pa je odvisno</w:t>
            </w:r>
            <w:r w:rsidR="009123BE">
              <w:rPr>
                <w:iCs/>
                <w:sz w:val="20"/>
                <w:szCs w:val="20"/>
              </w:rPr>
              <w:t>,</w:t>
            </w:r>
            <w:r>
              <w:rPr>
                <w:iCs/>
                <w:sz w:val="20"/>
                <w:szCs w:val="20"/>
              </w:rPr>
              <w:t xml:space="preserve"> v kolikšni meri jih bodo upoštevale.</w:t>
            </w:r>
          </w:p>
          <w:p w14:paraId="57876D36" w14:textId="77777777" w:rsidR="00E43E8B" w:rsidRPr="00C31064" w:rsidRDefault="00E43E8B" w:rsidP="009876E7">
            <w:pPr>
              <w:pStyle w:val="Neotevilenodstavek"/>
              <w:widowControl w:val="0"/>
              <w:spacing w:before="0" w:after="0" w:line="260" w:lineRule="exact"/>
              <w:rPr>
                <w:iCs/>
                <w:sz w:val="20"/>
                <w:szCs w:val="20"/>
              </w:rPr>
            </w:pPr>
          </w:p>
        </w:tc>
        <w:tc>
          <w:tcPr>
            <w:tcW w:w="2188" w:type="dxa"/>
            <w:gridSpan w:val="4"/>
          </w:tcPr>
          <w:p w14:paraId="01759121" w14:textId="77777777" w:rsidR="000C01EA" w:rsidRPr="000D7F9E" w:rsidRDefault="000C01EA" w:rsidP="00062D15">
            <w:pPr>
              <w:pStyle w:val="Neotevilenodstavek"/>
              <w:widowControl w:val="0"/>
              <w:spacing w:before="0" w:after="0" w:line="260" w:lineRule="exact"/>
              <w:jc w:val="center"/>
              <w:rPr>
                <w:sz w:val="20"/>
                <w:szCs w:val="20"/>
              </w:rPr>
            </w:pPr>
            <w:r w:rsidRPr="009876E7">
              <w:rPr>
                <w:sz w:val="20"/>
                <w:szCs w:val="20"/>
              </w:rPr>
              <w:t>DA</w:t>
            </w:r>
            <w:r w:rsidRPr="000D7F9E">
              <w:rPr>
                <w:sz w:val="20"/>
                <w:szCs w:val="20"/>
              </w:rPr>
              <w:t>/</w:t>
            </w:r>
            <w:r w:rsidRPr="009876E7">
              <w:rPr>
                <w:b/>
                <w:sz w:val="20"/>
                <w:szCs w:val="20"/>
              </w:rPr>
              <w:t>NE</w:t>
            </w:r>
          </w:p>
        </w:tc>
      </w:tr>
      <w:tr w:rsidR="000C01EA" w:rsidRPr="000D7F9E" w14:paraId="6132269B" w14:textId="77777777" w:rsidTr="001E59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8" w:type="dxa"/>
          <w:trHeight w:val="274"/>
        </w:trPr>
        <w:tc>
          <w:tcPr>
            <w:tcW w:w="9200" w:type="dxa"/>
            <w:gridSpan w:val="15"/>
          </w:tcPr>
          <w:p w14:paraId="2F1C7402" w14:textId="77777777" w:rsidR="000C01EA" w:rsidRPr="000D7F9E" w:rsidRDefault="000C01EA" w:rsidP="00062D15">
            <w:pPr>
              <w:pStyle w:val="Neotevilenodstavek"/>
              <w:widowControl w:val="0"/>
              <w:spacing w:before="0" w:after="0" w:line="260" w:lineRule="exact"/>
              <w:rPr>
                <w:iCs/>
                <w:sz w:val="20"/>
                <w:szCs w:val="20"/>
              </w:rPr>
            </w:pPr>
            <w:r w:rsidRPr="000D7F9E">
              <w:rPr>
                <w:iCs/>
                <w:sz w:val="20"/>
                <w:szCs w:val="20"/>
              </w:rPr>
              <w:t xml:space="preserve">Gradivo (predpis) je bilo poslano v mnenje: </w:t>
            </w:r>
          </w:p>
          <w:p w14:paraId="719B456E" w14:textId="77777777" w:rsidR="000C01EA" w:rsidRPr="000D7F9E" w:rsidRDefault="000C01EA" w:rsidP="00754A5D">
            <w:pPr>
              <w:pStyle w:val="Neotevilenodstavek"/>
              <w:widowControl w:val="0"/>
              <w:numPr>
                <w:ilvl w:val="0"/>
                <w:numId w:val="9"/>
              </w:numPr>
              <w:spacing w:before="0" w:after="0" w:line="260" w:lineRule="exact"/>
              <w:rPr>
                <w:iCs/>
                <w:sz w:val="20"/>
                <w:szCs w:val="20"/>
              </w:rPr>
            </w:pPr>
            <w:r w:rsidRPr="000D7F9E">
              <w:rPr>
                <w:iCs/>
                <w:sz w:val="20"/>
                <w:szCs w:val="20"/>
              </w:rPr>
              <w:t xml:space="preserve">Skupnosti občin Slovenije SOS: </w:t>
            </w:r>
            <w:r w:rsidRPr="00C31064">
              <w:rPr>
                <w:b/>
                <w:iCs/>
                <w:sz w:val="20"/>
                <w:szCs w:val="20"/>
              </w:rPr>
              <w:t>DA</w:t>
            </w:r>
            <w:r w:rsidRPr="000D7F9E">
              <w:rPr>
                <w:iCs/>
                <w:sz w:val="20"/>
                <w:szCs w:val="20"/>
              </w:rPr>
              <w:t>/</w:t>
            </w:r>
            <w:r w:rsidRPr="00C31064">
              <w:rPr>
                <w:iCs/>
                <w:sz w:val="20"/>
                <w:szCs w:val="20"/>
              </w:rPr>
              <w:t>NE</w:t>
            </w:r>
          </w:p>
          <w:p w14:paraId="6CC38734" w14:textId="77777777" w:rsidR="000C01EA" w:rsidRPr="000D7F9E" w:rsidRDefault="000C01EA" w:rsidP="00754A5D">
            <w:pPr>
              <w:pStyle w:val="Neotevilenodstavek"/>
              <w:widowControl w:val="0"/>
              <w:numPr>
                <w:ilvl w:val="0"/>
                <w:numId w:val="9"/>
              </w:numPr>
              <w:spacing w:before="0" w:after="0" w:line="260" w:lineRule="exact"/>
              <w:rPr>
                <w:iCs/>
                <w:sz w:val="20"/>
                <w:szCs w:val="20"/>
              </w:rPr>
            </w:pPr>
            <w:r w:rsidRPr="000D7F9E">
              <w:rPr>
                <w:iCs/>
                <w:sz w:val="20"/>
                <w:szCs w:val="20"/>
              </w:rPr>
              <w:t xml:space="preserve">Združenju občin Slovenije ZOS: </w:t>
            </w:r>
            <w:r w:rsidRPr="00C31064">
              <w:rPr>
                <w:b/>
                <w:iCs/>
                <w:sz w:val="20"/>
                <w:szCs w:val="20"/>
              </w:rPr>
              <w:t>DA</w:t>
            </w:r>
            <w:r w:rsidRPr="000D7F9E">
              <w:rPr>
                <w:iCs/>
                <w:sz w:val="20"/>
                <w:szCs w:val="20"/>
              </w:rPr>
              <w:t>/</w:t>
            </w:r>
            <w:r w:rsidRPr="00C31064">
              <w:rPr>
                <w:iCs/>
                <w:sz w:val="20"/>
                <w:szCs w:val="20"/>
              </w:rPr>
              <w:t>NE</w:t>
            </w:r>
          </w:p>
          <w:p w14:paraId="2426D040" w14:textId="77777777" w:rsidR="000C01EA" w:rsidRPr="000D7F9E" w:rsidRDefault="000C01EA" w:rsidP="00754A5D">
            <w:pPr>
              <w:pStyle w:val="Neotevilenodstavek"/>
              <w:widowControl w:val="0"/>
              <w:numPr>
                <w:ilvl w:val="0"/>
                <w:numId w:val="9"/>
              </w:numPr>
              <w:spacing w:before="0" w:after="0" w:line="260" w:lineRule="exact"/>
              <w:rPr>
                <w:iCs/>
                <w:sz w:val="20"/>
                <w:szCs w:val="20"/>
              </w:rPr>
            </w:pPr>
            <w:r w:rsidRPr="000D7F9E">
              <w:rPr>
                <w:iCs/>
                <w:sz w:val="20"/>
                <w:szCs w:val="20"/>
              </w:rPr>
              <w:t xml:space="preserve">Združenju mestnih občin Slovenije ZMOS: </w:t>
            </w:r>
            <w:r w:rsidRPr="00C31064">
              <w:rPr>
                <w:b/>
                <w:iCs/>
                <w:sz w:val="20"/>
                <w:szCs w:val="20"/>
              </w:rPr>
              <w:t>DA</w:t>
            </w:r>
            <w:r w:rsidRPr="000D7F9E">
              <w:rPr>
                <w:iCs/>
                <w:sz w:val="20"/>
                <w:szCs w:val="20"/>
              </w:rPr>
              <w:t>/</w:t>
            </w:r>
            <w:r w:rsidRPr="00C31064">
              <w:rPr>
                <w:iCs/>
                <w:sz w:val="20"/>
                <w:szCs w:val="20"/>
              </w:rPr>
              <w:t>NE</w:t>
            </w:r>
          </w:p>
          <w:p w14:paraId="000FF28F" w14:textId="77777777" w:rsidR="000C01EA" w:rsidRDefault="000C01EA" w:rsidP="00DC1AE8">
            <w:pPr>
              <w:pStyle w:val="Neotevilenodstavek"/>
              <w:widowControl w:val="0"/>
              <w:spacing w:before="0" w:after="0" w:line="260" w:lineRule="exact"/>
              <w:rPr>
                <w:iCs/>
                <w:sz w:val="20"/>
                <w:szCs w:val="20"/>
              </w:rPr>
            </w:pPr>
          </w:p>
          <w:p w14:paraId="26006904" w14:textId="77777777" w:rsidR="00824290" w:rsidRDefault="00824290" w:rsidP="00DC1AE8">
            <w:pPr>
              <w:pStyle w:val="Neotevilenodstavek"/>
              <w:widowControl w:val="0"/>
              <w:spacing w:before="0" w:after="0" w:line="260" w:lineRule="exact"/>
              <w:rPr>
                <w:iCs/>
                <w:sz w:val="20"/>
                <w:szCs w:val="20"/>
              </w:rPr>
            </w:pPr>
          </w:p>
          <w:p w14:paraId="78C9979D" w14:textId="77777777" w:rsidR="00824290" w:rsidRDefault="00824290" w:rsidP="00DC1AE8">
            <w:pPr>
              <w:pStyle w:val="Neotevilenodstavek"/>
              <w:widowControl w:val="0"/>
              <w:spacing w:before="0" w:after="0" w:line="260" w:lineRule="exact"/>
              <w:rPr>
                <w:iCs/>
                <w:sz w:val="20"/>
                <w:szCs w:val="20"/>
              </w:rPr>
            </w:pPr>
          </w:p>
          <w:p w14:paraId="7ED8FA1D" w14:textId="77777777" w:rsidR="00DC1AE8" w:rsidRDefault="00042052" w:rsidP="00DC1AE8">
            <w:pPr>
              <w:pStyle w:val="Neotevilenodstavek"/>
              <w:widowControl w:val="0"/>
              <w:spacing w:before="0" w:after="0" w:line="260" w:lineRule="exact"/>
              <w:rPr>
                <w:iCs/>
                <w:sz w:val="20"/>
                <w:szCs w:val="20"/>
              </w:rPr>
            </w:pPr>
            <w:r>
              <w:rPr>
                <w:iCs/>
                <w:sz w:val="20"/>
                <w:szCs w:val="20"/>
              </w:rPr>
              <w:t xml:space="preserve">Predlog </w:t>
            </w:r>
            <w:r w:rsidR="00A37B44">
              <w:rPr>
                <w:iCs/>
                <w:sz w:val="20"/>
                <w:szCs w:val="20"/>
              </w:rPr>
              <w:t xml:space="preserve"> Akcijskega programa </w:t>
            </w:r>
            <w:r w:rsidR="004158FE">
              <w:rPr>
                <w:iCs/>
                <w:sz w:val="20"/>
                <w:szCs w:val="20"/>
              </w:rPr>
              <w:t xml:space="preserve">je bil </w:t>
            </w:r>
            <w:r w:rsidR="00DC1AE8">
              <w:rPr>
                <w:iCs/>
                <w:sz w:val="20"/>
                <w:szCs w:val="20"/>
              </w:rPr>
              <w:t>objav</w:t>
            </w:r>
            <w:r w:rsidR="004158FE">
              <w:rPr>
                <w:iCs/>
                <w:sz w:val="20"/>
                <w:szCs w:val="20"/>
              </w:rPr>
              <w:t>ljen</w:t>
            </w:r>
            <w:r w:rsidR="00DC1AE8">
              <w:rPr>
                <w:iCs/>
                <w:sz w:val="20"/>
                <w:szCs w:val="20"/>
              </w:rPr>
              <w:t xml:space="preserve"> na spletni strani Ministrstva za infrastrukturo in e-demokracije </w:t>
            </w:r>
            <w:r w:rsidR="00A37B44">
              <w:rPr>
                <w:iCs/>
                <w:sz w:val="20"/>
                <w:szCs w:val="20"/>
              </w:rPr>
              <w:t>11</w:t>
            </w:r>
            <w:r w:rsidR="00DC1AE8">
              <w:rPr>
                <w:iCs/>
                <w:sz w:val="20"/>
                <w:szCs w:val="20"/>
              </w:rPr>
              <w:t xml:space="preserve">. </w:t>
            </w:r>
            <w:r w:rsidR="00EB4FE2">
              <w:rPr>
                <w:iCs/>
                <w:sz w:val="20"/>
                <w:szCs w:val="20"/>
              </w:rPr>
              <w:t>j</w:t>
            </w:r>
            <w:r w:rsidR="00DC1AE8">
              <w:rPr>
                <w:iCs/>
                <w:sz w:val="20"/>
                <w:szCs w:val="20"/>
              </w:rPr>
              <w:t>u</w:t>
            </w:r>
            <w:r w:rsidR="009876E7">
              <w:rPr>
                <w:iCs/>
                <w:sz w:val="20"/>
                <w:szCs w:val="20"/>
              </w:rPr>
              <w:t xml:space="preserve">nija </w:t>
            </w:r>
            <w:r w:rsidR="00A37B44">
              <w:rPr>
                <w:iCs/>
                <w:sz w:val="20"/>
                <w:szCs w:val="20"/>
              </w:rPr>
              <w:t xml:space="preserve">2018 </w:t>
            </w:r>
            <w:r w:rsidR="00DC1AE8">
              <w:rPr>
                <w:iCs/>
                <w:sz w:val="20"/>
                <w:szCs w:val="20"/>
              </w:rPr>
              <w:t xml:space="preserve">in </w:t>
            </w:r>
            <w:r w:rsidR="004158FE">
              <w:rPr>
                <w:iCs/>
                <w:sz w:val="20"/>
                <w:szCs w:val="20"/>
              </w:rPr>
              <w:t xml:space="preserve">so bila </w:t>
            </w:r>
            <w:r w:rsidR="00DC1AE8">
              <w:rPr>
                <w:iCs/>
                <w:sz w:val="20"/>
                <w:szCs w:val="20"/>
              </w:rPr>
              <w:t>o</w:t>
            </w:r>
            <w:r w:rsidR="00EB4FE2">
              <w:rPr>
                <w:iCs/>
                <w:sz w:val="20"/>
                <w:szCs w:val="20"/>
              </w:rPr>
              <w:t xml:space="preserve"> tem</w:t>
            </w:r>
            <w:r w:rsidR="00DC1AE8">
              <w:rPr>
                <w:iCs/>
                <w:sz w:val="20"/>
                <w:szCs w:val="20"/>
              </w:rPr>
              <w:t xml:space="preserve"> po e-pošti </w:t>
            </w:r>
            <w:r w:rsidR="004158FE">
              <w:rPr>
                <w:iCs/>
                <w:sz w:val="20"/>
                <w:szCs w:val="20"/>
              </w:rPr>
              <w:t xml:space="preserve">obveščena </w:t>
            </w:r>
            <w:r w:rsidR="00DC1AE8">
              <w:rPr>
                <w:iCs/>
                <w:sz w:val="20"/>
                <w:szCs w:val="20"/>
              </w:rPr>
              <w:t xml:space="preserve">tudi vsa tri združenja občin oz. mestnih občin. </w:t>
            </w:r>
            <w:r w:rsidR="00F46526">
              <w:rPr>
                <w:iCs/>
                <w:sz w:val="20"/>
                <w:szCs w:val="20"/>
              </w:rPr>
              <w:t>Poleg tega je bila v juniju organizirana tudi javna predstavitev v zgradbi Ministrstva za infrastrukturo, Langusova 4, Ljubljana.</w:t>
            </w:r>
          </w:p>
          <w:p w14:paraId="65002425" w14:textId="77777777" w:rsidR="009E5A1F" w:rsidRDefault="009E5A1F" w:rsidP="00DC1AE8">
            <w:pPr>
              <w:pStyle w:val="Neotevilenodstavek"/>
              <w:widowControl w:val="0"/>
              <w:spacing w:before="0" w:after="0" w:line="260" w:lineRule="exact"/>
              <w:rPr>
                <w:iCs/>
                <w:sz w:val="20"/>
                <w:szCs w:val="20"/>
              </w:rPr>
            </w:pPr>
          </w:p>
          <w:p w14:paraId="51777F6C" w14:textId="77777777" w:rsidR="009E5A1F" w:rsidRDefault="009E5A1F" w:rsidP="00DC1AE8">
            <w:pPr>
              <w:pStyle w:val="Neotevilenodstavek"/>
              <w:widowControl w:val="0"/>
              <w:spacing w:before="0" w:after="0" w:line="260" w:lineRule="exact"/>
              <w:rPr>
                <w:iCs/>
                <w:sz w:val="20"/>
                <w:szCs w:val="20"/>
              </w:rPr>
            </w:pPr>
            <w:r>
              <w:rPr>
                <w:iCs/>
                <w:sz w:val="20"/>
                <w:szCs w:val="20"/>
              </w:rPr>
              <w:t xml:space="preserve">Predlagatelj je izhodišča za Akcijski program s predvidenimi ukrepi predstavil na posvetu o elektro mobilnosti, ki ga je organiziral </w:t>
            </w:r>
            <w:r w:rsidR="00EA0C6D">
              <w:rPr>
                <w:iCs/>
                <w:sz w:val="20"/>
                <w:szCs w:val="20"/>
              </w:rPr>
              <w:t>skupaj s</w:t>
            </w:r>
            <w:r>
              <w:rPr>
                <w:iCs/>
                <w:sz w:val="20"/>
                <w:szCs w:val="20"/>
              </w:rPr>
              <w:t xml:space="preserve"> Centrom energetsk</w:t>
            </w:r>
            <w:r w:rsidR="002D5E09">
              <w:rPr>
                <w:iCs/>
                <w:sz w:val="20"/>
                <w:szCs w:val="20"/>
              </w:rPr>
              <w:t>o učinkovitih</w:t>
            </w:r>
            <w:r>
              <w:rPr>
                <w:iCs/>
                <w:sz w:val="20"/>
                <w:szCs w:val="20"/>
              </w:rPr>
              <w:t xml:space="preserve"> rešitev</w:t>
            </w:r>
            <w:r w:rsidR="00EF16C8">
              <w:rPr>
                <w:iCs/>
                <w:sz w:val="20"/>
                <w:szCs w:val="20"/>
              </w:rPr>
              <w:t>,</w:t>
            </w:r>
            <w:r>
              <w:rPr>
                <w:iCs/>
                <w:sz w:val="20"/>
                <w:szCs w:val="20"/>
              </w:rPr>
              <w:t xml:space="preserve"> in na delavnicah ter </w:t>
            </w:r>
            <w:r w:rsidR="00EB0FBB">
              <w:rPr>
                <w:iCs/>
                <w:sz w:val="20"/>
                <w:szCs w:val="20"/>
              </w:rPr>
              <w:t xml:space="preserve">strokovnih </w:t>
            </w:r>
            <w:r>
              <w:rPr>
                <w:iCs/>
                <w:sz w:val="20"/>
                <w:szCs w:val="20"/>
              </w:rPr>
              <w:t>posvetih drugih organizacij</w:t>
            </w:r>
            <w:r w:rsidR="00EA0C6D">
              <w:rPr>
                <w:iCs/>
                <w:sz w:val="20"/>
                <w:szCs w:val="20"/>
              </w:rPr>
              <w:t>.</w:t>
            </w:r>
          </w:p>
          <w:p w14:paraId="70604639" w14:textId="77777777" w:rsidR="00EA0C6D" w:rsidRDefault="00EA0C6D" w:rsidP="00DC1AE8">
            <w:pPr>
              <w:pStyle w:val="Neotevilenodstavek"/>
              <w:widowControl w:val="0"/>
              <w:spacing w:before="0" w:after="0" w:line="260" w:lineRule="exact"/>
              <w:rPr>
                <w:iCs/>
                <w:sz w:val="20"/>
                <w:szCs w:val="20"/>
              </w:rPr>
            </w:pPr>
          </w:p>
          <w:p w14:paraId="3872D971" w14:textId="77777777" w:rsidR="00EA0C6D" w:rsidRPr="000D7F9E" w:rsidRDefault="00EA0C6D" w:rsidP="00DC1AE8">
            <w:pPr>
              <w:pStyle w:val="Neotevilenodstavek"/>
              <w:widowControl w:val="0"/>
              <w:spacing w:before="0" w:after="0" w:line="260" w:lineRule="exact"/>
              <w:rPr>
                <w:iCs/>
                <w:sz w:val="20"/>
                <w:szCs w:val="20"/>
              </w:rPr>
            </w:pPr>
            <w:r>
              <w:rPr>
                <w:iCs/>
                <w:sz w:val="20"/>
                <w:szCs w:val="20"/>
              </w:rPr>
              <w:t xml:space="preserve">Gradivo upošteva tudi </w:t>
            </w:r>
            <w:r w:rsidR="00EB0FBB">
              <w:rPr>
                <w:iCs/>
                <w:sz w:val="20"/>
                <w:szCs w:val="20"/>
              </w:rPr>
              <w:t xml:space="preserve">Poročilo </w:t>
            </w:r>
            <w:r>
              <w:rPr>
                <w:iCs/>
                <w:sz w:val="20"/>
                <w:szCs w:val="20"/>
              </w:rPr>
              <w:t xml:space="preserve">o celoviti presoji </w:t>
            </w:r>
            <w:r w:rsidR="00EB0FBB">
              <w:rPr>
                <w:iCs/>
                <w:sz w:val="20"/>
                <w:szCs w:val="20"/>
              </w:rPr>
              <w:t xml:space="preserve">vplivov </w:t>
            </w:r>
            <w:r>
              <w:rPr>
                <w:iCs/>
                <w:sz w:val="20"/>
                <w:szCs w:val="20"/>
              </w:rPr>
              <w:t xml:space="preserve">na okolje, ki je bilo </w:t>
            </w:r>
            <w:r w:rsidR="00EB0FBB">
              <w:rPr>
                <w:iCs/>
                <w:sz w:val="20"/>
                <w:szCs w:val="20"/>
              </w:rPr>
              <w:t xml:space="preserve">narejeno za </w:t>
            </w:r>
            <w:r>
              <w:rPr>
                <w:iCs/>
                <w:sz w:val="20"/>
                <w:szCs w:val="20"/>
              </w:rPr>
              <w:t>Strategijo.</w:t>
            </w:r>
          </w:p>
          <w:p w14:paraId="290C8AB6" w14:textId="77777777" w:rsidR="000C01EA" w:rsidRPr="000D7F9E" w:rsidRDefault="000C01EA" w:rsidP="00D66C08">
            <w:pPr>
              <w:pStyle w:val="Neotevilenodstavek"/>
              <w:widowControl w:val="0"/>
              <w:spacing w:before="0" w:after="0" w:line="260" w:lineRule="exact"/>
              <w:rPr>
                <w:iCs/>
                <w:sz w:val="20"/>
                <w:szCs w:val="20"/>
              </w:rPr>
            </w:pPr>
          </w:p>
        </w:tc>
      </w:tr>
      <w:tr w:rsidR="000C01EA" w:rsidRPr="000D7F9E" w14:paraId="05623D26" w14:textId="77777777" w:rsidTr="001E59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8" w:type="dxa"/>
        </w:trPr>
        <w:tc>
          <w:tcPr>
            <w:tcW w:w="9200" w:type="dxa"/>
            <w:gridSpan w:val="15"/>
          </w:tcPr>
          <w:p w14:paraId="5BFFF4E1" w14:textId="77777777" w:rsidR="000C01EA" w:rsidRPr="000D7F9E" w:rsidRDefault="000C01EA" w:rsidP="00062D15">
            <w:pPr>
              <w:pStyle w:val="Neotevilenodstavek"/>
              <w:widowControl w:val="0"/>
              <w:spacing w:before="0" w:after="0" w:line="260" w:lineRule="exact"/>
              <w:jc w:val="left"/>
              <w:rPr>
                <w:b/>
                <w:sz w:val="20"/>
                <w:szCs w:val="20"/>
              </w:rPr>
            </w:pPr>
            <w:r w:rsidRPr="000D7F9E">
              <w:rPr>
                <w:b/>
                <w:sz w:val="20"/>
                <w:szCs w:val="20"/>
              </w:rPr>
              <w:lastRenderedPageBreak/>
              <w:t>9. Predstavitev sodelovanja javnosti:</w:t>
            </w:r>
          </w:p>
        </w:tc>
      </w:tr>
      <w:tr w:rsidR="000C01EA" w:rsidRPr="000D7F9E" w14:paraId="110B8BF9" w14:textId="77777777" w:rsidTr="001E59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8" w:type="dxa"/>
        </w:trPr>
        <w:tc>
          <w:tcPr>
            <w:tcW w:w="7012" w:type="dxa"/>
            <w:gridSpan w:val="11"/>
          </w:tcPr>
          <w:p w14:paraId="24D09361" w14:textId="77777777" w:rsidR="000C01EA" w:rsidRPr="000D7F9E" w:rsidRDefault="000C01EA" w:rsidP="00062D15">
            <w:pPr>
              <w:pStyle w:val="Neotevilenodstavek"/>
              <w:widowControl w:val="0"/>
              <w:spacing w:before="0" w:after="0" w:line="260" w:lineRule="exact"/>
              <w:rPr>
                <w:sz w:val="20"/>
                <w:szCs w:val="20"/>
              </w:rPr>
            </w:pPr>
            <w:r w:rsidRPr="000D7F9E">
              <w:rPr>
                <w:iCs/>
                <w:sz w:val="20"/>
                <w:szCs w:val="20"/>
              </w:rPr>
              <w:t>Gradivo je bilo predhodno objavljeno na spletni strani predlagatelja:</w:t>
            </w:r>
          </w:p>
        </w:tc>
        <w:tc>
          <w:tcPr>
            <w:tcW w:w="2188" w:type="dxa"/>
            <w:gridSpan w:val="4"/>
          </w:tcPr>
          <w:p w14:paraId="70B2A908" w14:textId="77777777" w:rsidR="000C01EA" w:rsidRPr="000D7F9E" w:rsidRDefault="000C01EA" w:rsidP="00062D15">
            <w:pPr>
              <w:pStyle w:val="Neotevilenodstavek"/>
              <w:widowControl w:val="0"/>
              <w:spacing w:before="0" w:after="0" w:line="260" w:lineRule="exact"/>
              <w:jc w:val="center"/>
              <w:rPr>
                <w:iCs/>
                <w:sz w:val="20"/>
                <w:szCs w:val="20"/>
              </w:rPr>
            </w:pPr>
            <w:r w:rsidRPr="005B30DA">
              <w:rPr>
                <w:b/>
                <w:sz w:val="20"/>
                <w:szCs w:val="20"/>
              </w:rPr>
              <w:t>DA</w:t>
            </w:r>
            <w:r w:rsidRPr="000D7F9E">
              <w:rPr>
                <w:sz w:val="20"/>
                <w:szCs w:val="20"/>
              </w:rPr>
              <w:t>/</w:t>
            </w:r>
            <w:r w:rsidRPr="005B30DA">
              <w:rPr>
                <w:sz w:val="20"/>
                <w:szCs w:val="20"/>
              </w:rPr>
              <w:t>NE</w:t>
            </w:r>
          </w:p>
        </w:tc>
      </w:tr>
      <w:tr w:rsidR="000C01EA" w:rsidRPr="000D7F9E" w14:paraId="07938472" w14:textId="77777777" w:rsidTr="001E59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8" w:type="dxa"/>
          <w:trHeight w:val="274"/>
        </w:trPr>
        <w:tc>
          <w:tcPr>
            <w:tcW w:w="9200" w:type="dxa"/>
            <w:gridSpan w:val="15"/>
          </w:tcPr>
          <w:p w14:paraId="030590E0" w14:textId="77777777" w:rsidR="000C01EA" w:rsidRPr="000D7F9E" w:rsidRDefault="000C01EA" w:rsidP="00062D15">
            <w:pPr>
              <w:pStyle w:val="Neotevilenodstavek"/>
              <w:widowControl w:val="0"/>
              <w:spacing w:before="0" w:after="0" w:line="260" w:lineRule="exact"/>
              <w:rPr>
                <w:iCs/>
                <w:color w:val="FF0000"/>
                <w:sz w:val="20"/>
                <w:szCs w:val="20"/>
              </w:rPr>
            </w:pPr>
          </w:p>
        </w:tc>
      </w:tr>
      <w:tr w:rsidR="000C01EA" w:rsidRPr="000D7F9E" w14:paraId="6130F3BC" w14:textId="77777777" w:rsidTr="001E59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8" w:type="dxa"/>
          <w:trHeight w:val="274"/>
        </w:trPr>
        <w:tc>
          <w:tcPr>
            <w:tcW w:w="9200" w:type="dxa"/>
            <w:gridSpan w:val="15"/>
          </w:tcPr>
          <w:p w14:paraId="414CBD31" w14:textId="77777777" w:rsidR="005C4E24" w:rsidRPr="005C4E24" w:rsidRDefault="00062D0E" w:rsidP="00A37B44">
            <w:pPr>
              <w:pStyle w:val="Neotevilenodstavek"/>
              <w:widowControl w:val="0"/>
              <w:spacing w:line="260" w:lineRule="exact"/>
              <w:rPr>
                <w:iCs/>
                <w:sz w:val="20"/>
                <w:szCs w:val="20"/>
              </w:rPr>
            </w:pPr>
            <w:r>
              <w:rPr>
                <w:iCs/>
                <w:sz w:val="20"/>
                <w:szCs w:val="20"/>
              </w:rPr>
              <w:t>Predlagatelj je osnutek Akcijskega programa predstavil deležnikom na več javnih predstav</w:t>
            </w:r>
            <w:r w:rsidR="00E22DA9">
              <w:rPr>
                <w:iCs/>
                <w:sz w:val="20"/>
                <w:szCs w:val="20"/>
              </w:rPr>
              <w:t xml:space="preserve">itvah in posvetovanjih. Upoštevane so bile tudi pripombe, ki so jih različni deležniki posredovali na predlog Strategije in v javnih razpravi na Okoljsko poročilo pripravljeno v postopku celovite presoje </w:t>
            </w:r>
            <w:r w:rsidR="00567ADC">
              <w:rPr>
                <w:iCs/>
                <w:sz w:val="20"/>
                <w:szCs w:val="20"/>
              </w:rPr>
              <w:t xml:space="preserve">vplivov </w:t>
            </w:r>
            <w:r w:rsidR="00E22DA9">
              <w:rPr>
                <w:iCs/>
                <w:sz w:val="20"/>
                <w:szCs w:val="20"/>
              </w:rPr>
              <w:t xml:space="preserve">na okolje. Akcijski program ni upošteval predlogov, da bi se uvedle tudi subvencije za predelave osebnih avtomobilov na </w:t>
            </w:r>
            <w:proofErr w:type="spellStart"/>
            <w:r w:rsidR="00E22DA9">
              <w:rPr>
                <w:iCs/>
                <w:sz w:val="20"/>
                <w:szCs w:val="20"/>
              </w:rPr>
              <w:t>dvogorivne</w:t>
            </w:r>
            <w:proofErr w:type="spellEnd"/>
            <w:r w:rsidR="00E22DA9">
              <w:rPr>
                <w:iCs/>
                <w:sz w:val="20"/>
                <w:szCs w:val="20"/>
              </w:rPr>
              <w:t xml:space="preserve"> sisteme na utekočinjen naftni plin in stisnjen zemeljski plin, ker niso zagotovljena sredstva s katerimi bi se lahko financirale predelave.</w:t>
            </w:r>
          </w:p>
          <w:p w14:paraId="3802DEFA" w14:textId="77777777" w:rsidR="00273AE3" w:rsidRPr="000D7F9E" w:rsidRDefault="00273AE3" w:rsidP="009E0601">
            <w:pPr>
              <w:pStyle w:val="Neotevilenodstavek"/>
              <w:widowControl w:val="0"/>
              <w:numPr>
                <w:ilvl w:val="0"/>
                <w:numId w:val="16"/>
              </w:numPr>
              <w:spacing w:line="260" w:lineRule="exact"/>
              <w:rPr>
                <w:iCs/>
                <w:sz w:val="20"/>
                <w:szCs w:val="20"/>
              </w:rPr>
            </w:pPr>
          </w:p>
        </w:tc>
      </w:tr>
      <w:tr w:rsidR="000C01EA" w:rsidRPr="000D7F9E" w14:paraId="3580DCFE" w14:textId="77777777" w:rsidTr="001E59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8" w:type="dxa"/>
        </w:trPr>
        <w:tc>
          <w:tcPr>
            <w:tcW w:w="7012" w:type="dxa"/>
            <w:gridSpan w:val="11"/>
            <w:vAlign w:val="center"/>
          </w:tcPr>
          <w:p w14:paraId="2E03681D" w14:textId="77777777" w:rsidR="000C01EA" w:rsidRPr="000D7F9E" w:rsidRDefault="000C01EA" w:rsidP="00062D15">
            <w:pPr>
              <w:pStyle w:val="Neotevilenodstavek"/>
              <w:widowControl w:val="0"/>
              <w:spacing w:before="0" w:after="0" w:line="260" w:lineRule="exact"/>
              <w:jc w:val="left"/>
              <w:rPr>
                <w:sz w:val="20"/>
                <w:szCs w:val="20"/>
              </w:rPr>
            </w:pPr>
            <w:r>
              <w:rPr>
                <w:b/>
                <w:sz w:val="20"/>
                <w:szCs w:val="20"/>
              </w:rPr>
              <w:t>10</w:t>
            </w:r>
            <w:r w:rsidRPr="000D7F9E">
              <w:rPr>
                <w:b/>
                <w:sz w:val="20"/>
                <w:szCs w:val="20"/>
              </w:rPr>
              <w:t>. Pri pripravi gradiva so bile upoštevane zahteve iz Resolucije o normativni dejavnosti:</w:t>
            </w:r>
          </w:p>
        </w:tc>
        <w:tc>
          <w:tcPr>
            <w:tcW w:w="2188" w:type="dxa"/>
            <w:gridSpan w:val="4"/>
            <w:vAlign w:val="center"/>
          </w:tcPr>
          <w:p w14:paraId="53BDDAD4" w14:textId="77777777" w:rsidR="000C01EA" w:rsidRPr="000D7F9E" w:rsidRDefault="000C01EA" w:rsidP="00062D15">
            <w:pPr>
              <w:pStyle w:val="Neotevilenodstavek"/>
              <w:widowControl w:val="0"/>
              <w:spacing w:before="0" w:after="0" w:line="260" w:lineRule="exact"/>
              <w:jc w:val="center"/>
              <w:rPr>
                <w:iCs/>
                <w:sz w:val="20"/>
                <w:szCs w:val="20"/>
              </w:rPr>
            </w:pPr>
            <w:r>
              <w:rPr>
                <w:sz w:val="20"/>
                <w:szCs w:val="20"/>
              </w:rPr>
              <w:t>/</w:t>
            </w:r>
          </w:p>
        </w:tc>
      </w:tr>
      <w:tr w:rsidR="000C01EA" w:rsidRPr="000D7F9E" w14:paraId="03A828BB" w14:textId="77777777" w:rsidTr="001E59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8" w:type="dxa"/>
        </w:trPr>
        <w:tc>
          <w:tcPr>
            <w:tcW w:w="7012" w:type="dxa"/>
            <w:gridSpan w:val="11"/>
            <w:vAlign w:val="center"/>
          </w:tcPr>
          <w:p w14:paraId="2BAADE48" w14:textId="77777777" w:rsidR="000C01EA" w:rsidRPr="000D7F9E" w:rsidRDefault="000C01EA" w:rsidP="00062D15">
            <w:pPr>
              <w:pStyle w:val="Neotevilenodstavek"/>
              <w:widowControl w:val="0"/>
              <w:spacing w:before="0" w:after="0" w:line="260" w:lineRule="exact"/>
              <w:jc w:val="left"/>
              <w:rPr>
                <w:b/>
                <w:sz w:val="20"/>
                <w:szCs w:val="20"/>
              </w:rPr>
            </w:pPr>
            <w:r>
              <w:rPr>
                <w:b/>
                <w:sz w:val="20"/>
                <w:szCs w:val="20"/>
              </w:rPr>
              <w:t>11</w:t>
            </w:r>
            <w:r w:rsidRPr="000D7F9E">
              <w:rPr>
                <w:b/>
                <w:sz w:val="20"/>
                <w:szCs w:val="20"/>
              </w:rPr>
              <w:t>. Gradivo je uvrščeno v delovni program vlade:</w:t>
            </w:r>
          </w:p>
        </w:tc>
        <w:tc>
          <w:tcPr>
            <w:tcW w:w="2188" w:type="dxa"/>
            <w:gridSpan w:val="4"/>
            <w:vAlign w:val="center"/>
          </w:tcPr>
          <w:p w14:paraId="551E3A1C" w14:textId="77777777" w:rsidR="000C01EA" w:rsidRPr="00591B28" w:rsidRDefault="00591B28" w:rsidP="00062D15">
            <w:pPr>
              <w:pStyle w:val="Neotevilenodstavek"/>
              <w:widowControl w:val="0"/>
              <w:spacing w:before="0" w:after="0" w:line="260" w:lineRule="exact"/>
              <w:jc w:val="center"/>
              <w:rPr>
                <w:b/>
                <w:sz w:val="20"/>
                <w:szCs w:val="20"/>
              </w:rPr>
            </w:pPr>
            <w:r w:rsidRPr="00591B28">
              <w:rPr>
                <w:b/>
                <w:sz w:val="20"/>
                <w:szCs w:val="20"/>
              </w:rPr>
              <w:t>DA</w:t>
            </w:r>
          </w:p>
        </w:tc>
      </w:tr>
      <w:tr w:rsidR="000C01EA" w:rsidRPr="000D7F9E" w14:paraId="70E693B2" w14:textId="77777777" w:rsidTr="001E59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8" w:type="dxa"/>
        </w:trPr>
        <w:tc>
          <w:tcPr>
            <w:tcW w:w="9200" w:type="dxa"/>
            <w:gridSpan w:val="15"/>
            <w:tcBorders>
              <w:top w:val="single" w:sz="4" w:space="0" w:color="000000"/>
              <w:left w:val="single" w:sz="4" w:space="0" w:color="000000"/>
              <w:bottom w:val="single" w:sz="4" w:space="0" w:color="000000"/>
              <w:right w:val="single" w:sz="4" w:space="0" w:color="000000"/>
            </w:tcBorders>
          </w:tcPr>
          <w:p w14:paraId="652F3844" w14:textId="77777777" w:rsidR="000C01EA" w:rsidRDefault="000C01EA" w:rsidP="00062D15">
            <w:pPr>
              <w:pStyle w:val="Poglavje"/>
              <w:widowControl w:val="0"/>
              <w:spacing w:before="0" w:after="0" w:line="260" w:lineRule="exact"/>
              <w:ind w:left="5662" w:firstLine="284"/>
              <w:jc w:val="left"/>
              <w:rPr>
                <w:b w:val="0"/>
                <w:sz w:val="20"/>
                <w:szCs w:val="20"/>
              </w:rPr>
            </w:pPr>
          </w:p>
          <w:p w14:paraId="5F8E7A98" w14:textId="77777777" w:rsidR="000C01EA" w:rsidRDefault="000C01EA" w:rsidP="00062D15">
            <w:pPr>
              <w:pStyle w:val="Poglavje"/>
              <w:widowControl w:val="0"/>
              <w:spacing w:before="0" w:after="0" w:line="260" w:lineRule="exact"/>
              <w:ind w:left="5662" w:firstLine="284"/>
              <w:jc w:val="left"/>
              <w:rPr>
                <w:b w:val="0"/>
                <w:sz w:val="20"/>
                <w:szCs w:val="20"/>
              </w:rPr>
            </w:pPr>
          </w:p>
          <w:p w14:paraId="7801F6A7" w14:textId="77777777" w:rsidR="000C01EA" w:rsidRPr="000D7F9E" w:rsidRDefault="00E22DA9" w:rsidP="00062D15">
            <w:pPr>
              <w:pStyle w:val="Poglavje"/>
              <w:widowControl w:val="0"/>
              <w:spacing w:before="0" w:after="0" w:line="260" w:lineRule="exact"/>
              <w:ind w:left="5662" w:firstLine="284"/>
              <w:jc w:val="left"/>
              <w:rPr>
                <w:b w:val="0"/>
                <w:sz w:val="20"/>
                <w:szCs w:val="20"/>
              </w:rPr>
            </w:pPr>
            <w:r>
              <w:rPr>
                <w:b w:val="0"/>
                <w:sz w:val="20"/>
                <w:szCs w:val="20"/>
              </w:rPr>
              <w:t>mag. Alenka Bratušek</w:t>
            </w:r>
          </w:p>
          <w:p w14:paraId="7E6051E9" w14:textId="77777777" w:rsidR="000C01EA" w:rsidRPr="000D7F9E" w:rsidRDefault="000C01EA" w:rsidP="00062D15">
            <w:pPr>
              <w:pStyle w:val="Poglavje"/>
              <w:widowControl w:val="0"/>
              <w:spacing w:before="0" w:after="0" w:line="260" w:lineRule="exact"/>
              <w:ind w:left="5946" w:firstLine="284"/>
              <w:jc w:val="left"/>
              <w:rPr>
                <w:b w:val="0"/>
                <w:sz w:val="20"/>
                <w:szCs w:val="20"/>
              </w:rPr>
            </w:pPr>
            <w:r w:rsidRPr="000D7F9E">
              <w:rPr>
                <w:b w:val="0"/>
                <w:sz w:val="20"/>
                <w:szCs w:val="20"/>
              </w:rPr>
              <w:t xml:space="preserve">   MINISTR</w:t>
            </w:r>
            <w:r w:rsidR="00E22DA9">
              <w:rPr>
                <w:b w:val="0"/>
                <w:sz w:val="20"/>
                <w:szCs w:val="20"/>
              </w:rPr>
              <w:t>ICA</w:t>
            </w:r>
          </w:p>
          <w:p w14:paraId="5033518D" w14:textId="77777777" w:rsidR="000C01EA" w:rsidRDefault="000C01EA" w:rsidP="00062D15">
            <w:pPr>
              <w:pStyle w:val="Poglavje"/>
              <w:widowControl w:val="0"/>
              <w:spacing w:before="0" w:after="0" w:line="260" w:lineRule="exact"/>
              <w:ind w:left="3400"/>
              <w:jc w:val="left"/>
              <w:rPr>
                <w:sz w:val="20"/>
                <w:szCs w:val="20"/>
              </w:rPr>
            </w:pPr>
          </w:p>
          <w:p w14:paraId="5BCC7C71" w14:textId="77777777" w:rsidR="000F45B4" w:rsidRDefault="000F45B4" w:rsidP="00062D15">
            <w:pPr>
              <w:pStyle w:val="Poglavje"/>
              <w:widowControl w:val="0"/>
              <w:spacing w:before="0" w:after="0" w:line="260" w:lineRule="exact"/>
              <w:ind w:left="3400"/>
              <w:jc w:val="left"/>
              <w:rPr>
                <w:sz w:val="20"/>
                <w:szCs w:val="20"/>
              </w:rPr>
            </w:pPr>
          </w:p>
          <w:p w14:paraId="4ECEDC4F" w14:textId="77777777" w:rsidR="000F45B4" w:rsidRPr="000D7F9E" w:rsidRDefault="000F45B4" w:rsidP="00062D15">
            <w:pPr>
              <w:pStyle w:val="Poglavje"/>
              <w:widowControl w:val="0"/>
              <w:spacing w:before="0" w:after="0" w:line="260" w:lineRule="exact"/>
              <w:ind w:left="3400"/>
              <w:jc w:val="left"/>
              <w:rPr>
                <w:sz w:val="20"/>
                <w:szCs w:val="20"/>
              </w:rPr>
            </w:pPr>
          </w:p>
        </w:tc>
      </w:tr>
    </w:tbl>
    <w:p w14:paraId="58BCFB10" w14:textId="77777777" w:rsidR="00E74290" w:rsidRDefault="00E74290" w:rsidP="00ED5CC7">
      <w:pPr>
        <w:overflowPunct w:val="0"/>
        <w:autoSpaceDE w:val="0"/>
        <w:autoSpaceDN w:val="0"/>
        <w:adjustRightInd w:val="0"/>
        <w:textAlignment w:val="baseline"/>
        <w:rPr>
          <w:rFonts w:ascii="Arial" w:hAnsi="Arial" w:cs="Arial"/>
          <w:sz w:val="20"/>
          <w:szCs w:val="20"/>
          <w:lang w:eastAsia="sl-SI"/>
        </w:rPr>
      </w:pPr>
    </w:p>
    <w:p w14:paraId="64F88820" w14:textId="77777777" w:rsidR="000679A7" w:rsidRDefault="000679A7" w:rsidP="00ED5CC7">
      <w:pPr>
        <w:overflowPunct w:val="0"/>
        <w:autoSpaceDE w:val="0"/>
        <w:autoSpaceDN w:val="0"/>
        <w:adjustRightInd w:val="0"/>
        <w:textAlignment w:val="baseline"/>
        <w:rPr>
          <w:rFonts w:ascii="Arial" w:hAnsi="Arial" w:cs="Arial"/>
          <w:sz w:val="20"/>
          <w:szCs w:val="20"/>
          <w:lang w:eastAsia="sl-SI"/>
        </w:rPr>
      </w:pPr>
    </w:p>
    <w:p w14:paraId="2D8B225F" w14:textId="77777777" w:rsidR="000679A7" w:rsidRDefault="000679A7" w:rsidP="00ED5CC7">
      <w:pPr>
        <w:overflowPunct w:val="0"/>
        <w:autoSpaceDE w:val="0"/>
        <w:autoSpaceDN w:val="0"/>
        <w:adjustRightInd w:val="0"/>
        <w:textAlignment w:val="baseline"/>
        <w:rPr>
          <w:rFonts w:ascii="Arial" w:hAnsi="Arial" w:cs="Arial"/>
          <w:sz w:val="20"/>
          <w:szCs w:val="20"/>
          <w:lang w:eastAsia="sl-SI"/>
        </w:rPr>
      </w:pPr>
    </w:p>
    <w:p w14:paraId="4DB25BD2" w14:textId="77777777" w:rsidR="005C4E24" w:rsidRDefault="005C4E24" w:rsidP="00ED5CC7">
      <w:pPr>
        <w:overflowPunct w:val="0"/>
        <w:autoSpaceDE w:val="0"/>
        <w:autoSpaceDN w:val="0"/>
        <w:adjustRightInd w:val="0"/>
        <w:textAlignment w:val="baseline"/>
        <w:rPr>
          <w:rFonts w:ascii="Arial" w:hAnsi="Arial" w:cs="Arial"/>
          <w:sz w:val="20"/>
          <w:szCs w:val="20"/>
          <w:lang w:eastAsia="sl-SI"/>
        </w:rPr>
      </w:pPr>
    </w:p>
    <w:p w14:paraId="4E7961CD" w14:textId="77777777" w:rsidR="000679A7" w:rsidRDefault="000679A7" w:rsidP="00ED5CC7">
      <w:pPr>
        <w:overflowPunct w:val="0"/>
        <w:autoSpaceDE w:val="0"/>
        <w:autoSpaceDN w:val="0"/>
        <w:adjustRightInd w:val="0"/>
        <w:textAlignment w:val="baseline"/>
        <w:rPr>
          <w:rFonts w:ascii="Arial" w:hAnsi="Arial" w:cs="Arial"/>
          <w:sz w:val="20"/>
          <w:szCs w:val="20"/>
          <w:lang w:eastAsia="sl-SI"/>
        </w:rPr>
      </w:pPr>
    </w:p>
    <w:p w14:paraId="21A9DF80" w14:textId="2B4B7808" w:rsidR="00ED5CC7" w:rsidRPr="00ED5CC7" w:rsidRDefault="00782FD9" w:rsidP="00ED5CC7">
      <w:pPr>
        <w:overflowPunct w:val="0"/>
        <w:autoSpaceDE w:val="0"/>
        <w:autoSpaceDN w:val="0"/>
        <w:adjustRightInd w:val="0"/>
        <w:textAlignment w:val="baseline"/>
        <w:rPr>
          <w:rFonts w:ascii="Arial" w:hAnsi="Arial" w:cs="Arial"/>
          <w:sz w:val="20"/>
          <w:szCs w:val="20"/>
          <w:lang w:eastAsia="sl-SI"/>
        </w:rPr>
      </w:pPr>
      <w:r w:rsidRPr="00ED5CC7">
        <w:rPr>
          <w:rFonts w:ascii="Arial" w:hAnsi="Arial" w:cs="Arial"/>
          <w:sz w:val="20"/>
          <w:szCs w:val="20"/>
          <w:lang w:eastAsia="sl-SI"/>
        </w:rPr>
        <w:t>PRILOG</w:t>
      </w:r>
      <w:r>
        <w:rPr>
          <w:rFonts w:ascii="Arial" w:hAnsi="Arial" w:cs="Arial"/>
          <w:sz w:val="20"/>
          <w:szCs w:val="20"/>
          <w:lang w:eastAsia="sl-SI"/>
        </w:rPr>
        <w:t>I</w:t>
      </w:r>
      <w:r w:rsidR="00ED5CC7" w:rsidRPr="00ED5CC7">
        <w:rPr>
          <w:rFonts w:ascii="Arial" w:hAnsi="Arial" w:cs="Arial"/>
          <w:sz w:val="20"/>
          <w:szCs w:val="20"/>
          <w:lang w:eastAsia="sl-SI"/>
        </w:rPr>
        <w:t xml:space="preserve">: </w:t>
      </w:r>
    </w:p>
    <w:p w14:paraId="0CEFE5CE" w14:textId="3807C5D2" w:rsidR="00ED5666" w:rsidRDefault="00824290" w:rsidP="005C4E24">
      <w:pPr>
        <w:pStyle w:val="Odstavekseznama"/>
        <w:numPr>
          <w:ilvl w:val="1"/>
          <w:numId w:val="8"/>
        </w:numPr>
        <w:suppressAutoHyphens w:val="0"/>
        <w:overflowPunct w:val="0"/>
        <w:autoSpaceDE w:val="0"/>
        <w:autoSpaceDN w:val="0"/>
        <w:adjustRightInd w:val="0"/>
        <w:ind w:left="709"/>
        <w:textAlignment w:val="baseline"/>
        <w:rPr>
          <w:rFonts w:ascii="Arial" w:hAnsi="Arial" w:cs="Arial"/>
          <w:sz w:val="20"/>
          <w:szCs w:val="20"/>
          <w:lang w:eastAsia="sl-SI"/>
        </w:rPr>
      </w:pPr>
      <w:r>
        <w:rPr>
          <w:rFonts w:ascii="Arial" w:hAnsi="Arial" w:cs="Arial"/>
          <w:sz w:val="20"/>
          <w:szCs w:val="20"/>
          <w:lang w:eastAsia="sl-SI"/>
        </w:rPr>
        <w:t>P</w:t>
      </w:r>
      <w:r w:rsidR="00ED5CC7" w:rsidRPr="00153039">
        <w:rPr>
          <w:rFonts w:ascii="Arial" w:hAnsi="Arial" w:cs="Arial"/>
          <w:sz w:val="20"/>
          <w:szCs w:val="20"/>
          <w:lang w:eastAsia="sl-SI"/>
        </w:rPr>
        <w:t xml:space="preserve">redlog </w:t>
      </w:r>
      <w:bookmarkStart w:id="1" w:name="_Toc427586056"/>
      <w:bookmarkStart w:id="2" w:name="_Toc427586213"/>
      <w:bookmarkStart w:id="3" w:name="_Toc427586267"/>
      <w:bookmarkStart w:id="4" w:name="_Toc427586057"/>
      <w:bookmarkStart w:id="5" w:name="_Toc427586214"/>
      <w:bookmarkStart w:id="6" w:name="_Toc427586268"/>
      <w:bookmarkStart w:id="7" w:name="_Toc427586058"/>
      <w:bookmarkStart w:id="8" w:name="_Toc427586215"/>
      <w:bookmarkStart w:id="9" w:name="_Toc427586269"/>
      <w:bookmarkStart w:id="10" w:name="_Toc427586059"/>
      <w:bookmarkStart w:id="11" w:name="_Toc427586216"/>
      <w:bookmarkStart w:id="12" w:name="_Toc427586270"/>
      <w:bookmarkStart w:id="13" w:name="_Toc427585398"/>
      <w:bookmarkStart w:id="14" w:name="_Toc427585399"/>
      <w:bookmarkStart w:id="15" w:name="_Toc427586073"/>
      <w:bookmarkStart w:id="16" w:name="_Toc427586229"/>
      <w:bookmarkStart w:id="17" w:name="_Toc427586283"/>
      <w:bookmarkStart w:id="18" w:name="_Toc427585400"/>
      <w:bookmarkStart w:id="19" w:name="_Toc427586074"/>
      <w:bookmarkStart w:id="20" w:name="_Toc427586230"/>
      <w:bookmarkStart w:id="21" w:name="_Toc427586284"/>
      <w:bookmarkStart w:id="22" w:name="_Toc438542244"/>
      <w:bookmarkStart w:id="23" w:name="_Toc427586076"/>
      <w:bookmarkStart w:id="24" w:name="_Toc427586232"/>
      <w:bookmarkStart w:id="25" w:name="_Toc427586286"/>
      <w:bookmarkStart w:id="26" w:name="_Toc427586077"/>
      <w:bookmarkStart w:id="27" w:name="_Toc427586233"/>
      <w:bookmarkStart w:id="28" w:name="_Toc427586287"/>
      <w:bookmarkStart w:id="29" w:name="_Toc427586078"/>
      <w:bookmarkStart w:id="30" w:name="_Toc427586234"/>
      <w:bookmarkStart w:id="31" w:name="_Toc427586288"/>
      <w:bookmarkStart w:id="32" w:name="_Toc427586079"/>
      <w:bookmarkStart w:id="33" w:name="_Toc427586235"/>
      <w:bookmarkStart w:id="34" w:name="_Toc427586289"/>
      <w:bookmarkStart w:id="35" w:name="_Toc427586080"/>
      <w:bookmarkStart w:id="36" w:name="_Toc427586236"/>
      <w:bookmarkStart w:id="37" w:name="_Toc427586290"/>
      <w:bookmarkStart w:id="38" w:name="_Toc427586082"/>
      <w:bookmarkStart w:id="39" w:name="_Toc427586238"/>
      <w:bookmarkStart w:id="40" w:name="_Toc427586292"/>
      <w:bookmarkStart w:id="41" w:name="_Toc427586083"/>
      <w:bookmarkStart w:id="42" w:name="_Toc427586239"/>
      <w:bookmarkStart w:id="43" w:name="_Toc427586293"/>
      <w:bookmarkStart w:id="44" w:name="_Toc427586084"/>
      <w:bookmarkStart w:id="45" w:name="_Toc427586240"/>
      <w:bookmarkStart w:id="46" w:name="_Toc427586294"/>
      <w:bookmarkStart w:id="47" w:name="_Toc427586087"/>
      <w:bookmarkStart w:id="48" w:name="_Toc427586243"/>
      <w:bookmarkStart w:id="49" w:name="_Toc427586297"/>
      <w:bookmarkStart w:id="50" w:name="_Toc427586088"/>
      <w:bookmarkStart w:id="51" w:name="_Toc427586244"/>
      <w:bookmarkStart w:id="52" w:name="_Toc427586298"/>
      <w:bookmarkStart w:id="53" w:name="_Toc427586089"/>
      <w:bookmarkStart w:id="54" w:name="_Toc427586245"/>
      <w:bookmarkStart w:id="55" w:name="_Toc427586299"/>
      <w:bookmarkStart w:id="56" w:name="_Toc427586090"/>
      <w:bookmarkStart w:id="57" w:name="_Toc427586246"/>
      <w:bookmarkStart w:id="58" w:name="_Toc427586300"/>
      <w:bookmarkStart w:id="59" w:name="_Toc427586093"/>
      <w:bookmarkStart w:id="60" w:name="_Toc427586249"/>
      <w:bookmarkStart w:id="61" w:name="_Toc427586303"/>
      <w:bookmarkStart w:id="62" w:name="_Toc427586094"/>
      <w:bookmarkStart w:id="63" w:name="_Toc427586250"/>
      <w:bookmarkStart w:id="64" w:name="_Toc427586304"/>
      <w:bookmarkStart w:id="65" w:name="_Toc427586095"/>
      <w:bookmarkStart w:id="66" w:name="_Toc427586251"/>
      <w:bookmarkStart w:id="67" w:name="_Toc427586305"/>
      <w:bookmarkStart w:id="68" w:name="_Toc427586096"/>
      <w:bookmarkStart w:id="69" w:name="_Toc427586252"/>
      <w:bookmarkStart w:id="70" w:name="_Toc427586306"/>
      <w:bookmarkStart w:id="71" w:name="_Toc427586097"/>
      <w:bookmarkStart w:id="72" w:name="_Toc427586253"/>
      <w:bookmarkStart w:id="73" w:name="_Toc427586307"/>
      <w:bookmarkStart w:id="74" w:name="_Toc427586098"/>
      <w:bookmarkStart w:id="75" w:name="_Toc427586254"/>
      <w:bookmarkStart w:id="76" w:name="_Toc427586308"/>
      <w:bookmarkStart w:id="77" w:name="_Toc427586099"/>
      <w:bookmarkStart w:id="78" w:name="_Toc427586255"/>
      <w:bookmarkStart w:id="79" w:name="_Toc427586309"/>
      <w:bookmarkStart w:id="80" w:name="_Toc427586100"/>
      <w:bookmarkStart w:id="81" w:name="_Toc427586256"/>
      <w:bookmarkStart w:id="82" w:name="_Toc427586310"/>
      <w:bookmarkStart w:id="83" w:name="_Toc427586101"/>
      <w:bookmarkStart w:id="84" w:name="_Toc427586257"/>
      <w:bookmarkStart w:id="85" w:name="_Toc427586311"/>
      <w:bookmarkStart w:id="86" w:name="_Toc427586102"/>
      <w:bookmarkStart w:id="87" w:name="_Toc427586258"/>
      <w:bookmarkStart w:id="88" w:name="_Toc42758631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00A37B44">
        <w:rPr>
          <w:rFonts w:ascii="Arial" w:hAnsi="Arial" w:cs="Arial"/>
          <w:sz w:val="20"/>
          <w:szCs w:val="20"/>
          <w:lang w:eastAsia="sl-SI"/>
        </w:rPr>
        <w:t>Akcijskega Programa za alternativna goriva</w:t>
      </w:r>
      <w:r w:rsidR="0010565C">
        <w:rPr>
          <w:rFonts w:ascii="Arial" w:hAnsi="Arial" w:cs="Arial"/>
          <w:sz w:val="20"/>
          <w:szCs w:val="20"/>
          <w:lang w:eastAsia="sl-SI"/>
        </w:rPr>
        <w:t xml:space="preserve"> v prometu</w:t>
      </w:r>
      <w:r w:rsidR="00782FD9">
        <w:rPr>
          <w:rFonts w:ascii="Arial" w:hAnsi="Arial" w:cs="Arial"/>
          <w:sz w:val="20"/>
          <w:szCs w:val="20"/>
          <w:lang w:eastAsia="sl-SI"/>
        </w:rPr>
        <w:t xml:space="preserve"> </w:t>
      </w:r>
    </w:p>
    <w:p w14:paraId="7837031F" w14:textId="42AEA880" w:rsidR="00782FD9" w:rsidRPr="005C4E24" w:rsidRDefault="00824290" w:rsidP="005C4E24">
      <w:pPr>
        <w:pStyle w:val="Odstavekseznama"/>
        <w:numPr>
          <w:ilvl w:val="1"/>
          <w:numId w:val="8"/>
        </w:numPr>
        <w:suppressAutoHyphens w:val="0"/>
        <w:overflowPunct w:val="0"/>
        <w:autoSpaceDE w:val="0"/>
        <w:autoSpaceDN w:val="0"/>
        <w:adjustRightInd w:val="0"/>
        <w:ind w:left="709"/>
        <w:textAlignment w:val="baseline"/>
        <w:rPr>
          <w:rFonts w:ascii="Arial" w:hAnsi="Arial" w:cs="Arial"/>
          <w:sz w:val="20"/>
          <w:szCs w:val="20"/>
          <w:lang w:eastAsia="sl-SI"/>
        </w:rPr>
      </w:pPr>
      <w:r>
        <w:rPr>
          <w:rFonts w:ascii="Arial" w:hAnsi="Arial" w:cs="Arial"/>
          <w:sz w:val="20"/>
          <w:szCs w:val="20"/>
          <w:lang w:eastAsia="sl-SI"/>
        </w:rPr>
        <w:t>P</w:t>
      </w:r>
      <w:r w:rsidR="00782FD9">
        <w:rPr>
          <w:rFonts w:ascii="Arial" w:hAnsi="Arial" w:cs="Arial"/>
          <w:sz w:val="20"/>
          <w:szCs w:val="20"/>
          <w:lang w:eastAsia="sl-SI"/>
        </w:rPr>
        <w:t>reglednica s predlaganimi ukrepi</w:t>
      </w:r>
    </w:p>
    <w:sectPr w:rsidR="00782FD9" w:rsidRPr="005C4E24" w:rsidSect="004E0EBF">
      <w:headerReference w:type="default" r:id="rId13"/>
      <w:footerReference w:type="default" r:id="rId14"/>
      <w:headerReference w:type="first" r:id="rId15"/>
      <w:footerReference w:type="first" r:id="rId16"/>
      <w:footnotePr>
        <w:pos w:val="beneathText"/>
      </w:footnotePr>
      <w:pgSz w:w="11905" w:h="16837" w:code="9"/>
      <w:pgMar w:top="1134" w:right="1134" w:bottom="1134" w:left="1134" w:header="482" w:footer="56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1FD62A" w15:done="0"/>
  <w15:commentEx w15:paraId="060A1FF4" w15:done="0"/>
  <w15:commentEx w15:paraId="6DC71691" w15:done="0"/>
  <w15:commentEx w15:paraId="12B78D04" w15:done="0"/>
  <w15:commentEx w15:paraId="2A8D94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3345E" w14:textId="77777777" w:rsidR="00626A4C" w:rsidRDefault="00626A4C">
      <w:r>
        <w:separator/>
      </w:r>
    </w:p>
  </w:endnote>
  <w:endnote w:type="continuationSeparator" w:id="0">
    <w:p w14:paraId="5867D481" w14:textId="77777777" w:rsidR="00626A4C" w:rsidRDefault="00626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Trajan Pro">
    <w:altName w:val="Times New Roman"/>
    <w:panose1 w:val="00000000000000000000"/>
    <w:charset w:val="00"/>
    <w:family w:val="roman"/>
    <w:notTrueType/>
    <w:pitch w:val="variable"/>
    <w:sig w:usb0="00000087" w:usb1="00000000"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D9FF8" w14:textId="0493A4E2" w:rsidR="00711E04" w:rsidRPr="008A57C5" w:rsidRDefault="00711E04">
    <w:pPr>
      <w:pStyle w:val="Noga"/>
      <w:jc w:val="center"/>
      <w:rPr>
        <w:rFonts w:ascii="Arial" w:hAnsi="Arial" w:cs="Arial"/>
        <w:sz w:val="20"/>
        <w:szCs w:val="20"/>
      </w:rPr>
    </w:pPr>
    <w:r w:rsidRPr="008A57C5">
      <w:rPr>
        <w:rFonts w:ascii="Arial" w:hAnsi="Arial" w:cs="Arial"/>
        <w:sz w:val="20"/>
        <w:szCs w:val="20"/>
      </w:rPr>
      <w:t xml:space="preserve"> </w:t>
    </w:r>
    <w:r w:rsidRPr="008A57C5">
      <w:rPr>
        <w:rFonts w:ascii="Arial" w:hAnsi="Arial" w:cs="Arial"/>
        <w:bCs/>
        <w:sz w:val="20"/>
        <w:szCs w:val="20"/>
      </w:rPr>
      <w:fldChar w:fldCharType="begin"/>
    </w:r>
    <w:r w:rsidRPr="008A57C5">
      <w:rPr>
        <w:rFonts w:ascii="Arial" w:hAnsi="Arial" w:cs="Arial"/>
        <w:bCs/>
        <w:sz w:val="20"/>
        <w:szCs w:val="20"/>
      </w:rPr>
      <w:instrText>PAGE</w:instrText>
    </w:r>
    <w:r w:rsidRPr="008A57C5">
      <w:rPr>
        <w:rFonts w:ascii="Arial" w:hAnsi="Arial" w:cs="Arial"/>
        <w:bCs/>
        <w:sz w:val="20"/>
        <w:szCs w:val="20"/>
      </w:rPr>
      <w:fldChar w:fldCharType="separate"/>
    </w:r>
    <w:r w:rsidR="00A75EDB">
      <w:rPr>
        <w:rFonts w:ascii="Arial" w:hAnsi="Arial" w:cs="Arial"/>
        <w:bCs/>
        <w:noProof/>
        <w:sz w:val="20"/>
        <w:szCs w:val="20"/>
      </w:rPr>
      <w:t>2</w:t>
    </w:r>
    <w:r w:rsidRPr="008A57C5">
      <w:rPr>
        <w:rFonts w:ascii="Arial" w:hAnsi="Arial" w:cs="Arial"/>
        <w:bCs/>
        <w:sz w:val="20"/>
        <w:szCs w:val="20"/>
      </w:rPr>
      <w:fldChar w:fldCharType="end"/>
    </w:r>
  </w:p>
  <w:p w14:paraId="459EDE63" w14:textId="77777777" w:rsidR="00711E04" w:rsidRDefault="00711E04">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789725"/>
      <w:docPartObj>
        <w:docPartGallery w:val="Page Numbers (Bottom of Page)"/>
        <w:docPartUnique/>
      </w:docPartObj>
    </w:sdtPr>
    <w:sdtEndPr/>
    <w:sdtContent>
      <w:p w14:paraId="310BF30F" w14:textId="1343D942" w:rsidR="00711E04" w:rsidRDefault="00711E04">
        <w:pPr>
          <w:pStyle w:val="Noga"/>
          <w:jc w:val="center"/>
        </w:pPr>
        <w:r>
          <w:fldChar w:fldCharType="begin"/>
        </w:r>
        <w:r>
          <w:instrText>PAGE   \* MERGEFORMAT</w:instrText>
        </w:r>
        <w:r>
          <w:fldChar w:fldCharType="separate"/>
        </w:r>
        <w:r w:rsidR="00A75EDB">
          <w:rPr>
            <w:noProof/>
          </w:rPr>
          <w:t>1</w:t>
        </w:r>
        <w:r>
          <w:fldChar w:fldCharType="end"/>
        </w:r>
      </w:p>
    </w:sdtContent>
  </w:sdt>
  <w:p w14:paraId="327845EA" w14:textId="77777777" w:rsidR="00711E04" w:rsidRDefault="00711E04" w:rsidP="004E0EBF">
    <w:pPr>
      <w:pStyle w:val="Noga"/>
      <w:tabs>
        <w:tab w:val="clear" w:pos="4536"/>
        <w:tab w:val="clear"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0435C" w14:textId="77777777" w:rsidR="00626A4C" w:rsidRDefault="00626A4C">
      <w:r>
        <w:separator/>
      </w:r>
    </w:p>
  </w:footnote>
  <w:footnote w:type="continuationSeparator" w:id="0">
    <w:p w14:paraId="04CCACDE" w14:textId="77777777" w:rsidR="00626A4C" w:rsidRDefault="00626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2C27E" w14:textId="77777777" w:rsidR="00711E04" w:rsidRPr="001B1D79" w:rsidRDefault="00711E04">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5A94E" w14:textId="77777777" w:rsidR="00711E04" w:rsidRPr="00125A68" w:rsidRDefault="00711E04" w:rsidP="004E0EBF">
    <w:pPr>
      <w:spacing w:before="40"/>
      <w:ind w:right="-3"/>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A4DB1"/>
    <w:multiLevelType w:val="hybridMultilevel"/>
    <w:tmpl w:val="9124AFB4"/>
    <w:lvl w:ilvl="0" w:tplc="70E0DB16">
      <w:numFmt w:val="bullet"/>
      <w:lvlText w:val="-"/>
      <w:lvlJc w:val="left"/>
      <w:pPr>
        <w:tabs>
          <w:tab w:val="num" w:pos="502"/>
        </w:tabs>
        <w:ind w:left="502" w:hanging="360"/>
      </w:pPr>
      <w:rPr>
        <w:rFonts w:ascii="Tahoma" w:eastAsia="Times New Roman" w:hAnsi="Tahoma" w:cs="Tahoma" w:hint="default"/>
      </w:rPr>
    </w:lvl>
    <w:lvl w:ilvl="1" w:tplc="04240003">
      <w:start w:val="1"/>
      <w:numFmt w:val="bullet"/>
      <w:lvlText w:val="o"/>
      <w:lvlJc w:val="left"/>
      <w:pPr>
        <w:tabs>
          <w:tab w:val="num" w:pos="1222"/>
        </w:tabs>
        <w:ind w:left="1222" w:hanging="360"/>
      </w:pPr>
      <w:rPr>
        <w:rFonts w:ascii="Courier New" w:hAnsi="Courier New" w:hint="default"/>
      </w:rPr>
    </w:lvl>
    <w:lvl w:ilvl="2" w:tplc="04240005" w:tentative="1">
      <w:start w:val="1"/>
      <w:numFmt w:val="bullet"/>
      <w:lvlText w:val=""/>
      <w:lvlJc w:val="left"/>
      <w:pPr>
        <w:tabs>
          <w:tab w:val="num" w:pos="1942"/>
        </w:tabs>
        <w:ind w:left="1942" w:hanging="360"/>
      </w:pPr>
      <w:rPr>
        <w:rFonts w:ascii="Wingdings" w:hAnsi="Wingdings" w:hint="default"/>
      </w:rPr>
    </w:lvl>
    <w:lvl w:ilvl="3" w:tplc="04240001" w:tentative="1">
      <w:start w:val="1"/>
      <w:numFmt w:val="bullet"/>
      <w:lvlText w:val=""/>
      <w:lvlJc w:val="left"/>
      <w:pPr>
        <w:tabs>
          <w:tab w:val="num" w:pos="2662"/>
        </w:tabs>
        <w:ind w:left="2662" w:hanging="360"/>
      </w:pPr>
      <w:rPr>
        <w:rFonts w:ascii="Symbol" w:hAnsi="Symbol" w:hint="default"/>
      </w:rPr>
    </w:lvl>
    <w:lvl w:ilvl="4" w:tplc="04240003" w:tentative="1">
      <w:start w:val="1"/>
      <w:numFmt w:val="bullet"/>
      <w:lvlText w:val="o"/>
      <w:lvlJc w:val="left"/>
      <w:pPr>
        <w:tabs>
          <w:tab w:val="num" w:pos="3382"/>
        </w:tabs>
        <w:ind w:left="3382" w:hanging="360"/>
      </w:pPr>
      <w:rPr>
        <w:rFonts w:ascii="Courier New" w:hAnsi="Courier New" w:hint="default"/>
      </w:rPr>
    </w:lvl>
    <w:lvl w:ilvl="5" w:tplc="04240005" w:tentative="1">
      <w:start w:val="1"/>
      <w:numFmt w:val="bullet"/>
      <w:lvlText w:val=""/>
      <w:lvlJc w:val="left"/>
      <w:pPr>
        <w:tabs>
          <w:tab w:val="num" w:pos="4102"/>
        </w:tabs>
        <w:ind w:left="4102" w:hanging="360"/>
      </w:pPr>
      <w:rPr>
        <w:rFonts w:ascii="Wingdings" w:hAnsi="Wingdings" w:hint="default"/>
      </w:rPr>
    </w:lvl>
    <w:lvl w:ilvl="6" w:tplc="04240001" w:tentative="1">
      <w:start w:val="1"/>
      <w:numFmt w:val="bullet"/>
      <w:lvlText w:val=""/>
      <w:lvlJc w:val="left"/>
      <w:pPr>
        <w:tabs>
          <w:tab w:val="num" w:pos="4822"/>
        </w:tabs>
        <w:ind w:left="4822" w:hanging="360"/>
      </w:pPr>
      <w:rPr>
        <w:rFonts w:ascii="Symbol" w:hAnsi="Symbol" w:hint="default"/>
      </w:rPr>
    </w:lvl>
    <w:lvl w:ilvl="7" w:tplc="04240003" w:tentative="1">
      <w:start w:val="1"/>
      <w:numFmt w:val="bullet"/>
      <w:lvlText w:val="o"/>
      <w:lvlJc w:val="left"/>
      <w:pPr>
        <w:tabs>
          <w:tab w:val="num" w:pos="5542"/>
        </w:tabs>
        <w:ind w:left="5542" w:hanging="360"/>
      </w:pPr>
      <w:rPr>
        <w:rFonts w:ascii="Courier New" w:hAnsi="Courier New" w:hint="default"/>
      </w:rPr>
    </w:lvl>
    <w:lvl w:ilvl="8" w:tplc="04240005" w:tentative="1">
      <w:start w:val="1"/>
      <w:numFmt w:val="bullet"/>
      <w:lvlText w:val=""/>
      <w:lvlJc w:val="left"/>
      <w:pPr>
        <w:tabs>
          <w:tab w:val="num" w:pos="6262"/>
        </w:tabs>
        <w:ind w:left="6262" w:hanging="360"/>
      </w:pPr>
      <w:rPr>
        <w:rFonts w:ascii="Wingdings" w:hAnsi="Wingdings" w:hint="default"/>
      </w:rPr>
    </w:lvl>
  </w:abstractNum>
  <w:abstractNum w:abstractNumId="1">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FBE5909"/>
    <w:multiLevelType w:val="hybridMultilevel"/>
    <w:tmpl w:val="E4042DCE"/>
    <w:lvl w:ilvl="0" w:tplc="04240001">
      <w:start w:val="1"/>
      <w:numFmt w:val="bullet"/>
      <w:lvlText w:val=""/>
      <w:lvlJc w:val="left"/>
      <w:pPr>
        <w:tabs>
          <w:tab w:val="num" w:pos="502"/>
        </w:tabs>
        <w:ind w:left="502" w:hanging="360"/>
      </w:pPr>
      <w:rPr>
        <w:rFonts w:ascii="Symbol" w:hAnsi="Symbol" w:hint="default"/>
      </w:rPr>
    </w:lvl>
    <w:lvl w:ilvl="1" w:tplc="04240003">
      <w:start w:val="1"/>
      <w:numFmt w:val="bullet"/>
      <w:lvlText w:val="o"/>
      <w:lvlJc w:val="left"/>
      <w:pPr>
        <w:tabs>
          <w:tab w:val="num" w:pos="1222"/>
        </w:tabs>
        <w:ind w:left="1222" w:hanging="360"/>
      </w:pPr>
      <w:rPr>
        <w:rFonts w:ascii="Courier New" w:hAnsi="Courier New" w:hint="default"/>
      </w:rPr>
    </w:lvl>
    <w:lvl w:ilvl="2" w:tplc="04240005" w:tentative="1">
      <w:start w:val="1"/>
      <w:numFmt w:val="bullet"/>
      <w:lvlText w:val=""/>
      <w:lvlJc w:val="left"/>
      <w:pPr>
        <w:tabs>
          <w:tab w:val="num" w:pos="1942"/>
        </w:tabs>
        <w:ind w:left="1942" w:hanging="360"/>
      </w:pPr>
      <w:rPr>
        <w:rFonts w:ascii="Wingdings" w:hAnsi="Wingdings" w:hint="default"/>
      </w:rPr>
    </w:lvl>
    <w:lvl w:ilvl="3" w:tplc="04240001" w:tentative="1">
      <w:start w:val="1"/>
      <w:numFmt w:val="bullet"/>
      <w:lvlText w:val=""/>
      <w:lvlJc w:val="left"/>
      <w:pPr>
        <w:tabs>
          <w:tab w:val="num" w:pos="2662"/>
        </w:tabs>
        <w:ind w:left="2662" w:hanging="360"/>
      </w:pPr>
      <w:rPr>
        <w:rFonts w:ascii="Symbol" w:hAnsi="Symbol" w:hint="default"/>
      </w:rPr>
    </w:lvl>
    <w:lvl w:ilvl="4" w:tplc="04240003" w:tentative="1">
      <w:start w:val="1"/>
      <w:numFmt w:val="bullet"/>
      <w:lvlText w:val="o"/>
      <w:lvlJc w:val="left"/>
      <w:pPr>
        <w:tabs>
          <w:tab w:val="num" w:pos="3382"/>
        </w:tabs>
        <w:ind w:left="3382" w:hanging="360"/>
      </w:pPr>
      <w:rPr>
        <w:rFonts w:ascii="Courier New" w:hAnsi="Courier New" w:hint="default"/>
      </w:rPr>
    </w:lvl>
    <w:lvl w:ilvl="5" w:tplc="04240005" w:tentative="1">
      <w:start w:val="1"/>
      <w:numFmt w:val="bullet"/>
      <w:lvlText w:val=""/>
      <w:lvlJc w:val="left"/>
      <w:pPr>
        <w:tabs>
          <w:tab w:val="num" w:pos="4102"/>
        </w:tabs>
        <w:ind w:left="4102" w:hanging="360"/>
      </w:pPr>
      <w:rPr>
        <w:rFonts w:ascii="Wingdings" w:hAnsi="Wingdings" w:hint="default"/>
      </w:rPr>
    </w:lvl>
    <w:lvl w:ilvl="6" w:tplc="04240001" w:tentative="1">
      <w:start w:val="1"/>
      <w:numFmt w:val="bullet"/>
      <w:lvlText w:val=""/>
      <w:lvlJc w:val="left"/>
      <w:pPr>
        <w:tabs>
          <w:tab w:val="num" w:pos="4822"/>
        </w:tabs>
        <w:ind w:left="4822" w:hanging="360"/>
      </w:pPr>
      <w:rPr>
        <w:rFonts w:ascii="Symbol" w:hAnsi="Symbol" w:hint="default"/>
      </w:rPr>
    </w:lvl>
    <w:lvl w:ilvl="7" w:tplc="04240003" w:tentative="1">
      <w:start w:val="1"/>
      <w:numFmt w:val="bullet"/>
      <w:lvlText w:val="o"/>
      <w:lvlJc w:val="left"/>
      <w:pPr>
        <w:tabs>
          <w:tab w:val="num" w:pos="5542"/>
        </w:tabs>
        <w:ind w:left="5542" w:hanging="360"/>
      </w:pPr>
      <w:rPr>
        <w:rFonts w:ascii="Courier New" w:hAnsi="Courier New" w:hint="default"/>
      </w:rPr>
    </w:lvl>
    <w:lvl w:ilvl="8" w:tplc="04240005" w:tentative="1">
      <w:start w:val="1"/>
      <w:numFmt w:val="bullet"/>
      <w:lvlText w:val=""/>
      <w:lvlJc w:val="left"/>
      <w:pPr>
        <w:tabs>
          <w:tab w:val="num" w:pos="6262"/>
        </w:tabs>
        <w:ind w:left="6262" w:hanging="360"/>
      </w:pPr>
      <w:rPr>
        <w:rFonts w:ascii="Wingdings" w:hAnsi="Wingdings" w:hint="default"/>
      </w:rPr>
    </w:lvl>
  </w:abstractNum>
  <w:abstractNum w:abstractNumId="3">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5">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46810C07"/>
    <w:multiLevelType w:val="hybridMultilevel"/>
    <w:tmpl w:val="5114D822"/>
    <w:lvl w:ilvl="0" w:tplc="6F520862">
      <w:numFmt w:val="bullet"/>
      <w:lvlText w:val="−"/>
      <w:lvlJc w:val="center"/>
      <w:pPr>
        <w:ind w:left="536" w:hanging="360"/>
      </w:pPr>
      <w:rPr>
        <w:rFonts w:ascii="Times New Roman" w:eastAsia="Times New Roman" w:hAnsi="Times New Roman" w:cs="Times New Roman" w:hint="default"/>
      </w:rPr>
    </w:lvl>
    <w:lvl w:ilvl="1" w:tplc="04240003" w:tentative="1">
      <w:start w:val="1"/>
      <w:numFmt w:val="bullet"/>
      <w:lvlText w:val="o"/>
      <w:lvlJc w:val="left"/>
      <w:pPr>
        <w:ind w:left="1256" w:hanging="360"/>
      </w:pPr>
      <w:rPr>
        <w:rFonts w:ascii="Courier New" w:hAnsi="Courier New" w:cs="Courier New" w:hint="default"/>
      </w:rPr>
    </w:lvl>
    <w:lvl w:ilvl="2" w:tplc="04240005" w:tentative="1">
      <w:start w:val="1"/>
      <w:numFmt w:val="bullet"/>
      <w:lvlText w:val=""/>
      <w:lvlJc w:val="left"/>
      <w:pPr>
        <w:ind w:left="1976" w:hanging="360"/>
      </w:pPr>
      <w:rPr>
        <w:rFonts w:ascii="Wingdings" w:hAnsi="Wingdings" w:hint="default"/>
      </w:rPr>
    </w:lvl>
    <w:lvl w:ilvl="3" w:tplc="04240001" w:tentative="1">
      <w:start w:val="1"/>
      <w:numFmt w:val="bullet"/>
      <w:lvlText w:val=""/>
      <w:lvlJc w:val="left"/>
      <w:pPr>
        <w:ind w:left="2696" w:hanging="360"/>
      </w:pPr>
      <w:rPr>
        <w:rFonts w:ascii="Symbol" w:hAnsi="Symbol" w:hint="default"/>
      </w:rPr>
    </w:lvl>
    <w:lvl w:ilvl="4" w:tplc="04240003" w:tentative="1">
      <w:start w:val="1"/>
      <w:numFmt w:val="bullet"/>
      <w:lvlText w:val="o"/>
      <w:lvlJc w:val="left"/>
      <w:pPr>
        <w:ind w:left="3416" w:hanging="360"/>
      </w:pPr>
      <w:rPr>
        <w:rFonts w:ascii="Courier New" w:hAnsi="Courier New" w:cs="Courier New" w:hint="default"/>
      </w:rPr>
    </w:lvl>
    <w:lvl w:ilvl="5" w:tplc="04240005" w:tentative="1">
      <w:start w:val="1"/>
      <w:numFmt w:val="bullet"/>
      <w:lvlText w:val=""/>
      <w:lvlJc w:val="left"/>
      <w:pPr>
        <w:ind w:left="4136" w:hanging="360"/>
      </w:pPr>
      <w:rPr>
        <w:rFonts w:ascii="Wingdings" w:hAnsi="Wingdings" w:hint="default"/>
      </w:rPr>
    </w:lvl>
    <w:lvl w:ilvl="6" w:tplc="04240001" w:tentative="1">
      <w:start w:val="1"/>
      <w:numFmt w:val="bullet"/>
      <w:lvlText w:val=""/>
      <w:lvlJc w:val="left"/>
      <w:pPr>
        <w:ind w:left="4856" w:hanging="360"/>
      </w:pPr>
      <w:rPr>
        <w:rFonts w:ascii="Symbol" w:hAnsi="Symbol" w:hint="default"/>
      </w:rPr>
    </w:lvl>
    <w:lvl w:ilvl="7" w:tplc="04240003" w:tentative="1">
      <w:start w:val="1"/>
      <w:numFmt w:val="bullet"/>
      <w:lvlText w:val="o"/>
      <w:lvlJc w:val="left"/>
      <w:pPr>
        <w:ind w:left="5576" w:hanging="360"/>
      </w:pPr>
      <w:rPr>
        <w:rFonts w:ascii="Courier New" w:hAnsi="Courier New" w:cs="Courier New" w:hint="default"/>
      </w:rPr>
    </w:lvl>
    <w:lvl w:ilvl="8" w:tplc="04240005" w:tentative="1">
      <w:start w:val="1"/>
      <w:numFmt w:val="bullet"/>
      <w:lvlText w:val=""/>
      <w:lvlJc w:val="left"/>
      <w:pPr>
        <w:ind w:left="6296" w:hanging="360"/>
      </w:pPr>
      <w:rPr>
        <w:rFonts w:ascii="Wingdings" w:hAnsi="Wingdings" w:hint="default"/>
      </w:rPr>
    </w:lvl>
  </w:abstractNum>
  <w:abstractNum w:abstractNumId="7">
    <w:nsid w:val="4DF1602D"/>
    <w:multiLevelType w:val="hybridMultilevel"/>
    <w:tmpl w:val="794020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50F50DB6"/>
    <w:multiLevelType w:val="hybridMultilevel"/>
    <w:tmpl w:val="E146C456"/>
    <w:lvl w:ilvl="0" w:tplc="81728F44">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535645B4"/>
    <w:multiLevelType w:val="hybridMultilevel"/>
    <w:tmpl w:val="807EEA3C"/>
    <w:lvl w:ilvl="0" w:tplc="C43818C2">
      <w:start w:val="1"/>
      <w:numFmt w:val="bullet"/>
      <w:lvlText w:val="-"/>
      <w:lvlJc w:val="left"/>
      <w:pPr>
        <w:tabs>
          <w:tab w:val="num" w:pos="720"/>
        </w:tabs>
        <w:ind w:left="720" w:hanging="360"/>
      </w:pPr>
      <w:rPr>
        <w:rFonts w:ascii="Times New Roman" w:hAnsi="Times New Roman" w:hint="default"/>
      </w:rPr>
    </w:lvl>
    <w:lvl w:ilvl="1" w:tplc="08FABBC4" w:tentative="1">
      <w:start w:val="1"/>
      <w:numFmt w:val="bullet"/>
      <w:lvlText w:val="-"/>
      <w:lvlJc w:val="left"/>
      <w:pPr>
        <w:tabs>
          <w:tab w:val="num" w:pos="1440"/>
        </w:tabs>
        <w:ind w:left="1440" w:hanging="360"/>
      </w:pPr>
      <w:rPr>
        <w:rFonts w:ascii="Times New Roman" w:hAnsi="Times New Roman" w:hint="default"/>
      </w:rPr>
    </w:lvl>
    <w:lvl w:ilvl="2" w:tplc="045806DC" w:tentative="1">
      <w:start w:val="1"/>
      <w:numFmt w:val="bullet"/>
      <w:lvlText w:val="-"/>
      <w:lvlJc w:val="left"/>
      <w:pPr>
        <w:tabs>
          <w:tab w:val="num" w:pos="2160"/>
        </w:tabs>
        <w:ind w:left="2160" w:hanging="360"/>
      </w:pPr>
      <w:rPr>
        <w:rFonts w:ascii="Times New Roman" w:hAnsi="Times New Roman" w:hint="default"/>
      </w:rPr>
    </w:lvl>
    <w:lvl w:ilvl="3" w:tplc="7A2C70E6" w:tentative="1">
      <w:start w:val="1"/>
      <w:numFmt w:val="bullet"/>
      <w:lvlText w:val="-"/>
      <w:lvlJc w:val="left"/>
      <w:pPr>
        <w:tabs>
          <w:tab w:val="num" w:pos="2880"/>
        </w:tabs>
        <w:ind w:left="2880" w:hanging="360"/>
      </w:pPr>
      <w:rPr>
        <w:rFonts w:ascii="Times New Roman" w:hAnsi="Times New Roman" w:hint="default"/>
      </w:rPr>
    </w:lvl>
    <w:lvl w:ilvl="4" w:tplc="B566AAB0" w:tentative="1">
      <w:start w:val="1"/>
      <w:numFmt w:val="bullet"/>
      <w:lvlText w:val="-"/>
      <w:lvlJc w:val="left"/>
      <w:pPr>
        <w:tabs>
          <w:tab w:val="num" w:pos="3600"/>
        </w:tabs>
        <w:ind w:left="3600" w:hanging="360"/>
      </w:pPr>
      <w:rPr>
        <w:rFonts w:ascii="Times New Roman" w:hAnsi="Times New Roman" w:hint="default"/>
      </w:rPr>
    </w:lvl>
    <w:lvl w:ilvl="5" w:tplc="A9942756" w:tentative="1">
      <w:start w:val="1"/>
      <w:numFmt w:val="bullet"/>
      <w:lvlText w:val="-"/>
      <w:lvlJc w:val="left"/>
      <w:pPr>
        <w:tabs>
          <w:tab w:val="num" w:pos="4320"/>
        </w:tabs>
        <w:ind w:left="4320" w:hanging="360"/>
      </w:pPr>
      <w:rPr>
        <w:rFonts w:ascii="Times New Roman" w:hAnsi="Times New Roman" w:hint="default"/>
      </w:rPr>
    </w:lvl>
    <w:lvl w:ilvl="6" w:tplc="6C962D96" w:tentative="1">
      <w:start w:val="1"/>
      <w:numFmt w:val="bullet"/>
      <w:lvlText w:val="-"/>
      <w:lvlJc w:val="left"/>
      <w:pPr>
        <w:tabs>
          <w:tab w:val="num" w:pos="5040"/>
        </w:tabs>
        <w:ind w:left="5040" w:hanging="360"/>
      </w:pPr>
      <w:rPr>
        <w:rFonts w:ascii="Times New Roman" w:hAnsi="Times New Roman" w:hint="default"/>
      </w:rPr>
    </w:lvl>
    <w:lvl w:ilvl="7" w:tplc="33B4EEEA" w:tentative="1">
      <w:start w:val="1"/>
      <w:numFmt w:val="bullet"/>
      <w:lvlText w:val="-"/>
      <w:lvlJc w:val="left"/>
      <w:pPr>
        <w:tabs>
          <w:tab w:val="num" w:pos="5760"/>
        </w:tabs>
        <w:ind w:left="5760" w:hanging="360"/>
      </w:pPr>
      <w:rPr>
        <w:rFonts w:ascii="Times New Roman" w:hAnsi="Times New Roman" w:hint="default"/>
      </w:rPr>
    </w:lvl>
    <w:lvl w:ilvl="8" w:tplc="0834F54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5B25A1C"/>
    <w:multiLevelType w:val="hybridMultilevel"/>
    <w:tmpl w:val="6E7AAB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55EE552E"/>
    <w:multiLevelType w:val="hybridMultilevel"/>
    <w:tmpl w:val="15BC156A"/>
    <w:lvl w:ilvl="0" w:tplc="E69CAC0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5A2B78B3"/>
    <w:multiLevelType w:val="hybridMultilevel"/>
    <w:tmpl w:val="6C6A7DCE"/>
    <w:lvl w:ilvl="0" w:tplc="6F520862">
      <w:numFmt w:val="bullet"/>
      <w:lvlText w:val="−"/>
      <w:lvlJc w:val="center"/>
      <w:pPr>
        <w:ind w:left="720" w:hanging="360"/>
      </w:pPr>
      <w:rPr>
        <w:rFonts w:ascii="Times New Roman" w:eastAsia="Times New Roman" w:hAnsi="Times New Roman" w:cs="Times New Roman" w:hint="default"/>
      </w:rPr>
    </w:lvl>
    <w:lvl w:ilvl="1" w:tplc="6F520862">
      <w:numFmt w:val="bullet"/>
      <w:lvlText w:val="−"/>
      <w:lvlJc w:val="center"/>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608A5E8D"/>
    <w:multiLevelType w:val="hybridMultilevel"/>
    <w:tmpl w:val="01C2AA66"/>
    <w:lvl w:ilvl="0" w:tplc="70E0DB1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668F456C"/>
    <w:multiLevelType w:val="hybridMultilevel"/>
    <w:tmpl w:val="72D283C2"/>
    <w:lvl w:ilvl="0" w:tplc="B01491F2">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83A3C17"/>
    <w:multiLevelType w:val="hybridMultilevel"/>
    <w:tmpl w:val="DBFCFFBE"/>
    <w:lvl w:ilvl="0" w:tplc="70E0DB16">
      <w:numFmt w:val="bullet"/>
      <w:lvlText w:val="-"/>
      <w:lvlJc w:val="left"/>
      <w:pPr>
        <w:tabs>
          <w:tab w:val="num" w:pos="720"/>
        </w:tabs>
        <w:ind w:left="720" w:hanging="360"/>
      </w:pPr>
      <w:rPr>
        <w:rFonts w:ascii="Tahoma" w:eastAsia="Times New Roman" w:hAnsi="Tahoma" w:cs="Tahoma" w:hint="default"/>
      </w:rPr>
    </w:lvl>
    <w:lvl w:ilvl="1" w:tplc="746A707A" w:tentative="1">
      <w:start w:val="1"/>
      <w:numFmt w:val="bullet"/>
      <w:lvlText w:val="•"/>
      <w:lvlJc w:val="left"/>
      <w:pPr>
        <w:tabs>
          <w:tab w:val="num" w:pos="1440"/>
        </w:tabs>
        <w:ind w:left="1440" w:hanging="360"/>
      </w:pPr>
      <w:rPr>
        <w:rFonts w:ascii="Arial" w:hAnsi="Arial" w:hint="default"/>
      </w:rPr>
    </w:lvl>
    <w:lvl w:ilvl="2" w:tplc="7070F184" w:tentative="1">
      <w:start w:val="1"/>
      <w:numFmt w:val="bullet"/>
      <w:lvlText w:val="•"/>
      <w:lvlJc w:val="left"/>
      <w:pPr>
        <w:tabs>
          <w:tab w:val="num" w:pos="2160"/>
        </w:tabs>
        <w:ind w:left="2160" w:hanging="360"/>
      </w:pPr>
      <w:rPr>
        <w:rFonts w:ascii="Arial" w:hAnsi="Arial" w:hint="default"/>
      </w:rPr>
    </w:lvl>
    <w:lvl w:ilvl="3" w:tplc="E73693E8" w:tentative="1">
      <w:start w:val="1"/>
      <w:numFmt w:val="bullet"/>
      <w:lvlText w:val="•"/>
      <w:lvlJc w:val="left"/>
      <w:pPr>
        <w:tabs>
          <w:tab w:val="num" w:pos="2880"/>
        </w:tabs>
        <w:ind w:left="2880" w:hanging="360"/>
      </w:pPr>
      <w:rPr>
        <w:rFonts w:ascii="Arial" w:hAnsi="Arial" w:hint="default"/>
      </w:rPr>
    </w:lvl>
    <w:lvl w:ilvl="4" w:tplc="BF0CE702" w:tentative="1">
      <w:start w:val="1"/>
      <w:numFmt w:val="bullet"/>
      <w:lvlText w:val="•"/>
      <w:lvlJc w:val="left"/>
      <w:pPr>
        <w:tabs>
          <w:tab w:val="num" w:pos="3600"/>
        </w:tabs>
        <w:ind w:left="3600" w:hanging="360"/>
      </w:pPr>
      <w:rPr>
        <w:rFonts w:ascii="Arial" w:hAnsi="Arial" w:hint="default"/>
      </w:rPr>
    </w:lvl>
    <w:lvl w:ilvl="5" w:tplc="CD025376" w:tentative="1">
      <w:start w:val="1"/>
      <w:numFmt w:val="bullet"/>
      <w:lvlText w:val="•"/>
      <w:lvlJc w:val="left"/>
      <w:pPr>
        <w:tabs>
          <w:tab w:val="num" w:pos="4320"/>
        </w:tabs>
        <w:ind w:left="4320" w:hanging="360"/>
      </w:pPr>
      <w:rPr>
        <w:rFonts w:ascii="Arial" w:hAnsi="Arial" w:hint="default"/>
      </w:rPr>
    </w:lvl>
    <w:lvl w:ilvl="6" w:tplc="5FA6E56C" w:tentative="1">
      <w:start w:val="1"/>
      <w:numFmt w:val="bullet"/>
      <w:lvlText w:val="•"/>
      <w:lvlJc w:val="left"/>
      <w:pPr>
        <w:tabs>
          <w:tab w:val="num" w:pos="5040"/>
        </w:tabs>
        <w:ind w:left="5040" w:hanging="360"/>
      </w:pPr>
      <w:rPr>
        <w:rFonts w:ascii="Arial" w:hAnsi="Arial" w:hint="default"/>
      </w:rPr>
    </w:lvl>
    <w:lvl w:ilvl="7" w:tplc="EDF0A2F0" w:tentative="1">
      <w:start w:val="1"/>
      <w:numFmt w:val="bullet"/>
      <w:lvlText w:val="•"/>
      <w:lvlJc w:val="left"/>
      <w:pPr>
        <w:tabs>
          <w:tab w:val="num" w:pos="5760"/>
        </w:tabs>
        <w:ind w:left="5760" w:hanging="360"/>
      </w:pPr>
      <w:rPr>
        <w:rFonts w:ascii="Arial" w:hAnsi="Arial" w:hint="default"/>
      </w:rPr>
    </w:lvl>
    <w:lvl w:ilvl="8" w:tplc="593CAABE" w:tentative="1">
      <w:start w:val="1"/>
      <w:numFmt w:val="bullet"/>
      <w:lvlText w:val="•"/>
      <w:lvlJc w:val="left"/>
      <w:pPr>
        <w:tabs>
          <w:tab w:val="num" w:pos="6480"/>
        </w:tabs>
        <w:ind w:left="6480" w:hanging="360"/>
      </w:pPr>
      <w:rPr>
        <w:rFonts w:ascii="Arial" w:hAnsi="Arial" w:hint="default"/>
      </w:rPr>
    </w:lvl>
  </w:abstractNum>
  <w:abstractNum w:abstractNumId="18">
    <w:nsid w:val="7BE84163"/>
    <w:multiLevelType w:val="hybridMultilevel"/>
    <w:tmpl w:val="96EC6D00"/>
    <w:lvl w:ilvl="0" w:tplc="B422145E">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4"/>
    <w:lvlOverride w:ilvl="0">
      <w:startOverride w:val="1"/>
    </w:lvlOverride>
  </w:num>
  <w:num w:numId="3">
    <w:abstractNumId w:val="1"/>
  </w:num>
  <w:num w:numId="4">
    <w:abstractNumId w:val="13"/>
  </w:num>
  <w:num w:numId="5">
    <w:abstractNumId w:val="16"/>
  </w:num>
  <w:num w:numId="6">
    <w:abstractNumId w:val="19"/>
  </w:num>
  <w:num w:numId="7">
    <w:abstractNumId w:val="6"/>
  </w:num>
  <w:num w:numId="8">
    <w:abstractNumId w:val="12"/>
  </w:num>
  <w:num w:numId="9">
    <w:abstractNumId w:val="5"/>
  </w:num>
  <w:num w:numId="10">
    <w:abstractNumId w:val="15"/>
  </w:num>
  <w:num w:numId="11">
    <w:abstractNumId w:val="18"/>
  </w:num>
  <w:num w:numId="12">
    <w:abstractNumId w:val="2"/>
  </w:num>
  <w:num w:numId="13">
    <w:abstractNumId w:val="17"/>
  </w:num>
  <w:num w:numId="14">
    <w:abstractNumId w:val="14"/>
  </w:num>
  <w:num w:numId="15">
    <w:abstractNumId w:val="0"/>
  </w:num>
  <w:num w:numId="16">
    <w:abstractNumId w:val="11"/>
  </w:num>
  <w:num w:numId="17">
    <w:abstractNumId w:val="8"/>
  </w:num>
  <w:num w:numId="18">
    <w:abstractNumId w:val="7"/>
  </w:num>
  <w:num w:numId="19">
    <w:abstractNumId w:val="10"/>
  </w:num>
  <w:num w:numId="20">
    <w:abstractNumId w:val="9"/>
  </w:num>
  <w:numIdMacAtCleanup w:val="1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rko Trajanov">
    <w15:presenceInfo w15:providerId="None" w15:userId="Darko Trajano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077"/>
    <w:rsid w:val="000025D6"/>
    <w:rsid w:val="00002770"/>
    <w:rsid w:val="000044DB"/>
    <w:rsid w:val="000055E1"/>
    <w:rsid w:val="00010F4F"/>
    <w:rsid w:val="000123AA"/>
    <w:rsid w:val="0001356D"/>
    <w:rsid w:val="00022278"/>
    <w:rsid w:val="0002546E"/>
    <w:rsid w:val="00027E19"/>
    <w:rsid w:val="000307B2"/>
    <w:rsid w:val="00030AD9"/>
    <w:rsid w:val="0003491A"/>
    <w:rsid w:val="000355C2"/>
    <w:rsid w:val="0003706A"/>
    <w:rsid w:val="00042052"/>
    <w:rsid w:val="0004467F"/>
    <w:rsid w:val="00050C50"/>
    <w:rsid w:val="00051526"/>
    <w:rsid w:val="00054F6F"/>
    <w:rsid w:val="00055244"/>
    <w:rsid w:val="0005797F"/>
    <w:rsid w:val="00057F19"/>
    <w:rsid w:val="00062360"/>
    <w:rsid w:val="00062D0E"/>
    <w:rsid w:val="00062D15"/>
    <w:rsid w:val="0006712C"/>
    <w:rsid w:val="000679A7"/>
    <w:rsid w:val="000843FC"/>
    <w:rsid w:val="000848CE"/>
    <w:rsid w:val="00086A7D"/>
    <w:rsid w:val="000903FA"/>
    <w:rsid w:val="0009123E"/>
    <w:rsid w:val="0009444D"/>
    <w:rsid w:val="00095660"/>
    <w:rsid w:val="00096875"/>
    <w:rsid w:val="000A342A"/>
    <w:rsid w:val="000A4F54"/>
    <w:rsid w:val="000A6241"/>
    <w:rsid w:val="000A6B23"/>
    <w:rsid w:val="000A74DA"/>
    <w:rsid w:val="000B1D5D"/>
    <w:rsid w:val="000B2068"/>
    <w:rsid w:val="000C01EA"/>
    <w:rsid w:val="000C2A6E"/>
    <w:rsid w:val="000C5083"/>
    <w:rsid w:val="000C591F"/>
    <w:rsid w:val="000D399F"/>
    <w:rsid w:val="000D470B"/>
    <w:rsid w:val="000E080E"/>
    <w:rsid w:val="000E138A"/>
    <w:rsid w:val="000E3319"/>
    <w:rsid w:val="000E3654"/>
    <w:rsid w:val="000E7A63"/>
    <w:rsid w:val="000E7B1D"/>
    <w:rsid w:val="000F2060"/>
    <w:rsid w:val="000F45B4"/>
    <w:rsid w:val="000F624C"/>
    <w:rsid w:val="000F6727"/>
    <w:rsid w:val="000F6A1F"/>
    <w:rsid w:val="00100B5E"/>
    <w:rsid w:val="00102B67"/>
    <w:rsid w:val="0010565C"/>
    <w:rsid w:val="00106F61"/>
    <w:rsid w:val="00114CA9"/>
    <w:rsid w:val="001164CA"/>
    <w:rsid w:val="001178F9"/>
    <w:rsid w:val="00124036"/>
    <w:rsid w:val="0012461B"/>
    <w:rsid w:val="00125CE3"/>
    <w:rsid w:val="0013138A"/>
    <w:rsid w:val="00131DD8"/>
    <w:rsid w:val="00135C44"/>
    <w:rsid w:val="001402F1"/>
    <w:rsid w:val="00141058"/>
    <w:rsid w:val="00145500"/>
    <w:rsid w:val="00145915"/>
    <w:rsid w:val="00153039"/>
    <w:rsid w:val="00153AD6"/>
    <w:rsid w:val="00156F06"/>
    <w:rsid w:val="00163728"/>
    <w:rsid w:val="001654F6"/>
    <w:rsid w:val="00171BF0"/>
    <w:rsid w:val="00172457"/>
    <w:rsid w:val="0017552D"/>
    <w:rsid w:val="00176CA5"/>
    <w:rsid w:val="001873D7"/>
    <w:rsid w:val="00195F48"/>
    <w:rsid w:val="00195FA2"/>
    <w:rsid w:val="00197292"/>
    <w:rsid w:val="001A44D5"/>
    <w:rsid w:val="001A4CBE"/>
    <w:rsid w:val="001A69C3"/>
    <w:rsid w:val="001A798B"/>
    <w:rsid w:val="001B0AB2"/>
    <w:rsid w:val="001B1CF2"/>
    <w:rsid w:val="001B37BA"/>
    <w:rsid w:val="001B63EC"/>
    <w:rsid w:val="001C056F"/>
    <w:rsid w:val="001C10BF"/>
    <w:rsid w:val="001C4FFE"/>
    <w:rsid w:val="001C5547"/>
    <w:rsid w:val="001D0E71"/>
    <w:rsid w:val="001E04EB"/>
    <w:rsid w:val="001E5919"/>
    <w:rsid w:val="001F0FAB"/>
    <w:rsid w:val="001F245F"/>
    <w:rsid w:val="001F3974"/>
    <w:rsid w:val="001F54A6"/>
    <w:rsid w:val="002026B7"/>
    <w:rsid w:val="00202CAD"/>
    <w:rsid w:val="00205FC3"/>
    <w:rsid w:val="00206EB7"/>
    <w:rsid w:val="00211B3F"/>
    <w:rsid w:val="00212E8C"/>
    <w:rsid w:val="00213776"/>
    <w:rsid w:val="00213E58"/>
    <w:rsid w:val="0021430F"/>
    <w:rsid w:val="00226B31"/>
    <w:rsid w:val="00227230"/>
    <w:rsid w:val="00233B1D"/>
    <w:rsid w:val="00233EED"/>
    <w:rsid w:val="002378A0"/>
    <w:rsid w:val="002400D4"/>
    <w:rsid w:val="002404C5"/>
    <w:rsid w:val="00241720"/>
    <w:rsid w:val="00245033"/>
    <w:rsid w:val="002521D8"/>
    <w:rsid w:val="00254E8C"/>
    <w:rsid w:val="00255AE9"/>
    <w:rsid w:val="00255CC0"/>
    <w:rsid w:val="002577B1"/>
    <w:rsid w:val="00257DA9"/>
    <w:rsid w:val="00261D29"/>
    <w:rsid w:val="002634EC"/>
    <w:rsid w:val="00264ABB"/>
    <w:rsid w:val="002710AF"/>
    <w:rsid w:val="00273AE3"/>
    <w:rsid w:val="00273EC6"/>
    <w:rsid w:val="00275E89"/>
    <w:rsid w:val="00280695"/>
    <w:rsid w:val="00284D09"/>
    <w:rsid w:val="00285860"/>
    <w:rsid w:val="00286A26"/>
    <w:rsid w:val="00291179"/>
    <w:rsid w:val="00291347"/>
    <w:rsid w:val="00297AD8"/>
    <w:rsid w:val="002A191D"/>
    <w:rsid w:val="002B3584"/>
    <w:rsid w:val="002B3A65"/>
    <w:rsid w:val="002B3E4A"/>
    <w:rsid w:val="002B46CC"/>
    <w:rsid w:val="002B5ED0"/>
    <w:rsid w:val="002B7D5B"/>
    <w:rsid w:val="002C19CD"/>
    <w:rsid w:val="002C768B"/>
    <w:rsid w:val="002D394B"/>
    <w:rsid w:val="002D458D"/>
    <w:rsid w:val="002D5E09"/>
    <w:rsid w:val="002E0F7D"/>
    <w:rsid w:val="002E4B67"/>
    <w:rsid w:val="002E701F"/>
    <w:rsid w:val="002E743C"/>
    <w:rsid w:val="002F07D8"/>
    <w:rsid w:val="002F09EE"/>
    <w:rsid w:val="002F10DB"/>
    <w:rsid w:val="002F1537"/>
    <w:rsid w:val="002F3F2C"/>
    <w:rsid w:val="002F6A40"/>
    <w:rsid w:val="002F6B69"/>
    <w:rsid w:val="003054B2"/>
    <w:rsid w:val="00306020"/>
    <w:rsid w:val="00312162"/>
    <w:rsid w:val="00313583"/>
    <w:rsid w:val="0031573F"/>
    <w:rsid w:val="00315B49"/>
    <w:rsid w:val="00315B61"/>
    <w:rsid w:val="00317F33"/>
    <w:rsid w:val="0032442E"/>
    <w:rsid w:val="0032768D"/>
    <w:rsid w:val="00333B4D"/>
    <w:rsid w:val="003365D2"/>
    <w:rsid w:val="00336F9D"/>
    <w:rsid w:val="0034306C"/>
    <w:rsid w:val="00347578"/>
    <w:rsid w:val="0035059A"/>
    <w:rsid w:val="00351BD5"/>
    <w:rsid w:val="00355B13"/>
    <w:rsid w:val="003571F7"/>
    <w:rsid w:val="00357E04"/>
    <w:rsid w:val="00360183"/>
    <w:rsid w:val="00361FF1"/>
    <w:rsid w:val="00367EE1"/>
    <w:rsid w:val="003731AA"/>
    <w:rsid w:val="003740E3"/>
    <w:rsid w:val="00376F08"/>
    <w:rsid w:val="00376F4B"/>
    <w:rsid w:val="00380DBD"/>
    <w:rsid w:val="00383090"/>
    <w:rsid w:val="00391217"/>
    <w:rsid w:val="00392C7C"/>
    <w:rsid w:val="003A0D78"/>
    <w:rsid w:val="003A2193"/>
    <w:rsid w:val="003A4166"/>
    <w:rsid w:val="003A521A"/>
    <w:rsid w:val="003B344A"/>
    <w:rsid w:val="003B4769"/>
    <w:rsid w:val="003C00BD"/>
    <w:rsid w:val="003C3021"/>
    <w:rsid w:val="003C3680"/>
    <w:rsid w:val="003C38FF"/>
    <w:rsid w:val="003C3A88"/>
    <w:rsid w:val="003C6E56"/>
    <w:rsid w:val="003C7130"/>
    <w:rsid w:val="003C7717"/>
    <w:rsid w:val="003D1275"/>
    <w:rsid w:val="003D1AF7"/>
    <w:rsid w:val="003D2974"/>
    <w:rsid w:val="003D67DE"/>
    <w:rsid w:val="003D6B5A"/>
    <w:rsid w:val="003E1537"/>
    <w:rsid w:val="003E2D7F"/>
    <w:rsid w:val="003F5868"/>
    <w:rsid w:val="003F5F88"/>
    <w:rsid w:val="003F620F"/>
    <w:rsid w:val="003F712A"/>
    <w:rsid w:val="00403424"/>
    <w:rsid w:val="00404B6F"/>
    <w:rsid w:val="0040696C"/>
    <w:rsid w:val="0041070D"/>
    <w:rsid w:val="00414D66"/>
    <w:rsid w:val="004158FE"/>
    <w:rsid w:val="00423A11"/>
    <w:rsid w:val="00424E06"/>
    <w:rsid w:val="00425C71"/>
    <w:rsid w:val="004264A1"/>
    <w:rsid w:val="00427C67"/>
    <w:rsid w:val="004320FD"/>
    <w:rsid w:val="0044215B"/>
    <w:rsid w:val="00450266"/>
    <w:rsid w:val="00452605"/>
    <w:rsid w:val="004548BE"/>
    <w:rsid w:val="0046060C"/>
    <w:rsid w:val="004634FC"/>
    <w:rsid w:val="004702CC"/>
    <w:rsid w:val="00474645"/>
    <w:rsid w:val="00475FBF"/>
    <w:rsid w:val="0047795C"/>
    <w:rsid w:val="00481C18"/>
    <w:rsid w:val="00483024"/>
    <w:rsid w:val="00485685"/>
    <w:rsid w:val="0048733F"/>
    <w:rsid w:val="00487EAD"/>
    <w:rsid w:val="004949A6"/>
    <w:rsid w:val="00495FDC"/>
    <w:rsid w:val="00496409"/>
    <w:rsid w:val="004977FA"/>
    <w:rsid w:val="004A5387"/>
    <w:rsid w:val="004A5FAA"/>
    <w:rsid w:val="004B1F80"/>
    <w:rsid w:val="004B64B3"/>
    <w:rsid w:val="004C1077"/>
    <w:rsid w:val="004C680F"/>
    <w:rsid w:val="004C7701"/>
    <w:rsid w:val="004C7A0F"/>
    <w:rsid w:val="004D1201"/>
    <w:rsid w:val="004D1F63"/>
    <w:rsid w:val="004D2782"/>
    <w:rsid w:val="004D5297"/>
    <w:rsid w:val="004D7CCF"/>
    <w:rsid w:val="004E0EBF"/>
    <w:rsid w:val="004F008C"/>
    <w:rsid w:val="004F2C25"/>
    <w:rsid w:val="004F4607"/>
    <w:rsid w:val="005010E0"/>
    <w:rsid w:val="00501FE5"/>
    <w:rsid w:val="00503142"/>
    <w:rsid w:val="00503BFC"/>
    <w:rsid w:val="00505797"/>
    <w:rsid w:val="00506FB2"/>
    <w:rsid w:val="0051281B"/>
    <w:rsid w:val="00514BB8"/>
    <w:rsid w:val="0051776B"/>
    <w:rsid w:val="005230CE"/>
    <w:rsid w:val="00523C18"/>
    <w:rsid w:val="005254F6"/>
    <w:rsid w:val="0052572E"/>
    <w:rsid w:val="005261A2"/>
    <w:rsid w:val="00530C30"/>
    <w:rsid w:val="00530C4A"/>
    <w:rsid w:val="005310D9"/>
    <w:rsid w:val="00531C1D"/>
    <w:rsid w:val="00536066"/>
    <w:rsid w:val="00537669"/>
    <w:rsid w:val="005528B6"/>
    <w:rsid w:val="005536BB"/>
    <w:rsid w:val="0055458F"/>
    <w:rsid w:val="0055515C"/>
    <w:rsid w:val="005562C9"/>
    <w:rsid w:val="00557761"/>
    <w:rsid w:val="00560F58"/>
    <w:rsid w:val="00563C17"/>
    <w:rsid w:val="00564DD8"/>
    <w:rsid w:val="0056745F"/>
    <w:rsid w:val="00567ADC"/>
    <w:rsid w:val="00570758"/>
    <w:rsid w:val="00571527"/>
    <w:rsid w:val="00571601"/>
    <w:rsid w:val="00573189"/>
    <w:rsid w:val="00577F8F"/>
    <w:rsid w:val="00580CB1"/>
    <w:rsid w:val="00583A5D"/>
    <w:rsid w:val="00583FB3"/>
    <w:rsid w:val="0058451C"/>
    <w:rsid w:val="00584B66"/>
    <w:rsid w:val="00585B60"/>
    <w:rsid w:val="0058600B"/>
    <w:rsid w:val="0058728C"/>
    <w:rsid w:val="00590833"/>
    <w:rsid w:val="00591945"/>
    <w:rsid w:val="00591B28"/>
    <w:rsid w:val="00593DBF"/>
    <w:rsid w:val="00596F13"/>
    <w:rsid w:val="005A1103"/>
    <w:rsid w:val="005A154F"/>
    <w:rsid w:val="005A6271"/>
    <w:rsid w:val="005B1B1A"/>
    <w:rsid w:val="005B27EB"/>
    <w:rsid w:val="005B29C6"/>
    <w:rsid w:val="005B30DA"/>
    <w:rsid w:val="005B35E7"/>
    <w:rsid w:val="005B6E7A"/>
    <w:rsid w:val="005B7499"/>
    <w:rsid w:val="005C1B74"/>
    <w:rsid w:val="005C2E5A"/>
    <w:rsid w:val="005C35C5"/>
    <w:rsid w:val="005C35EB"/>
    <w:rsid w:val="005C4E24"/>
    <w:rsid w:val="005C52BE"/>
    <w:rsid w:val="005D1946"/>
    <w:rsid w:val="005D1966"/>
    <w:rsid w:val="005E162C"/>
    <w:rsid w:val="005F10F9"/>
    <w:rsid w:val="00601EED"/>
    <w:rsid w:val="00602AA7"/>
    <w:rsid w:val="00606DE8"/>
    <w:rsid w:val="006100DD"/>
    <w:rsid w:val="006102DD"/>
    <w:rsid w:val="00611E54"/>
    <w:rsid w:val="006163F3"/>
    <w:rsid w:val="00617207"/>
    <w:rsid w:val="0062021D"/>
    <w:rsid w:val="0062052F"/>
    <w:rsid w:val="00625BAD"/>
    <w:rsid w:val="00626A4C"/>
    <w:rsid w:val="00626AE4"/>
    <w:rsid w:val="00630AA5"/>
    <w:rsid w:val="006338DD"/>
    <w:rsid w:val="006351FA"/>
    <w:rsid w:val="00635C49"/>
    <w:rsid w:val="00636EAB"/>
    <w:rsid w:val="00637B06"/>
    <w:rsid w:val="00637E38"/>
    <w:rsid w:val="0064048F"/>
    <w:rsid w:val="00642F7F"/>
    <w:rsid w:val="00647C11"/>
    <w:rsid w:val="006514BE"/>
    <w:rsid w:val="00652DCD"/>
    <w:rsid w:val="00653753"/>
    <w:rsid w:val="00655EE5"/>
    <w:rsid w:val="00656E14"/>
    <w:rsid w:val="00656FBE"/>
    <w:rsid w:val="00662E0B"/>
    <w:rsid w:val="00665E21"/>
    <w:rsid w:val="00667828"/>
    <w:rsid w:val="00671976"/>
    <w:rsid w:val="00675345"/>
    <w:rsid w:val="00680F0B"/>
    <w:rsid w:val="00682F29"/>
    <w:rsid w:val="00683301"/>
    <w:rsid w:val="00685418"/>
    <w:rsid w:val="00695A24"/>
    <w:rsid w:val="00697C81"/>
    <w:rsid w:val="006A028D"/>
    <w:rsid w:val="006A5864"/>
    <w:rsid w:val="006A75C8"/>
    <w:rsid w:val="006B08DA"/>
    <w:rsid w:val="006C31AB"/>
    <w:rsid w:val="006C4C5A"/>
    <w:rsid w:val="006C6635"/>
    <w:rsid w:val="006D12CD"/>
    <w:rsid w:val="006D771B"/>
    <w:rsid w:val="006E0350"/>
    <w:rsid w:val="006E0BE9"/>
    <w:rsid w:val="006E0E3D"/>
    <w:rsid w:val="006E4F1C"/>
    <w:rsid w:val="006E681C"/>
    <w:rsid w:val="006F3E85"/>
    <w:rsid w:val="006F4927"/>
    <w:rsid w:val="006F502C"/>
    <w:rsid w:val="006F5333"/>
    <w:rsid w:val="00700B92"/>
    <w:rsid w:val="00701644"/>
    <w:rsid w:val="007035E8"/>
    <w:rsid w:val="00704CA8"/>
    <w:rsid w:val="00704EEE"/>
    <w:rsid w:val="00706F69"/>
    <w:rsid w:val="007077DF"/>
    <w:rsid w:val="00710A54"/>
    <w:rsid w:val="00711E04"/>
    <w:rsid w:val="00715CD2"/>
    <w:rsid w:val="00730F2E"/>
    <w:rsid w:val="00733D3B"/>
    <w:rsid w:val="00737455"/>
    <w:rsid w:val="0074173A"/>
    <w:rsid w:val="00742416"/>
    <w:rsid w:val="0074353D"/>
    <w:rsid w:val="007445B5"/>
    <w:rsid w:val="0074500F"/>
    <w:rsid w:val="00746177"/>
    <w:rsid w:val="0074697B"/>
    <w:rsid w:val="00750633"/>
    <w:rsid w:val="00752A5A"/>
    <w:rsid w:val="0075303A"/>
    <w:rsid w:val="00754A5D"/>
    <w:rsid w:val="0076089C"/>
    <w:rsid w:val="0076285F"/>
    <w:rsid w:val="007654C2"/>
    <w:rsid w:val="007661BB"/>
    <w:rsid w:val="0077131A"/>
    <w:rsid w:val="00774B7B"/>
    <w:rsid w:val="00775CF5"/>
    <w:rsid w:val="0077694C"/>
    <w:rsid w:val="007772D6"/>
    <w:rsid w:val="00777F2A"/>
    <w:rsid w:val="00781D32"/>
    <w:rsid w:val="007826FC"/>
    <w:rsid w:val="00782FD9"/>
    <w:rsid w:val="00783B64"/>
    <w:rsid w:val="00786FD9"/>
    <w:rsid w:val="00787EF2"/>
    <w:rsid w:val="00792F34"/>
    <w:rsid w:val="007950DE"/>
    <w:rsid w:val="00795507"/>
    <w:rsid w:val="007A48B2"/>
    <w:rsid w:val="007A62C5"/>
    <w:rsid w:val="007A7905"/>
    <w:rsid w:val="007A7C23"/>
    <w:rsid w:val="007C187A"/>
    <w:rsid w:val="007C5620"/>
    <w:rsid w:val="007C7DD2"/>
    <w:rsid w:val="007D31A3"/>
    <w:rsid w:val="007D7A29"/>
    <w:rsid w:val="007E44E8"/>
    <w:rsid w:val="007E6323"/>
    <w:rsid w:val="007F1E20"/>
    <w:rsid w:val="007F3324"/>
    <w:rsid w:val="007F4991"/>
    <w:rsid w:val="007F69A4"/>
    <w:rsid w:val="00800183"/>
    <w:rsid w:val="00806DB3"/>
    <w:rsid w:val="00812B0A"/>
    <w:rsid w:val="008148A9"/>
    <w:rsid w:val="00814A93"/>
    <w:rsid w:val="00815FFA"/>
    <w:rsid w:val="0082033B"/>
    <w:rsid w:val="00824290"/>
    <w:rsid w:val="0083194D"/>
    <w:rsid w:val="00833BDE"/>
    <w:rsid w:val="00835911"/>
    <w:rsid w:val="008401C9"/>
    <w:rsid w:val="008440D0"/>
    <w:rsid w:val="00850D78"/>
    <w:rsid w:val="00856F5A"/>
    <w:rsid w:val="0086023C"/>
    <w:rsid w:val="00861661"/>
    <w:rsid w:val="0087321D"/>
    <w:rsid w:val="00875E9C"/>
    <w:rsid w:val="008813F1"/>
    <w:rsid w:val="00881739"/>
    <w:rsid w:val="0088374E"/>
    <w:rsid w:val="00884691"/>
    <w:rsid w:val="008858A5"/>
    <w:rsid w:val="00894733"/>
    <w:rsid w:val="008947B6"/>
    <w:rsid w:val="008957C2"/>
    <w:rsid w:val="008A09E7"/>
    <w:rsid w:val="008A14D4"/>
    <w:rsid w:val="008A2364"/>
    <w:rsid w:val="008A342E"/>
    <w:rsid w:val="008A4458"/>
    <w:rsid w:val="008A57C5"/>
    <w:rsid w:val="008A7778"/>
    <w:rsid w:val="008B0E74"/>
    <w:rsid w:val="008B10BB"/>
    <w:rsid w:val="008B1A82"/>
    <w:rsid w:val="008B1D25"/>
    <w:rsid w:val="008B2D54"/>
    <w:rsid w:val="008B3A3E"/>
    <w:rsid w:val="008C14BE"/>
    <w:rsid w:val="008C2643"/>
    <w:rsid w:val="008C689B"/>
    <w:rsid w:val="008C7CD3"/>
    <w:rsid w:val="008E02B7"/>
    <w:rsid w:val="008E1ED8"/>
    <w:rsid w:val="008E3B30"/>
    <w:rsid w:val="008F00D8"/>
    <w:rsid w:val="008F02D6"/>
    <w:rsid w:val="008F2B97"/>
    <w:rsid w:val="008F410F"/>
    <w:rsid w:val="008F415B"/>
    <w:rsid w:val="008F44FB"/>
    <w:rsid w:val="008F7453"/>
    <w:rsid w:val="008F76ED"/>
    <w:rsid w:val="008F7B85"/>
    <w:rsid w:val="00906D92"/>
    <w:rsid w:val="009072CC"/>
    <w:rsid w:val="00907E12"/>
    <w:rsid w:val="00910301"/>
    <w:rsid w:val="00911555"/>
    <w:rsid w:val="009123BE"/>
    <w:rsid w:val="00912E5D"/>
    <w:rsid w:val="00916718"/>
    <w:rsid w:val="00917AD3"/>
    <w:rsid w:val="0092592A"/>
    <w:rsid w:val="0093313C"/>
    <w:rsid w:val="00937690"/>
    <w:rsid w:val="00937CD1"/>
    <w:rsid w:val="00937F98"/>
    <w:rsid w:val="00953162"/>
    <w:rsid w:val="00954EC9"/>
    <w:rsid w:val="00955418"/>
    <w:rsid w:val="0096137A"/>
    <w:rsid w:val="00963B46"/>
    <w:rsid w:val="00964A96"/>
    <w:rsid w:val="00964DF1"/>
    <w:rsid w:val="00965795"/>
    <w:rsid w:val="0097453D"/>
    <w:rsid w:val="00977DBA"/>
    <w:rsid w:val="009836E6"/>
    <w:rsid w:val="009876E7"/>
    <w:rsid w:val="009915B2"/>
    <w:rsid w:val="00991B8E"/>
    <w:rsid w:val="00995D74"/>
    <w:rsid w:val="009970BC"/>
    <w:rsid w:val="009A0DF8"/>
    <w:rsid w:val="009A110B"/>
    <w:rsid w:val="009A459C"/>
    <w:rsid w:val="009A6584"/>
    <w:rsid w:val="009A7AA8"/>
    <w:rsid w:val="009B009E"/>
    <w:rsid w:val="009B0F75"/>
    <w:rsid w:val="009B177A"/>
    <w:rsid w:val="009B45A5"/>
    <w:rsid w:val="009B5763"/>
    <w:rsid w:val="009B6DF8"/>
    <w:rsid w:val="009C3000"/>
    <w:rsid w:val="009C55EB"/>
    <w:rsid w:val="009D4BAD"/>
    <w:rsid w:val="009D64C7"/>
    <w:rsid w:val="009D7319"/>
    <w:rsid w:val="009E0601"/>
    <w:rsid w:val="009E0C21"/>
    <w:rsid w:val="009E0F26"/>
    <w:rsid w:val="009E5A1F"/>
    <w:rsid w:val="009F1F2B"/>
    <w:rsid w:val="009F2086"/>
    <w:rsid w:val="00A0217A"/>
    <w:rsid w:val="00A02612"/>
    <w:rsid w:val="00A0299F"/>
    <w:rsid w:val="00A0401B"/>
    <w:rsid w:val="00A063AD"/>
    <w:rsid w:val="00A12279"/>
    <w:rsid w:val="00A13B0C"/>
    <w:rsid w:val="00A17C5A"/>
    <w:rsid w:val="00A2114C"/>
    <w:rsid w:val="00A2151E"/>
    <w:rsid w:val="00A267D6"/>
    <w:rsid w:val="00A31433"/>
    <w:rsid w:val="00A3383A"/>
    <w:rsid w:val="00A37B44"/>
    <w:rsid w:val="00A41BFB"/>
    <w:rsid w:val="00A41EF1"/>
    <w:rsid w:val="00A46A45"/>
    <w:rsid w:val="00A46C26"/>
    <w:rsid w:val="00A560A5"/>
    <w:rsid w:val="00A5666F"/>
    <w:rsid w:val="00A56B63"/>
    <w:rsid w:val="00A61B95"/>
    <w:rsid w:val="00A63843"/>
    <w:rsid w:val="00A67192"/>
    <w:rsid w:val="00A739B1"/>
    <w:rsid w:val="00A74846"/>
    <w:rsid w:val="00A75DBB"/>
    <w:rsid w:val="00A75EDB"/>
    <w:rsid w:val="00A76992"/>
    <w:rsid w:val="00A80D2E"/>
    <w:rsid w:val="00A81F5C"/>
    <w:rsid w:val="00A850B4"/>
    <w:rsid w:val="00A85D47"/>
    <w:rsid w:val="00A91EB3"/>
    <w:rsid w:val="00A95E71"/>
    <w:rsid w:val="00A961D1"/>
    <w:rsid w:val="00AA11A4"/>
    <w:rsid w:val="00AA33A0"/>
    <w:rsid w:val="00AA3947"/>
    <w:rsid w:val="00AA3EA1"/>
    <w:rsid w:val="00AA5EBF"/>
    <w:rsid w:val="00AA66A2"/>
    <w:rsid w:val="00AB3AC6"/>
    <w:rsid w:val="00AB54D8"/>
    <w:rsid w:val="00AB7F03"/>
    <w:rsid w:val="00AD3456"/>
    <w:rsid w:val="00AE1918"/>
    <w:rsid w:val="00AE6D2A"/>
    <w:rsid w:val="00AF24E1"/>
    <w:rsid w:val="00AF505A"/>
    <w:rsid w:val="00AF62E9"/>
    <w:rsid w:val="00AF6E1D"/>
    <w:rsid w:val="00AF7A0A"/>
    <w:rsid w:val="00AF7F71"/>
    <w:rsid w:val="00B04878"/>
    <w:rsid w:val="00B0573E"/>
    <w:rsid w:val="00B05D13"/>
    <w:rsid w:val="00B110CF"/>
    <w:rsid w:val="00B12819"/>
    <w:rsid w:val="00B1296C"/>
    <w:rsid w:val="00B14706"/>
    <w:rsid w:val="00B21D71"/>
    <w:rsid w:val="00B23BEE"/>
    <w:rsid w:val="00B2496D"/>
    <w:rsid w:val="00B35441"/>
    <w:rsid w:val="00B36272"/>
    <w:rsid w:val="00B479F4"/>
    <w:rsid w:val="00B53481"/>
    <w:rsid w:val="00B574D0"/>
    <w:rsid w:val="00B609C0"/>
    <w:rsid w:val="00B61F78"/>
    <w:rsid w:val="00B62176"/>
    <w:rsid w:val="00B62D68"/>
    <w:rsid w:val="00B62DC6"/>
    <w:rsid w:val="00B65AA9"/>
    <w:rsid w:val="00B663E5"/>
    <w:rsid w:val="00B674A0"/>
    <w:rsid w:val="00B70049"/>
    <w:rsid w:val="00B73DE4"/>
    <w:rsid w:val="00B770BF"/>
    <w:rsid w:val="00B837B5"/>
    <w:rsid w:val="00B8597E"/>
    <w:rsid w:val="00B8684A"/>
    <w:rsid w:val="00B92ECD"/>
    <w:rsid w:val="00B944C4"/>
    <w:rsid w:val="00B94CEB"/>
    <w:rsid w:val="00B950E9"/>
    <w:rsid w:val="00B96EE4"/>
    <w:rsid w:val="00BA066E"/>
    <w:rsid w:val="00BA2793"/>
    <w:rsid w:val="00BA3E45"/>
    <w:rsid w:val="00BA5335"/>
    <w:rsid w:val="00BA552F"/>
    <w:rsid w:val="00BB1831"/>
    <w:rsid w:val="00BB2AA5"/>
    <w:rsid w:val="00BB4EC8"/>
    <w:rsid w:val="00BB500D"/>
    <w:rsid w:val="00BB6020"/>
    <w:rsid w:val="00BB6851"/>
    <w:rsid w:val="00BD3BB1"/>
    <w:rsid w:val="00BD4DFB"/>
    <w:rsid w:val="00BE0702"/>
    <w:rsid w:val="00BF1663"/>
    <w:rsid w:val="00C00CB8"/>
    <w:rsid w:val="00C04A8E"/>
    <w:rsid w:val="00C04B10"/>
    <w:rsid w:val="00C05CB9"/>
    <w:rsid w:val="00C0625F"/>
    <w:rsid w:val="00C1057F"/>
    <w:rsid w:val="00C1387F"/>
    <w:rsid w:val="00C14661"/>
    <w:rsid w:val="00C25EFA"/>
    <w:rsid w:val="00C30E48"/>
    <w:rsid w:val="00C31064"/>
    <w:rsid w:val="00C337DD"/>
    <w:rsid w:val="00C3731D"/>
    <w:rsid w:val="00C4306C"/>
    <w:rsid w:val="00C4497F"/>
    <w:rsid w:val="00C45564"/>
    <w:rsid w:val="00C45FBB"/>
    <w:rsid w:val="00C477EA"/>
    <w:rsid w:val="00C50D64"/>
    <w:rsid w:val="00C54157"/>
    <w:rsid w:val="00C54FDF"/>
    <w:rsid w:val="00C5699D"/>
    <w:rsid w:val="00C62747"/>
    <w:rsid w:val="00C668A0"/>
    <w:rsid w:val="00C670AB"/>
    <w:rsid w:val="00C74FBE"/>
    <w:rsid w:val="00C803F8"/>
    <w:rsid w:val="00C80652"/>
    <w:rsid w:val="00C81366"/>
    <w:rsid w:val="00C83845"/>
    <w:rsid w:val="00C848D0"/>
    <w:rsid w:val="00C84D10"/>
    <w:rsid w:val="00C87858"/>
    <w:rsid w:val="00C87B14"/>
    <w:rsid w:val="00C91176"/>
    <w:rsid w:val="00C94F64"/>
    <w:rsid w:val="00CA29C9"/>
    <w:rsid w:val="00CA3B7B"/>
    <w:rsid w:val="00CA40A4"/>
    <w:rsid w:val="00CA5F7A"/>
    <w:rsid w:val="00CA6E16"/>
    <w:rsid w:val="00CA749D"/>
    <w:rsid w:val="00CB4667"/>
    <w:rsid w:val="00CB6293"/>
    <w:rsid w:val="00CB765B"/>
    <w:rsid w:val="00CC4CF0"/>
    <w:rsid w:val="00CC5F54"/>
    <w:rsid w:val="00CD1BFC"/>
    <w:rsid w:val="00CD248B"/>
    <w:rsid w:val="00CD2AFF"/>
    <w:rsid w:val="00CD3F55"/>
    <w:rsid w:val="00CD504D"/>
    <w:rsid w:val="00CE2CBF"/>
    <w:rsid w:val="00CE31EF"/>
    <w:rsid w:val="00CE5121"/>
    <w:rsid w:val="00CF475A"/>
    <w:rsid w:val="00CF5074"/>
    <w:rsid w:val="00CF5341"/>
    <w:rsid w:val="00CF6107"/>
    <w:rsid w:val="00D000B5"/>
    <w:rsid w:val="00D00A75"/>
    <w:rsid w:val="00D03C10"/>
    <w:rsid w:val="00D03CC8"/>
    <w:rsid w:val="00D11434"/>
    <w:rsid w:val="00D143D0"/>
    <w:rsid w:val="00D1451F"/>
    <w:rsid w:val="00D165DA"/>
    <w:rsid w:val="00D22D9B"/>
    <w:rsid w:val="00D25944"/>
    <w:rsid w:val="00D27950"/>
    <w:rsid w:val="00D30461"/>
    <w:rsid w:val="00D35840"/>
    <w:rsid w:val="00D43A88"/>
    <w:rsid w:val="00D462AF"/>
    <w:rsid w:val="00D471D2"/>
    <w:rsid w:val="00D53DAB"/>
    <w:rsid w:val="00D545BC"/>
    <w:rsid w:val="00D56FD4"/>
    <w:rsid w:val="00D572A7"/>
    <w:rsid w:val="00D5780A"/>
    <w:rsid w:val="00D57D8A"/>
    <w:rsid w:val="00D62181"/>
    <w:rsid w:val="00D62F73"/>
    <w:rsid w:val="00D65680"/>
    <w:rsid w:val="00D65BA6"/>
    <w:rsid w:val="00D66C08"/>
    <w:rsid w:val="00D67D49"/>
    <w:rsid w:val="00D711D5"/>
    <w:rsid w:val="00D71E9F"/>
    <w:rsid w:val="00D723E2"/>
    <w:rsid w:val="00D72964"/>
    <w:rsid w:val="00D735CB"/>
    <w:rsid w:val="00D77DC5"/>
    <w:rsid w:val="00D8028D"/>
    <w:rsid w:val="00D80890"/>
    <w:rsid w:val="00D82B10"/>
    <w:rsid w:val="00D84BFD"/>
    <w:rsid w:val="00D85B74"/>
    <w:rsid w:val="00D86449"/>
    <w:rsid w:val="00D91CF7"/>
    <w:rsid w:val="00D91D1F"/>
    <w:rsid w:val="00D92CAA"/>
    <w:rsid w:val="00D937F3"/>
    <w:rsid w:val="00D94826"/>
    <w:rsid w:val="00D95876"/>
    <w:rsid w:val="00D97719"/>
    <w:rsid w:val="00D97ACF"/>
    <w:rsid w:val="00DA05EE"/>
    <w:rsid w:val="00DA0C7C"/>
    <w:rsid w:val="00DA5FE4"/>
    <w:rsid w:val="00DA7B79"/>
    <w:rsid w:val="00DB0394"/>
    <w:rsid w:val="00DB3332"/>
    <w:rsid w:val="00DB5174"/>
    <w:rsid w:val="00DB68CE"/>
    <w:rsid w:val="00DC1AE8"/>
    <w:rsid w:val="00DC3520"/>
    <w:rsid w:val="00DC3F20"/>
    <w:rsid w:val="00DC3F9B"/>
    <w:rsid w:val="00DD3BCF"/>
    <w:rsid w:val="00DD4731"/>
    <w:rsid w:val="00DD5090"/>
    <w:rsid w:val="00DD5BD2"/>
    <w:rsid w:val="00DE0C44"/>
    <w:rsid w:val="00DE2902"/>
    <w:rsid w:val="00DE3237"/>
    <w:rsid w:val="00DE3C4F"/>
    <w:rsid w:val="00DE4CEC"/>
    <w:rsid w:val="00DE6BE7"/>
    <w:rsid w:val="00DE6D81"/>
    <w:rsid w:val="00DF1E49"/>
    <w:rsid w:val="00DF44C2"/>
    <w:rsid w:val="00DF68C6"/>
    <w:rsid w:val="00DF7528"/>
    <w:rsid w:val="00E00394"/>
    <w:rsid w:val="00E01200"/>
    <w:rsid w:val="00E01509"/>
    <w:rsid w:val="00E056D9"/>
    <w:rsid w:val="00E06303"/>
    <w:rsid w:val="00E07EAC"/>
    <w:rsid w:val="00E1019D"/>
    <w:rsid w:val="00E12291"/>
    <w:rsid w:val="00E131DB"/>
    <w:rsid w:val="00E150A6"/>
    <w:rsid w:val="00E1536E"/>
    <w:rsid w:val="00E16EDD"/>
    <w:rsid w:val="00E215EF"/>
    <w:rsid w:val="00E21726"/>
    <w:rsid w:val="00E22247"/>
    <w:rsid w:val="00E22DA9"/>
    <w:rsid w:val="00E306AE"/>
    <w:rsid w:val="00E36BC2"/>
    <w:rsid w:val="00E43E8B"/>
    <w:rsid w:val="00E442E1"/>
    <w:rsid w:val="00E453D0"/>
    <w:rsid w:val="00E45823"/>
    <w:rsid w:val="00E470BE"/>
    <w:rsid w:val="00E476FE"/>
    <w:rsid w:val="00E50485"/>
    <w:rsid w:val="00E542E9"/>
    <w:rsid w:val="00E54D39"/>
    <w:rsid w:val="00E564A6"/>
    <w:rsid w:val="00E6258A"/>
    <w:rsid w:val="00E633E4"/>
    <w:rsid w:val="00E66369"/>
    <w:rsid w:val="00E7097B"/>
    <w:rsid w:val="00E73816"/>
    <w:rsid w:val="00E74290"/>
    <w:rsid w:val="00E757E2"/>
    <w:rsid w:val="00E7625F"/>
    <w:rsid w:val="00E7683A"/>
    <w:rsid w:val="00E773B7"/>
    <w:rsid w:val="00E7752F"/>
    <w:rsid w:val="00E8753F"/>
    <w:rsid w:val="00E87A04"/>
    <w:rsid w:val="00E95832"/>
    <w:rsid w:val="00E9587E"/>
    <w:rsid w:val="00E96B45"/>
    <w:rsid w:val="00E96DB5"/>
    <w:rsid w:val="00EA0C6D"/>
    <w:rsid w:val="00EA4BBF"/>
    <w:rsid w:val="00EA4C9E"/>
    <w:rsid w:val="00EB0FBB"/>
    <w:rsid w:val="00EB233B"/>
    <w:rsid w:val="00EB433D"/>
    <w:rsid w:val="00EB4FE2"/>
    <w:rsid w:val="00EB586F"/>
    <w:rsid w:val="00EC1457"/>
    <w:rsid w:val="00EC1BA6"/>
    <w:rsid w:val="00EC5783"/>
    <w:rsid w:val="00EC5D92"/>
    <w:rsid w:val="00ED273C"/>
    <w:rsid w:val="00ED5666"/>
    <w:rsid w:val="00ED5CC7"/>
    <w:rsid w:val="00ED60FF"/>
    <w:rsid w:val="00ED6399"/>
    <w:rsid w:val="00ED67C3"/>
    <w:rsid w:val="00EE0D29"/>
    <w:rsid w:val="00EF16C8"/>
    <w:rsid w:val="00EF2309"/>
    <w:rsid w:val="00F00427"/>
    <w:rsid w:val="00F014EE"/>
    <w:rsid w:val="00F01B6B"/>
    <w:rsid w:val="00F0213D"/>
    <w:rsid w:val="00F02B4B"/>
    <w:rsid w:val="00F07736"/>
    <w:rsid w:val="00F125F6"/>
    <w:rsid w:val="00F152C4"/>
    <w:rsid w:val="00F17CE8"/>
    <w:rsid w:val="00F244DF"/>
    <w:rsid w:val="00F254D5"/>
    <w:rsid w:val="00F261B4"/>
    <w:rsid w:val="00F402BA"/>
    <w:rsid w:val="00F405CF"/>
    <w:rsid w:val="00F40F30"/>
    <w:rsid w:val="00F4226A"/>
    <w:rsid w:val="00F42EB0"/>
    <w:rsid w:val="00F4546F"/>
    <w:rsid w:val="00F46526"/>
    <w:rsid w:val="00F5111D"/>
    <w:rsid w:val="00F520A6"/>
    <w:rsid w:val="00F531ED"/>
    <w:rsid w:val="00F54F88"/>
    <w:rsid w:val="00F56084"/>
    <w:rsid w:val="00F56103"/>
    <w:rsid w:val="00F64F8B"/>
    <w:rsid w:val="00F65D90"/>
    <w:rsid w:val="00F7393D"/>
    <w:rsid w:val="00F74FBA"/>
    <w:rsid w:val="00F823D3"/>
    <w:rsid w:val="00F92E4F"/>
    <w:rsid w:val="00FA027D"/>
    <w:rsid w:val="00FA1AEB"/>
    <w:rsid w:val="00FA4C1E"/>
    <w:rsid w:val="00FA57AA"/>
    <w:rsid w:val="00FA5D2D"/>
    <w:rsid w:val="00FA6F4B"/>
    <w:rsid w:val="00FB21B8"/>
    <w:rsid w:val="00FB26DA"/>
    <w:rsid w:val="00FB39E4"/>
    <w:rsid w:val="00FB3CF3"/>
    <w:rsid w:val="00FC15E7"/>
    <w:rsid w:val="00FC1EC0"/>
    <w:rsid w:val="00FC412D"/>
    <w:rsid w:val="00FD12B8"/>
    <w:rsid w:val="00FE1641"/>
    <w:rsid w:val="00FE2404"/>
    <w:rsid w:val="00FE6D3C"/>
    <w:rsid w:val="00FF2EF3"/>
    <w:rsid w:val="00FF3C37"/>
    <w:rsid w:val="00FF58F1"/>
    <w:rsid w:val="00FF71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F92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F505A"/>
    <w:pPr>
      <w:suppressAutoHyphens/>
    </w:pPr>
    <w:rPr>
      <w:sz w:val="24"/>
      <w:szCs w:val="24"/>
      <w:lang w:eastAsia="ar-SA"/>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Poglavje1,Heading 1si"/>
    <w:basedOn w:val="Navaden"/>
    <w:next w:val="Navaden"/>
    <w:link w:val="Naslov1Znak"/>
    <w:uiPriority w:val="9"/>
    <w:qFormat/>
    <w:rsid w:val="000E138A"/>
    <w:pPr>
      <w:keepNext/>
      <w:suppressAutoHyphens w:val="0"/>
      <w:overflowPunct w:val="0"/>
      <w:autoSpaceDE w:val="0"/>
      <w:autoSpaceDN w:val="0"/>
      <w:adjustRightInd w:val="0"/>
      <w:spacing w:before="240" w:after="60"/>
      <w:jc w:val="both"/>
      <w:textAlignment w:val="baseline"/>
      <w:outlineLvl w:val="0"/>
    </w:pPr>
    <w:rPr>
      <w:rFonts w:ascii="Arial" w:hAnsi="Arial" w:cs="Arial"/>
      <w:b/>
      <w:bCs/>
      <w:kern w:val="32"/>
      <w:sz w:val="32"/>
      <w:szCs w:val="32"/>
      <w:lang w:eastAsia="en-US"/>
    </w:rPr>
  </w:style>
  <w:style w:type="paragraph" w:styleId="Naslov2">
    <w:name w:val="heading 2"/>
    <w:basedOn w:val="Navaden"/>
    <w:next w:val="Navaden"/>
    <w:link w:val="Naslov2Znak"/>
    <w:qFormat/>
    <w:rsid w:val="00D91D1F"/>
    <w:pPr>
      <w:keepNext/>
      <w:spacing w:before="240" w:after="60"/>
      <w:ind w:left="576" w:hanging="576"/>
      <w:outlineLvl w:val="1"/>
    </w:pPr>
    <w:rPr>
      <w:rFonts w:ascii="Tahoma" w:hAnsi="Tahoma"/>
      <w:b/>
      <w:bCs/>
      <w:iCs/>
      <w:sz w:val="22"/>
      <w:szCs w:val="28"/>
    </w:rPr>
  </w:style>
  <w:style w:type="paragraph" w:styleId="Naslov3">
    <w:name w:val="heading 3"/>
    <w:basedOn w:val="Navaden"/>
    <w:next w:val="Navaden"/>
    <w:link w:val="Naslov3Znak"/>
    <w:qFormat/>
    <w:rsid w:val="00D91D1F"/>
    <w:pPr>
      <w:keepNext/>
      <w:spacing w:before="240" w:after="60"/>
      <w:ind w:left="720" w:hanging="720"/>
      <w:outlineLvl w:val="2"/>
    </w:pPr>
    <w:rPr>
      <w:rFonts w:ascii="Cambria" w:hAnsi="Cambria"/>
      <w:b/>
      <w:bCs/>
      <w:sz w:val="26"/>
      <w:szCs w:val="26"/>
    </w:rPr>
  </w:style>
  <w:style w:type="paragraph" w:styleId="Naslov4">
    <w:name w:val="heading 4"/>
    <w:basedOn w:val="Navaden"/>
    <w:next w:val="Navaden"/>
    <w:link w:val="Naslov4Znak"/>
    <w:unhideWhenUsed/>
    <w:qFormat/>
    <w:rsid w:val="00B1296C"/>
    <w:pPr>
      <w:keepNext/>
      <w:keepLines/>
      <w:spacing w:before="200"/>
      <w:outlineLvl w:val="3"/>
    </w:pPr>
    <w:rPr>
      <w:rFonts w:asciiTheme="majorHAnsi" w:eastAsiaTheme="majorEastAsia" w:hAnsiTheme="majorHAnsi" w:cstheme="majorBidi"/>
      <w:b/>
      <w:bCs/>
      <w:i/>
      <w:iCs/>
      <w:color w:val="5B9BD5" w:themeColor="accent1"/>
    </w:rPr>
  </w:style>
  <w:style w:type="paragraph" w:styleId="Naslov5">
    <w:name w:val="heading 5"/>
    <w:basedOn w:val="Navaden"/>
    <w:next w:val="Navaden"/>
    <w:link w:val="Naslov5Znak"/>
    <w:qFormat/>
    <w:rsid w:val="00D91D1F"/>
    <w:pPr>
      <w:spacing w:before="240" w:after="60"/>
      <w:ind w:left="1008" w:hanging="1008"/>
      <w:outlineLvl w:val="4"/>
    </w:pPr>
    <w:rPr>
      <w:rFonts w:ascii="Calibri" w:hAnsi="Calibri"/>
      <w:b/>
      <w:bCs/>
      <w:i/>
      <w:iCs/>
      <w:sz w:val="26"/>
      <w:szCs w:val="26"/>
    </w:rPr>
  </w:style>
  <w:style w:type="paragraph" w:styleId="Naslov6">
    <w:name w:val="heading 6"/>
    <w:basedOn w:val="Navaden"/>
    <w:next w:val="Navaden"/>
    <w:link w:val="Naslov6Znak"/>
    <w:qFormat/>
    <w:rsid w:val="00D91D1F"/>
    <w:pPr>
      <w:spacing w:before="240" w:after="60"/>
      <w:ind w:left="1152" w:hanging="1152"/>
      <w:outlineLvl w:val="5"/>
    </w:pPr>
    <w:rPr>
      <w:rFonts w:ascii="Calibri" w:hAnsi="Calibri"/>
      <w:b/>
      <w:bCs/>
      <w:sz w:val="22"/>
      <w:szCs w:val="22"/>
    </w:rPr>
  </w:style>
  <w:style w:type="paragraph" w:styleId="Naslov7">
    <w:name w:val="heading 7"/>
    <w:basedOn w:val="Navaden"/>
    <w:next w:val="Navaden"/>
    <w:link w:val="Naslov7Znak"/>
    <w:qFormat/>
    <w:rsid w:val="00D91D1F"/>
    <w:pPr>
      <w:spacing w:before="240" w:after="60"/>
      <w:ind w:left="1296" w:hanging="1296"/>
      <w:outlineLvl w:val="6"/>
    </w:pPr>
    <w:rPr>
      <w:rFonts w:ascii="Calibri" w:hAnsi="Calibri"/>
      <w:sz w:val="22"/>
    </w:rPr>
  </w:style>
  <w:style w:type="paragraph" w:styleId="Naslov8">
    <w:name w:val="heading 8"/>
    <w:basedOn w:val="Navaden"/>
    <w:next w:val="Navaden"/>
    <w:link w:val="Naslov8Znak"/>
    <w:qFormat/>
    <w:rsid w:val="00D91D1F"/>
    <w:pPr>
      <w:spacing w:before="240" w:after="60"/>
      <w:ind w:left="1440" w:hanging="1440"/>
      <w:outlineLvl w:val="7"/>
    </w:pPr>
    <w:rPr>
      <w:rFonts w:ascii="Calibri" w:hAnsi="Calibri"/>
      <w:i/>
      <w:iCs/>
      <w:sz w:val="22"/>
    </w:rPr>
  </w:style>
  <w:style w:type="paragraph" w:styleId="Naslov9">
    <w:name w:val="heading 9"/>
    <w:basedOn w:val="Navaden"/>
    <w:next w:val="Navaden"/>
    <w:link w:val="Naslov9Znak"/>
    <w:qFormat/>
    <w:rsid w:val="00D91D1F"/>
    <w:pPr>
      <w:spacing w:before="240" w:after="60"/>
      <w:ind w:left="1584" w:hanging="1584"/>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0E138A"/>
    <w:rPr>
      <w:color w:val="000080"/>
      <w:u w:val="single"/>
    </w:rPr>
  </w:style>
  <w:style w:type="paragraph" w:styleId="Noga">
    <w:name w:val="footer"/>
    <w:basedOn w:val="Navaden"/>
    <w:link w:val="NogaZnak"/>
    <w:uiPriority w:val="99"/>
    <w:rsid w:val="000E138A"/>
    <w:pPr>
      <w:tabs>
        <w:tab w:val="center" w:pos="4536"/>
        <w:tab w:val="right" w:pos="9072"/>
      </w:tabs>
    </w:pPr>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Poglavje1 Znak"/>
    <w:link w:val="Naslov1"/>
    <w:uiPriority w:val="9"/>
    <w:rsid w:val="000E138A"/>
    <w:rPr>
      <w:rFonts w:ascii="Arial" w:hAnsi="Arial" w:cs="Arial"/>
      <w:b/>
      <w:bCs/>
      <w:kern w:val="32"/>
      <w:sz w:val="32"/>
      <w:szCs w:val="32"/>
      <w:lang w:val="sl-SI" w:eastAsia="en-US" w:bidi="ar-SA"/>
    </w:rPr>
  </w:style>
  <w:style w:type="paragraph" w:customStyle="1" w:styleId="Odstavekseznama1">
    <w:name w:val="Odstavek seznama1"/>
    <w:basedOn w:val="Navaden"/>
    <w:qFormat/>
    <w:rsid w:val="000E138A"/>
    <w:pPr>
      <w:suppressAutoHyphens w:val="0"/>
      <w:ind w:left="720"/>
      <w:contextualSpacing/>
    </w:pPr>
    <w:rPr>
      <w:lang w:eastAsia="sl-SI"/>
    </w:rPr>
  </w:style>
  <w:style w:type="paragraph" w:customStyle="1" w:styleId="Vrstapredpisa">
    <w:name w:val="Vrsta predpisa"/>
    <w:basedOn w:val="Navaden"/>
    <w:link w:val="VrstapredpisaZnak"/>
    <w:qFormat/>
    <w:rsid w:val="000E138A"/>
    <w:pPr>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lang w:eastAsia="sl-SI"/>
    </w:rPr>
  </w:style>
  <w:style w:type="character" w:customStyle="1" w:styleId="VrstapredpisaZnak">
    <w:name w:val="Vrsta predpisa Znak"/>
    <w:link w:val="Vrstapredpisa"/>
    <w:rsid w:val="000E138A"/>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0E138A"/>
    <w:pPr>
      <w:overflowPunct w:val="0"/>
      <w:autoSpaceDE w:val="0"/>
      <w:autoSpaceDN w:val="0"/>
      <w:adjustRightInd w:val="0"/>
      <w:spacing w:before="120" w:after="160" w:line="200" w:lineRule="exact"/>
      <w:jc w:val="center"/>
      <w:textAlignment w:val="baseline"/>
    </w:pPr>
    <w:rPr>
      <w:rFonts w:ascii="Arial" w:hAnsi="Arial" w:cs="Arial"/>
      <w:b/>
      <w:sz w:val="22"/>
      <w:szCs w:val="22"/>
      <w:lang w:eastAsia="sl-SI"/>
    </w:rPr>
  </w:style>
  <w:style w:type="character" w:customStyle="1" w:styleId="NaslovpredpisaZnak">
    <w:name w:val="Naslov_predpisa Znak"/>
    <w:link w:val="Naslovpredpisa"/>
    <w:rsid w:val="000E138A"/>
    <w:rPr>
      <w:rFonts w:ascii="Arial" w:hAnsi="Arial" w:cs="Arial"/>
      <w:b/>
      <w:sz w:val="22"/>
      <w:szCs w:val="22"/>
      <w:lang w:val="sl-SI" w:eastAsia="sl-SI" w:bidi="ar-SA"/>
    </w:rPr>
  </w:style>
  <w:style w:type="paragraph" w:customStyle="1" w:styleId="Poglavje">
    <w:name w:val="Poglavje"/>
    <w:basedOn w:val="Navaden"/>
    <w:qFormat/>
    <w:rsid w:val="000E138A"/>
    <w:pPr>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0E138A"/>
    <w:pPr>
      <w:suppressAutoHyphens w:val="0"/>
      <w:overflowPunct w:val="0"/>
      <w:autoSpaceDE w:val="0"/>
      <w:autoSpaceDN w:val="0"/>
      <w:adjustRightInd w:val="0"/>
      <w:spacing w:before="60" w:after="60" w:line="200" w:lineRule="exact"/>
      <w:jc w:val="both"/>
      <w:textAlignment w:val="baseline"/>
    </w:pPr>
    <w:rPr>
      <w:rFonts w:ascii="Arial" w:hAnsi="Arial" w:cs="Arial"/>
      <w:sz w:val="22"/>
      <w:szCs w:val="22"/>
      <w:lang w:eastAsia="sl-SI"/>
    </w:rPr>
  </w:style>
  <w:style w:type="character" w:customStyle="1" w:styleId="NeotevilenodstavekZnak">
    <w:name w:val="Neoštevilčen odstavek Znak"/>
    <w:link w:val="Neotevilenodstavek"/>
    <w:rsid w:val="000E138A"/>
    <w:rPr>
      <w:rFonts w:ascii="Arial" w:hAnsi="Arial" w:cs="Arial"/>
      <w:sz w:val="22"/>
      <w:szCs w:val="22"/>
      <w:lang w:val="sl-SI" w:eastAsia="sl-SI" w:bidi="ar-SA"/>
    </w:rPr>
  </w:style>
  <w:style w:type="paragraph" w:customStyle="1" w:styleId="Oddelek">
    <w:name w:val="Oddelek"/>
    <w:basedOn w:val="Navaden"/>
    <w:link w:val="OddelekZnak1"/>
    <w:qFormat/>
    <w:rsid w:val="000E138A"/>
    <w:pPr>
      <w:numPr>
        <w:numId w:val="1"/>
      </w:numPr>
      <w:overflowPunct w:val="0"/>
      <w:autoSpaceDE w:val="0"/>
      <w:autoSpaceDN w:val="0"/>
      <w:adjustRightInd w:val="0"/>
      <w:spacing w:before="280" w:after="60" w:line="200" w:lineRule="exact"/>
      <w:jc w:val="center"/>
      <w:textAlignment w:val="baseline"/>
      <w:outlineLvl w:val="3"/>
    </w:pPr>
    <w:rPr>
      <w:rFonts w:ascii="Arial" w:hAnsi="Arial" w:cs="Arial"/>
      <w:b/>
      <w:sz w:val="22"/>
      <w:szCs w:val="22"/>
      <w:lang w:eastAsia="sl-SI"/>
    </w:rPr>
  </w:style>
  <w:style w:type="character" w:customStyle="1" w:styleId="OddelekZnak1">
    <w:name w:val="Oddelek Znak1"/>
    <w:link w:val="Oddelek"/>
    <w:rsid w:val="000E138A"/>
    <w:rPr>
      <w:rFonts w:ascii="Arial" w:hAnsi="Arial" w:cs="Arial"/>
      <w:b/>
      <w:sz w:val="22"/>
      <w:szCs w:val="22"/>
    </w:rPr>
  </w:style>
  <w:style w:type="paragraph" w:customStyle="1" w:styleId="Alineazatoko">
    <w:name w:val="Alinea za točko"/>
    <w:basedOn w:val="Navaden"/>
    <w:link w:val="AlineazatokoZnak"/>
    <w:qFormat/>
    <w:rsid w:val="000E138A"/>
    <w:pPr>
      <w:tabs>
        <w:tab w:val="num" w:pos="360"/>
      </w:tabs>
      <w:suppressAutoHyphens w:val="0"/>
      <w:overflowPunct w:val="0"/>
      <w:autoSpaceDE w:val="0"/>
      <w:autoSpaceDN w:val="0"/>
      <w:adjustRightInd w:val="0"/>
      <w:spacing w:line="200" w:lineRule="exact"/>
      <w:jc w:val="both"/>
      <w:textAlignment w:val="baseline"/>
    </w:pPr>
    <w:rPr>
      <w:rFonts w:ascii="Arial" w:hAnsi="Arial" w:cs="Arial"/>
      <w:sz w:val="22"/>
      <w:szCs w:val="22"/>
      <w:lang w:eastAsia="sl-SI"/>
    </w:rPr>
  </w:style>
  <w:style w:type="character" w:customStyle="1" w:styleId="AlineazatokoZnak">
    <w:name w:val="Alinea za točko Znak"/>
    <w:link w:val="Alineazatoko"/>
    <w:rsid w:val="000E138A"/>
    <w:rPr>
      <w:rFonts w:ascii="Arial" w:hAnsi="Arial" w:cs="Arial"/>
      <w:sz w:val="22"/>
      <w:szCs w:val="22"/>
      <w:lang w:val="sl-SI" w:eastAsia="sl-SI" w:bidi="ar-SA"/>
    </w:rPr>
  </w:style>
  <w:style w:type="character" w:customStyle="1" w:styleId="rkovnatokazaodstavkomZnak">
    <w:name w:val="Črkovna točka_za odstavkom Znak"/>
    <w:link w:val="rkovnatokazaodstavkom"/>
    <w:rsid w:val="000E138A"/>
    <w:rPr>
      <w:rFonts w:ascii="Arial" w:hAnsi="Arial"/>
    </w:rPr>
  </w:style>
  <w:style w:type="paragraph" w:customStyle="1" w:styleId="rkovnatokazaodstavkom">
    <w:name w:val="Črkovna točka_za odstavkom"/>
    <w:basedOn w:val="Navaden"/>
    <w:link w:val="rkovnatokazaodstavkomZnak"/>
    <w:qFormat/>
    <w:rsid w:val="000E138A"/>
    <w:pPr>
      <w:numPr>
        <w:numId w:val="2"/>
      </w:numPr>
      <w:suppressAutoHyphens w:val="0"/>
      <w:overflowPunct w:val="0"/>
      <w:autoSpaceDE w:val="0"/>
      <w:autoSpaceDN w:val="0"/>
      <w:adjustRightInd w:val="0"/>
      <w:spacing w:line="200" w:lineRule="exact"/>
      <w:jc w:val="both"/>
      <w:textAlignment w:val="baseline"/>
    </w:pPr>
    <w:rPr>
      <w:rFonts w:ascii="Arial" w:hAnsi="Arial"/>
      <w:sz w:val="20"/>
      <w:szCs w:val="20"/>
      <w:lang w:eastAsia="sl-SI"/>
    </w:rPr>
  </w:style>
  <w:style w:type="paragraph" w:customStyle="1" w:styleId="Alineazaodstavkom">
    <w:name w:val="Alinea za odstavkom"/>
    <w:basedOn w:val="Alineazatoko"/>
    <w:link w:val="AlineazaodstavkomZnak"/>
    <w:qFormat/>
    <w:rsid w:val="000E138A"/>
    <w:pPr>
      <w:ind w:left="709" w:hanging="284"/>
    </w:pPr>
  </w:style>
  <w:style w:type="character" w:customStyle="1" w:styleId="AlineazaodstavkomZnak">
    <w:name w:val="Alinea za odstavkom Znak"/>
    <w:link w:val="Alineazaodstavkom"/>
    <w:rsid w:val="000E138A"/>
    <w:rPr>
      <w:rFonts w:ascii="Arial" w:hAnsi="Arial" w:cs="Arial"/>
      <w:sz w:val="22"/>
      <w:szCs w:val="22"/>
      <w:lang w:val="sl-SI" w:eastAsia="sl-SI" w:bidi="ar-SA"/>
    </w:rPr>
  </w:style>
  <w:style w:type="paragraph" w:customStyle="1" w:styleId="Odsek">
    <w:name w:val="Odsek"/>
    <w:basedOn w:val="Oddelek"/>
    <w:link w:val="OdsekZnak"/>
    <w:qFormat/>
    <w:rsid w:val="000E138A"/>
  </w:style>
  <w:style w:type="character" w:customStyle="1" w:styleId="OdsekZnak">
    <w:name w:val="Odsek Znak"/>
    <w:basedOn w:val="OddelekZnak1"/>
    <w:link w:val="Odsek"/>
    <w:rsid w:val="000E138A"/>
    <w:rPr>
      <w:rFonts w:ascii="Arial" w:hAnsi="Arial" w:cs="Arial"/>
      <w:b/>
      <w:sz w:val="22"/>
      <w:szCs w:val="22"/>
    </w:rPr>
  </w:style>
  <w:style w:type="table" w:styleId="Tabelamrea">
    <w:name w:val="Table Grid"/>
    <w:basedOn w:val="Navadnatabela"/>
    <w:rsid w:val="000E138A"/>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link w:val="GlavaZnak"/>
    <w:uiPriority w:val="99"/>
    <w:rsid w:val="000E138A"/>
    <w:pPr>
      <w:tabs>
        <w:tab w:val="center" w:pos="4320"/>
        <w:tab w:val="right" w:pos="8640"/>
      </w:tabs>
      <w:suppressAutoHyphens w:val="0"/>
      <w:spacing w:line="260" w:lineRule="atLeast"/>
    </w:pPr>
    <w:rPr>
      <w:rFonts w:ascii="Arial" w:hAnsi="Arial"/>
      <w:sz w:val="20"/>
      <w:lang w:val="en-US" w:eastAsia="en-US"/>
    </w:rPr>
  </w:style>
  <w:style w:type="paragraph" w:styleId="Besedilooblaka">
    <w:name w:val="Balloon Text"/>
    <w:basedOn w:val="Navaden"/>
    <w:link w:val="BesedilooblakaZnak"/>
    <w:rsid w:val="00DC3F9B"/>
    <w:rPr>
      <w:rFonts w:ascii="Tahoma" w:hAnsi="Tahoma" w:cs="Tahoma"/>
      <w:sz w:val="16"/>
      <w:szCs w:val="16"/>
    </w:rPr>
  </w:style>
  <w:style w:type="character" w:customStyle="1" w:styleId="NogaZnak">
    <w:name w:val="Noga Znak"/>
    <w:link w:val="Noga"/>
    <w:uiPriority w:val="99"/>
    <w:rsid w:val="008A57C5"/>
    <w:rPr>
      <w:sz w:val="24"/>
      <w:szCs w:val="24"/>
      <w:lang w:eastAsia="ar-SA"/>
    </w:rPr>
  </w:style>
  <w:style w:type="paragraph" w:styleId="Odstavekseznama">
    <w:name w:val="List Paragraph"/>
    <w:basedOn w:val="Navaden"/>
    <w:uiPriority w:val="34"/>
    <w:qFormat/>
    <w:rsid w:val="00ED5CC7"/>
    <w:pPr>
      <w:ind w:left="720"/>
      <w:contextualSpacing/>
    </w:pPr>
  </w:style>
  <w:style w:type="character" w:customStyle="1" w:styleId="Naslov4Znak">
    <w:name w:val="Naslov 4 Znak"/>
    <w:basedOn w:val="Privzetapisavaodstavka"/>
    <w:link w:val="Naslov4"/>
    <w:rsid w:val="00B1296C"/>
    <w:rPr>
      <w:rFonts w:asciiTheme="majorHAnsi" w:eastAsiaTheme="majorEastAsia" w:hAnsiTheme="majorHAnsi" w:cstheme="majorBidi"/>
      <w:b/>
      <w:bCs/>
      <w:i/>
      <w:iCs/>
      <w:color w:val="5B9BD5" w:themeColor="accent1"/>
      <w:sz w:val="24"/>
      <w:szCs w:val="24"/>
      <w:lang w:eastAsia="ar-SA"/>
    </w:rPr>
  </w:style>
  <w:style w:type="character" w:styleId="Besediloograde">
    <w:name w:val="Placeholder Text"/>
    <w:basedOn w:val="Privzetapisavaodstavka"/>
    <w:uiPriority w:val="99"/>
    <w:semiHidden/>
    <w:rsid w:val="00F40F30"/>
    <w:rPr>
      <w:color w:val="808080"/>
    </w:rPr>
  </w:style>
  <w:style w:type="character" w:customStyle="1" w:styleId="Naslov2Znak">
    <w:name w:val="Naslov 2 Znak"/>
    <w:basedOn w:val="Privzetapisavaodstavka"/>
    <w:link w:val="Naslov2"/>
    <w:rsid w:val="00D91D1F"/>
    <w:rPr>
      <w:rFonts w:ascii="Tahoma" w:hAnsi="Tahoma"/>
      <w:b/>
      <w:bCs/>
      <w:iCs/>
      <w:sz w:val="22"/>
      <w:szCs w:val="28"/>
      <w:lang w:eastAsia="ar-SA"/>
    </w:rPr>
  </w:style>
  <w:style w:type="character" w:customStyle="1" w:styleId="Naslov3Znak">
    <w:name w:val="Naslov 3 Znak"/>
    <w:basedOn w:val="Privzetapisavaodstavka"/>
    <w:link w:val="Naslov3"/>
    <w:rsid w:val="00D91D1F"/>
    <w:rPr>
      <w:rFonts w:ascii="Cambria" w:hAnsi="Cambria"/>
      <w:b/>
      <w:bCs/>
      <w:sz w:val="26"/>
      <w:szCs w:val="26"/>
      <w:lang w:eastAsia="ar-SA"/>
    </w:rPr>
  </w:style>
  <w:style w:type="character" w:customStyle="1" w:styleId="Naslov5Znak">
    <w:name w:val="Naslov 5 Znak"/>
    <w:basedOn w:val="Privzetapisavaodstavka"/>
    <w:link w:val="Naslov5"/>
    <w:rsid w:val="00D91D1F"/>
    <w:rPr>
      <w:rFonts w:ascii="Calibri" w:hAnsi="Calibri"/>
      <w:b/>
      <w:bCs/>
      <w:i/>
      <w:iCs/>
      <w:sz w:val="26"/>
      <w:szCs w:val="26"/>
      <w:lang w:eastAsia="ar-SA"/>
    </w:rPr>
  </w:style>
  <w:style w:type="character" w:customStyle="1" w:styleId="Naslov6Znak">
    <w:name w:val="Naslov 6 Znak"/>
    <w:basedOn w:val="Privzetapisavaodstavka"/>
    <w:link w:val="Naslov6"/>
    <w:rsid w:val="00D91D1F"/>
    <w:rPr>
      <w:rFonts w:ascii="Calibri" w:hAnsi="Calibri"/>
      <w:b/>
      <w:bCs/>
      <w:sz w:val="22"/>
      <w:szCs w:val="22"/>
      <w:lang w:eastAsia="ar-SA"/>
    </w:rPr>
  </w:style>
  <w:style w:type="character" w:customStyle="1" w:styleId="Naslov7Znak">
    <w:name w:val="Naslov 7 Znak"/>
    <w:basedOn w:val="Privzetapisavaodstavka"/>
    <w:link w:val="Naslov7"/>
    <w:rsid w:val="00D91D1F"/>
    <w:rPr>
      <w:rFonts w:ascii="Calibri" w:hAnsi="Calibri"/>
      <w:sz w:val="22"/>
      <w:szCs w:val="24"/>
      <w:lang w:eastAsia="ar-SA"/>
    </w:rPr>
  </w:style>
  <w:style w:type="character" w:customStyle="1" w:styleId="Naslov8Znak">
    <w:name w:val="Naslov 8 Znak"/>
    <w:basedOn w:val="Privzetapisavaodstavka"/>
    <w:link w:val="Naslov8"/>
    <w:rsid w:val="00D91D1F"/>
    <w:rPr>
      <w:rFonts w:ascii="Calibri" w:hAnsi="Calibri"/>
      <w:i/>
      <w:iCs/>
      <w:sz w:val="22"/>
      <w:szCs w:val="24"/>
      <w:lang w:eastAsia="ar-SA"/>
    </w:rPr>
  </w:style>
  <w:style w:type="character" w:customStyle="1" w:styleId="Naslov9Znak">
    <w:name w:val="Naslov 9 Znak"/>
    <w:basedOn w:val="Privzetapisavaodstavka"/>
    <w:link w:val="Naslov9"/>
    <w:rsid w:val="00D91D1F"/>
    <w:rPr>
      <w:rFonts w:ascii="Cambria" w:hAnsi="Cambria"/>
      <w:sz w:val="22"/>
      <w:szCs w:val="22"/>
      <w:lang w:eastAsia="ar-SA"/>
    </w:rPr>
  </w:style>
  <w:style w:type="character" w:customStyle="1" w:styleId="BesedilooblakaZnak">
    <w:name w:val="Besedilo oblačka Znak"/>
    <w:basedOn w:val="Privzetapisavaodstavka"/>
    <w:link w:val="Besedilooblaka"/>
    <w:rsid w:val="00D91D1F"/>
    <w:rPr>
      <w:rFonts w:ascii="Tahoma" w:hAnsi="Tahoma" w:cs="Tahoma"/>
      <w:sz w:val="16"/>
      <w:szCs w:val="16"/>
      <w:lang w:eastAsia="ar-SA"/>
    </w:rPr>
  </w:style>
  <w:style w:type="character" w:styleId="Pripombasklic">
    <w:name w:val="annotation reference"/>
    <w:rsid w:val="00D91D1F"/>
    <w:rPr>
      <w:sz w:val="16"/>
      <w:szCs w:val="16"/>
    </w:rPr>
  </w:style>
  <w:style w:type="paragraph" w:styleId="Pripombabesedilo">
    <w:name w:val="annotation text"/>
    <w:basedOn w:val="Navaden"/>
    <w:link w:val="PripombabesediloZnak"/>
    <w:rsid w:val="00D91D1F"/>
    <w:rPr>
      <w:rFonts w:ascii="Tahoma" w:hAnsi="Tahoma"/>
      <w:sz w:val="20"/>
      <w:szCs w:val="20"/>
    </w:rPr>
  </w:style>
  <w:style w:type="character" w:customStyle="1" w:styleId="PripombabesediloZnak">
    <w:name w:val="Pripomba – besedilo Znak"/>
    <w:basedOn w:val="Privzetapisavaodstavka"/>
    <w:link w:val="Pripombabesedilo"/>
    <w:rsid w:val="00D91D1F"/>
    <w:rPr>
      <w:rFonts w:ascii="Tahoma" w:hAnsi="Tahoma"/>
      <w:lang w:eastAsia="ar-SA"/>
    </w:rPr>
  </w:style>
  <w:style w:type="paragraph" w:styleId="Zadevapripombe">
    <w:name w:val="annotation subject"/>
    <w:basedOn w:val="Pripombabesedilo"/>
    <w:next w:val="Pripombabesedilo"/>
    <w:link w:val="ZadevapripombeZnak"/>
    <w:rsid w:val="00D91D1F"/>
    <w:rPr>
      <w:b/>
      <w:bCs/>
    </w:rPr>
  </w:style>
  <w:style w:type="character" w:customStyle="1" w:styleId="ZadevapripombeZnak">
    <w:name w:val="Zadeva pripombe Znak"/>
    <w:basedOn w:val="PripombabesediloZnak"/>
    <w:link w:val="Zadevapripombe"/>
    <w:rsid w:val="00D91D1F"/>
    <w:rPr>
      <w:rFonts w:ascii="Tahoma" w:hAnsi="Tahoma"/>
      <w:b/>
      <w:bCs/>
      <w:lang w:eastAsia="ar-SA"/>
    </w:rPr>
  </w:style>
  <w:style w:type="paragraph" w:styleId="Revizija">
    <w:name w:val="Revision"/>
    <w:hidden/>
    <w:uiPriority w:val="99"/>
    <w:semiHidden/>
    <w:rsid w:val="00D91D1F"/>
    <w:rPr>
      <w:sz w:val="24"/>
      <w:szCs w:val="24"/>
      <w:lang w:eastAsia="ar-SA"/>
    </w:rPr>
  </w:style>
  <w:style w:type="character" w:customStyle="1" w:styleId="GlavaZnak">
    <w:name w:val="Glava Znak"/>
    <w:basedOn w:val="Privzetapisavaodstavka"/>
    <w:link w:val="Glava"/>
    <w:uiPriority w:val="99"/>
    <w:rsid w:val="00D91D1F"/>
    <w:rPr>
      <w:rFonts w:ascii="Arial" w:hAnsi="Arial"/>
      <w:szCs w:val="24"/>
      <w:lang w:val="en-US" w:eastAsia="en-US"/>
    </w:rPr>
  </w:style>
  <w:style w:type="paragraph" w:styleId="NaslovTOC">
    <w:name w:val="TOC Heading"/>
    <w:basedOn w:val="Naslov1"/>
    <w:next w:val="Navaden"/>
    <w:uiPriority w:val="39"/>
    <w:qFormat/>
    <w:rsid w:val="00D91D1F"/>
    <w:pPr>
      <w:keepLines/>
      <w:overflowPunct/>
      <w:autoSpaceDE/>
      <w:autoSpaceDN/>
      <w:adjustRightInd/>
      <w:spacing w:before="480" w:after="0" w:line="276" w:lineRule="auto"/>
      <w:ind w:left="432" w:hanging="432"/>
      <w:jc w:val="left"/>
      <w:textAlignment w:val="auto"/>
      <w:outlineLvl w:val="9"/>
    </w:pPr>
    <w:rPr>
      <w:rFonts w:ascii="Tahoma" w:hAnsi="Tahoma" w:cs="Times New Roman"/>
      <w:caps/>
      <w:color w:val="365F91"/>
      <w:kern w:val="0"/>
      <w:sz w:val="28"/>
      <w:szCs w:val="28"/>
      <w:lang w:eastAsia="sl-SI"/>
    </w:rPr>
  </w:style>
  <w:style w:type="paragraph" w:styleId="Naslov">
    <w:name w:val="Title"/>
    <w:basedOn w:val="Navaden"/>
    <w:next w:val="Navaden"/>
    <w:link w:val="NaslovZnak"/>
    <w:qFormat/>
    <w:rsid w:val="00D91D1F"/>
    <w:pPr>
      <w:spacing w:before="240" w:after="60"/>
      <w:jc w:val="center"/>
      <w:outlineLvl w:val="0"/>
    </w:pPr>
    <w:rPr>
      <w:rFonts w:ascii="Tahoma" w:hAnsi="Tahoma"/>
      <w:b/>
      <w:bCs/>
      <w:kern w:val="28"/>
      <w:sz w:val="28"/>
      <w:szCs w:val="32"/>
    </w:rPr>
  </w:style>
  <w:style w:type="character" w:customStyle="1" w:styleId="NaslovZnak">
    <w:name w:val="Naslov Znak"/>
    <w:basedOn w:val="Privzetapisavaodstavka"/>
    <w:link w:val="Naslov"/>
    <w:rsid w:val="00D91D1F"/>
    <w:rPr>
      <w:rFonts w:ascii="Tahoma" w:hAnsi="Tahoma"/>
      <w:b/>
      <w:bCs/>
      <w:kern w:val="28"/>
      <w:sz w:val="28"/>
      <w:szCs w:val="32"/>
      <w:lang w:eastAsia="ar-SA"/>
    </w:rPr>
  </w:style>
  <w:style w:type="paragraph" w:styleId="Kazalovsebine1">
    <w:name w:val="toc 1"/>
    <w:basedOn w:val="Navaden"/>
    <w:next w:val="Navaden"/>
    <w:autoRedefine/>
    <w:uiPriority w:val="39"/>
    <w:rsid w:val="00D91D1F"/>
    <w:pPr>
      <w:tabs>
        <w:tab w:val="left" w:pos="426"/>
        <w:tab w:val="right" w:leader="dot" w:pos="9062"/>
      </w:tabs>
      <w:ind w:left="426" w:hanging="426"/>
    </w:pPr>
    <w:rPr>
      <w:rFonts w:ascii="Tahoma" w:hAnsi="Tahoma"/>
      <w:sz w:val="22"/>
    </w:rPr>
  </w:style>
  <w:style w:type="paragraph" w:styleId="Kazalovsebine2">
    <w:name w:val="toc 2"/>
    <w:basedOn w:val="Navaden"/>
    <w:next w:val="Navaden"/>
    <w:autoRedefine/>
    <w:uiPriority w:val="39"/>
    <w:rsid w:val="00D91D1F"/>
    <w:pPr>
      <w:ind w:left="240"/>
    </w:pPr>
    <w:rPr>
      <w:rFonts w:ascii="Tahoma" w:hAnsi="Tahoma"/>
      <w:sz w:val="22"/>
    </w:rPr>
  </w:style>
  <w:style w:type="paragraph" w:styleId="Napis">
    <w:name w:val="caption"/>
    <w:basedOn w:val="Navaden"/>
    <w:next w:val="Navaden"/>
    <w:qFormat/>
    <w:rsid w:val="00D91D1F"/>
    <w:rPr>
      <w:rFonts w:ascii="Tahoma" w:hAnsi="Tahoma"/>
      <w:b/>
      <w:bCs/>
      <w:sz w:val="20"/>
      <w:szCs w:val="20"/>
    </w:rPr>
  </w:style>
  <w:style w:type="character" w:customStyle="1" w:styleId="apple-converted-space">
    <w:name w:val="apple-converted-space"/>
    <w:rsid w:val="00D91D1F"/>
  </w:style>
  <w:style w:type="paragraph" w:customStyle="1" w:styleId="esegmenth4">
    <w:name w:val="esegment_h4"/>
    <w:basedOn w:val="Navaden"/>
    <w:rsid w:val="00D91D1F"/>
    <w:pPr>
      <w:suppressAutoHyphens w:val="0"/>
      <w:spacing w:before="100" w:beforeAutospacing="1" w:after="100" w:afterAutospacing="1"/>
    </w:pPr>
    <w:rPr>
      <w:lang w:val="en-GB" w:eastAsia="en-GB"/>
    </w:rPr>
  </w:style>
  <w:style w:type="paragraph" w:styleId="Navadensplet">
    <w:name w:val="Normal (Web)"/>
    <w:basedOn w:val="Navaden"/>
    <w:uiPriority w:val="99"/>
    <w:unhideWhenUsed/>
    <w:rsid w:val="00D91D1F"/>
    <w:pPr>
      <w:suppressAutoHyphens w:val="0"/>
      <w:spacing w:before="100" w:beforeAutospacing="1" w:after="100" w:afterAutospacing="1"/>
    </w:pPr>
    <w:rPr>
      <w:lang w:val="en-GB" w:eastAsia="en-GB"/>
    </w:rPr>
  </w:style>
  <w:style w:type="paragraph" w:customStyle="1" w:styleId="Odstavek">
    <w:name w:val="Odstavek"/>
    <w:basedOn w:val="Navaden"/>
    <w:link w:val="OdstavekZnak"/>
    <w:qFormat/>
    <w:rsid w:val="00D91D1F"/>
    <w:pPr>
      <w:suppressAutoHyphens w:val="0"/>
      <w:overflowPunct w:val="0"/>
      <w:autoSpaceDE w:val="0"/>
      <w:autoSpaceDN w:val="0"/>
      <w:adjustRightInd w:val="0"/>
      <w:spacing w:before="240"/>
      <w:ind w:firstLine="1021"/>
      <w:jc w:val="both"/>
      <w:textAlignment w:val="baseline"/>
    </w:pPr>
    <w:rPr>
      <w:rFonts w:ascii="Arial" w:hAnsi="Arial" w:cs="Arial"/>
      <w:sz w:val="22"/>
      <w:szCs w:val="22"/>
      <w:lang w:eastAsia="sl-SI"/>
    </w:rPr>
  </w:style>
  <w:style w:type="character" w:customStyle="1" w:styleId="OdstavekZnak">
    <w:name w:val="Odstavek Znak"/>
    <w:link w:val="Odstavek"/>
    <w:rsid w:val="00D91D1F"/>
    <w:rPr>
      <w:rFonts w:ascii="Arial" w:hAnsi="Arial" w:cs="Arial"/>
      <w:sz w:val="22"/>
      <w:szCs w:val="22"/>
    </w:rPr>
  </w:style>
  <w:style w:type="character" w:styleId="Neensklic">
    <w:name w:val="Subtle Reference"/>
    <w:uiPriority w:val="31"/>
    <w:qFormat/>
    <w:rsid w:val="00D91D1F"/>
    <w:rPr>
      <w:smallCaps/>
      <w:color w:val="C0504D"/>
      <w:u w:val="single"/>
    </w:rPr>
  </w:style>
  <w:style w:type="paragraph" w:styleId="Sprotnaopomba-besedilo">
    <w:name w:val="footnote text"/>
    <w:basedOn w:val="Navaden"/>
    <w:link w:val="Sprotnaopomba-besediloZnak"/>
    <w:rsid w:val="00D91D1F"/>
    <w:rPr>
      <w:rFonts w:ascii="Tahoma" w:hAnsi="Tahoma"/>
      <w:sz w:val="20"/>
      <w:szCs w:val="20"/>
    </w:rPr>
  </w:style>
  <w:style w:type="character" w:customStyle="1" w:styleId="Sprotnaopomba-besediloZnak">
    <w:name w:val="Sprotna opomba - besedilo Znak"/>
    <w:basedOn w:val="Privzetapisavaodstavka"/>
    <w:link w:val="Sprotnaopomba-besedilo"/>
    <w:rsid w:val="00D91D1F"/>
    <w:rPr>
      <w:rFonts w:ascii="Tahoma" w:hAnsi="Tahoma"/>
      <w:lang w:eastAsia="ar-SA"/>
    </w:rPr>
  </w:style>
  <w:style w:type="character" w:styleId="Sprotnaopomba-sklic">
    <w:name w:val="footnote reference"/>
    <w:rsid w:val="00D91D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F505A"/>
    <w:pPr>
      <w:suppressAutoHyphens/>
    </w:pPr>
    <w:rPr>
      <w:sz w:val="24"/>
      <w:szCs w:val="24"/>
      <w:lang w:eastAsia="ar-SA"/>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Poglavje1,Heading 1si"/>
    <w:basedOn w:val="Navaden"/>
    <w:next w:val="Navaden"/>
    <w:link w:val="Naslov1Znak"/>
    <w:uiPriority w:val="9"/>
    <w:qFormat/>
    <w:rsid w:val="000E138A"/>
    <w:pPr>
      <w:keepNext/>
      <w:suppressAutoHyphens w:val="0"/>
      <w:overflowPunct w:val="0"/>
      <w:autoSpaceDE w:val="0"/>
      <w:autoSpaceDN w:val="0"/>
      <w:adjustRightInd w:val="0"/>
      <w:spacing w:before="240" w:after="60"/>
      <w:jc w:val="both"/>
      <w:textAlignment w:val="baseline"/>
      <w:outlineLvl w:val="0"/>
    </w:pPr>
    <w:rPr>
      <w:rFonts w:ascii="Arial" w:hAnsi="Arial" w:cs="Arial"/>
      <w:b/>
      <w:bCs/>
      <w:kern w:val="32"/>
      <w:sz w:val="32"/>
      <w:szCs w:val="32"/>
      <w:lang w:eastAsia="en-US"/>
    </w:rPr>
  </w:style>
  <w:style w:type="paragraph" w:styleId="Naslov2">
    <w:name w:val="heading 2"/>
    <w:basedOn w:val="Navaden"/>
    <w:next w:val="Navaden"/>
    <w:link w:val="Naslov2Znak"/>
    <w:qFormat/>
    <w:rsid w:val="00D91D1F"/>
    <w:pPr>
      <w:keepNext/>
      <w:spacing w:before="240" w:after="60"/>
      <w:ind w:left="576" w:hanging="576"/>
      <w:outlineLvl w:val="1"/>
    </w:pPr>
    <w:rPr>
      <w:rFonts w:ascii="Tahoma" w:hAnsi="Tahoma"/>
      <w:b/>
      <w:bCs/>
      <w:iCs/>
      <w:sz w:val="22"/>
      <w:szCs w:val="28"/>
    </w:rPr>
  </w:style>
  <w:style w:type="paragraph" w:styleId="Naslov3">
    <w:name w:val="heading 3"/>
    <w:basedOn w:val="Navaden"/>
    <w:next w:val="Navaden"/>
    <w:link w:val="Naslov3Znak"/>
    <w:qFormat/>
    <w:rsid w:val="00D91D1F"/>
    <w:pPr>
      <w:keepNext/>
      <w:spacing w:before="240" w:after="60"/>
      <w:ind w:left="720" w:hanging="720"/>
      <w:outlineLvl w:val="2"/>
    </w:pPr>
    <w:rPr>
      <w:rFonts w:ascii="Cambria" w:hAnsi="Cambria"/>
      <w:b/>
      <w:bCs/>
      <w:sz w:val="26"/>
      <w:szCs w:val="26"/>
    </w:rPr>
  </w:style>
  <w:style w:type="paragraph" w:styleId="Naslov4">
    <w:name w:val="heading 4"/>
    <w:basedOn w:val="Navaden"/>
    <w:next w:val="Navaden"/>
    <w:link w:val="Naslov4Znak"/>
    <w:unhideWhenUsed/>
    <w:qFormat/>
    <w:rsid w:val="00B1296C"/>
    <w:pPr>
      <w:keepNext/>
      <w:keepLines/>
      <w:spacing w:before="200"/>
      <w:outlineLvl w:val="3"/>
    </w:pPr>
    <w:rPr>
      <w:rFonts w:asciiTheme="majorHAnsi" w:eastAsiaTheme="majorEastAsia" w:hAnsiTheme="majorHAnsi" w:cstheme="majorBidi"/>
      <w:b/>
      <w:bCs/>
      <w:i/>
      <w:iCs/>
      <w:color w:val="5B9BD5" w:themeColor="accent1"/>
    </w:rPr>
  </w:style>
  <w:style w:type="paragraph" w:styleId="Naslov5">
    <w:name w:val="heading 5"/>
    <w:basedOn w:val="Navaden"/>
    <w:next w:val="Navaden"/>
    <w:link w:val="Naslov5Znak"/>
    <w:qFormat/>
    <w:rsid w:val="00D91D1F"/>
    <w:pPr>
      <w:spacing w:before="240" w:after="60"/>
      <w:ind w:left="1008" w:hanging="1008"/>
      <w:outlineLvl w:val="4"/>
    </w:pPr>
    <w:rPr>
      <w:rFonts w:ascii="Calibri" w:hAnsi="Calibri"/>
      <w:b/>
      <w:bCs/>
      <w:i/>
      <w:iCs/>
      <w:sz w:val="26"/>
      <w:szCs w:val="26"/>
    </w:rPr>
  </w:style>
  <w:style w:type="paragraph" w:styleId="Naslov6">
    <w:name w:val="heading 6"/>
    <w:basedOn w:val="Navaden"/>
    <w:next w:val="Navaden"/>
    <w:link w:val="Naslov6Znak"/>
    <w:qFormat/>
    <w:rsid w:val="00D91D1F"/>
    <w:pPr>
      <w:spacing w:before="240" w:after="60"/>
      <w:ind w:left="1152" w:hanging="1152"/>
      <w:outlineLvl w:val="5"/>
    </w:pPr>
    <w:rPr>
      <w:rFonts w:ascii="Calibri" w:hAnsi="Calibri"/>
      <w:b/>
      <w:bCs/>
      <w:sz w:val="22"/>
      <w:szCs w:val="22"/>
    </w:rPr>
  </w:style>
  <w:style w:type="paragraph" w:styleId="Naslov7">
    <w:name w:val="heading 7"/>
    <w:basedOn w:val="Navaden"/>
    <w:next w:val="Navaden"/>
    <w:link w:val="Naslov7Znak"/>
    <w:qFormat/>
    <w:rsid w:val="00D91D1F"/>
    <w:pPr>
      <w:spacing w:before="240" w:after="60"/>
      <w:ind w:left="1296" w:hanging="1296"/>
      <w:outlineLvl w:val="6"/>
    </w:pPr>
    <w:rPr>
      <w:rFonts w:ascii="Calibri" w:hAnsi="Calibri"/>
      <w:sz w:val="22"/>
    </w:rPr>
  </w:style>
  <w:style w:type="paragraph" w:styleId="Naslov8">
    <w:name w:val="heading 8"/>
    <w:basedOn w:val="Navaden"/>
    <w:next w:val="Navaden"/>
    <w:link w:val="Naslov8Znak"/>
    <w:qFormat/>
    <w:rsid w:val="00D91D1F"/>
    <w:pPr>
      <w:spacing w:before="240" w:after="60"/>
      <w:ind w:left="1440" w:hanging="1440"/>
      <w:outlineLvl w:val="7"/>
    </w:pPr>
    <w:rPr>
      <w:rFonts w:ascii="Calibri" w:hAnsi="Calibri"/>
      <w:i/>
      <w:iCs/>
      <w:sz w:val="22"/>
    </w:rPr>
  </w:style>
  <w:style w:type="paragraph" w:styleId="Naslov9">
    <w:name w:val="heading 9"/>
    <w:basedOn w:val="Navaden"/>
    <w:next w:val="Navaden"/>
    <w:link w:val="Naslov9Znak"/>
    <w:qFormat/>
    <w:rsid w:val="00D91D1F"/>
    <w:pPr>
      <w:spacing w:before="240" w:after="60"/>
      <w:ind w:left="1584" w:hanging="1584"/>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0E138A"/>
    <w:rPr>
      <w:color w:val="000080"/>
      <w:u w:val="single"/>
    </w:rPr>
  </w:style>
  <w:style w:type="paragraph" w:styleId="Noga">
    <w:name w:val="footer"/>
    <w:basedOn w:val="Navaden"/>
    <w:link w:val="NogaZnak"/>
    <w:uiPriority w:val="99"/>
    <w:rsid w:val="000E138A"/>
    <w:pPr>
      <w:tabs>
        <w:tab w:val="center" w:pos="4536"/>
        <w:tab w:val="right" w:pos="9072"/>
      </w:tabs>
    </w:pPr>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Poglavje1 Znak"/>
    <w:link w:val="Naslov1"/>
    <w:uiPriority w:val="9"/>
    <w:rsid w:val="000E138A"/>
    <w:rPr>
      <w:rFonts w:ascii="Arial" w:hAnsi="Arial" w:cs="Arial"/>
      <w:b/>
      <w:bCs/>
      <w:kern w:val="32"/>
      <w:sz w:val="32"/>
      <w:szCs w:val="32"/>
      <w:lang w:val="sl-SI" w:eastAsia="en-US" w:bidi="ar-SA"/>
    </w:rPr>
  </w:style>
  <w:style w:type="paragraph" w:customStyle="1" w:styleId="Odstavekseznama1">
    <w:name w:val="Odstavek seznama1"/>
    <w:basedOn w:val="Navaden"/>
    <w:qFormat/>
    <w:rsid w:val="000E138A"/>
    <w:pPr>
      <w:suppressAutoHyphens w:val="0"/>
      <w:ind w:left="720"/>
      <w:contextualSpacing/>
    </w:pPr>
    <w:rPr>
      <w:lang w:eastAsia="sl-SI"/>
    </w:rPr>
  </w:style>
  <w:style w:type="paragraph" w:customStyle="1" w:styleId="Vrstapredpisa">
    <w:name w:val="Vrsta predpisa"/>
    <w:basedOn w:val="Navaden"/>
    <w:link w:val="VrstapredpisaZnak"/>
    <w:qFormat/>
    <w:rsid w:val="000E138A"/>
    <w:pPr>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lang w:eastAsia="sl-SI"/>
    </w:rPr>
  </w:style>
  <w:style w:type="character" w:customStyle="1" w:styleId="VrstapredpisaZnak">
    <w:name w:val="Vrsta predpisa Znak"/>
    <w:link w:val="Vrstapredpisa"/>
    <w:rsid w:val="000E138A"/>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0E138A"/>
    <w:pPr>
      <w:overflowPunct w:val="0"/>
      <w:autoSpaceDE w:val="0"/>
      <w:autoSpaceDN w:val="0"/>
      <w:adjustRightInd w:val="0"/>
      <w:spacing w:before="120" w:after="160" w:line="200" w:lineRule="exact"/>
      <w:jc w:val="center"/>
      <w:textAlignment w:val="baseline"/>
    </w:pPr>
    <w:rPr>
      <w:rFonts w:ascii="Arial" w:hAnsi="Arial" w:cs="Arial"/>
      <w:b/>
      <w:sz w:val="22"/>
      <w:szCs w:val="22"/>
      <w:lang w:eastAsia="sl-SI"/>
    </w:rPr>
  </w:style>
  <w:style w:type="character" w:customStyle="1" w:styleId="NaslovpredpisaZnak">
    <w:name w:val="Naslov_predpisa Znak"/>
    <w:link w:val="Naslovpredpisa"/>
    <w:rsid w:val="000E138A"/>
    <w:rPr>
      <w:rFonts w:ascii="Arial" w:hAnsi="Arial" w:cs="Arial"/>
      <w:b/>
      <w:sz w:val="22"/>
      <w:szCs w:val="22"/>
      <w:lang w:val="sl-SI" w:eastAsia="sl-SI" w:bidi="ar-SA"/>
    </w:rPr>
  </w:style>
  <w:style w:type="paragraph" w:customStyle="1" w:styleId="Poglavje">
    <w:name w:val="Poglavje"/>
    <w:basedOn w:val="Navaden"/>
    <w:qFormat/>
    <w:rsid w:val="000E138A"/>
    <w:pPr>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0E138A"/>
    <w:pPr>
      <w:suppressAutoHyphens w:val="0"/>
      <w:overflowPunct w:val="0"/>
      <w:autoSpaceDE w:val="0"/>
      <w:autoSpaceDN w:val="0"/>
      <w:adjustRightInd w:val="0"/>
      <w:spacing w:before="60" w:after="60" w:line="200" w:lineRule="exact"/>
      <w:jc w:val="both"/>
      <w:textAlignment w:val="baseline"/>
    </w:pPr>
    <w:rPr>
      <w:rFonts w:ascii="Arial" w:hAnsi="Arial" w:cs="Arial"/>
      <w:sz w:val="22"/>
      <w:szCs w:val="22"/>
      <w:lang w:eastAsia="sl-SI"/>
    </w:rPr>
  </w:style>
  <w:style w:type="character" w:customStyle="1" w:styleId="NeotevilenodstavekZnak">
    <w:name w:val="Neoštevilčen odstavek Znak"/>
    <w:link w:val="Neotevilenodstavek"/>
    <w:rsid w:val="000E138A"/>
    <w:rPr>
      <w:rFonts w:ascii="Arial" w:hAnsi="Arial" w:cs="Arial"/>
      <w:sz w:val="22"/>
      <w:szCs w:val="22"/>
      <w:lang w:val="sl-SI" w:eastAsia="sl-SI" w:bidi="ar-SA"/>
    </w:rPr>
  </w:style>
  <w:style w:type="paragraph" w:customStyle="1" w:styleId="Oddelek">
    <w:name w:val="Oddelek"/>
    <w:basedOn w:val="Navaden"/>
    <w:link w:val="OddelekZnak1"/>
    <w:qFormat/>
    <w:rsid w:val="000E138A"/>
    <w:pPr>
      <w:numPr>
        <w:numId w:val="1"/>
      </w:numPr>
      <w:overflowPunct w:val="0"/>
      <w:autoSpaceDE w:val="0"/>
      <w:autoSpaceDN w:val="0"/>
      <w:adjustRightInd w:val="0"/>
      <w:spacing w:before="280" w:after="60" w:line="200" w:lineRule="exact"/>
      <w:jc w:val="center"/>
      <w:textAlignment w:val="baseline"/>
      <w:outlineLvl w:val="3"/>
    </w:pPr>
    <w:rPr>
      <w:rFonts w:ascii="Arial" w:hAnsi="Arial" w:cs="Arial"/>
      <w:b/>
      <w:sz w:val="22"/>
      <w:szCs w:val="22"/>
      <w:lang w:eastAsia="sl-SI"/>
    </w:rPr>
  </w:style>
  <w:style w:type="character" w:customStyle="1" w:styleId="OddelekZnak1">
    <w:name w:val="Oddelek Znak1"/>
    <w:link w:val="Oddelek"/>
    <w:rsid w:val="000E138A"/>
    <w:rPr>
      <w:rFonts w:ascii="Arial" w:hAnsi="Arial" w:cs="Arial"/>
      <w:b/>
      <w:sz w:val="22"/>
      <w:szCs w:val="22"/>
    </w:rPr>
  </w:style>
  <w:style w:type="paragraph" w:customStyle="1" w:styleId="Alineazatoko">
    <w:name w:val="Alinea za točko"/>
    <w:basedOn w:val="Navaden"/>
    <w:link w:val="AlineazatokoZnak"/>
    <w:qFormat/>
    <w:rsid w:val="000E138A"/>
    <w:pPr>
      <w:tabs>
        <w:tab w:val="num" w:pos="360"/>
      </w:tabs>
      <w:suppressAutoHyphens w:val="0"/>
      <w:overflowPunct w:val="0"/>
      <w:autoSpaceDE w:val="0"/>
      <w:autoSpaceDN w:val="0"/>
      <w:adjustRightInd w:val="0"/>
      <w:spacing w:line="200" w:lineRule="exact"/>
      <w:jc w:val="both"/>
      <w:textAlignment w:val="baseline"/>
    </w:pPr>
    <w:rPr>
      <w:rFonts w:ascii="Arial" w:hAnsi="Arial" w:cs="Arial"/>
      <w:sz w:val="22"/>
      <w:szCs w:val="22"/>
      <w:lang w:eastAsia="sl-SI"/>
    </w:rPr>
  </w:style>
  <w:style w:type="character" w:customStyle="1" w:styleId="AlineazatokoZnak">
    <w:name w:val="Alinea za točko Znak"/>
    <w:link w:val="Alineazatoko"/>
    <w:rsid w:val="000E138A"/>
    <w:rPr>
      <w:rFonts w:ascii="Arial" w:hAnsi="Arial" w:cs="Arial"/>
      <w:sz w:val="22"/>
      <w:szCs w:val="22"/>
      <w:lang w:val="sl-SI" w:eastAsia="sl-SI" w:bidi="ar-SA"/>
    </w:rPr>
  </w:style>
  <w:style w:type="character" w:customStyle="1" w:styleId="rkovnatokazaodstavkomZnak">
    <w:name w:val="Črkovna točka_za odstavkom Znak"/>
    <w:link w:val="rkovnatokazaodstavkom"/>
    <w:rsid w:val="000E138A"/>
    <w:rPr>
      <w:rFonts w:ascii="Arial" w:hAnsi="Arial"/>
    </w:rPr>
  </w:style>
  <w:style w:type="paragraph" w:customStyle="1" w:styleId="rkovnatokazaodstavkom">
    <w:name w:val="Črkovna točka_za odstavkom"/>
    <w:basedOn w:val="Navaden"/>
    <w:link w:val="rkovnatokazaodstavkomZnak"/>
    <w:qFormat/>
    <w:rsid w:val="000E138A"/>
    <w:pPr>
      <w:numPr>
        <w:numId w:val="2"/>
      </w:numPr>
      <w:suppressAutoHyphens w:val="0"/>
      <w:overflowPunct w:val="0"/>
      <w:autoSpaceDE w:val="0"/>
      <w:autoSpaceDN w:val="0"/>
      <w:adjustRightInd w:val="0"/>
      <w:spacing w:line="200" w:lineRule="exact"/>
      <w:jc w:val="both"/>
      <w:textAlignment w:val="baseline"/>
    </w:pPr>
    <w:rPr>
      <w:rFonts w:ascii="Arial" w:hAnsi="Arial"/>
      <w:sz w:val="20"/>
      <w:szCs w:val="20"/>
      <w:lang w:eastAsia="sl-SI"/>
    </w:rPr>
  </w:style>
  <w:style w:type="paragraph" w:customStyle="1" w:styleId="Alineazaodstavkom">
    <w:name w:val="Alinea za odstavkom"/>
    <w:basedOn w:val="Alineazatoko"/>
    <w:link w:val="AlineazaodstavkomZnak"/>
    <w:qFormat/>
    <w:rsid w:val="000E138A"/>
    <w:pPr>
      <w:ind w:left="709" w:hanging="284"/>
    </w:pPr>
  </w:style>
  <w:style w:type="character" w:customStyle="1" w:styleId="AlineazaodstavkomZnak">
    <w:name w:val="Alinea za odstavkom Znak"/>
    <w:link w:val="Alineazaodstavkom"/>
    <w:rsid w:val="000E138A"/>
    <w:rPr>
      <w:rFonts w:ascii="Arial" w:hAnsi="Arial" w:cs="Arial"/>
      <w:sz w:val="22"/>
      <w:szCs w:val="22"/>
      <w:lang w:val="sl-SI" w:eastAsia="sl-SI" w:bidi="ar-SA"/>
    </w:rPr>
  </w:style>
  <w:style w:type="paragraph" w:customStyle="1" w:styleId="Odsek">
    <w:name w:val="Odsek"/>
    <w:basedOn w:val="Oddelek"/>
    <w:link w:val="OdsekZnak"/>
    <w:qFormat/>
    <w:rsid w:val="000E138A"/>
  </w:style>
  <w:style w:type="character" w:customStyle="1" w:styleId="OdsekZnak">
    <w:name w:val="Odsek Znak"/>
    <w:basedOn w:val="OddelekZnak1"/>
    <w:link w:val="Odsek"/>
    <w:rsid w:val="000E138A"/>
    <w:rPr>
      <w:rFonts w:ascii="Arial" w:hAnsi="Arial" w:cs="Arial"/>
      <w:b/>
      <w:sz w:val="22"/>
      <w:szCs w:val="22"/>
    </w:rPr>
  </w:style>
  <w:style w:type="table" w:styleId="Tabelamrea">
    <w:name w:val="Table Grid"/>
    <w:basedOn w:val="Navadnatabela"/>
    <w:rsid w:val="000E138A"/>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link w:val="GlavaZnak"/>
    <w:uiPriority w:val="99"/>
    <w:rsid w:val="000E138A"/>
    <w:pPr>
      <w:tabs>
        <w:tab w:val="center" w:pos="4320"/>
        <w:tab w:val="right" w:pos="8640"/>
      </w:tabs>
      <w:suppressAutoHyphens w:val="0"/>
      <w:spacing w:line="260" w:lineRule="atLeast"/>
    </w:pPr>
    <w:rPr>
      <w:rFonts w:ascii="Arial" w:hAnsi="Arial"/>
      <w:sz w:val="20"/>
      <w:lang w:val="en-US" w:eastAsia="en-US"/>
    </w:rPr>
  </w:style>
  <w:style w:type="paragraph" w:styleId="Besedilooblaka">
    <w:name w:val="Balloon Text"/>
    <w:basedOn w:val="Navaden"/>
    <w:link w:val="BesedilooblakaZnak"/>
    <w:rsid w:val="00DC3F9B"/>
    <w:rPr>
      <w:rFonts w:ascii="Tahoma" w:hAnsi="Tahoma" w:cs="Tahoma"/>
      <w:sz w:val="16"/>
      <w:szCs w:val="16"/>
    </w:rPr>
  </w:style>
  <w:style w:type="character" w:customStyle="1" w:styleId="NogaZnak">
    <w:name w:val="Noga Znak"/>
    <w:link w:val="Noga"/>
    <w:uiPriority w:val="99"/>
    <w:rsid w:val="008A57C5"/>
    <w:rPr>
      <w:sz w:val="24"/>
      <w:szCs w:val="24"/>
      <w:lang w:eastAsia="ar-SA"/>
    </w:rPr>
  </w:style>
  <w:style w:type="paragraph" w:styleId="Odstavekseznama">
    <w:name w:val="List Paragraph"/>
    <w:basedOn w:val="Navaden"/>
    <w:uiPriority w:val="34"/>
    <w:qFormat/>
    <w:rsid w:val="00ED5CC7"/>
    <w:pPr>
      <w:ind w:left="720"/>
      <w:contextualSpacing/>
    </w:pPr>
  </w:style>
  <w:style w:type="character" w:customStyle="1" w:styleId="Naslov4Znak">
    <w:name w:val="Naslov 4 Znak"/>
    <w:basedOn w:val="Privzetapisavaodstavka"/>
    <w:link w:val="Naslov4"/>
    <w:rsid w:val="00B1296C"/>
    <w:rPr>
      <w:rFonts w:asciiTheme="majorHAnsi" w:eastAsiaTheme="majorEastAsia" w:hAnsiTheme="majorHAnsi" w:cstheme="majorBidi"/>
      <w:b/>
      <w:bCs/>
      <w:i/>
      <w:iCs/>
      <w:color w:val="5B9BD5" w:themeColor="accent1"/>
      <w:sz w:val="24"/>
      <w:szCs w:val="24"/>
      <w:lang w:eastAsia="ar-SA"/>
    </w:rPr>
  </w:style>
  <w:style w:type="character" w:styleId="Besediloograde">
    <w:name w:val="Placeholder Text"/>
    <w:basedOn w:val="Privzetapisavaodstavka"/>
    <w:uiPriority w:val="99"/>
    <w:semiHidden/>
    <w:rsid w:val="00F40F30"/>
    <w:rPr>
      <w:color w:val="808080"/>
    </w:rPr>
  </w:style>
  <w:style w:type="character" w:customStyle="1" w:styleId="Naslov2Znak">
    <w:name w:val="Naslov 2 Znak"/>
    <w:basedOn w:val="Privzetapisavaodstavka"/>
    <w:link w:val="Naslov2"/>
    <w:rsid w:val="00D91D1F"/>
    <w:rPr>
      <w:rFonts w:ascii="Tahoma" w:hAnsi="Tahoma"/>
      <w:b/>
      <w:bCs/>
      <w:iCs/>
      <w:sz w:val="22"/>
      <w:szCs w:val="28"/>
      <w:lang w:eastAsia="ar-SA"/>
    </w:rPr>
  </w:style>
  <w:style w:type="character" w:customStyle="1" w:styleId="Naslov3Znak">
    <w:name w:val="Naslov 3 Znak"/>
    <w:basedOn w:val="Privzetapisavaodstavka"/>
    <w:link w:val="Naslov3"/>
    <w:rsid w:val="00D91D1F"/>
    <w:rPr>
      <w:rFonts w:ascii="Cambria" w:hAnsi="Cambria"/>
      <w:b/>
      <w:bCs/>
      <w:sz w:val="26"/>
      <w:szCs w:val="26"/>
      <w:lang w:eastAsia="ar-SA"/>
    </w:rPr>
  </w:style>
  <w:style w:type="character" w:customStyle="1" w:styleId="Naslov5Znak">
    <w:name w:val="Naslov 5 Znak"/>
    <w:basedOn w:val="Privzetapisavaodstavka"/>
    <w:link w:val="Naslov5"/>
    <w:rsid w:val="00D91D1F"/>
    <w:rPr>
      <w:rFonts w:ascii="Calibri" w:hAnsi="Calibri"/>
      <w:b/>
      <w:bCs/>
      <w:i/>
      <w:iCs/>
      <w:sz w:val="26"/>
      <w:szCs w:val="26"/>
      <w:lang w:eastAsia="ar-SA"/>
    </w:rPr>
  </w:style>
  <w:style w:type="character" w:customStyle="1" w:styleId="Naslov6Znak">
    <w:name w:val="Naslov 6 Znak"/>
    <w:basedOn w:val="Privzetapisavaodstavka"/>
    <w:link w:val="Naslov6"/>
    <w:rsid w:val="00D91D1F"/>
    <w:rPr>
      <w:rFonts w:ascii="Calibri" w:hAnsi="Calibri"/>
      <w:b/>
      <w:bCs/>
      <w:sz w:val="22"/>
      <w:szCs w:val="22"/>
      <w:lang w:eastAsia="ar-SA"/>
    </w:rPr>
  </w:style>
  <w:style w:type="character" w:customStyle="1" w:styleId="Naslov7Znak">
    <w:name w:val="Naslov 7 Znak"/>
    <w:basedOn w:val="Privzetapisavaodstavka"/>
    <w:link w:val="Naslov7"/>
    <w:rsid w:val="00D91D1F"/>
    <w:rPr>
      <w:rFonts w:ascii="Calibri" w:hAnsi="Calibri"/>
      <w:sz w:val="22"/>
      <w:szCs w:val="24"/>
      <w:lang w:eastAsia="ar-SA"/>
    </w:rPr>
  </w:style>
  <w:style w:type="character" w:customStyle="1" w:styleId="Naslov8Znak">
    <w:name w:val="Naslov 8 Znak"/>
    <w:basedOn w:val="Privzetapisavaodstavka"/>
    <w:link w:val="Naslov8"/>
    <w:rsid w:val="00D91D1F"/>
    <w:rPr>
      <w:rFonts w:ascii="Calibri" w:hAnsi="Calibri"/>
      <w:i/>
      <w:iCs/>
      <w:sz w:val="22"/>
      <w:szCs w:val="24"/>
      <w:lang w:eastAsia="ar-SA"/>
    </w:rPr>
  </w:style>
  <w:style w:type="character" w:customStyle="1" w:styleId="Naslov9Znak">
    <w:name w:val="Naslov 9 Znak"/>
    <w:basedOn w:val="Privzetapisavaodstavka"/>
    <w:link w:val="Naslov9"/>
    <w:rsid w:val="00D91D1F"/>
    <w:rPr>
      <w:rFonts w:ascii="Cambria" w:hAnsi="Cambria"/>
      <w:sz w:val="22"/>
      <w:szCs w:val="22"/>
      <w:lang w:eastAsia="ar-SA"/>
    </w:rPr>
  </w:style>
  <w:style w:type="character" w:customStyle="1" w:styleId="BesedilooblakaZnak">
    <w:name w:val="Besedilo oblačka Znak"/>
    <w:basedOn w:val="Privzetapisavaodstavka"/>
    <w:link w:val="Besedilooblaka"/>
    <w:rsid w:val="00D91D1F"/>
    <w:rPr>
      <w:rFonts w:ascii="Tahoma" w:hAnsi="Tahoma" w:cs="Tahoma"/>
      <w:sz w:val="16"/>
      <w:szCs w:val="16"/>
      <w:lang w:eastAsia="ar-SA"/>
    </w:rPr>
  </w:style>
  <w:style w:type="character" w:styleId="Pripombasklic">
    <w:name w:val="annotation reference"/>
    <w:rsid w:val="00D91D1F"/>
    <w:rPr>
      <w:sz w:val="16"/>
      <w:szCs w:val="16"/>
    </w:rPr>
  </w:style>
  <w:style w:type="paragraph" w:styleId="Pripombabesedilo">
    <w:name w:val="annotation text"/>
    <w:basedOn w:val="Navaden"/>
    <w:link w:val="PripombabesediloZnak"/>
    <w:rsid w:val="00D91D1F"/>
    <w:rPr>
      <w:rFonts w:ascii="Tahoma" w:hAnsi="Tahoma"/>
      <w:sz w:val="20"/>
      <w:szCs w:val="20"/>
    </w:rPr>
  </w:style>
  <w:style w:type="character" w:customStyle="1" w:styleId="PripombabesediloZnak">
    <w:name w:val="Pripomba – besedilo Znak"/>
    <w:basedOn w:val="Privzetapisavaodstavka"/>
    <w:link w:val="Pripombabesedilo"/>
    <w:rsid w:val="00D91D1F"/>
    <w:rPr>
      <w:rFonts w:ascii="Tahoma" w:hAnsi="Tahoma"/>
      <w:lang w:eastAsia="ar-SA"/>
    </w:rPr>
  </w:style>
  <w:style w:type="paragraph" w:styleId="Zadevapripombe">
    <w:name w:val="annotation subject"/>
    <w:basedOn w:val="Pripombabesedilo"/>
    <w:next w:val="Pripombabesedilo"/>
    <w:link w:val="ZadevapripombeZnak"/>
    <w:rsid w:val="00D91D1F"/>
    <w:rPr>
      <w:b/>
      <w:bCs/>
    </w:rPr>
  </w:style>
  <w:style w:type="character" w:customStyle="1" w:styleId="ZadevapripombeZnak">
    <w:name w:val="Zadeva pripombe Znak"/>
    <w:basedOn w:val="PripombabesediloZnak"/>
    <w:link w:val="Zadevapripombe"/>
    <w:rsid w:val="00D91D1F"/>
    <w:rPr>
      <w:rFonts w:ascii="Tahoma" w:hAnsi="Tahoma"/>
      <w:b/>
      <w:bCs/>
      <w:lang w:eastAsia="ar-SA"/>
    </w:rPr>
  </w:style>
  <w:style w:type="paragraph" w:styleId="Revizija">
    <w:name w:val="Revision"/>
    <w:hidden/>
    <w:uiPriority w:val="99"/>
    <w:semiHidden/>
    <w:rsid w:val="00D91D1F"/>
    <w:rPr>
      <w:sz w:val="24"/>
      <w:szCs w:val="24"/>
      <w:lang w:eastAsia="ar-SA"/>
    </w:rPr>
  </w:style>
  <w:style w:type="character" w:customStyle="1" w:styleId="GlavaZnak">
    <w:name w:val="Glava Znak"/>
    <w:basedOn w:val="Privzetapisavaodstavka"/>
    <w:link w:val="Glava"/>
    <w:uiPriority w:val="99"/>
    <w:rsid w:val="00D91D1F"/>
    <w:rPr>
      <w:rFonts w:ascii="Arial" w:hAnsi="Arial"/>
      <w:szCs w:val="24"/>
      <w:lang w:val="en-US" w:eastAsia="en-US"/>
    </w:rPr>
  </w:style>
  <w:style w:type="paragraph" w:styleId="NaslovTOC">
    <w:name w:val="TOC Heading"/>
    <w:basedOn w:val="Naslov1"/>
    <w:next w:val="Navaden"/>
    <w:uiPriority w:val="39"/>
    <w:qFormat/>
    <w:rsid w:val="00D91D1F"/>
    <w:pPr>
      <w:keepLines/>
      <w:overflowPunct/>
      <w:autoSpaceDE/>
      <w:autoSpaceDN/>
      <w:adjustRightInd/>
      <w:spacing w:before="480" w:after="0" w:line="276" w:lineRule="auto"/>
      <w:ind w:left="432" w:hanging="432"/>
      <w:jc w:val="left"/>
      <w:textAlignment w:val="auto"/>
      <w:outlineLvl w:val="9"/>
    </w:pPr>
    <w:rPr>
      <w:rFonts w:ascii="Tahoma" w:hAnsi="Tahoma" w:cs="Times New Roman"/>
      <w:caps/>
      <w:color w:val="365F91"/>
      <w:kern w:val="0"/>
      <w:sz w:val="28"/>
      <w:szCs w:val="28"/>
      <w:lang w:eastAsia="sl-SI"/>
    </w:rPr>
  </w:style>
  <w:style w:type="paragraph" w:styleId="Naslov">
    <w:name w:val="Title"/>
    <w:basedOn w:val="Navaden"/>
    <w:next w:val="Navaden"/>
    <w:link w:val="NaslovZnak"/>
    <w:qFormat/>
    <w:rsid w:val="00D91D1F"/>
    <w:pPr>
      <w:spacing w:before="240" w:after="60"/>
      <w:jc w:val="center"/>
      <w:outlineLvl w:val="0"/>
    </w:pPr>
    <w:rPr>
      <w:rFonts w:ascii="Tahoma" w:hAnsi="Tahoma"/>
      <w:b/>
      <w:bCs/>
      <w:kern w:val="28"/>
      <w:sz w:val="28"/>
      <w:szCs w:val="32"/>
    </w:rPr>
  </w:style>
  <w:style w:type="character" w:customStyle="1" w:styleId="NaslovZnak">
    <w:name w:val="Naslov Znak"/>
    <w:basedOn w:val="Privzetapisavaodstavka"/>
    <w:link w:val="Naslov"/>
    <w:rsid w:val="00D91D1F"/>
    <w:rPr>
      <w:rFonts w:ascii="Tahoma" w:hAnsi="Tahoma"/>
      <w:b/>
      <w:bCs/>
      <w:kern w:val="28"/>
      <w:sz w:val="28"/>
      <w:szCs w:val="32"/>
      <w:lang w:eastAsia="ar-SA"/>
    </w:rPr>
  </w:style>
  <w:style w:type="paragraph" w:styleId="Kazalovsebine1">
    <w:name w:val="toc 1"/>
    <w:basedOn w:val="Navaden"/>
    <w:next w:val="Navaden"/>
    <w:autoRedefine/>
    <w:uiPriority w:val="39"/>
    <w:rsid w:val="00D91D1F"/>
    <w:pPr>
      <w:tabs>
        <w:tab w:val="left" w:pos="426"/>
        <w:tab w:val="right" w:leader="dot" w:pos="9062"/>
      </w:tabs>
      <w:ind w:left="426" w:hanging="426"/>
    </w:pPr>
    <w:rPr>
      <w:rFonts w:ascii="Tahoma" w:hAnsi="Tahoma"/>
      <w:sz w:val="22"/>
    </w:rPr>
  </w:style>
  <w:style w:type="paragraph" w:styleId="Kazalovsebine2">
    <w:name w:val="toc 2"/>
    <w:basedOn w:val="Navaden"/>
    <w:next w:val="Navaden"/>
    <w:autoRedefine/>
    <w:uiPriority w:val="39"/>
    <w:rsid w:val="00D91D1F"/>
    <w:pPr>
      <w:ind w:left="240"/>
    </w:pPr>
    <w:rPr>
      <w:rFonts w:ascii="Tahoma" w:hAnsi="Tahoma"/>
      <w:sz w:val="22"/>
    </w:rPr>
  </w:style>
  <w:style w:type="paragraph" w:styleId="Napis">
    <w:name w:val="caption"/>
    <w:basedOn w:val="Navaden"/>
    <w:next w:val="Navaden"/>
    <w:qFormat/>
    <w:rsid w:val="00D91D1F"/>
    <w:rPr>
      <w:rFonts w:ascii="Tahoma" w:hAnsi="Tahoma"/>
      <w:b/>
      <w:bCs/>
      <w:sz w:val="20"/>
      <w:szCs w:val="20"/>
    </w:rPr>
  </w:style>
  <w:style w:type="character" w:customStyle="1" w:styleId="apple-converted-space">
    <w:name w:val="apple-converted-space"/>
    <w:rsid w:val="00D91D1F"/>
  </w:style>
  <w:style w:type="paragraph" w:customStyle="1" w:styleId="esegmenth4">
    <w:name w:val="esegment_h4"/>
    <w:basedOn w:val="Navaden"/>
    <w:rsid w:val="00D91D1F"/>
    <w:pPr>
      <w:suppressAutoHyphens w:val="0"/>
      <w:spacing w:before="100" w:beforeAutospacing="1" w:after="100" w:afterAutospacing="1"/>
    </w:pPr>
    <w:rPr>
      <w:lang w:val="en-GB" w:eastAsia="en-GB"/>
    </w:rPr>
  </w:style>
  <w:style w:type="paragraph" w:styleId="Navadensplet">
    <w:name w:val="Normal (Web)"/>
    <w:basedOn w:val="Navaden"/>
    <w:uiPriority w:val="99"/>
    <w:unhideWhenUsed/>
    <w:rsid w:val="00D91D1F"/>
    <w:pPr>
      <w:suppressAutoHyphens w:val="0"/>
      <w:spacing w:before="100" w:beforeAutospacing="1" w:after="100" w:afterAutospacing="1"/>
    </w:pPr>
    <w:rPr>
      <w:lang w:val="en-GB" w:eastAsia="en-GB"/>
    </w:rPr>
  </w:style>
  <w:style w:type="paragraph" w:customStyle="1" w:styleId="Odstavek">
    <w:name w:val="Odstavek"/>
    <w:basedOn w:val="Navaden"/>
    <w:link w:val="OdstavekZnak"/>
    <w:qFormat/>
    <w:rsid w:val="00D91D1F"/>
    <w:pPr>
      <w:suppressAutoHyphens w:val="0"/>
      <w:overflowPunct w:val="0"/>
      <w:autoSpaceDE w:val="0"/>
      <w:autoSpaceDN w:val="0"/>
      <w:adjustRightInd w:val="0"/>
      <w:spacing w:before="240"/>
      <w:ind w:firstLine="1021"/>
      <w:jc w:val="both"/>
      <w:textAlignment w:val="baseline"/>
    </w:pPr>
    <w:rPr>
      <w:rFonts w:ascii="Arial" w:hAnsi="Arial" w:cs="Arial"/>
      <w:sz w:val="22"/>
      <w:szCs w:val="22"/>
      <w:lang w:eastAsia="sl-SI"/>
    </w:rPr>
  </w:style>
  <w:style w:type="character" w:customStyle="1" w:styleId="OdstavekZnak">
    <w:name w:val="Odstavek Znak"/>
    <w:link w:val="Odstavek"/>
    <w:rsid w:val="00D91D1F"/>
    <w:rPr>
      <w:rFonts w:ascii="Arial" w:hAnsi="Arial" w:cs="Arial"/>
      <w:sz w:val="22"/>
      <w:szCs w:val="22"/>
    </w:rPr>
  </w:style>
  <w:style w:type="character" w:styleId="Neensklic">
    <w:name w:val="Subtle Reference"/>
    <w:uiPriority w:val="31"/>
    <w:qFormat/>
    <w:rsid w:val="00D91D1F"/>
    <w:rPr>
      <w:smallCaps/>
      <w:color w:val="C0504D"/>
      <w:u w:val="single"/>
    </w:rPr>
  </w:style>
  <w:style w:type="paragraph" w:styleId="Sprotnaopomba-besedilo">
    <w:name w:val="footnote text"/>
    <w:basedOn w:val="Navaden"/>
    <w:link w:val="Sprotnaopomba-besediloZnak"/>
    <w:rsid w:val="00D91D1F"/>
    <w:rPr>
      <w:rFonts w:ascii="Tahoma" w:hAnsi="Tahoma"/>
      <w:sz w:val="20"/>
      <w:szCs w:val="20"/>
    </w:rPr>
  </w:style>
  <w:style w:type="character" w:customStyle="1" w:styleId="Sprotnaopomba-besediloZnak">
    <w:name w:val="Sprotna opomba - besedilo Znak"/>
    <w:basedOn w:val="Privzetapisavaodstavka"/>
    <w:link w:val="Sprotnaopomba-besedilo"/>
    <w:rsid w:val="00D91D1F"/>
    <w:rPr>
      <w:rFonts w:ascii="Tahoma" w:hAnsi="Tahoma"/>
      <w:lang w:eastAsia="ar-SA"/>
    </w:rPr>
  </w:style>
  <w:style w:type="character" w:styleId="Sprotnaopomba-sklic">
    <w:name w:val="footnote reference"/>
    <w:rsid w:val="00D91D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1548">
      <w:bodyDiv w:val="1"/>
      <w:marLeft w:val="0"/>
      <w:marRight w:val="0"/>
      <w:marTop w:val="0"/>
      <w:marBottom w:val="0"/>
      <w:divBdr>
        <w:top w:val="none" w:sz="0" w:space="0" w:color="auto"/>
        <w:left w:val="none" w:sz="0" w:space="0" w:color="auto"/>
        <w:bottom w:val="none" w:sz="0" w:space="0" w:color="auto"/>
        <w:right w:val="none" w:sz="0" w:space="0" w:color="auto"/>
      </w:divBdr>
    </w:div>
    <w:div w:id="104347536">
      <w:bodyDiv w:val="1"/>
      <w:marLeft w:val="0"/>
      <w:marRight w:val="0"/>
      <w:marTop w:val="0"/>
      <w:marBottom w:val="0"/>
      <w:divBdr>
        <w:top w:val="none" w:sz="0" w:space="0" w:color="auto"/>
        <w:left w:val="none" w:sz="0" w:space="0" w:color="auto"/>
        <w:bottom w:val="none" w:sz="0" w:space="0" w:color="auto"/>
        <w:right w:val="none" w:sz="0" w:space="0" w:color="auto"/>
      </w:divBdr>
    </w:div>
    <w:div w:id="185948039">
      <w:bodyDiv w:val="1"/>
      <w:marLeft w:val="0"/>
      <w:marRight w:val="0"/>
      <w:marTop w:val="0"/>
      <w:marBottom w:val="0"/>
      <w:divBdr>
        <w:top w:val="none" w:sz="0" w:space="0" w:color="auto"/>
        <w:left w:val="none" w:sz="0" w:space="0" w:color="auto"/>
        <w:bottom w:val="none" w:sz="0" w:space="0" w:color="auto"/>
        <w:right w:val="none" w:sz="0" w:space="0" w:color="auto"/>
      </w:divBdr>
    </w:div>
    <w:div w:id="186800805">
      <w:bodyDiv w:val="1"/>
      <w:marLeft w:val="0"/>
      <w:marRight w:val="0"/>
      <w:marTop w:val="0"/>
      <w:marBottom w:val="0"/>
      <w:divBdr>
        <w:top w:val="none" w:sz="0" w:space="0" w:color="auto"/>
        <w:left w:val="none" w:sz="0" w:space="0" w:color="auto"/>
        <w:bottom w:val="none" w:sz="0" w:space="0" w:color="auto"/>
        <w:right w:val="none" w:sz="0" w:space="0" w:color="auto"/>
      </w:divBdr>
    </w:div>
    <w:div w:id="197544342">
      <w:bodyDiv w:val="1"/>
      <w:marLeft w:val="0"/>
      <w:marRight w:val="0"/>
      <w:marTop w:val="0"/>
      <w:marBottom w:val="0"/>
      <w:divBdr>
        <w:top w:val="none" w:sz="0" w:space="0" w:color="auto"/>
        <w:left w:val="none" w:sz="0" w:space="0" w:color="auto"/>
        <w:bottom w:val="none" w:sz="0" w:space="0" w:color="auto"/>
        <w:right w:val="none" w:sz="0" w:space="0" w:color="auto"/>
      </w:divBdr>
      <w:divsChild>
        <w:div w:id="156844108">
          <w:marLeft w:val="0"/>
          <w:marRight w:val="0"/>
          <w:marTop w:val="0"/>
          <w:marBottom w:val="0"/>
          <w:divBdr>
            <w:top w:val="none" w:sz="0" w:space="0" w:color="auto"/>
            <w:left w:val="none" w:sz="0" w:space="0" w:color="auto"/>
            <w:bottom w:val="none" w:sz="0" w:space="0" w:color="auto"/>
            <w:right w:val="none" w:sz="0" w:space="0" w:color="auto"/>
          </w:divBdr>
          <w:divsChild>
            <w:div w:id="15163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17595">
      <w:bodyDiv w:val="1"/>
      <w:marLeft w:val="0"/>
      <w:marRight w:val="0"/>
      <w:marTop w:val="0"/>
      <w:marBottom w:val="0"/>
      <w:divBdr>
        <w:top w:val="none" w:sz="0" w:space="0" w:color="auto"/>
        <w:left w:val="none" w:sz="0" w:space="0" w:color="auto"/>
        <w:bottom w:val="none" w:sz="0" w:space="0" w:color="auto"/>
        <w:right w:val="none" w:sz="0" w:space="0" w:color="auto"/>
      </w:divBdr>
    </w:div>
    <w:div w:id="259142099">
      <w:bodyDiv w:val="1"/>
      <w:marLeft w:val="0"/>
      <w:marRight w:val="0"/>
      <w:marTop w:val="0"/>
      <w:marBottom w:val="0"/>
      <w:divBdr>
        <w:top w:val="none" w:sz="0" w:space="0" w:color="auto"/>
        <w:left w:val="none" w:sz="0" w:space="0" w:color="auto"/>
        <w:bottom w:val="none" w:sz="0" w:space="0" w:color="auto"/>
        <w:right w:val="none" w:sz="0" w:space="0" w:color="auto"/>
      </w:divBdr>
    </w:div>
    <w:div w:id="262348200">
      <w:bodyDiv w:val="1"/>
      <w:marLeft w:val="0"/>
      <w:marRight w:val="0"/>
      <w:marTop w:val="0"/>
      <w:marBottom w:val="0"/>
      <w:divBdr>
        <w:top w:val="none" w:sz="0" w:space="0" w:color="auto"/>
        <w:left w:val="none" w:sz="0" w:space="0" w:color="auto"/>
        <w:bottom w:val="none" w:sz="0" w:space="0" w:color="auto"/>
        <w:right w:val="none" w:sz="0" w:space="0" w:color="auto"/>
      </w:divBdr>
    </w:div>
    <w:div w:id="331104049">
      <w:bodyDiv w:val="1"/>
      <w:marLeft w:val="0"/>
      <w:marRight w:val="0"/>
      <w:marTop w:val="0"/>
      <w:marBottom w:val="0"/>
      <w:divBdr>
        <w:top w:val="none" w:sz="0" w:space="0" w:color="auto"/>
        <w:left w:val="none" w:sz="0" w:space="0" w:color="auto"/>
        <w:bottom w:val="none" w:sz="0" w:space="0" w:color="auto"/>
        <w:right w:val="none" w:sz="0" w:space="0" w:color="auto"/>
      </w:divBdr>
    </w:div>
    <w:div w:id="428894284">
      <w:bodyDiv w:val="1"/>
      <w:marLeft w:val="0"/>
      <w:marRight w:val="0"/>
      <w:marTop w:val="0"/>
      <w:marBottom w:val="0"/>
      <w:divBdr>
        <w:top w:val="none" w:sz="0" w:space="0" w:color="auto"/>
        <w:left w:val="none" w:sz="0" w:space="0" w:color="auto"/>
        <w:bottom w:val="none" w:sz="0" w:space="0" w:color="auto"/>
        <w:right w:val="none" w:sz="0" w:space="0" w:color="auto"/>
      </w:divBdr>
    </w:div>
    <w:div w:id="480193486">
      <w:bodyDiv w:val="1"/>
      <w:marLeft w:val="0"/>
      <w:marRight w:val="0"/>
      <w:marTop w:val="0"/>
      <w:marBottom w:val="0"/>
      <w:divBdr>
        <w:top w:val="none" w:sz="0" w:space="0" w:color="auto"/>
        <w:left w:val="none" w:sz="0" w:space="0" w:color="auto"/>
        <w:bottom w:val="none" w:sz="0" w:space="0" w:color="auto"/>
        <w:right w:val="none" w:sz="0" w:space="0" w:color="auto"/>
      </w:divBdr>
    </w:div>
    <w:div w:id="580143514">
      <w:bodyDiv w:val="1"/>
      <w:marLeft w:val="0"/>
      <w:marRight w:val="0"/>
      <w:marTop w:val="0"/>
      <w:marBottom w:val="0"/>
      <w:divBdr>
        <w:top w:val="none" w:sz="0" w:space="0" w:color="auto"/>
        <w:left w:val="none" w:sz="0" w:space="0" w:color="auto"/>
        <w:bottom w:val="none" w:sz="0" w:space="0" w:color="auto"/>
        <w:right w:val="none" w:sz="0" w:space="0" w:color="auto"/>
      </w:divBdr>
    </w:div>
    <w:div w:id="587813207">
      <w:bodyDiv w:val="1"/>
      <w:marLeft w:val="0"/>
      <w:marRight w:val="0"/>
      <w:marTop w:val="0"/>
      <w:marBottom w:val="0"/>
      <w:divBdr>
        <w:top w:val="none" w:sz="0" w:space="0" w:color="auto"/>
        <w:left w:val="none" w:sz="0" w:space="0" w:color="auto"/>
        <w:bottom w:val="none" w:sz="0" w:space="0" w:color="auto"/>
        <w:right w:val="none" w:sz="0" w:space="0" w:color="auto"/>
      </w:divBdr>
    </w:div>
    <w:div w:id="697004019">
      <w:bodyDiv w:val="1"/>
      <w:marLeft w:val="0"/>
      <w:marRight w:val="0"/>
      <w:marTop w:val="0"/>
      <w:marBottom w:val="0"/>
      <w:divBdr>
        <w:top w:val="none" w:sz="0" w:space="0" w:color="auto"/>
        <w:left w:val="none" w:sz="0" w:space="0" w:color="auto"/>
        <w:bottom w:val="none" w:sz="0" w:space="0" w:color="auto"/>
        <w:right w:val="none" w:sz="0" w:space="0" w:color="auto"/>
      </w:divBdr>
    </w:div>
    <w:div w:id="724068159">
      <w:bodyDiv w:val="1"/>
      <w:marLeft w:val="0"/>
      <w:marRight w:val="0"/>
      <w:marTop w:val="0"/>
      <w:marBottom w:val="0"/>
      <w:divBdr>
        <w:top w:val="none" w:sz="0" w:space="0" w:color="auto"/>
        <w:left w:val="none" w:sz="0" w:space="0" w:color="auto"/>
        <w:bottom w:val="none" w:sz="0" w:space="0" w:color="auto"/>
        <w:right w:val="none" w:sz="0" w:space="0" w:color="auto"/>
      </w:divBdr>
    </w:div>
    <w:div w:id="771361623">
      <w:bodyDiv w:val="1"/>
      <w:marLeft w:val="0"/>
      <w:marRight w:val="0"/>
      <w:marTop w:val="0"/>
      <w:marBottom w:val="0"/>
      <w:divBdr>
        <w:top w:val="none" w:sz="0" w:space="0" w:color="auto"/>
        <w:left w:val="none" w:sz="0" w:space="0" w:color="auto"/>
        <w:bottom w:val="none" w:sz="0" w:space="0" w:color="auto"/>
        <w:right w:val="none" w:sz="0" w:space="0" w:color="auto"/>
      </w:divBdr>
    </w:div>
    <w:div w:id="785080026">
      <w:bodyDiv w:val="1"/>
      <w:marLeft w:val="0"/>
      <w:marRight w:val="0"/>
      <w:marTop w:val="0"/>
      <w:marBottom w:val="0"/>
      <w:divBdr>
        <w:top w:val="none" w:sz="0" w:space="0" w:color="auto"/>
        <w:left w:val="none" w:sz="0" w:space="0" w:color="auto"/>
        <w:bottom w:val="none" w:sz="0" w:space="0" w:color="auto"/>
        <w:right w:val="none" w:sz="0" w:space="0" w:color="auto"/>
      </w:divBdr>
    </w:div>
    <w:div w:id="821506739">
      <w:bodyDiv w:val="1"/>
      <w:marLeft w:val="0"/>
      <w:marRight w:val="0"/>
      <w:marTop w:val="0"/>
      <w:marBottom w:val="0"/>
      <w:divBdr>
        <w:top w:val="none" w:sz="0" w:space="0" w:color="auto"/>
        <w:left w:val="none" w:sz="0" w:space="0" w:color="auto"/>
        <w:bottom w:val="none" w:sz="0" w:space="0" w:color="auto"/>
        <w:right w:val="none" w:sz="0" w:space="0" w:color="auto"/>
      </w:divBdr>
    </w:div>
    <w:div w:id="829951877">
      <w:bodyDiv w:val="1"/>
      <w:marLeft w:val="0"/>
      <w:marRight w:val="0"/>
      <w:marTop w:val="0"/>
      <w:marBottom w:val="0"/>
      <w:divBdr>
        <w:top w:val="none" w:sz="0" w:space="0" w:color="auto"/>
        <w:left w:val="none" w:sz="0" w:space="0" w:color="auto"/>
        <w:bottom w:val="none" w:sz="0" w:space="0" w:color="auto"/>
        <w:right w:val="none" w:sz="0" w:space="0" w:color="auto"/>
      </w:divBdr>
    </w:div>
    <w:div w:id="831943641">
      <w:bodyDiv w:val="1"/>
      <w:marLeft w:val="0"/>
      <w:marRight w:val="0"/>
      <w:marTop w:val="0"/>
      <w:marBottom w:val="0"/>
      <w:divBdr>
        <w:top w:val="none" w:sz="0" w:space="0" w:color="auto"/>
        <w:left w:val="none" w:sz="0" w:space="0" w:color="auto"/>
        <w:bottom w:val="none" w:sz="0" w:space="0" w:color="auto"/>
        <w:right w:val="none" w:sz="0" w:space="0" w:color="auto"/>
      </w:divBdr>
    </w:div>
    <w:div w:id="860433794">
      <w:bodyDiv w:val="1"/>
      <w:marLeft w:val="0"/>
      <w:marRight w:val="0"/>
      <w:marTop w:val="0"/>
      <w:marBottom w:val="0"/>
      <w:divBdr>
        <w:top w:val="none" w:sz="0" w:space="0" w:color="auto"/>
        <w:left w:val="none" w:sz="0" w:space="0" w:color="auto"/>
        <w:bottom w:val="none" w:sz="0" w:space="0" w:color="auto"/>
        <w:right w:val="none" w:sz="0" w:space="0" w:color="auto"/>
      </w:divBdr>
    </w:div>
    <w:div w:id="944918447">
      <w:bodyDiv w:val="1"/>
      <w:marLeft w:val="0"/>
      <w:marRight w:val="0"/>
      <w:marTop w:val="0"/>
      <w:marBottom w:val="0"/>
      <w:divBdr>
        <w:top w:val="none" w:sz="0" w:space="0" w:color="auto"/>
        <w:left w:val="none" w:sz="0" w:space="0" w:color="auto"/>
        <w:bottom w:val="none" w:sz="0" w:space="0" w:color="auto"/>
        <w:right w:val="none" w:sz="0" w:space="0" w:color="auto"/>
      </w:divBdr>
      <w:divsChild>
        <w:div w:id="209849194">
          <w:marLeft w:val="547"/>
          <w:marRight w:val="0"/>
          <w:marTop w:val="120"/>
          <w:marBottom w:val="0"/>
          <w:divBdr>
            <w:top w:val="none" w:sz="0" w:space="0" w:color="auto"/>
            <w:left w:val="none" w:sz="0" w:space="0" w:color="auto"/>
            <w:bottom w:val="none" w:sz="0" w:space="0" w:color="auto"/>
            <w:right w:val="none" w:sz="0" w:space="0" w:color="auto"/>
          </w:divBdr>
        </w:div>
        <w:div w:id="45421456">
          <w:marLeft w:val="547"/>
          <w:marRight w:val="0"/>
          <w:marTop w:val="120"/>
          <w:marBottom w:val="0"/>
          <w:divBdr>
            <w:top w:val="none" w:sz="0" w:space="0" w:color="auto"/>
            <w:left w:val="none" w:sz="0" w:space="0" w:color="auto"/>
            <w:bottom w:val="none" w:sz="0" w:space="0" w:color="auto"/>
            <w:right w:val="none" w:sz="0" w:space="0" w:color="auto"/>
          </w:divBdr>
        </w:div>
        <w:div w:id="1860896741">
          <w:marLeft w:val="547"/>
          <w:marRight w:val="0"/>
          <w:marTop w:val="120"/>
          <w:marBottom w:val="0"/>
          <w:divBdr>
            <w:top w:val="none" w:sz="0" w:space="0" w:color="auto"/>
            <w:left w:val="none" w:sz="0" w:space="0" w:color="auto"/>
            <w:bottom w:val="none" w:sz="0" w:space="0" w:color="auto"/>
            <w:right w:val="none" w:sz="0" w:space="0" w:color="auto"/>
          </w:divBdr>
        </w:div>
        <w:div w:id="1347054838">
          <w:marLeft w:val="547"/>
          <w:marRight w:val="0"/>
          <w:marTop w:val="120"/>
          <w:marBottom w:val="0"/>
          <w:divBdr>
            <w:top w:val="none" w:sz="0" w:space="0" w:color="auto"/>
            <w:left w:val="none" w:sz="0" w:space="0" w:color="auto"/>
            <w:bottom w:val="none" w:sz="0" w:space="0" w:color="auto"/>
            <w:right w:val="none" w:sz="0" w:space="0" w:color="auto"/>
          </w:divBdr>
        </w:div>
        <w:div w:id="964312600">
          <w:marLeft w:val="547"/>
          <w:marRight w:val="0"/>
          <w:marTop w:val="120"/>
          <w:marBottom w:val="0"/>
          <w:divBdr>
            <w:top w:val="none" w:sz="0" w:space="0" w:color="auto"/>
            <w:left w:val="none" w:sz="0" w:space="0" w:color="auto"/>
            <w:bottom w:val="none" w:sz="0" w:space="0" w:color="auto"/>
            <w:right w:val="none" w:sz="0" w:space="0" w:color="auto"/>
          </w:divBdr>
        </w:div>
      </w:divsChild>
    </w:div>
    <w:div w:id="1011571106">
      <w:bodyDiv w:val="1"/>
      <w:marLeft w:val="0"/>
      <w:marRight w:val="0"/>
      <w:marTop w:val="0"/>
      <w:marBottom w:val="0"/>
      <w:divBdr>
        <w:top w:val="none" w:sz="0" w:space="0" w:color="auto"/>
        <w:left w:val="none" w:sz="0" w:space="0" w:color="auto"/>
        <w:bottom w:val="none" w:sz="0" w:space="0" w:color="auto"/>
        <w:right w:val="none" w:sz="0" w:space="0" w:color="auto"/>
      </w:divBdr>
    </w:div>
    <w:div w:id="1037311898">
      <w:bodyDiv w:val="1"/>
      <w:marLeft w:val="0"/>
      <w:marRight w:val="0"/>
      <w:marTop w:val="0"/>
      <w:marBottom w:val="0"/>
      <w:divBdr>
        <w:top w:val="none" w:sz="0" w:space="0" w:color="auto"/>
        <w:left w:val="none" w:sz="0" w:space="0" w:color="auto"/>
        <w:bottom w:val="none" w:sz="0" w:space="0" w:color="auto"/>
        <w:right w:val="none" w:sz="0" w:space="0" w:color="auto"/>
      </w:divBdr>
    </w:div>
    <w:div w:id="1073812973">
      <w:bodyDiv w:val="1"/>
      <w:marLeft w:val="0"/>
      <w:marRight w:val="0"/>
      <w:marTop w:val="0"/>
      <w:marBottom w:val="0"/>
      <w:divBdr>
        <w:top w:val="none" w:sz="0" w:space="0" w:color="auto"/>
        <w:left w:val="none" w:sz="0" w:space="0" w:color="auto"/>
        <w:bottom w:val="none" w:sz="0" w:space="0" w:color="auto"/>
        <w:right w:val="none" w:sz="0" w:space="0" w:color="auto"/>
      </w:divBdr>
    </w:div>
    <w:div w:id="1138063519">
      <w:bodyDiv w:val="1"/>
      <w:marLeft w:val="0"/>
      <w:marRight w:val="0"/>
      <w:marTop w:val="0"/>
      <w:marBottom w:val="0"/>
      <w:divBdr>
        <w:top w:val="none" w:sz="0" w:space="0" w:color="auto"/>
        <w:left w:val="none" w:sz="0" w:space="0" w:color="auto"/>
        <w:bottom w:val="none" w:sz="0" w:space="0" w:color="auto"/>
        <w:right w:val="none" w:sz="0" w:space="0" w:color="auto"/>
      </w:divBdr>
    </w:div>
    <w:div w:id="1147821088">
      <w:bodyDiv w:val="1"/>
      <w:marLeft w:val="0"/>
      <w:marRight w:val="0"/>
      <w:marTop w:val="0"/>
      <w:marBottom w:val="0"/>
      <w:divBdr>
        <w:top w:val="none" w:sz="0" w:space="0" w:color="auto"/>
        <w:left w:val="none" w:sz="0" w:space="0" w:color="auto"/>
        <w:bottom w:val="none" w:sz="0" w:space="0" w:color="auto"/>
        <w:right w:val="none" w:sz="0" w:space="0" w:color="auto"/>
      </w:divBdr>
    </w:div>
    <w:div w:id="1179736288">
      <w:bodyDiv w:val="1"/>
      <w:marLeft w:val="0"/>
      <w:marRight w:val="0"/>
      <w:marTop w:val="0"/>
      <w:marBottom w:val="0"/>
      <w:divBdr>
        <w:top w:val="none" w:sz="0" w:space="0" w:color="auto"/>
        <w:left w:val="none" w:sz="0" w:space="0" w:color="auto"/>
        <w:bottom w:val="none" w:sz="0" w:space="0" w:color="auto"/>
        <w:right w:val="none" w:sz="0" w:space="0" w:color="auto"/>
      </w:divBdr>
    </w:div>
    <w:div w:id="1193957602">
      <w:bodyDiv w:val="1"/>
      <w:marLeft w:val="0"/>
      <w:marRight w:val="0"/>
      <w:marTop w:val="0"/>
      <w:marBottom w:val="0"/>
      <w:divBdr>
        <w:top w:val="none" w:sz="0" w:space="0" w:color="auto"/>
        <w:left w:val="none" w:sz="0" w:space="0" w:color="auto"/>
        <w:bottom w:val="none" w:sz="0" w:space="0" w:color="auto"/>
        <w:right w:val="none" w:sz="0" w:space="0" w:color="auto"/>
      </w:divBdr>
    </w:div>
    <w:div w:id="1323000794">
      <w:bodyDiv w:val="1"/>
      <w:marLeft w:val="0"/>
      <w:marRight w:val="0"/>
      <w:marTop w:val="0"/>
      <w:marBottom w:val="0"/>
      <w:divBdr>
        <w:top w:val="none" w:sz="0" w:space="0" w:color="auto"/>
        <w:left w:val="none" w:sz="0" w:space="0" w:color="auto"/>
        <w:bottom w:val="none" w:sz="0" w:space="0" w:color="auto"/>
        <w:right w:val="none" w:sz="0" w:space="0" w:color="auto"/>
      </w:divBdr>
    </w:div>
    <w:div w:id="1355500669">
      <w:bodyDiv w:val="1"/>
      <w:marLeft w:val="0"/>
      <w:marRight w:val="0"/>
      <w:marTop w:val="0"/>
      <w:marBottom w:val="0"/>
      <w:divBdr>
        <w:top w:val="none" w:sz="0" w:space="0" w:color="auto"/>
        <w:left w:val="none" w:sz="0" w:space="0" w:color="auto"/>
        <w:bottom w:val="none" w:sz="0" w:space="0" w:color="auto"/>
        <w:right w:val="none" w:sz="0" w:space="0" w:color="auto"/>
      </w:divBdr>
    </w:div>
    <w:div w:id="1387795653">
      <w:bodyDiv w:val="1"/>
      <w:marLeft w:val="0"/>
      <w:marRight w:val="0"/>
      <w:marTop w:val="0"/>
      <w:marBottom w:val="0"/>
      <w:divBdr>
        <w:top w:val="none" w:sz="0" w:space="0" w:color="auto"/>
        <w:left w:val="none" w:sz="0" w:space="0" w:color="auto"/>
        <w:bottom w:val="none" w:sz="0" w:space="0" w:color="auto"/>
        <w:right w:val="none" w:sz="0" w:space="0" w:color="auto"/>
      </w:divBdr>
      <w:divsChild>
        <w:div w:id="1574896182">
          <w:marLeft w:val="446"/>
          <w:marRight w:val="0"/>
          <w:marTop w:val="0"/>
          <w:marBottom w:val="0"/>
          <w:divBdr>
            <w:top w:val="none" w:sz="0" w:space="0" w:color="auto"/>
            <w:left w:val="none" w:sz="0" w:space="0" w:color="auto"/>
            <w:bottom w:val="none" w:sz="0" w:space="0" w:color="auto"/>
            <w:right w:val="none" w:sz="0" w:space="0" w:color="auto"/>
          </w:divBdr>
        </w:div>
        <w:div w:id="1811559990">
          <w:marLeft w:val="446"/>
          <w:marRight w:val="0"/>
          <w:marTop w:val="0"/>
          <w:marBottom w:val="0"/>
          <w:divBdr>
            <w:top w:val="none" w:sz="0" w:space="0" w:color="auto"/>
            <w:left w:val="none" w:sz="0" w:space="0" w:color="auto"/>
            <w:bottom w:val="none" w:sz="0" w:space="0" w:color="auto"/>
            <w:right w:val="none" w:sz="0" w:space="0" w:color="auto"/>
          </w:divBdr>
        </w:div>
      </w:divsChild>
    </w:div>
    <w:div w:id="1693534222">
      <w:bodyDiv w:val="1"/>
      <w:marLeft w:val="0"/>
      <w:marRight w:val="0"/>
      <w:marTop w:val="0"/>
      <w:marBottom w:val="0"/>
      <w:divBdr>
        <w:top w:val="none" w:sz="0" w:space="0" w:color="auto"/>
        <w:left w:val="none" w:sz="0" w:space="0" w:color="auto"/>
        <w:bottom w:val="none" w:sz="0" w:space="0" w:color="auto"/>
        <w:right w:val="none" w:sz="0" w:space="0" w:color="auto"/>
      </w:divBdr>
    </w:div>
    <w:div w:id="1783647460">
      <w:bodyDiv w:val="1"/>
      <w:marLeft w:val="0"/>
      <w:marRight w:val="0"/>
      <w:marTop w:val="0"/>
      <w:marBottom w:val="0"/>
      <w:divBdr>
        <w:top w:val="none" w:sz="0" w:space="0" w:color="auto"/>
        <w:left w:val="none" w:sz="0" w:space="0" w:color="auto"/>
        <w:bottom w:val="none" w:sz="0" w:space="0" w:color="auto"/>
        <w:right w:val="none" w:sz="0" w:space="0" w:color="auto"/>
      </w:divBdr>
    </w:div>
    <w:div w:id="1827434868">
      <w:bodyDiv w:val="1"/>
      <w:marLeft w:val="0"/>
      <w:marRight w:val="0"/>
      <w:marTop w:val="0"/>
      <w:marBottom w:val="0"/>
      <w:divBdr>
        <w:top w:val="none" w:sz="0" w:space="0" w:color="auto"/>
        <w:left w:val="none" w:sz="0" w:space="0" w:color="auto"/>
        <w:bottom w:val="none" w:sz="0" w:space="0" w:color="auto"/>
        <w:right w:val="none" w:sz="0" w:space="0" w:color="auto"/>
      </w:divBdr>
      <w:divsChild>
        <w:div w:id="1541893911">
          <w:marLeft w:val="0"/>
          <w:marRight w:val="0"/>
          <w:marTop w:val="0"/>
          <w:marBottom w:val="0"/>
          <w:divBdr>
            <w:top w:val="none" w:sz="0" w:space="0" w:color="auto"/>
            <w:left w:val="none" w:sz="0" w:space="0" w:color="auto"/>
            <w:bottom w:val="none" w:sz="0" w:space="0" w:color="auto"/>
            <w:right w:val="none" w:sz="0" w:space="0" w:color="auto"/>
          </w:divBdr>
          <w:divsChild>
            <w:div w:id="778723410">
              <w:marLeft w:val="0"/>
              <w:marRight w:val="0"/>
              <w:marTop w:val="100"/>
              <w:marBottom w:val="100"/>
              <w:divBdr>
                <w:top w:val="none" w:sz="0" w:space="0" w:color="auto"/>
                <w:left w:val="none" w:sz="0" w:space="0" w:color="auto"/>
                <w:bottom w:val="none" w:sz="0" w:space="0" w:color="auto"/>
                <w:right w:val="none" w:sz="0" w:space="0" w:color="auto"/>
              </w:divBdr>
              <w:divsChild>
                <w:div w:id="154298960">
                  <w:marLeft w:val="0"/>
                  <w:marRight w:val="0"/>
                  <w:marTop w:val="0"/>
                  <w:marBottom w:val="0"/>
                  <w:divBdr>
                    <w:top w:val="none" w:sz="0" w:space="0" w:color="auto"/>
                    <w:left w:val="none" w:sz="0" w:space="0" w:color="auto"/>
                    <w:bottom w:val="none" w:sz="0" w:space="0" w:color="auto"/>
                    <w:right w:val="none" w:sz="0" w:space="0" w:color="auto"/>
                  </w:divBdr>
                  <w:divsChild>
                    <w:div w:id="148786048">
                      <w:marLeft w:val="0"/>
                      <w:marRight w:val="0"/>
                      <w:marTop w:val="0"/>
                      <w:marBottom w:val="0"/>
                      <w:divBdr>
                        <w:top w:val="none" w:sz="0" w:space="0" w:color="auto"/>
                        <w:left w:val="none" w:sz="0" w:space="0" w:color="auto"/>
                        <w:bottom w:val="none" w:sz="0" w:space="0" w:color="auto"/>
                        <w:right w:val="none" w:sz="0" w:space="0" w:color="auto"/>
                      </w:divBdr>
                      <w:divsChild>
                        <w:div w:id="211424291">
                          <w:marLeft w:val="0"/>
                          <w:marRight w:val="0"/>
                          <w:marTop w:val="0"/>
                          <w:marBottom w:val="0"/>
                          <w:divBdr>
                            <w:top w:val="none" w:sz="0" w:space="0" w:color="auto"/>
                            <w:left w:val="none" w:sz="0" w:space="0" w:color="auto"/>
                            <w:bottom w:val="none" w:sz="0" w:space="0" w:color="auto"/>
                            <w:right w:val="none" w:sz="0" w:space="0" w:color="auto"/>
                          </w:divBdr>
                          <w:divsChild>
                            <w:div w:id="1054428593">
                              <w:marLeft w:val="0"/>
                              <w:marRight w:val="0"/>
                              <w:marTop w:val="0"/>
                              <w:marBottom w:val="0"/>
                              <w:divBdr>
                                <w:top w:val="none" w:sz="0" w:space="0" w:color="auto"/>
                                <w:left w:val="none" w:sz="0" w:space="0" w:color="auto"/>
                                <w:bottom w:val="none" w:sz="0" w:space="0" w:color="auto"/>
                                <w:right w:val="none" w:sz="0" w:space="0" w:color="auto"/>
                              </w:divBdr>
                              <w:divsChild>
                                <w:div w:id="2102026932">
                                  <w:marLeft w:val="0"/>
                                  <w:marRight w:val="0"/>
                                  <w:marTop w:val="0"/>
                                  <w:marBottom w:val="0"/>
                                  <w:divBdr>
                                    <w:top w:val="none" w:sz="0" w:space="0" w:color="auto"/>
                                    <w:left w:val="none" w:sz="0" w:space="0" w:color="auto"/>
                                    <w:bottom w:val="none" w:sz="0" w:space="0" w:color="auto"/>
                                    <w:right w:val="none" w:sz="0" w:space="0" w:color="auto"/>
                                  </w:divBdr>
                                  <w:divsChild>
                                    <w:div w:id="395250365">
                                      <w:marLeft w:val="0"/>
                                      <w:marRight w:val="0"/>
                                      <w:marTop w:val="0"/>
                                      <w:marBottom w:val="0"/>
                                      <w:divBdr>
                                        <w:top w:val="none" w:sz="0" w:space="0" w:color="auto"/>
                                        <w:left w:val="none" w:sz="0" w:space="0" w:color="auto"/>
                                        <w:bottom w:val="none" w:sz="0" w:space="0" w:color="auto"/>
                                        <w:right w:val="none" w:sz="0" w:space="0" w:color="auto"/>
                                      </w:divBdr>
                                      <w:divsChild>
                                        <w:div w:id="58472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7958422">
      <w:bodyDiv w:val="1"/>
      <w:marLeft w:val="0"/>
      <w:marRight w:val="0"/>
      <w:marTop w:val="0"/>
      <w:marBottom w:val="0"/>
      <w:divBdr>
        <w:top w:val="none" w:sz="0" w:space="0" w:color="auto"/>
        <w:left w:val="none" w:sz="0" w:space="0" w:color="auto"/>
        <w:bottom w:val="none" w:sz="0" w:space="0" w:color="auto"/>
        <w:right w:val="none" w:sz="0" w:space="0" w:color="auto"/>
      </w:divBdr>
    </w:div>
    <w:div w:id="1984238665">
      <w:bodyDiv w:val="1"/>
      <w:marLeft w:val="0"/>
      <w:marRight w:val="0"/>
      <w:marTop w:val="0"/>
      <w:marBottom w:val="0"/>
      <w:divBdr>
        <w:top w:val="none" w:sz="0" w:space="0" w:color="auto"/>
        <w:left w:val="none" w:sz="0" w:space="0" w:color="auto"/>
        <w:bottom w:val="none" w:sz="0" w:space="0" w:color="auto"/>
        <w:right w:val="none" w:sz="0" w:space="0" w:color="auto"/>
      </w:divBdr>
      <w:divsChild>
        <w:div w:id="963392715">
          <w:marLeft w:val="547"/>
          <w:marRight w:val="0"/>
          <w:marTop w:val="154"/>
          <w:marBottom w:val="0"/>
          <w:divBdr>
            <w:top w:val="none" w:sz="0" w:space="0" w:color="auto"/>
            <w:left w:val="none" w:sz="0" w:space="0" w:color="auto"/>
            <w:bottom w:val="none" w:sz="0" w:space="0" w:color="auto"/>
            <w:right w:val="none" w:sz="0" w:space="0" w:color="auto"/>
          </w:divBdr>
        </w:div>
        <w:div w:id="1657411705">
          <w:marLeft w:val="547"/>
          <w:marRight w:val="0"/>
          <w:marTop w:val="154"/>
          <w:marBottom w:val="0"/>
          <w:divBdr>
            <w:top w:val="none" w:sz="0" w:space="0" w:color="auto"/>
            <w:left w:val="none" w:sz="0" w:space="0" w:color="auto"/>
            <w:bottom w:val="none" w:sz="0" w:space="0" w:color="auto"/>
            <w:right w:val="none" w:sz="0" w:space="0" w:color="auto"/>
          </w:divBdr>
        </w:div>
      </w:divsChild>
    </w:div>
    <w:div w:id="2015956167">
      <w:bodyDiv w:val="1"/>
      <w:marLeft w:val="0"/>
      <w:marRight w:val="0"/>
      <w:marTop w:val="0"/>
      <w:marBottom w:val="0"/>
      <w:divBdr>
        <w:top w:val="none" w:sz="0" w:space="0" w:color="auto"/>
        <w:left w:val="none" w:sz="0" w:space="0" w:color="auto"/>
        <w:bottom w:val="none" w:sz="0" w:space="0" w:color="auto"/>
        <w:right w:val="none" w:sz="0" w:space="0" w:color="auto"/>
      </w:divBdr>
    </w:div>
    <w:div w:id="2039767630">
      <w:bodyDiv w:val="1"/>
      <w:marLeft w:val="0"/>
      <w:marRight w:val="0"/>
      <w:marTop w:val="0"/>
      <w:marBottom w:val="0"/>
      <w:divBdr>
        <w:top w:val="none" w:sz="0" w:space="0" w:color="auto"/>
        <w:left w:val="none" w:sz="0" w:space="0" w:color="auto"/>
        <w:bottom w:val="none" w:sz="0" w:space="0" w:color="auto"/>
        <w:right w:val="none" w:sz="0" w:space="0" w:color="auto"/>
      </w:divBdr>
    </w:div>
    <w:div w:id="2067869600">
      <w:bodyDiv w:val="1"/>
      <w:marLeft w:val="0"/>
      <w:marRight w:val="0"/>
      <w:marTop w:val="0"/>
      <w:marBottom w:val="0"/>
      <w:divBdr>
        <w:top w:val="none" w:sz="0" w:space="0" w:color="auto"/>
        <w:left w:val="none" w:sz="0" w:space="0" w:color="auto"/>
        <w:bottom w:val="none" w:sz="0" w:space="0" w:color="auto"/>
        <w:right w:val="none" w:sz="0" w:space="0" w:color="auto"/>
      </w:divBdr>
    </w:div>
    <w:div w:id="214403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radni-list.si/1/objava.jsp?sop=2017-01-252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14-01-2739"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Gp.gs@gov.si"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06A9C87-EBA9-4CEA-A6D1-EB49CD90D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4866</Words>
  <Characters>27742</Characters>
  <Application>Microsoft Office Word</Application>
  <DocSecurity>0</DocSecurity>
  <Lines>231</Lines>
  <Paragraphs>65</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32543</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Glažar</dc:creator>
  <cp:lastModifiedBy>Milena Černilogar Radež</cp:lastModifiedBy>
  <cp:revision>14</cp:revision>
  <cp:lastPrinted>2019-05-27T08:15:00Z</cp:lastPrinted>
  <dcterms:created xsi:type="dcterms:W3CDTF">2019-05-24T14:35:00Z</dcterms:created>
  <dcterms:modified xsi:type="dcterms:W3CDTF">2019-05-27T12:57:00Z</dcterms:modified>
</cp:coreProperties>
</file>