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7E8" w:rsidRDefault="00E059EE" w:rsidP="004627E8">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5503/18 ADD 1.&#10;Subject Codes: FISC 558 N 67 ECOFIN 1197.&#10;Heading: PREDLOG.&#10;Originator: za generalnega sekretarja Evropske komisije: direktor Jordi AYET PUIGARNAU.&#10;Recipient: generalni sekretar Sveta Evropske unije Jeppe TRANHOLM-MIKKELSEN.&#10;Subject: PRILOGE k predlogu Sklepa Sveta o stališču, ki se v imenu Evropske unije zastopa v skupnem odboru, ustanovljenem na podlagi člena 41(1) Sporazuma med Evropsko unijo in Kraljevino Norveško o upravnem sodelovanju, boju proti goljufijam in izterjavi terjatev na področju davka na dodano vrednost.&#10;Commission Document Number: COM(2018) 832 final - Annex 1 to 6.&#10;Preceeding Document Number: Not Set.&#10;Location: Bruselj.&#10;Date: 12. december 2018.&#10;Interinstitutional Files: 2018/0422(NLE).&#10;Institutional Framework: Svet Evropske unije.&#10;Language: SL.&#10;Distribution Code: PUBLIC.&#10;GUID: 5607725421850841507_0" style="width:568.5pt;height:408.75pt">
            <v:imagedata r:id="rId8" o:title=""/>
          </v:shape>
        </w:pict>
      </w:r>
      <w:bookmarkEnd w:id="0"/>
    </w:p>
    <w:p w:rsidR="004627E8" w:rsidRDefault="004627E8" w:rsidP="004627E8">
      <w:pPr>
        <w:pStyle w:val="EntText"/>
        <w:spacing w:before="480"/>
      </w:pPr>
      <w:bookmarkStart w:id="1" w:name="_GoBack"/>
      <w:bookmarkEnd w:id="1"/>
      <w:r w:rsidRPr="004627E8">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4627E8">
        <w:instrText>COM(2018) 832 final - Annex 1 to 6</w:instrText>
      </w:r>
      <w:r>
        <w:instrText xml:space="preserve">" </w:instrText>
      </w:r>
      <w:r>
        <w:fldChar w:fldCharType="separate"/>
      </w:r>
      <w:r w:rsidRPr="004627E8">
        <w:t>COM(2018) 832 final - Annex 1 to 6</w:t>
      </w:r>
      <w:r>
        <w:fldChar w:fldCharType="end"/>
      </w:r>
      <w:r w:rsidRPr="004627E8">
        <w:t>.</w:t>
      </w:r>
    </w:p>
    <w:p w:rsidR="004627E8" w:rsidRDefault="004627E8" w:rsidP="004627E8">
      <w:pPr>
        <w:pStyle w:val="Lignefinal"/>
      </w:pPr>
    </w:p>
    <w:p w:rsidR="004627E8" w:rsidRDefault="004627E8" w:rsidP="004627E8">
      <w:pPr>
        <w:pStyle w:val="pj"/>
        <w:spacing w:before="120"/>
      </w:pPr>
      <w:r w:rsidRPr="004627E8">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4627E8">
        <w:instrText>COM(2018) 832 final - Annex 1 to 6</w:instrText>
      </w:r>
      <w:r>
        <w:instrText xml:space="preserve">" </w:instrText>
      </w:r>
      <w:r>
        <w:fldChar w:fldCharType="separate"/>
      </w:r>
      <w:r w:rsidRPr="004627E8">
        <w:t>COM(2018) 832 final - Annex 1 to 6</w:t>
      </w:r>
      <w:r>
        <w:fldChar w:fldCharType="end"/>
      </w:r>
    </w:p>
    <w:p w:rsidR="004627E8" w:rsidRPr="004627E8" w:rsidRDefault="004627E8" w:rsidP="004627E8"/>
    <w:p w:rsidR="004627E8" w:rsidRDefault="004627E8" w:rsidP="004627E8">
      <w:pPr>
        <w:rPr>
          <w:noProof/>
        </w:rPr>
        <w:sectPr w:rsidR="004627E8" w:rsidSect="004627E8">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6551B7" w:rsidRDefault="00E059EE">
      <w:pPr>
        <w:pStyle w:val="Pagedecouverture"/>
        <w:rPr>
          <w:noProof/>
        </w:rPr>
      </w:pPr>
      <w:r>
        <w:rPr>
          <w:noProof/>
        </w:rPr>
        <w:lastRenderedPageBreak/>
        <w:pict>
          <v:shape id="_x0000_i1026" type="#_x0000_t75" alt="12AB1299-8E5C-4134-91ED-067F8602AA17" style="width:450.75pt;height:424.5pt">
            <v:imagedata r:id="rId15" o:title=""/>
          </v:shape>
        </w:pict>
      </w:r>
    </w:p>
    <w:p w:rsidR="006551B7" w:rsidRDefault="006551B7">
      <w:pPr>
        <w:rPr>
          <w:noProof/>
        </w:rPr>
        <w:sectPr w:rsidR="006551B7">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6551B7" w:rsidRDefault="004627E8">
      <w:pPr>
        <w:pStyle w:val="Annexetitre"/>
        <w:rPr>
          <w:noProof/>
        </w:rPr>
      </w:pPr>
      <w:r>
        <w:rPr>
          <w:noProof/>
        </w:rPr>
        <w:lastRenderedPageBreak/>
        <w:t>PRILOGA 1</w:t>
      </w:r>
    </w:p>
    <w:p w:rsidR="006551B7" w:rsidRDefault="004627E8">
      <w:pPr>
        <w:jc w:val="center"/>
        <w:rPr>
          <w:b/>
          <w:noProof/>
        </w:rPr>
      </w:pPr>
      <w:r>
        <w:rPr>
          <w:b/>
          <w:noProof/>
        </w:rPr>
        <w:t>Osnutek</w:t>
      </w:r>
    </w:p>
    <w:p w:rsidR="006551B7" w:rsidRDefault="004627E8">
      <w:pPr>
        <w:pStyle w:val="NormalCentered"/>
        <w:rPr>
          <w:b/>
          <w:noProof/>
        </w:rPr>
      </w:pPr>
      <w:r>
        <w:rPr>
          <w:b/>
          <w:noProof/>
        </w:rPr>
        <w:t xml:space="preserve">ODLOČITEV št. 1/[datum] skupnega odbora z dne [datum] </w:t>
      </w:r>
      <w:r>
        <w:rPr>
          <w:b/>
          <w:noProof/>
        </w:rPr>
        <w:br/>
        <w:t>o sprejetju poslovnika skupnega odbora</w:t>
      </w:r>
    </w:p>
    <w:p w:rsidR="006551B7" w:rsidRDefault="004627E8">
      <w:pPr>
        <w:rPr>
          <w:noProof/>
        </w:rPr>
      </w:pPr>
      <w:r>
        <w:rPr>
          <w:noProof/>
        </w:rPr>
        <w:t xml:space="preserve">SKUPNI ODBOR JE – </w:t>
      </w:r>
    </w:p>
    <w:p w:rsidR="006551B7" w:rsidRDefault="004627E8">
      <w:pPr>
        <w:rPr>
          <w:noProof/>
        </w:rPr>
      </w:pPr>
      <w:r>
        <w:rPr>
          <w:noProof/>
        </w:rPr>
        <w:t>ob upoštevanju Sporazuma med Evropsko unijo in Kraljevino Norveško o upravnem sodelovanju, boju proti goljufijam in izterjavi terjatev na področju davka na dodano vrednost (v nadaljnjem besedilu: Sporazum) ter zlasti člena 41(1) Sporazuma,</w:t>
      </w:r>
    </w:p>
    <w:p w:rsidR="006551B7" w:rsidRDefault="004627E8">
      <w:pPr>
        <w:rPr>
          <w:noProof/>
        </w:rPr>
      </w:pPr>
      <w:r>
        <w:rPr>
          <w:noProof/>
        </w:rPr>
        <w:t>ob upoštevanju naslednjega:</w:t>
      </w:r>
    </w:p>
    <w:p w:rsidR="006551B7" w:rsidRDefault="004627E8">
      <w:pPr>
        <w:pStyle w:val="Point0letter"/>
        <w:numPr>
          <w:ilvl w:val="1"/>
          <w:numId w:val="27"/>
        </w:numPr>
        <w:rPr>
          <w:noProof/>
        </w:rPr>
      </w:pPr>
      <w:r>
        <w:rPr>
          <w:noProof/>
        </w:rPr>
        <w:t>Določiti je treba pravila o sestavi in predsedovanju, opazovalcih in strokovnjakih, sklicevanju sej, dnevnem redu, administrativni podpori, pripravi in sprejetju zapisnikov, postopku za sprejemanje odločitev in priporočil ter o odhodkih.</w:t>
      </w:r>
    </w:p>
    <w:p w:rsidR="006551B7" w:rsidRDefault="004627E8">
      <w:pPr>
        <w:pStyle w:val="Point0letter"/>
        <w:rPr>
          <w:noProof/>
        </w:rPr>
      </w:pPr>
      <w:r>
        <w:rPr>
          <w:noProof/>
        </w:rPr>
        <w:t>Sprejeti je treba praktične ureditve za izvajanje člena 41(3) Sporazuma –</w:t>
      </w:r>
    </w:p>
    <w:p w:rsidR="006551B7" w:rsidRDefault="004627E8">
      <w:pPr>
        <w:pStyle w:val="Formuledadoption"/>
        <w:rPr>
          <w:noProof/>
        </w:rPr>
      </w:pPr>
      <w:r>
        <w:rPr>
          <w:noProof/>
        </w:rPr>
        <w:t>SPREJEL NASLEDNJI POSLOVNIK:</w:t>
      </w:r>
    </w:p>
    <w:p w:rsidR="006551B7" w:rsidRDefault="004627E8">
      <w:pPr>
        <w:pStyle w:val="Titrearticle"/>
        <w:rPr>
          <w:noProof/>
        </w:rPr>
      </w:pPr>
      <w:r>
        <w:rPr>
          <w:noProof/>
        </w:rPr>
        <w:t>Člen 1</w:t>
      </w:r>
    </w:p>
    <w:p w:rsidR="006551B7" w:rsidRDefault="004627E8">
      <w:pPr>
        <w:pStyle w:val="Titrearticle"/>
        <w:rPr>
          <w:b/>
          <w:i w:val="0"/>
          <w:noProof/>
        </w:rPr>
      </w:pPr>
      <w:r>
        <w:rPr>
          <w:b/>
          <w:i w:val="0"/>
          <w:noProof/>
        </w:rPr>
        <w:t>Sestava in predsedovanje</w:t>
      </w:r>
    </w:p>
    <w:p w:rsidR="006551B7" w:rsidRDefault="004627E8">
      <w:pPr>
        <w:pStyle w:val="Point0number"/>
        <w:numPr>
          <w:ilvl w:val="0"/>
          <w:numId w:val="20"/>
        </w:numPr>
        <w:rPr>
          <w:noProof/>
          <w:szCs w:val="24"/>
        </w:rPr>
      </w:pPr>
      <w:r>
        <w:rPr>
          <w:noProof/>
        </w:rPr>
        <w:t xml:space="preserve">Skupni odbor sestavljajo predstavniki Evropske unije in Kraljevine Norveške (v nadaljnjem besedilu: pogodbenici). </w:t>
      </w:r>
    </w:p>
    <w:p w:rsidR="006551B7" w:rsidRDefault="004627E8">
      <w:pPr>
        <w:pStyle w:val="Point0number"/>
        <w:rPr>
          <w:noProof/>
        </w:rPr>
      </w:pPr>
      <w:r>
        <w:rPr>
          <w:noProof/>
        </w:rPr>
        <w:t>Evropsko unijo zastopa Evropska komisija. Kraljevino Norveško zastopa [……].</w:t>
      </w:r>
    </w:p>
    <w:p w:rsidR="006551B7" w:rsidRDefault="004627E8">
      <w:pPr>
        <w:pStyle w:val="Point0number"/>
        <w:rPr>
          <w:noProof/>
        </w:rPr>
      </w:pPr>
      <w:r>
        <w:rPr>
          <w:noProof/>
        </w:rPr>
        <w:t>Skupnemu odboru izmenično predseduje vsaka od pogodbenic za dve koledarski leti. Prvo obdobje se konča 31. decembra leta, ki sledi letu začetka veljavnosti Sporazuma.  Prva predseduje Evropska unija.</w:t>
      </w:r>
    </w:p>
    <w:p w:rsidR="006551B7" w:rsidRDefault="004627E8">
      <w:pPr>
        <w:pStyle w:val="Titrearticle"/>
        <w:rPr>
          <w:noProof/>
        </w:rPr>
      </w:pPr>
      <w:r>
        <w:rPr>
          <w:noProof/>
        </w:rPr>
        <w:t>Člen 2</w:t>
      </w:r>
    </w:p>
    <w:p w:rsidR="006551B7" w:rsidRDefault="004627E8">
      <w:pPr>
        <w:pStyle w:val="Titrearticle"/>
        <w:rPr>
          <w:b/>
          <w:i w:val="0"/>
          <w:noProof/>
        </w:rPr>
      </w:pPr>
      <w:r>
        <w:rPr>
          <w:b/>
          <w:i w:val="0"/>
          <w:noProof/>
        </w:rPr>
        <w:t>Opazovalci in strokovnjaki</w:t>
      </w:r>
    </w:p>
    <w:p w:rsidR="006551B7" w:rsidRDefault="004627E8">
      <w:pPr>
        <w:pStyle w:val="Point0number"/>
        <w:numPr>
          <w:ilvl w:val="0"/>
          <w:numId w:val="21"/>
        </w:numPr>
        <w:rPr>
          <w:noProof/>
          <w:szCs w:val="24"/>
        </w:rPr>
      </w:pPr>
      <w:r>
        <w:rPr>
          <w:noProof/>
        </w:rPr>
        <w:t xml:space="preserve">Predstavniki držav članic Evropske unije lahko sodelujejo kot opazovalci. </w:t>
      </w:r>
    </w:p>
    <w:p w:rsidR="006551B7" w:rsidRDefault="004627E8">
      <w:pPr>
        <w:pStyle w:val="Point0number"/>
        <w:rPr>
          <w:noProof/>
        </w:rPr>
      </w:pPr>
      <w:r>
        <w:rPr>
          <w:noProof/>
        </w:rPr>
        <w:t>Skupni odbor lahko tudi drugim osebam dovoli, da se udeležijo njegovih sej kot opazovalci.</w:t>
      </w:r>
    </w:p>
    <w:p w:rsidR="006551B7" w:rsidRDefault="004627E8">
      <w:pPr>
        <w:pStyle w:val="Point0number"/>
        <w:rPr>
          <w:noProof/>
        </w:rPr>
      </w:pPr>
      <w:r>
        <w:rPr>
          <w:noProof/>
        </w:rPr>
        <w:t>Predsednik lahko opazovalcem dovoli, da sodelujejo v razpravah in zagotovijo strokovno znanje. Vendar opazovalci nimajo glasovalnih pravic ter ne sodelujejo pri oblikovanju odločitev in priporočil skupnega odbora.</w:t>
      </w:r>
    </w:p>
    <w:p w:rsidR="006551B7" w:rsidRDefault="004627E8">
      <w:pPr>
        <w:pStyle w:val="Point0number"/>
        <w:rPr>
          <w:noProof/>
        </w:rPr>
      </w:pPr>
      <w:r>
        <w:rPr>
          <w:noProof/>
        </w:rPr>
        <w:t>Strokovnjaki s posebnim strokovnim znanjem so lahko povabljeni tudi v zvezi s posebnimi točkami dnevnega reda.</w:t>
      </w:r>
    </w:p>
    <w:p w:rsidR="006551B7" w:rsidRDefault="004627E8">
      <w:pPr>
        <w:pStyle w:val="Titrearticle"/>
        <w:rPr>
          <w:noProof/>
        </w:rPr>
      </w:pPr>
      <w:r>
        <w:rPr>
          <w:noProof/>
        </w:rPr>
        <w:t>Člen 3</w:t>
      </w:r>
    </w:p>
    <w:p w:rsidR="006551B7" w:rsidRDefault="004627E8">
      <w:pPr>
        <w:pStyle w:val="Titrearticle"/>
        <w:rPr>
          <w:b/>
          <w:i w:val="0"/>
          <w:noProof/>
        </w:rPr>
      </w:pPr>
      <w:r>
        <w:rPr>
          <w:b/>
          <w:i w:val="0"/>
          <w:noProof/>
        </w:rPr>
        <w:t>Sklic seje</w:t>
      </w:r>
    </w:p>
    <w:p w:rsidR="006551B7" w:rsidRDefault="004627E8">
      <w:pPr>
        <w:pStyle w:val="Point0number"/>
        <w:numPr>
          <w:ilvl w:val="0"/>
          <w:numId w:val="22"/>
        </w:numPr>
        <w:rPr>
          <w:noProof/>
          <w:szCs w:val="24"/>
        </w:rPr>
      </w:pPr>
      <w:r>
        <w:rPr>
          <w:noProof/>
        </w:rPr>
        <w:t xml:space="preserve">Seje skupnega odbora skliče predsednik vsaj enkrat vsaki dve leti. Sklic seje lahko zahteva katera koli od pogodbenic. </w:t>
      </w:r>
    </w:p>
    <w:p w:rsidR="006551B7" w:rsidRDefault="004627E8">
      <w:pPr>
        <w:pStyle w:val="Point0number"/>
        <w:rPr>
          <w:noProof/>
        </w:rPr>
      </w:pPr>
      <w:r>
        <w:rPr>
          <w:noProof/>
        </w:rPr>
        <w:lastRenderedPageBreak/>
        <w:t>Pogodbenici se dogovorita o datumu in kraju vsake seje.</w:t>
      </w:r>
    </w:p>
    <w:p w:rsidR="006551B7" w:rsidRDefault="004627E8">
      <w:pPr>
        <w:pStyle w:val="Point0number"/>
        <w:rPr>
          <w:noProof/>
        </w:rPr>
      </w:pPr>
      <w:r>
        <w:rPr>
          <w:noProof/>
        </w:rPr>
        <w:t xml:space="preserve">Seje so lahko tudi v obliki telekonference/videokonference. </w:t>
      </w:r>
    </w:p>
    <w:p w:rsidR="006551B7" w:rsidRDefault="004627E8">
      <w:pPr>
        <w:pStyle w:val="Point0number"/>
        <w:rPr>
          <w:noProof/>
        </w:rPr>
      </w:pPr>
      <w:r>
        <w:rPr>
          <w:noProof/>
        </w:rPr>
        <w:t>Predsednik vsaj 15 delovnih dni pred sejo pošlje povabilo drugi pogodbenici, opazovalcem iz člena 2(2) in strokovnjakom. Evropska komisija povabi predstavnike držav članic Evropske unije iz člena 2(1).</w:t>
      </w:r>
    </w:p>
    <w:p w:rsidR="006551B7" w:rsidRDefault="004627E8">
      <w:pPr>
        <w:pStyle w:val="Point0number"/>
        <w:rPr>
          <w:noProof/>
        </w:rPr>
      </w:pPr>
      <w:r>
        <w:rPr>
          <w:noProof/>
        </w:rPr>
        <w:t xml:space="preserve">Če ni dogovorjeno drugače, seje niso javne. Razprave skupnega odbora so zaupne. </w:t>
      </w:r>
    </w:p>
    <w:p w:rsidR="006551B7" w:rsidRDefault="004627E8">
      <w:pPr>
        <w:pStyle w:val="Titrearticle"/>
        <w:rPr>
          <w:noProof/>
        </w:rPr>
      </w:pPr>
      <w:r>
        <w:rPr>
          <w:noProof/>
        </w:rPr>
        <w:t>Člen 4</w:t>
      </w:r>
    </w:p>
    <w:p w:rsidR="006551B7" w:rsidRDefault="004627E8">
      <w:pPr>
        <w:pStyle w:val="Titrearticle"/>
        <w:rPr>
          <w:b/>
          <w:i w:val="0"/>
          <w:noProof/>
        </w:rPr>
      </w:pPr>
      <w:r>
        <w:rPr>
          <w:b/>
          <w:i w:val="0"/>
          <w:noProof/>
        </w:rPr>
        <w:t>Dnevni red</w:t>
      </w:r>
    </w:p>
    <w:p w:rsidR="006551B7" w:rsidRDefault="004627E8">
      <w:pPr>
        <w:pStyle w:val="Point0number"/>
        <w:numPr>
          <w:ilvl w:val="0"/>
          <w:numId w:val="23"/>
        </w:numPr>
        <w:rPr>
          <w:noProof/>
        </w:rPr>
      </w:pPr>
      <w:r>
        <w:rPr>
          <w:noProof/>
        </w:rPr>
        <w:t>Predsednik za vsako sejo pripravi začasni dnevni red in ga predloži pogodbenicama najpozneje šest mesecev pred sejo. Pogodbenici se o končnem dnevnem redu dogovorita najpozneje 15 delovnih dni pred sejo, predsednik pa ga razpošlje.</w:t>
      </w:r>
    </w:p>
    <w:p w:rsidR="006551B7" w:rsidRDefault="004627E8">
      <w:pPr>
        <w:pStyle w:val="Point0number"/>
        <w:rPr>
          <w:noProof/>
        </w:rPr>
      </w:pPr>
      <w:r>
        <w:rPr>
          <w:noProof/>
        </w:rPr>
        <w:t>Referenčni dokumenti in spremna dokumentacija se pogodbenicama pošljejo najpozneje do datuma odpošiljanja začasnega dnevnega reda.</w:t>
      </w:r>
    </w:p>
    <w:p w:rsidR="006551B7" w:rsidRDefault="004627E8">
      <w:pPr>
        <w:pStyle w:val="Point0number"/>
        <w:rPr>
          <w:noProof/>
        </w:rPr>
      </w:pPr>
      <w:r>
        <w:rPr>
          <w:noProof/>
        </w:rPr>
        <w:t>Kar zadeva točke dnevnega reda, ki se nanašajo na odločitve skupnega odbora, se zahteve za vključitev na dnevni red in vsi povezani dokumenti skupnemu odboru pošljejo vsaj sedem mesecev pred sejo.</w:t>
      </w:r>
    </w:p>
    <w:p w:rsidR="006551B7" w:rsidRDefault="004627E8">
      <w:pPr>
        <w:pStyle w:val="Titrearticle"/>
        <w:rPr>
          <w:noProof/>
        </w:rPr>
      </w:pPr>
      <w:r>
        <w:rPr>
          <w:noProof/>
        </w:rPr>
        <w:t>Člen 5</w:t>
      </w:r>
    </w:p>
    <w:p w:rsidR="006551B7" w:rsidRDefault="004627E8">
      <w:pPr>
        <w:pStyle w:val="Titrearticle"/>
        <w:rPr>
          <w:b/>
          <w:i w:val="0"/>
          <w:noProof/>
        </w:rPr>
      </w:pPr>
      <w:r>
        <w:rPr>
          <w:b/>
          <w:i w:val="0"/>
          <w:noProof/>
        </w:rPr>
        <w:t>Administrativna podpora</w:t>
      </w:r>
    </w:p>
    <w:p w:rsidR="006551B7" w:rsidRDefault="004627E8">
      <w:pPr>
        <w:pStyle w:val="Point0number"/>
        <w:numPr>
          <w:ilvl w:val="0"/>
          <w:numId w:val="24"/>
        </w:numPr>
        <w:rPr>
          <w:noProof/>
          <w:szCs w:val="24"/>
        </w:rPr>
      </w:pPr>
      <w:r>
        <w:rPr>
          <w:noProof/>
        </w:rPr>
        <w:t>Naloge sekretarja skupnega odbora izvaja predsednik. Vso pošto, namenjeno skupnemu odboru, vključno z zahtevami za vključitev točk na dnevni red sej ali odstranitev točk z njega, je treba nasloviti na predsednika.</w:t>
      </w:r>
    </w:p>
    <w:p w:rsidR="006551B7" w:rsidRDefault="004627E8">
      <w:pPr>
        <w:pStyle w:val="Point0number"/>
        <w:rPr>
          <w:noProof/>
        </w:rPr>
      </w:pPr>
      <w:r>
        <w:rPr>
          <w:noProof/>
        </w:rPr>
        <w:t>Ne glede na navedeno Komisija opravlja naloge sekretarja v zvezi s sporočanjem statističnih podatkov, zagotovljenih v skladu s členoma 20 in 39 Sporazuma.</w:t>
      </w:r>
    </w:p>
    <w:p w:rsidR="006551B7" w:rsidRDefault="004627E8">
      <w:pPr>
        <w:pStyle w:val="Titrearticle"/>
        <w:rPr>
          <w:noProof/>
        </w:rPr>
      </w:pPr>
      <w:r>
        <w:rPr>
          <w:noProof/>
        </w:rPr>
        <w:t>Člen 6</w:t>
      </w:r>
    </w:p>
    <w:p w:rsidR="006551B7" w:rsidRDefault="004627E8">
      <w:pPr>
        <w:pStyle w:val="Titrearticle"/>
        <w:rPr>
          <w:b/>
          <w:i w:val="0"/>
          <w:noProof/>
        </w:rPr>
      </w:pPr>
      <w:r>
        <w:rPr>
          <w:b/>
          <w:i w:val="0"/>
          <w:noProof/>
        </w:rPr>
        <w:t>Zapisnik seje</w:t>
      </w:r>
    </w:p>
    <w:p w:rsidR="006551B7" w:rsidRDefault="004627E8">
      <w:pPr>
        <w:pStyle w:val="Point0number"/>
        <w:numPr>
          <w:ilvl w:val="0"/>
          <w:numId w:val="26"/>
        </w:numPr>
        <w:rPr>
          <w:noProof/>
        </w:rPr>
      </w:pPr>
      <w:r>
        <w:rPr>
          <w:noProof/>
        </w:rPr>
        <w:t>Predsednik pripravi osnutek zapisnika vsake seje. Predsednik zapisnik razpošlje čim prej, najpozneje pa en mesec po seji. Pogodbenici se medsebojno dogovorita o zapisniku.</w:t>
      </w:r>
    </w:p>
    <w:p w:rsidR="006551B7" w:rsidRDefault="004627E8">
      <w:pPr>
        <w:pStyle w:val="Point0number"/>
        <w:rPr>
          <w:noProof/>
        </w:rPr>
      </w:pPr>
      <w:r>
        <w:rPr>
          <w:noProof/>
        </w:rPr>
        <w:t>Predsednik sprejeti zapisnik pošlje pogodbenicama.</w:t>
      </w:r>
    </w:p>
    <w:p w:rsidR="006551B7" w:rsidRDefault="004627E8">
      <w:pPr>
        <w:pStyle w:val="Titrearticle"/>
        <w:rPr>
          <w:noProof/>
        </w:rPr>
      </w:pPr>
      <w:r>
        <w:rPr>
          <w:noProof/>
        </w:rPr>
        <w:t>Člen 7</w:t>
      </w:r>
    </w:p>
    <w:p w:rsidR="006551B7" w:rsidRDefault="004627E8">
      <w:pPr>
        <w:pStyle w:val="Titrearticle"/>
        <w:rPr>
          <w:b/>
          <w:i w:val="0"/>
          <w:noProof/>
        </w:rPr>
      </w:pPr>
      <w:r>
        <w:rPr>
          <w:b/>
          <w:i w:val="0"/>
          <w:noProof/>
        </w:rPr>
        <w:t>Sprejemanje odločitev in priporočil</w:t>
      </w:r>
    </w:p>
    <w:p w:rsidR="006551B7" w:rsidRDefault="004627E8">
      <w:pPr>
        <w:pStyle w:val="Point0number"/>
        <w:numPr>
          <w:ilvl w:val="0"/>
          <w:numId w:val="25"/>
        </w:numPr>
        <w:rPr>
          <w:noProof/>
          <w:szCs w:val="24"/>
        </w:rPr>
      </w:pPr>
      <w:r>
        <w:rPr>
          <w:noProof/>
        </w:rPr>
        <w:t xml:space="preserve">Pogodbenici predhodno razpravljata o vseh odločitvah in priporočilih skupnega odbora. </w:t>
      </w:r>
    </w:p>
    <w:p w:rsidR="006551B7" w:rsidRDefault="004627E8">
      <w:pPr>
        <w:pStyle w:val="Point0number"/>
        <w:rPr>
          <w:noProof/>
        </w:rPr>
      </w:pPr>
      <w:r>
        <w:rPr>
          <w:noProof/>
        </w:rPr>
        <w:t>Odločitve in priporočila skupnega odbora se soglasno sprejmejo na njegovih sejah.</w:t>
      </w:r>
    </w:p>
    <w:p w:rsidR="006551B7" w:rsidRDefault="004627E8">
      <w:pPr>
        <w:pStyle w:val="Point0number"/>
        <w:rPr>
          <w:noProof/>
        </w:rPr>
      </w:pPr>
      <w:r>
        <w:rPr>
          <w:noProof/>
        </w:rPr>
        <w:lastRenderedPageBreak/>
        <w:t xml:space="preserve">Odločitve ali priporočila se lahko sprejmejo po pisnem postopku, če se s tem strinjata obe pogodbenici. </w:t>
      </w:r>
    </w:p>
    <w:p w:rsidR="006551B7" w:rsidRDefault="004627E8">
      <w:pPr>
        <w:pStyle w:val="Point0number"/>
        <w:rPr>
          <w:noProof/>
        </w:rPr>
      </w:pPr>
      <w:r>
        <w:rPr>
          <w:noProof/>
        </w:rPr>
        <w:t>Predsednik v okviru pisnega postopka pogodbenicama pošlje osnutke odločitev in priporočil ter določi rok, v katerem morata izraziti svoje stališče. Za vsako pogodbenico, ki pred iztekom navedenega roka ne nasprotuje osnutkom aktov, se šteje, da je dala tiho soglasje k osnutkom aktov.</w:t>
      </w:r>
    </w:p>
    <w:p w:rsidR="006551B7" w:rsidRDefault="004627E8">
      <w:pPr>
        <w:pStyle w:val="Point0number"/>
        <w:rPr>
          <w:noProof/>
        </w:rPr>
      </w:pPr>
      <w:r>
        <w:rPr>
          <w:noProof/>
        </w:rPr>
        <w:t xml:space="preserve">Predsednik pogodbenici čim prej obvesti o izidu pisnega postopka, najpozneje pa 14 koledarskih dni po izteku roka. </w:t>
      </w:r>
    </w:p>
    <w:p w:rsidR="006551B7" w:rsidRDefault="004627E8">
      <w:pPr>
        <w:pStyle w:val="Titrearticle"/>
        <w:rPr>
          <w:noProof/>
        </w:rPr>
      </w:pPr>
      <w:r>
        <w:rPr>
          <w:noProof/>
        </w:rPr>
        <w:t>Člen 8</w:t>
      </w:r>
    </w:p>
    <w:p w:rsidR="006551B7" w:rsidRDefault="004627E8">
      <w:pPr>
        <w:pStyle w:val="Titrearticle"/>
        <w:rPr>
          <w:b/>
          <w:i w:val="0"/>
          <w:noProof/>
        </w:rPr>
      </w:pPr>
      <w:r>
        <w:rPr>
          <w:b/>
          <w:i w:val="0"/>
          <w:noProof/>
        </w:rPr>
        <w:t>Odhodki</w:t>
      </w:r>
    </w:p>
    <w:p w:rsidR="006551B7" w:rsidRDefault="004627E8">
      <w:pPr>
        <w:rPr>
          <w:noProof/>
        </w:rPr>
      </w:pPr>
      <w:r>
        <w:rPr>
          <w:noProof/>
        </w:rPr>
        <w:t>Vsaka pogodbenica in po potrebi vsak opazovalec krijeta stroške, nastale zaradi udeležbe na sejah skupnega odbora.</w:t>
      </w:r>
    </w:p>
    <w:p w:rsidR="006551B7" w:rsidRDefault="004627E8">
      <w:pPr>
        <w:rPr>
          <w:noProof/>
        </w:rPr>
      </w:pPr>
      <w:r>
        <w:rPr>
          <w:i/>
          <w:noProof/>
        </w:rPr>
        <w:t>Datum</w:t>
      </w:r>
    </w:p>
    <w:p w:rsidR="006551B7" w:rsidRDefault="006551B7">
      <w:pPr>
        <w:rPr>
          <w:noProof/>
        </w:rPr>
        <w:sectPr w:rsidR="006551B7">
          <w:footerReference w:type="default" r:id="rId22"/>
          <w:footerReference w:type="first" r:id="rId23"/>
          <w:pgSz w:w="11907" w:h="16839"/>
          <w:pgMar w:top="1134" w:right="1417" w:bottom="1134" w:left="1417" w:header="709" w:footer="709" w:gutter="0"/>
          <w:cols w:space="720"/>
          <w:docGrid w:linePitch="360"/>
        </w:sectPr>
      </w:pPr>
    </w:p>
    <w:p w:rsidR="006551B7" w:rsidRDefault="004627E8">
      <w:pPr>
        <w:pStyle w:val="Annexetitre"/>
        <w:rPr>
          <w:noProof/>
        </w:rPr>
      </w:pPr>
      <w:r>
        <w:rPr>
          <w:noProof/>
        </w:rPr>
        <w:lastRenderedPageBreak/>
        <w:t>PRILOGA 2</w:t>
      </w:r>
    </w:p>
    <w:p w:rsidR="006551B7" w:rsidRDefault="004627E8">
      <w:pPr>
        <w:pStyle w:val="NormalCentered"/>
        <w:rPr>
          <w:b/>
          <w:noProof/>
        </w:rPr>
      </w:pPr>
      <w:r>
        <w:rPr>
          <w:b/>
          <w:noProof/>
        </w:rPr>
        <w:t>Osnutek</w:t>
      </w:r>
    </w:p>
    <w:p w:rsidR="006551B7" w:rsidRDefault="004627E8">
      <w:pPr>
        <w:pStyle w:val="NormalCentered"/>
        <w:rPr>
          <w:b/>
          <w:noProof/>
        </w:rPr>
      </w:pPr>
      <w:r>
        <w:rPr>
          <w:b/>
          <w:noProof/>
        </w:rPr>
        <w:t xml:space="preserve">ODLOČITEV št. 2/[datum] skupnega odbora z dne [datum] </w:t>
      </w:r>
      <w:r>
        <w:rPr>
          <w:b/>
          <w:noProof/>
        </w:rPr>
        <w:br/>
        <w:t>o sprejetju standardnih obrazcev, prenosu sporočil in praktičnih ureditvah za organizacijo stikov med centralnimi uradi za zvezo</w:t>
      </w:r>
    </w:p>
    <w:p w:rsidR="006551B7" w:rsidRDefault="004627E8">
      <w:pPr>
        <w:pStyle w:val="Titrearticle"/>
        <w:jc w:val="both"/>
        <w:rPr>
          <w:i w:val="0"/>
          <w:noProof/>
        </w:rPr>
      </w:pPr>
      <w:r>
        <w:rPr>
          <w:i w:val="0"/>
          <w:noProof/>
        </w:rPr>
        <w:t>SKUPNI ODBOR, ustanovljen v skladu s členom 41(1) Sporazuma med Evropsko unijo in Kraljevino Norveško o upravnem sodelovanju, boju proti goljufijam in izterjavi terjatev na področju davka na dodano vrednost (v nadaljnjem besedilu: Sporazum), JE –</w:t>
      </w:r>
    </w:p>
    <w:p w:rsidR="006551B7" w:rsidRDefault="004627E8">
      <w:pPr>
        <w:rPr>
          <w:noProof/>
        </w:rPr>
      </w:pPr>
      <w:r>
        <w:rPr>
          <w:noProof/>
        </w:rPr>
        <w:t>ob upoštevanju naslednjega:</w:t>
      </w:r>
    </w:p>
    <w:p w:rsidR="006551B7" w:rsidRDefault="004627E8">
      <w:pPr>
        <w:pStyle w:val="Point0number"/>
        <w:numPr>
          <w:ilvl w:val="0"/>
          <w:numId w:val="35"/>
        </w:numPr>
        <w:rPr>
          <w:noProof/>
        </w:rPr>
      </w:pPr>
      <w:r>
        <w:rPr>
          <w:noProof/>
        </w:rPr>
        <w:t>(a)</w:t>
      </w:r>
      <w:r>
        <w:rPr>
          <w:noProof/>
        </w:rPr>
        <w:tab/>
        <w:t>orodja za prenos sporočil, kot so standardni obrazci in elektronski komunikacijski sistemi, se že uporabljajo v okviru Uredbe Sveta (EU) št. 904/2010 o upravnem sodelovanju in boju proti goljufijam na področju davka na dodano vrednost</w:t>
      </w:r>
      <w:r>
        <w:rPr>
          <w:rStyle w:val="FootnoteReference"/>
          <w:noProof/>
        </w:rPr>
        <w:footnoteReference w:id="1"/>
      </w:r>
      <w:r>
        <w:rPr>
          <w:noProof/>
        </w:rPr>
        <w:t xml:space="preserve"> in Direktive Sveta 2010/24/EU o vzajemni pomoči pri izterjavi terjatev v zvezi z davki, carinami in drugimi ukrepi</w:t>
      </w:r>
      <w:r>
        <w:rPr>
          <w:rStyle w:val="FootnoteReference"/>
          <w:noProof/>
        </w:rPr>
        <w:footnoteReference w:id="2"/>
      </w:r>
      <w:r>
        <w:rPr>
          <w:noProof/>
        </w:rPr>
        <w:t xml:space="preserve"> ter so v celoti združljiva z okvirom upravnega sodelovanja iz Sporazuma;</w:t>
      </w:r>
    </w:p>
    <w:p w:rsidR="006551B7" w:rsidRDefault="004627E8">
      <w:pPr>
        <w:pStyle w:val="Point0number"/>
        <w:rPr>
          <w:noProof/>
        </w:rPr>
      </w:pPr>
      <w:r>
        <w:rPr>
          <w:noProof/>
        </w:rPr>
        <w:t>(b)</w:t>
      </w:r>
      <w:r>
        <w:rPr>
          <w:noProof/>
        </w:rPr>
        <w:tab/>
        <w:t>sprejeti je treba praktične ureditve za izvajanje točk (d), (e), (g) in (h) člena 41(2) Sporazuma –</w:t>
      </w:r>
    </w:p>
    <w:p w:rsidR="006551B7" w:rsidRDefault="004627E8">
      <w:pPr>
        <w:pStyle w:val="Formuledadoption"/>
        <w:rPr>
          <w:noProof/>
        </w:rPr>
      </w:pPr>
      <w:r>
        <w:rPr>
          <w:noProof/>
        </w:rPr>
        <w:t xml:space="preserve">SPREJEL NASLEDNJO ODLOČITEV:  </w:t>
      </w:r>
    </w:p>
    <w:p w:rsidR="006551B7" w:rsidRDefault="004627E8">
      <w:pPr>
        <w:pStyle w:val="Titrearticle"/>
        <w:rPr>
          <w:noProof/>
        </w:rPr>
      </w:pPr>
      <w:r>
        <w:rPr>
          <w:noProof/>
        </w:rPr>
        <w:t>Člen 1</w:t>
      </w:r>
    </w:p>
    <w:p w:rsidR="006551B7" w:rsidRDefault="004627E8">
      <w:pPr>
        <w:pStyle w:val="Titrearticle"/>
        <w:rPr>
          <w:b/>
          <w:i w:val="0"/>
          <w:noProof/>
        </w:rPr>
      </w:pPr>
      <w:r>
        <w:rPr>
          <w:b/>
          <w:i w:val="0"/>
          <w:noProof/>
        </w:rPr>
        <w:t xml:space="preserve">Standardni obrazci </w:t>
      </w:r>
    </w:p>
    <w:p w:rsidR="006551B7" w:rsidRDefault="004627E8">
      <w:pPr>
        <w:rPr>
          <w:noProof/>
        </w:rPr>
      </w:pPr>
      <w:r>
        <w:rPr>
          <w:noProof/>
        </w:rPr>
        <w:t>Pristojni organi v skladu s členoma 21(1) in 40(1) Sporazuma za sporočanje informacij iz naslovov II in III Sporazuma uporabljajo standardne obrazce, sprejete za izvajanje Uredbe Sveta (EU) št. 904/2010 in Direktive Sveta 2010/24/EU.</w:t>
      </w:r>
    </w:p>
    <w:p w:rsidR="006551B7" w:rsidRDefault="004627E8">
      <w:pPr>
        <w:rPr>
          <w:noProof/>
        </w:rPr>
      </w:pPr>
      <w:r>
        <w:rPr>
          <w:noProof/>
        </w:rPr>
        <w:t>Struktura in oblika standardnih obrazcev se lahko prilagodita morebitnim novim zahtevam in zmogljivostim sistemov sporočanja in izmenjave informacij, če se podatki in informacije v njih bistveno ne spremenijo.</w:t>
      </w:r>
    </w:p>
    <w:p w:rsidR="006551B7" w:rsidRDefault="004627E8">
      <w:pPr>
        <w:pStyle w:val="Titrearticle"/>
        <w:rPr>
          <w:noProof/>
        </w:rPr>
      </w:pPr>
      <w:r>
        <w:rPr>
          <w:noProof/>
        </w:rPr>
        <w:t>Člen 2</w:t>
      </w:r>
    </w:p>
    <w:p w:rsidR="006551B7" w:rsidRDefault="004627E8">
      <w:pPr>
        <w:pStyle w:val="Titrearticle"/>
        <w:rPr>
          <w:b/>
          <w:i w:val="0"/>
          <w:noProof/>
        </w:rPr>
      </w:pPr>
      <w:r>
        <w:rPr>
          <w:b/>
          <w:i w:val="0"/>
          <w:noProof/>
        </w:rPr>
        <w:t xml:space="preserve">Prenos sporočil </w:t>
      </w:r>
    </w:p>
    <w:p w:rsidR="006551B7" w:rsidRDefault="004627E8">
      <w:pPr>
        <w:rPr>
          <w:noProof/>
        </w:rPr>
      </w:pPr>
      <w:r>
        <w:rPr>
          <w:noProof/>
        </w:rPr>
        <w:t xml:space="preserve">Vse informacije, sporočene v skladu z naslovoma II in III Sporazuma, se prenesejo samo z elektronskimi sredstvi prek omrežja CCN/CSI, razen če iz tehničnih razlogov to ni izvedljivo. </w:t>
      </w:r>
    </w:p>
    <w:p w:rsidR="006551B7" w:rsidRDefault="004627E8">
      <w:pPr>
        <w:pStyle w:val="Titrearticle"/>
        <w:rPr>
          <w:noProof/>
        </w:rPr>
      </w:pPr>
      <w:r>
        <w:rPr>
          <w:noProof/>
        </w:rPr>
        <w:t>Člen 3</w:t>
      </w:r>
    </w:p>
    <w:p w:rsidR="006551B7" w:rsidRDefault="004627E8">
      <w:pPr>
        <w:pStyle w:val="Titrearticle"/>
        <w:rPr>
          <w:b/>
          <w:i w:val="0"/>
          <w:noProof/>
        </w:rPr>
      </w:pPr>
      <w:r>
        <w:rPr>
          <w:b/>
          <w:i w:val="0"/>
          <w:noProof/>
        </w:rPr>
        <w:t xml:space="preserve">Organizacija stikov </w:t>
      </w:r>
    </w:p>
    <w:p w:rsidR="006551B7" w:rsidRDefault="004627E8">
      <w:pPr>
        <w:pStyle w:val="Point0number"/>
        <w:numPr>
          <w:ilvl w:val="0"/>
          <w:numId w:val="36"/>
        </w:numPr>
        <w:rPr>
          <w:noProof/>
        </w:rPr>
      </w:pPr>
      <w:r>
        <w:rPr>
          <w:noProof/>
        </w:rPr>
        <w:t>Pristojni organi za organizacijo stikov med centralnimi uradi za zvezo in službami za zvezo iz člena 4(2)(b) in 4(3)(b) Sporazuma uporabljajo pravila, sprejeta za izvajanje Direktive Sveta 2010/24/EU.</w:t>
      </w:r>
    </w:p>
    <w:p w:rsidR="006551B7" w:rsidRDefault="004627E8">
      <w:pPr>
        <w:pStyle w:val="Point0number"/>
        <w:numPr>
          <w:ilvl w:val="0"/>
          <w:numId w:val="25"/>
        </w:numPr>
        <w:rPr>
          <w:noProof/>
          <w:szCs w:val="24"/>
        </w:rPr>
      </w:pPr>
      <w:r>
        <w:rPr>
          <w:noProof/>
        </w:rPr>
        <w:t>Centralni uradi za zvezo, imenovani v skladu s členom 4(2) Sporazuma, posodabljajo seznam služb za zvezo in pristojnih uradnikov, imenovanih v skladu s členom 4(3) in členom 4(4), ter ga dajo prek elektronskih sredstev na voljo drugim centralnim uradom za zvezo.</w:t>
      </w:r>
    </w:p>
    <w:p w:rsidR="006551B7" w:rsidRDefault="004627E8">
      <w:pPr>
        <w:pStyle w:val="Date"/>
        <w:rPr>
          <w:i/>
          <w:noProof/>
        </w:rPr>
      </w:pPr>
      <w:r>
        <w:rPr>
          <w:i/>
          <w:noProof/>
        </w:rPr>
        <w:t>Datum</w:t>
      </w:r>
    </w:p>
    <w:p w:rsidR="006551B7" w:rsidRDefault="006551B7">
      <w:pPr>
        <w:rPr>
          <w:noProof/>
        </w:rPr>
        <w:sectPr w:rsidR="006551B7">
          <w:pgSz w:w="11907" w:h="16839"/>
          <w:pgMar w:top="1134" w:right="1417" w:bottom="1134" w:left="1417" w:header="709" w:footer="709" w:gutter="0"/>
          <w:cols w:space="720"/>
          <w:docGrid w:linePitch="360"/>
        </w:sectPr>
      </w:pPr>
    </w:p>
    <w:p w:rsidR="006551B7" w:rsidRDefault="004627E8">
      <w:pPr>
        <w:pStyle w:val="Annexetitre"/>
        <w:rPr>
          <w:noProof/>
        </w:rPr>
      </w:pPr>
      <w:r>
        <w:rPr>
          <w:noProof/>
        </w:rPr>
        <w:t>PRILOGA 3</w:t>
      </w:r>
    </w:p>
    <w:p w:rsidR="006551B7" w:rsidRDefault="004627E8">
      <w:pPr>
        <w:pStyle w:val="NormalCentered"/>
        <w:rPr>
          <w:b/>
          <w:noProof/>
        </w:rPr>
      </w:pPr>
      <w:r>
        <w:rPr>
          <w:b/>
          <w:noProof/>
        </w:rPr>
        <w:t>Osnutek</w:t>
      </w:r>
    </w:p>
    <w:p w:rsidR="006551B7" w:rsidRDefault="004627E8">
      <w:pPr>
        <w:pStyle w:val="NormalCentered"/>
        <w:rPr>
          <w:b/>
          <w:noProof/>
        </w:rPr>
      </w:pPr>
      <w:r>
        <w:rPr>
          <w:b/>
          <w:noProof/>
        </w:rPr>
        <w:t xml:space="preserve">ODLOČITEV št. 3/[datum] skupnega odbora z dne [datum] </w:t>
      </w:r>
      <w:r>
        <w:rPr>
          <w:b/>
          <w:noProof/>
        </w:rPr>
        <w:br/>
        <w:t>o sprejetju postopka za sklenitev sporazuma o ravni storitve</w:t>
      </w:r>
    </w:p>
    <w:p w:rsidR="006551B7" w:rsidRDefault="004627E8">
      <w:pPr>
        <w:pStyle w:val="Titrearticle"/>
        <w:jc w:val="both"/>
        <w:rPr>
          <w:i w:val="0"/>
          <w:noProof/>
        </w:rPr>
      </w:pPr>
      <w:r>
        <w:rPr>
          <w:i w:val="0"/>
          <w:noProof/>
        </w:rPr>
        <w:t>SKUPNI ODBOR, ustanovljen v skladu s členom 41(1) Sporazuma med Evropsko unijo in Kraljevino Norveško o upravnem sodelovanju, boju proti goljufijam in izterjavi terjatev na področju davka na dodano vrednost (v nadaljnjem besedilu: Sporazum), JE –</w:t>
      </w:r>
    </w:p>
    <w:p w:rsidR="006551B7" w:rsidRDefault="004627E8">
      <w:pPr>
        <w:rPr>
          <w:noProof/>
        </w:rPr>
      </w:pPr>
      <w:r>
        <w:rPr>
          <w:noProof/>
        </w:rPr>
        <w:t>ob upoštevanju naslednjega:</w:t>
      </w:r>
    </w:p>
    <w:p w:rsidR="006551B7" w:rsidRDefault="004627E8">
      <w:pPr>
        <w:pStyle w:val="Point0number"/>
        <w:rPr>
          <w:noProof/>
        </w:rPr>
      </w:pPr>
      <w:r>
        <w:rPr>
          <w:noProof/>
        </w:rPr>
        <w:t>(a)</w:t>
      </w:r>
      <w:r>
        <w:rPr>
          <w:noProof/>
        </w:rPr>
        <w:tab/>
        <w:t>za zagotavljanje tehnične kakovosti in količine storitev za delovanje sistemov sporočanja in izmenjave informacij se v skladu s postopkom, ki ga določi skupni odbor, sklene sporazum o ravni storitve;</w:t>
      </w:r>
    </w:p>
    <w:p w:rsidR="006551B7" w:rsidRDefault="004627E8">
      <w:pPr>
        <w:pStyle w:val="Point0number"/>
        <w:rPr>
          <w:noProof/>
        </w:rPr>
      </w:pPr>
      <w:r>
        <w:rPr>
          <w:noProof/>
        </w:rPr>
        <w:t>(b)</w:t>
      </w:r>
      <w:r>
        <w:rPr>
          <w:noProof/>
        </w:rPr>
        <w:tab/>
        <w:t>sprejeti je treba praktične ureditve za izvajanje člena 5 Sporazuma –</w:t>
      </w:r>
    </w:p>
    <w:p w:rsidR="006551B7" w:rsidRDefault="004627E8">
      <w:pPr>
        <w:pStyle w:val="Formuledadoption"/>
        <w:rPr>
          <w:noProof/>
        </w:rPr>
      </w:pPr>
      <w:r>
        <w:rPr>
          <w:noProof/>
        </w:rPr>
        <w:t xml:space="preserve">SPREJEL NASLEDNJO ODLOČITEV:  </w:t>
      </w:r>
    </w:p>
    <w:p w:rsidR="006551B7" w:rsidRDefault="004627E8">
      <w:pPr>
        <w:pStyle w:val="Titrearticle"/>
        <w:rPr>
          <w:noProof/>
        </w:rPr>
      </w:pPr>
      <w:r>
        <w:rPr>
          <w:noProof/>
        </w:rPr>
        <w:t xml:space="preserve">Edini člen </w:t>
      </w:r>
    </w:p>
    <w:p w:rsidR="006551B7" w:rsidRDefault="004627E8">
      <w:pPr>
        <w:pStyle w:val="Point0number"/>
        <w:numPr>
          <w:ilvl w:val="0"/>
          <w:numId w:val="34"/>
        </w:numPr>
        <w:rPr>
          <w:noProof/>
        </w:rPr>
      </w:pPr>
      <w:r>
        <w:rPr>
          <w:noProof/>
        </w:rPr>
        <w:t>Skupni odbor sklene sporazum o ravni storitve iz člena 5 Sporazuma, ki pogodbenici zavezuje od dneva, ko ga odobri skupni odbor.</w:t>
      </w:r>
    </w:p>
    <w:p w:rsidR="006551B7" w:rsidRDefault="004627E8">
      <w:pPr>
        <w:pStyle w:val="Point0number"/>
        <w:rPr>
          <w:noProof/>
        </w:rPr>
      </w:pPr>
      <w:r>
        <w:rPr>
          <w:noProof/>
        </w:rPr>
        <w:t>Vsaka pogodbenica lahko zahteva pregled sporazuma o ravni storitve, tako da predsedniku skupnega odbora pošlje zahtevek. Določbe zadnjega sklenjenega sporazuma o ravni storitve ostanejo veljavne, dokler skupni odbor ne odloči o predlaganih spremembah.</w:t>
      </w:r>
    </w:p>
    <w:p w:rsidR="006551B7" w:rsidRDefault="004627E8">
      <w:pPr>
        <w:pStyle w:val="Date"/>
        <w:rPr>
          <w:i/>
          <w:noProof/>
        </w:rPr>
      </w:pPr>
      <w:r>
        <w:rPr>
          <w:i/>
          <w:noProof/>
        </w:rPr>
        <w:t xml:space="preserve">Datum </w:t>
      </w:r>
    </w:p>
    <w:p w:rsidR="006551B7" w:rsidRDefault="006551B7">
      <w:pPr>
        <w:rPr>
          <w:noProof/>
        </w:rPr>
        <w:sectPr w:rsidR="006551B7">
          <w:pgSz w:w="11907" w:h="16839"/>
          <w:pgMar w:top="1134" w:right="1417" w:bottom="1134" w:left="1417" w:header="709" w:footer="709" w:gutter="0"/>
          <w:cols w:space="720"/>
          <w:docGrid w:linePitch="360"/>
        </w:sectPr>
      </w:pPr>
    </w:p>
    <w:p w:rsidR="006551B7" w:rsidRDefault="004627E8">
      <w:pPr>
        <w:pStyle w:val="Annexetitre"/>
        <w:rPr>
          <w:noProof/>
        </w:rPr>
      </w:pPr>
      <w:r>
        <w:rPr>
          <w:noProof/>
        </w:rPr>
        <w:t>PRILOGA 4</w:t>
      </w:r>
    </w:p>
    <w:p w:rsidR="006551B7" w:rsidRDefault="004627E8">
      <w:pPr>
        <w:pStyle w:val="NormalCentered"/>
        <w:rPr>
          <w:b/>
          <w:noProof/>
        </w:rPr>
      </w:pPr>
      <w:r>
        <w:rPr>
          <w:b/>
          <w:noProof/>
        </w:rPr>
        <w:t>Osnutek</w:t>
      </w:r>
    </w:p>
    <w:p w:rsidR="006551B7" w:rsidRDefault="004627E8">
      <w:pPr>
        <w:pStyle w:val="NormalCentered"/>
        <w:rPr>
          <w:b/>
          <w:noProof/>
        </w:rPr>
      </w:pPr>
      <w:r>
        <w:rPr>
          <w:b/>
          <w:noProof/>
        </w:rPr>
        <w:t xml:space="preserve">ODLOČITEV št. 4/[datum] skupnega odbora z dne [datum] </w:t>
      </w:r>
      <w:r>
        <w:rPr>
          <w:b/>
          <w:noProof/>
        </w:rPr>
        <w:br/>
        <w:t>o sprejetju sporazuma o ravni storitve za sisteme in aplikacije za upravno sodelovanje ter izterjavo terjatev na področju DDV</w:t>
      </w:r>
    </w:p>
    <w:p w:rsidR="006551B7" w:rsidRDefault="004627E8">
      <w:pPr>
        <w:pStyle w:val="ManualHeading1"/>
        <w:rPr>
          <w:noProof/>
        </w:rPr>
      </w:pPr>
      <w:r>
        <w:rPr>
          <w:noProof/>
        </w:rPr>
        <w:t>1.</w:t>
      </w:r>
      <w:r>
        <w:rPr>
          <w:noProof/>
        </w:rPr>
        <w:tab/>
      </w:r>
      <w:r>
        <w:rPr>
          <w:noProof/>
          <w:u w:val="single"/>
        </w:rPr>
        <w:t>REFERENČNI IN VELJAVNI DOKUMENTI</w:t>
      </w:r>
    </w:p>
    <w:p w:rsidR="006551B7" w:rsidRDefault="004627E8">
      <w:pPr>
        <w:pStyle w:val="ManualHeading2"/>
        <w:rPr>
          <w:caps/>
          <w:noProof/>
        </w:rPr>
      </w:pPr>
      <w:r>
        <w:rPr>
          <w:noProof/>
        </w:rPr>
        <w:t>1.1</w:t>
      </w:r>
      <w:r>
        <w:rPr>
          <w:noProof/>
        </w:rPr>
        <w:tab/>
        <w:t>VELJAVNI AKTI</w:t>
      </w:r>
    </w:p>
    <w:p w:rsidR="006551B7" w:rsidRDefault="004627E8">
      <w:pPr>
        <w:pStyle w:val="Text1"/>
        <w:rPr>
          <w:noProof/>
        </w:rPr>
      </w:pPr>
      <w:r>
        <w:rPr>
          <w:noProof/>
        </w:rPr>
        <w:t>V tem sporazumu o ravni storitve se upošteva seznam sporazumov in veljavnih odločitev, navedenih v nadaljevanju.</w:t>
      </w:r>
      <w:r>
        <w:rPr>
          <w:noProof/>
          <w:highlight w:val="yellow"/>
        </w:rPr>
        <w:t xml:space="preserve"> </w:t>
      </w:r>
    </w:p>
    <w:tbl>
      <w:tblPr>
        <w:tblW w:w="8232"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432"/>
      </w:tblGrid>
      <w:tr w:rsidR="006551B7">
        <w:tc>
          <w:tcPr>
            <w:tcW w:w="1800" w:type="dxa"/>
          </w:tcPr>
          <w:p w:rsidR="006551B7" w:rsidRDefault="004627E8">
            <w:pPr>
              <w:rPr>
                <w:noProof/>
              </w:rPr>
            </w:pPr>
            <w:bookmarkStart w:id="3" w:name="_Ref313971168"/>
            <w:r>
              <w:rPr>
                <w:noProof/>
              </w:rPr>
              <w:t>[AD.1]</w:t>
            </w:r>
          </w:p>
        </w:tc>
        <w:bookmarkEnd w:id="3"/>
        <w:tc>
          <w:tcPr>
            <w:tcW w:w="6432" w:type="dxa"/>
          </w:tcPr>
          <w:p w:rsidR="006551B7" w:rsidRDefault="004627E8">
            <w:pPr>
              <w:rPr>
                <w:noProof/>
              </w:rPr>
            </w:pPr>
            <w:r>
              <w:rPr>
                <w:noProof/>
              </w:rPr>
              <w:t>Sporazum med Evropsko unijo in Kraljevino Norveško o upravnem sodelovanju, boju proti goljufijam in izterjavi terjatev na področju davka na dodano vrednost (v nadaljnjem besedilu: Sporazum) (UL L 195, 1.8.2018, str. 3).</w:t>
            </w:r>
          </w:p>
        </w:tc>
      </w:tr>
      <w:tr w:rsidR="006551B7">
        <w:tc>
          <w:tcPr>
            <w:tcW w:w="1800" w:type="dxa"/>
          </w:tcPr>
          <w:p w:rsidR="006551B7" w:rsidRDefault="004627E8">
            <w:pPr>
              <w:rPr>
                <w:noProof/>
              </w:rPr>
            </w:pPr>
            <w:r>
              <w:rPr>
                <w:noProof/>
              </w:rPr>
              <w:t>[AD.2]</w:t>
            </w:r>
          </w:p>
        </w:tc>
        <w:tc>
          <w:tcPr>
            <w:tcW w:w="6432" w:type="dxa"/>
          </w:tcPr>
          <w:p w:rsidR="006551B7" w:rsidRDefault="004627E8">
            <w:pPr>
              <w:rPr>
                <w:rFonts w:eastAsia="Times New Roman"/>
                <w:noProof/>
                <w:szCs w:val="24"/>
              </w:rPr>
            </w:pPr>
            <w:r>
              <w:rPr>
                <w:noProof/>
              </w:rPr>
              <w:t xml:space="preserve">Odločitev skupnega odbora XX o izvajanju točk (d), (e), (g) in (h) člena 41(2) Sporazuma v zvezi s standardnimi obrazci, prenosom sporočil in organizacijo stikov z dne </w:t>
            </w:r>
            <w:r>
              <w:rPr>
                <w:i/>
                <w:noProof/>
                <w:highlight w:val="yellow"/>
              </w:rPr>
              <w:t>[datum]</w:t>
            </w:r>
            <w:r>
              <w:rPr>
                <w:noProof/>
              </w:rPr>
              <w:t>.</w:t>
            </w:r>
          </w:p>
        </w:tc>
      </w:tr>
    </w:tbl>
    <w:p w:rsidR="006551B7" w:rsidRDefault="004627E8">
      <w:pPr>
        <w:spacing w:before="60" w:after="0"/>
        <w:jc w:val="center"/>
        <w:rPr>
          <w:rFonts w:eastAsia="Times New Roman"/>
          <w:noProof/>
          <w:sz w:val="20"/>
          <w:szCs w:val="20"/>
        </w:rPr>
      </w:pPr>
      <w:r>
        <w:rPr>
          <w:noProof/>
          <w:sz w:val="20"/>
        </w:rPr>
        <w:t>Preglednica </w:t>
      </w:r>
      <w:r>
        <w:rPr>
          <w:rFonts w:eastAsia="Times New Roman"/>
          <w:noProof/>
          <w:sz w:val="20"/>
          <w:szCs w:val="20"/>
        </w:rPr>
        <w:t>1</w:t>
      </w:r>
      <w:r>
        <w:rPr>
          <w:noProof/>
          <w:sz w:val="20"/>
        </w:rPr>
        <w:t>: Veljavni akti</w:t>
      </w:r>
    </w:p>
    <w:p w:rsidR="006551B7" w:rsidRDefault="004627E8">
      <w:pPr>
        <w:pStyle w:val="ManualHeading2"/>
        <w:rPr>
          <w:noProof/>
        </w:rPr>
      </w:pPr>
      <w:r>
        <w:rPr>
          <w:noProof/>
        </w:rPr>
        <w:t>1.2</w:t>
      </w:r>
      <w:r>
        <w:rPr>
          <w:noProof/>
        </w:rPr>
        <w:tab/>
        <w:t>REFERENČNI DOKUMENTI</w:t>
      </w:r>
    </w:p>
    <w:p w:rsidR="006551B7" w:rsidRDefault="004627E8">
      <w:pPr>
        <w:pStyle w:val="Text1"/>
        <w:rPr>
          <w:noProof/>
        </w:rPr>
      </w:pPr>
      <w:r>
        <w:rPr>
          <w:noProof/>
        </w:rPr>
        <w:t xml:space="preserve">V tem sporazumu o ravni storitve so upoštevane informacije iz naslednjih referenčnih dokumentov. Veljavne različice dokumentov so objavljene na spletišču CIRCABC ali spletnem portalu ITSM. </w:t>
      </w:r>
    </w:p>
    <w:p w:rsidR="006551B7" w:rsidRDefault="006551B7">
      <w:pPr>
        <w:spacing w:before="60" w:after="0"/>
        <w:jc w:val="left"/>
        <w:rPr>
          <w:rFonts w:eastAsia="Times New Roman"/>
          <w:noProof/>
          <w:szCs w:val="24"/>
        </w:rPr>
      </w:pPr>
    </w:p>
    <w:tbl>
      <w:tblPr>
        <w:tblW w:w="816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6360"/>
      </w:tblGrid>
      <w:tr w:rsidR="006551B7">
        <w:tc>
          <w:tcPr>
            <w:tcW w:w="1800" w:type="dxa"/>
            <w:tcBorders>
              <w:top w:val="single" w:sz="4" w:space="0" w:color="auto"/>
              <w:left w:val="single" w:sz="4" w:space="0" w:color="auto"/>
              <w:bottom w:val="single" w:sz="4" w:space="0" w:color="auto"/>
              <w:right w:val="single" w:sz="4" w:space="0" w:color="auto"/>
            </w:tcBorders>
          </w:tcPr>
          <w:p w:rsidR="006551B7" w:rsidRPr="004627E8" w:rsidRDefault="006551B7">
            <w:pPr>
              <w:numPr>
                <w:ilvl w:val="0"/>
                <w:numId w:val="38"/>
              </w:numPr>
              <w:spacing w:before="60" w:after="60" w:line="276" w:lineRule="auto"/>
              <w:jc w:val="left"/>
              <w:rPr>
                <w:rFonts w:eastAsia="Times New Roman"/>
                <w:noProof/>
                <w:szCs w:val="24"/>
              </w:rPr>
            </w:pPr>
            <w:bookmarkStart w:id="4" w:name="_Ref371673659" w:colFirst="0" w:colLast="0"/>
          </w:p>
        </w:tc>
        <w:tc>
          <w:tcPr>
            <w:tcW w:w="6360" w:type="dxa"/>
            <w:tcBorders>
              <w:top w:val="single" w:sz="4" w:space="0" w:color="auto"/>
              <w:left w:val="single" w:sz="4" w:space="0" w:color="auto"/>
              <w:bottom w:val="single" w:sz="4" w:space="0" w:color="auto"/>
              <w:right w:val="single" w:sz="4" w:space="0" w:color="auto"/>
            </w:tcBorders>
            <w:hideMark/>
          </w:tcPr>
          <w:p w:rsidR="006551B7" w:rsidRDefault="004627E8">
            <w:pPr>
              <w:spacing w:before="60" w:after="60" w:line="276" w:lineRule="auto"/>
              <w:jc w:val="left"/>
              <w:rPr>
                <w:rFonts w:eastAsia="Times New Roman"/>
                <w:noProof/>
                <w:szCs w:val="24"/>
                <w:lang w:val="en-US"/>
              </w:rPr>
            </w:pPr>
            <w:r>
              <w:rPr>
                <w:rFonts w:eastAsia="Times New Roman"/>
                <w:noProof/>
                <w:szCs w:val="24"/>
                <w:lang w:val="en-US"/>
              </w:rPr>
              <w:t xml:space="preserve">CCN Mail III User Guide for NAs </w:t>
            </w:r>
            <w:r>
              <w:rPr>
                <w:rFonts w:eastAsia="Times New Roman"/>
                <w:i/>
                <w:noProof/>
                <w:szCs w:val="24"/>
                <w:lang w:val="en-US"/>
              </w:rPr>
              <w:t>(ITSM Web Portal)</w:t>
            </w:r>
          </w:p>
        </w:tc>
      </w:tr>
      <w:bookmarkEnd w:id="4"/>
      <w:tr w:rsidR="006551B7">
        <w:tc>
          <w:tcPr>
            <w:tcW w:w="1800" w:type="dxa"/>
            <w:tcBorders>
              <w:top w:val="single" w:sz="4" w:space="0" w:color="auto"/>
              <w:left w:val="single" w:sz="4" w:space="0" w:color="auto"/>
              <w:bottom w:val="single" w:sz="4" w:space="0" w:color="auto"/>
              <w:right w:val="single" w:sz="4" w:space="0" w:color="auto"/>
            </w:tcBorders>
          </w:tcPr>
          <w:p w:rsidR="006551B7" w:rsidRDefault="006551B7">
            <w:pPr>
              <w:numPr>
                <w:ilvl w:val="0"/>
                <w:numId w:val="38"/>
              </w:numPr>
              <w:spacing w:before="60" w:after="60" w:line="276" w:lineRule="auto"/>
              <w:jc w:val="left"/>
              <w:rPr>
                <w:rFonts w:eastAsia="Times New Roman"/>
                <w:noProof/>
                <w:szCs w:val="24"/>
                <w:lang w:val="en-US"/>
              </w:rPr>
            </w:pPr>
          </w:p>
        </w:tc>
        <w:tc>
          <w:tcPr>
            <w:tcW w:w="6360" w:type="dxa"/>
            <w:tcBorders>
              <w:top w:val="single" w:sz="4" w:space="0" w:color="auto"/>
              <w:left w:val="single" w:sz="4" w:space="0" w:color="auto"/>
              <w:bottom w:val="single" w:sz="4" w:space="0" w:color="auto"/>
              <w:right w:val="single" w:sz="4" w:space="0" w:color="auto"/>
            </w:tcBorders>
            <w:hideMark/>
          </w:tcPr>
          <w:p w:rsidR="006551B7" w:rsidRDefault="004627E8">
            <w:pPr>
              <w:spacing w:before="60" w:after="60" w:line="276" w:lineRule="auto"/>
              <w:jc w:val="left"/>
              <w:rPr>
                <w:rFonts w:eastAsia="Times New Roman"/>
                <w:noProof/>
                <w:szCs w:val="24"/>
                <w:lang w:val="en-US"/>
              </w:rPr>
            </w:pPr>
            <w:r>
              <w:rPr>
                <w:rFonts w:eastAsia="Times New Roman"/>
                <w:noProof/>
                <w:szCs w:val="24"/>
                <w:lang w:val="en-US"/>
              </w:rPr>
              <w:t>CCN Intranet – Local Network Administrator Guide</w:t>
            </w:r>
            <w:r>
              <w:rPr>
                <w:rFonts w:eastAsia="Times New Roman"/>
                <w:i/>
                <w:noProof/>
                <w:szCs w:val="24"/>
                <w:lang w:val="en-US"/>
              </w:rPr>
              <w:t xml:space="preserve"> (ITSM Web Portal)</w:t>
            </w:r>
          </w:p>
        </w:tc>
      </w:tr>
      <w:tr w:rsidR="006551B7">
        <w:tc>
          <w:tcPr>
            <w:tcW w:w="1800" w:type="dxa"/>
            <w:tcBorders>
              <w:top w:val="single" w:sz="4" w:space="0" w:color="auto"/>
              <w:left w:val="single" w:sz="4" w:space="0" w:color="auto"/>
              <w:bottom w:val="single" w:sz="4" w:space="0" w:color="auto"/>
              <w:right w:val="single" w:sz="4" w:space="0" w:color="auto"/>
            </w:tcBorders>
          </w:tcPr>
          <w:p w:rsidR="006551B7" w:rsidRDefault="006551B7">
            <w:pPr>
              <w:numPr>
                <w:ilvl w:val="0"/>
                <w:numId w:val="38"/>
              </w:numPr>
              <w:spacing w:before="60" w:after="60" w:line="276" w:lineRule="auto"/>
              <w:jc w:val="left"/>
              <w:rPr>
                <w:rFonts w:eastAsia="Times New Roman"/>
                <w:noProof/>
                <w:szCs w:val="24"/>
                <w:lang w:val="en-US"/>
              </w:rPr>
            </w:pPr>
            <w:bookmarkStart w:id="5" w:name="_Ref371673619" w:colFirst="0" w:colLast="0"/>
          </w:p>
        </w:tc>
        <w:tc>
          <w:tcPr>
            <w:tcW w:w="6360" w:type="dxa"/>
            <w:tcBorders>
              <w:top w:val="single" w:sz="4" w:space="0" w:color="auto"/>
              <w:left w:val="single" w:sz="4" w:space="0" w:color="auto"/>
              <w:bottom w:val="single" w:sz="4" w:space="0" w:color="auto"/>
              <w:right w:val="single" w:sz="4" w:space="0" w:color="auto"/>
            </w:tcBorders>
            <w:hideMark/>
          </w:tcPr>
          <w:p w:rsidR="006551B7" w:rsidRDefault="004627E8">
            <w:pPr>
              <w:keepNext/>
              <w:spacing w:before="60" w:after="60" w:line="276" w:lineRule="auto"/>
              <w:jc w:val="left"/>
              <w:rPr>
                <w:rFonts w:eastAsia="Times New Roman"/>
                <w:noProof/>
                <w:szCs w:val="24"/>
                <w:lang w:val="en-US"/>
              </w:rPr>
            </w:pPr>
            <w:r>
              <w:rPr>
                <w:rFonts w:eastAsia="Times New Roman"/>
                <w:noProof/>
                <w:szCs w:val="24"/>
                <w:lang w:val="en-US"/>
              </w:rPr>
              <w:t>Statistics – Guidelines and instructions (ANNEX rev1) to SCAC No 560</w:t>
            </w:r>
          </w:p>
        </w:tc>
      </w:tr>
      <w:bookmarkEnd w:id="5"/>
      <w:tr w:rsidR="006551B7">
        <w:tc>
          <w:tcPr>
            <w:tcW w:w="1800" w:type="dxa"/>
            <w:tcBorders>
              <w:top w:val="single" w:sz="4" w:space="0" w:color="auto"/>
              <w:left w:val="single" w:sz="4" w:space="0" w:color="auto"/>
              <w:bottom w:val="single" w:sz="4" w:space="0" w:color="auto"/>
              <w:right w:val="single" w:sz="4" w:space="0" w:color="auto"/>
            </w:tcBorders>
          </w:tcPr>
          <w:p w:rsidR="006551B7" w:rsidRDefault="006551B7">
            <w:pPr>
              <w:numPr>
                <w:ilvl w:val="0"/>
                <w:numId w:val="38"/>
              </w:numPr>
              <w:spacing w:before="60" w:after="60" w:line="276" w:lineRule="auto"/>
              <w:jc w:val="left"/>
              <w:rPr>
                <w:rFonts w:eastAsia="Times New Roman"/>
                <w:noProof/>
                <w:szCs w:val="24"/>
                <w:lang w:val="en-US"/>
              </w:rPr>
            </w:pPr>
          </w:p>
        </w:tc>
        <w:tc>
          <w:tcPr>
            <w:tcW w:w="6360" w:type="dxa"/>
            <w:tcBorders>
              <w:top w:val="single" w:sz="4" w:space="0" w:color="auto"/>
              <w:left w:val="single" w:sz="4" w:space="0" w:color="auto"/>
              <w:bottom w:val="single" w:sz="4" w:space="0" w:color="auto"/>
              <w:right w:val="single" w:sz="4" w:space="0" w:color="auto"/>
            </w:tcBorders>
            <w:hideMark/>
          </w:tcPr>
          <w:p w:rsidR="006551B7" w:rsidRDefault="004627E8">
            <w:pPr>
              <w:keepNext/>
              <w:spacing w:before="60" w:after="60" w:line="276" w:lineRule="auto"/>
              <w:jc w:val="left"/>
              <w:rPr>
                <w:rFonts w:eastAsia="Times New Roman"/>
                <w:noProof/>
                <w:szCs w:val="24"/>
                <w:lang w:val="en-US"/>
              </w:rPr>
            </w:pPr>
            <w:r>
              <w:rPr>
                <w:rFonts w:eastAsia="Times New Roman"/>
                <w:noProof/>
                <w:szCs w:val="24"/>
                <w:lang w:val="en-US"/>
              </w:rPr>
              <w:t xml:space="preserve">VAT e-Forms – Functional Specifications </w:t>
            </w:r>
          </w:p>
        </w:tc>
      </w:tr>
      <w:tr w:rsidR="006551B7">
        <w:tc>
          <w:tcPr>
            <w:tcW w:w="1800" w:type="dxa"/>
            <w:tcBorders>
              <w:top w:val="single" w:sz="4" w:space="0" w:color="auto"/>
              <w:left w:val="single" w:sz="4" w:space="0" w:color="auto"/>
              <w:bottom w:val="single" w:sz="4" w:space="0" w:color="auto"/>
              <w:right w:val="single" w:sz="4" w:space="0" w:color="auto"/>
            </w:tcBorders>
          </w:tcPr>
          <w:p w:rsidR="006551B7" w:rsidRDefault="006551B7">
            <w:pPr>
              <w:numPr>
                <w:ilvl w:val="0"/>
                <w:numId w:val="38"/>
              </w:numPr>
              <w:spacing w:before="60" w:after="60" w:line="276" w:lineRule="auto"/>
              <w:jc w:val="left"/>
              <w:rPr>
                <w:rFonts w:eastAsia="Times New Roman"/>
                <w:noProof/>
                <w:szCs w:val="24"/>
                <w:lang w:val="en-US"/>
              </w:rPr>
            </w:pPr>
          </w:p>
        </w:tc>
        <w:tc>
          <w:tcPr>
            <w:tcW w:w="6360" w:type="dxa"/>
            <w:tcBorders>
              <w:top w:val="single" w:sz="4" w:space="0" w:color="auto"/>
              <w:left w:val="single" w:sz="4" w:space="0" w:color="auto"/>
              <w:bottom w:val="single" w:sz="4" w:space="0" w:color="auto"/>
              <w:right w:val="single" w:sz="4" w:space="0" w:color="auto"/>
            </w:tcBorders>
            <w:hideMark/>
          </w:tcPr>
          <w:p w:rsidR="006551B7" w:rsidRDefault="004627E8">
            <w:pPr>
              <w:keepNext/>
              <w:spacing w:before="60" w:after="60" w:line="276" w:lineRule="auto"/>
              <w:jc w:val="left"/>
              <w:rPr>
                <w:rFonts w:eastAsia="Times New Roman"/>
                <w:noProof/>
                <w:szCs w:val="24"/>
                <w:lang w:val="en-US"/>
              </w:rPr>
            </w:pPr>
            <w:r>
              <w:rPr>
                <w:rFonts w:eastAsia="Times New Roman"/>
                <w:noProof/>
                <w:szCs w:val="24"/>
                <w:lang w:val="en-US"/>
              </w:rPr>
              <w:t xml:space="preserve">VAT e-Forms – Technical Specifications </w:t>
            </w:r>
          </w:p>
        </w:tc>
      </w:tr>
      <w:tr w:rsidR="006551B7">
        <w:tc>
          <w:tcPr>
            <w:tcW w:w="1800" w:type="dxa"/>
            <w:tcBorders>
              <w:top w:val="single" w:sz="4" w:space="0" w:color="auto"/>
              <w:left w:val="single" w:sz="4" w:space="0" w:color="auto"/>
              <w:bottom w:val="single" w:sz="4" w:space="0" w:color="auto"/>
              <w:right w:val="single" w:sz="4" w:space="0" w:color="auto"/>
            </w:tcBorders>
          </w:tcPr>
          <w:p w:rsidR="006551B7" w:rsidRDefault="006551B7">
            <w:pPr>
              <w:numPr>
                <w:ilvl w:val="0"/>
                <w:numId w:val="38"/>
              </w:numPr>
              <w:spacing w:before="60" w:after="60" w:line="276" w:lineRule="auto"/>
              <w:jc w:val="left"/>
              <w:rPr>
                <w:rFonts w:eastAsia="Times New Roman"/>
                <w:noProof/>
                <w:szCs w:val="24"/>
                <w:lang w:val="en-US"/>
              </w:rPr>
            </w:pPr>
          </w:p>
        </w:tc>
        <w:tc>
          <w:tcPr>
            <w:tcW w:w="6360" w:type="dxa"/>
            <w:tcBorders>
              <w:top w:val="single" w:sz="4" w:space="0" w:color="auto"/>
              <w:left w:val="single" w:sz="4" w:space="0" w:color="auto"/>
              <w:bottom w:val="single" w:sz="4" w:space="0" w:color="auto"/>
              <w:right w:val="single" w:sz="4" w:space="0" w:color="auto"/>
            </w:tcBorders>
            <w:hideMark/>
          </w:tcPr>
          <w:p w:rsidR="006551B7" w:rsidRDefault="004627E8">
            <w:pPr>
              <w:keepNext/>
              <w:spacing w:before="60" w:after="60" w:line="276" w:lineRule="auto"/>
              <w:jc w:val="left"/>
              <w:rPr>
                <w:rFonts w:eastAsia="Times New Roman"/>
                <w:noProof/>
                <w:szCs w:val="24"/>
                <w:lang w:val="en-US"/>
              </w:rPr>
            </w:pPr>
            <w:r>
              <w:rPr>
                <w:rFonts w:eastAsia="Times New Roman"/>
                <w:noProof/>
                <w:szCs w:val="24"/>
                <w:lang w:val="en-US"/>
              </w:rPr>
              <w:t xml:space="preserve">Recovery e-Forms – Functional Specifications </w:t>
            </w:r>
          </w:p>
        </w:tc>
      </w:tr>
      <w:tr w:rsidR="006551B7">
        <w:tc>
          <w:tcPr>
            <w:tcW w:w="1800" w:type="dxa"/>
            <w:tcBorders>
              <w:top w:val="single" w:sz="4" w:space="0" w:color="auto"/>
              <w:left w:val="single" w:sz="4" w:space="0" w:color="auto"/>
              <w:bottom w:val="single" w:sz="4" w:space="0" w:color="auto"/>
              <w:right w:val="single" w:sz="4" w:space="0" w:color="auto"/>
            </w:tcBorders>
          </w:tcPr>
          <w:p w:rsidR="006551B7" w:rsidRDefault="006551B7">
            <w:pPr>
              <w:numPr>
                <w:ilvl w:val="0"/>
                <w:numId w:val="38"/>
              </w:numPr>
              <w:spacing w:before="60" w:after="60" w:line="276" w:lineRule="auto"/>
              <w:jc w:val="left"/>
              <w:rPr>
                <w:rFonts w:eastAsia="Times New Roman"/>
                <w:noProof/>
                <w:szCs w:val="24"/>
                <w:lang w:val="en-US"/>
              </w:rPr>
            </w:pPr>
          </w:p>
        </w:tc>
        <w:tc>
          <w:tcPr>
            <w:tcW w:w="6360" w:type="dxa"/>
            <w:tcBorders>
              <w:top w:val="single" w:sz="4" w:space="0" w:color="auto"/>
              <w:left w:val="single" w:sz="4" w:space="0" w:color="auto"/>
              <w:bottom w:val="single" w:sz="4" w:space="0" w:color="auto"/>
              <w:right w:val="single" w:sz="4" w:space="0" w:color="auto"/>
            </w:tcBorders>
            <w:hideMark/>
          </w:tcPr>
          <w:p w:rsidR="006551B7" w:rsidRDefault="004627E8">
            <w:pPr>
              <w:keepNext/>
              <w:spacing w:before="60" w:after="60" w:line="276" w:lineRule="auto"/>
              <w:jc w:val="left"/>
              <w:rPr>
                <w:rFonts w:eastAsia="Times New Roman"/>
                <w:noProof/>
                <w:szCs w:val="24"/>
                <w:lang w:val="en-US"/>
              </w:rPr>
            </w:pPr>
            <w:r>
              <w:rPr>
                <w:rFonts w:eastAsia="Times New Roman"/>
                <w:noProof/>
                <w:szCs w:val="24"/>
                <w:lang w:val="en-US"/>
              </w:rPr>
              <w:t xml:space="preserve">Recovery e-Forms – Technical Specifications </w:t>
            </w:r>
          </w:p>
        </w:tc>
      </w:tr>
      <w:tr w:rsidR="006551B7">
        <w:tc>
          <w:tcPr>
            <w:tcW w:w="1800" w:type="dxa"/>
            <w:tcBorders>
              <w:top w:val="single" w:sz="4" w:space="0" w:color="auto"/>
              <w:left w:val="single" w:sz="4" w:space="0" w:color="auto"/>
              <w:bottom w:val="single" w:sz="4" w:space="0" w:color="auto"/>
              <w:right w:val="single" w:sz="4" w:space="0" w:color="auto"/>
            </w:tcBorders>
          </w:tcPr>
          <w:p w:rsidR="006551B7" w:rsidRDefault="006551B7">
            <w:pPr>
              <w:numPr>
                <w:ilvl w:val="0"/>
                <w:numId w:val="38"/>
              </w:numPr>
              <w:spacing w:before="60" w:after="60" w:line="276" w:lineRule="auto"/>
              <w:jc w:val="left"/>
              <w:rPr>
                <w:rFonts w:eastAsia="Times New Roman"/>
                <w:noProof/>
                <w:szCs w:val="24"/>
                <w:lang w:val="en-US"/>
              </w:rPr>
            </w:pPr>
          </w:p>
        </w:tc>
        <w:tc>
          <w:tcPr>
            <w:tcW w:w="6360" w:type="dxa"/>
            <w:tcBorders>
              <w:top w:val="single" w:sz="4" w:space="0" w:color="auto"/>
              <w:left w:val="single" w:sz="4" w:space="0" w:color="auto"/>
              <w:bottom w:val="single" w:sz="4" w:space="0" w:color="auto"/>
              <w:right w:val="single" w:sz="4" w:space="0" w:color="auto"/>
            </w:tcBorders>
            <w:hideMark/>
          </w:tcPr>
          <w:p w:rsidR="006551B7" w:rsidRDefault="004627E8">
            <w:pPr>
              <w:keepNext/>
              <w:spacing w:before="60" w:after="60" w:line="276" w:lineRule="auto"/>
              <w:jc w:val="left"/>
              <w:rPr>
                <w:rFonts w:eastAsia="Times New Roman"/>
                <w:noProof/>
                <w:szCs w:val="24"/>
                <w:lang w:val="en-US"/>
              </w:rPr>
            </w:pPr>
            <w:r>
              <w:rPr>
                <w:rFonts w:eastAsia="Times New Roman"/>
                <w:noProof/>
                <w:szCs w:val="24"/>
                <w:lang w:val="en-US"/>
              </w:rPr>
              <w:t>CCN/CSI General Security Policy (ITSM Web Portal)</w:t>
            </w:r>
          </w:p>
        </w:tc>
      </w:tr>
      <w:tr w:rsidR="006551B7">
        <w:tc>
          <w:tcPr>
            <w:tcW w:w="1800" w:type="dxa"/>
            <w:tcBorders>
              <w:top w:val="single" w:sz="4" w:space="0" w:color="auto"/>
              <w:left w:val="single" w:sz="4" w:space="0" w:color="auto"/>
              <w:bottom w:val="single" w:sz="4" w:space="0" w:color="auto"/>
              <w:right w:val="single" w:sz="4" w:space="0" w:color="auto"/>
            </w:tcBorders>
          </w:tcPr>
          <w:p w:rsidR="006551B7" w:rsidRDefault="006551B7">
            <w:pPr>
              <w:numPr>
                <w:ilvl w:val="0"/>
                <w:numId w:val="38"/>
              </w:numPr>
              <w:spacing w:before="60" w:after="60" w:line="276" w:lineRule="auto"/>
              <w:jc w:val="left"/>
              <w:rPr>
                <w:rFonts w:eastAsia="Times New Roman"/>
                <w:noProof/>
                <w:szCs w:val="24"/>
                <w:lang w:val="en-US"/>
              </w:rPr>
            </w:pPr>
          </w:p>
        </w:tc>
        <w:tc>
          <w:tcPr>
            <w:tcW w:w="6360" w:type="dxa"/>
            <w:tcBorders>
              <w:top w:val="single" w:sz="4" w:space="0" w:color="auto"/>
              <w:left w:val="single" w:sz="4" w:space="0" w:color="auto"/>
              <w:bottom w:val="single" w:sz="4" w:space="0" w:color="auto"/>
              <w:right w:val="single" w:sz="4" w:space="0" w:color="auto"/>
            </w:tcBorders>
            <w:hideMark/>
          </w:tcPr>
          <w:p w:rsidR="006551B7" w:rsidRDefault="004627E8">
            <w:pPr>
              <w:keepNext/>
              <w:spacing w:before="60" w:after="60" w:line="276" w:lineRule="auto"/>
              <w:jc w:val="left"/>
              <w:rPr>
                <w:rFonts w:eastAsia="Times New Roman"/>
                <w:noProof/>
                <w:szCs w:val="24"/>
                <w:lang w:val="en-US"/>
              </w:rPr>
            </w:pPr>
            <w:r>
              <w:rPr>
                <w:rFonts w:eastAsia="Times New Roman"/>
                <w:noProof/>
                <w:szCs w:val="24"/>
                <w:lang w:val="en-US"/>
              </w:rPr>
              <w:t>CCN Gateway Management Procedures (ITSM Web Portal)</w:t>
            </w:r>
          </w:p>
        </w:tc>
      </w:tr>
      <w:tr w:rsidR="006551B7">
        <w:tc>
          <w:tcPr>
            <w:tcW w:w="1800" w:type="dxa"/>
            <w:tcBorders>
              <w:top w:val="single" w:sz="4" w:space="0" w:color="auto"/>
              <w:left w:val="single" w:sz="4" w:space="0" w:color="auto"/>
              <w:bottom w:val="single" w:sz="4" w:space="0" w:color="auto"/>
              <w:right w:val="single" w:sz="4" w:space="0" w:color="auto"/>
            </w:tcBorders>
          </w:tcPr>
          <w:p w:rsidR="006551B7" w:rsidRDefault="006551B7">
            <w:pPr>
              <w:numPr>
                <w:ilvl w:val="0"/>
                <w:numId w:val="38"/>
              </w:numPr>
              <w:spacing w:before="60" w:after="60" w:line="276" w:lineRule="auto"/>
              <w:jc w:val="left"/>
              <w:rPr>
                <w:rFonts w:eastAsia="Times New Roman"/>
                <w:noProof/>
                <w:szCs w:val="24"/>
                <w:lang w:val="en-US"/>
              </w:rPr>
            </w:pPr>
          </w:p>
        </w:tc>
        <w:tc>
          <w:tcPr>
            <w:tcW w:w="6360" w:type="dxa"/>
            <w:tcBorders>
              <w:top w:val="single" w:sz="4" w:space="0" w:color="auto"/>
              <w:left w:val="single" w:sz="4" w:space="0" w:color="auto"/>
              <w:bottom w:val="single" w:sz="4" w:space="0" w:color="auto"/>
              <w:right w:val="single" w:sz="4" w:space="0" w:color="auto"/>
            </w:tcBorders>
            <w:hideMark/>
          </w:tcPr>
          <w:p w:rsidR="006551B7" w:rsidRDefault="004627E8">
            <w:pPr>
              <w:keepNext/>
              <w:spacing w:before="60" w:after="60" w:line="276" w:lineRule="auto"/>
              <w:jc w:val="left"/>
              <w:rPr>
                <w:rFonts w:eastAsia="Times New Roman"/>
                <w:noProof/>
                <w:szCs w:val="24"/>
                <w:lang w:val="en-US"/>
              </w:rPr>
            </w:pPr>
            <w:r>
              <w:rPr>
                <w:rFonts w:eastAsia="Times New Roman"/>
                <w:noProof/>
                <w:szCs w:val="24"/>
                <w:lang w:val="en-US"/>
              </w:rPr>
              <w:t>CCN/CSI Baseline Security Checklist (ITSM Web Portal)</w:t>
            </w:r>
          </w:p>
        </w:tc>
      </w:tr>
    </w:tbl>
    <w:p w:rsidR="006551B7" w:rsidRDefault="004627E8">
      <w:pPr>
        <w:spacing w:before="60"/>
        <w:jc w:val="center"/>
        <w:rPr>
          <w:rFonts w:eastAsia="Times New Roman"/>
          <w:noProof/>
          <w:sz w:val="20"/>
          <w:szCs w:val="20"/>
        </w:rPr>
      </w:pPr>
      <w:r>
        <w:rPr>
          <w:noProof/>
          <w:sz w:val="20"/>
        </w:rPr>
        <w:t>Preglednica </w:t>
      </w:r>
      <w:r>
        <w:rPr>
          <w:rFonts w:eastAsia="Times New Roman"/>
          <w:noProof/>
          <w:sz w:val="20"/>
          <w:szCs w:val="20"/>
        </w:rPr>
        <w:t>2</w:t>
      </w:r>
      <w:r>
        <w:rPr>
          <w:noProof/>
          <w:sz w:val="20"/>
        </w:rPr>
        <w:t>: Referenčni dokumenti</w:t>
      </w:r>
    </w:p>
    <w:p w:rsidR="006551B7" w:rsidRDefault="004627E8">
      <w:pPr>
        <w:pStyle w:val="ManualHeading1"/>
        <w:rPr>
          <w:noProof/>
        </w:rPr>
      </w:pPr>
      <w:r>
        <w:rPr>
          <w:noProof/>
        </w:rPr>
        <w:t>2.</w:t>
      </w:r>
      <w:r>
        <w:rPr>
          <w:noProof/>
        </w:rPr>
        <w:tab/>
      </w:r>
      <w:r>
        <w:rPr>
          <w:noProof/>
          <w:u w:val="single"/>
        </w:rPr>
        <w:t>TERMINOLOGIJA</w:t>
      </w:r>
    </w:p>
    <w:p w:rsidR="006551B7" w:rsidRDefault="004627E8">
      <w:pPr>
        <w:pStyle w:val="ManualHeading2"/>
        <w:rPr>
          <w:noProof/>
        </w:rPr>
      </w:pPr>
      <w:r>
        <w:rPr>
          <w:noProof/>
        </w:rPr>
        <w:t>2.1</w:t>
      </w:r>
      <w:r>
        <w:rPr>
          <w:noProof/>
        </w:rPr>
        <w:tab/>
        <w:t xml:space="preserve">KRATICE </w:t>
      </w:r>
    </w:p>
    <w:tbl>
      <w:tblPr>
        <w:tblW w:w="8232"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432"/>
      </w:tblGrid>
      <w:tr w:rsidR="006551B7">
        <w:trPr>
          <w:tblHeader/>
        </w:trPr>
        <w:tc>
          <w:tcPr>
            <w:tcW w:w="1800" w:type="dxa"/>
            <w:shd w:val="clear" w:color="auto" w:fill="E0E0E0"/>
          </w:tcPr>
          <w:p w:rsidR="006551B7" w:rsidRDefault="004627E8">
            <w:pPr>
              <w:spacing w:before="0" w:after="0"/>
              <w:jc w:val="center"/>
              <w:rPr>
                <w:rFonts w:eastAsia="Times New Roman"/>
                <w:b/>
                <w:noProof/>
                <w:szCs w:val="24"/>
              </w:rPr>
            </w:pPr>
            <w:r>
              <w:rPr>
                <w:b/>
                <w:noProof/>
              </w:rPr>
              <w:t>KRATICA</w:t>
            </w:r>
          </w:p>
        </w:tc>
        <w:tc>
          <w:tcPr>
            <w:tcW w:w="6432" w:type="dxa"/>
            <w:shd w:val="clear" w:color="auto" w:fill="E0E0E0"/>
          </w:tcPr>
          <w:p w:rsidR="006551B7" w:rsidRDefault="004627E8">
            <w:pPr>
              <w:spacing w:before="0" w:after="0"/>
              <w:jc w:val="center"/>
              <w:rPr>
                <w:rFonts w:eastAsia="Times New Roman"/>
                <w:b/>
                <w:noProof/>
                <w:szCs w:val="24"/>
              </w:rPr>
            </w:pPr>
            <w:r>
              <w:rPr>
                <w:b/>
                <w:noProof/>
              </w:rPr>
              <w:t>OPREDELITEV</w:t>
            </w:r>
          </w:p>
        </w:tc>
      </w:tr>
      <w:tr w:rsidR="006551B7">
        <w:trPr>
          <w:trHeight w:val="297"/>
          <w:tblHeader/>
        </w:trPr>
        <w:tc>
          <w:tcPr>
            <w:tcW w:w="1800" w:type="dxa"/>
          </w:tcPr>
          <w:p w:rsidR="006551B7" w:rsidRDefault="004627E8">
            <w:pPr>
              <w:spacing w:before="0" w:after="0"/>
              <w:jc w:val="left"/>
              <w:rPr>
                <w:rFonts w:eastAsia="Times New Roman"/>
                <w:b/>
                <w:noProof/>
                <w:szCs w:val="24"/>
              </w:rPr>
            </w:pPr>
            <w:r>
              <w:rPr>
                <w:noProof/>
              </w:rPr>
              <w:t>CCN/CSI</w:t>
            </w:r>
          </w:p>
        </w:tc>
        <w:tc>
          <w:tcPr>
            <w:tcW w:w="6432" w:type="dxa"/>
          </w:tcPr>
          <w:p w:rsidR="006551B7" w:rsidRDefault="004627E8">
            <w:pPr>
              <w:spacing w:before="0" w:after="0"/>
              <w:jc w:val="left"/>
              <w:rPr>
                <w:rFonts w:eastAsia="Times New Roman"/>
                <w:b/>
                <w:noProof/>
                <w:szCs w:val="24"/>
              </w:rPr>
            </w:pPr>
            <w:r>
              <w:rPr>
                <w:noProof/>
              </w:rPr>
              <w:t>Skupno komunikacijsko omrežje/skupni sistemski vmesnik</w:t>
            </w:r>
          </w:p>
        </w:tc>
      </w:tr>
      <w:tr w:rsidR="006551B7">
        <w:trPr>
          <w:trHeight w:val="297"/>
          <w:tblHeader/>
        </w:trPr>
        <w:tc>
          <w:tcPr>
            <w:tcW w:w="1800" w:type="dxa"/>
          </w:tcPr>
          <w:p w:rsidR="006551B7" w:rsidRDefault="004627E8">
            <w:pPr>
              <w:spacing w:before="0" w:after="0"/>
              <w:jc w:val="left"/>
              <w:rPr>
                <w:rFonts w:eastAsia="Times New Roman"/>
                <w:noProof/>
                <w:szCs w:val="24"/>
              </w:rPr>
            </w:pPr>
            <w:r>
              <w:rPr>
                <w:noProof/>
              </w:rPr>
              <w:t>CET</w:t>
            </w:r>
          </w:p>
        </w:tc>
        <w:tc>
          <w:tcPr>
            <w:tcW w:w="6432" w:type="dxa"/>
          </w:tcPr>
          <w:p w:rsidR="006551B7" w:rsidRDefault="004627E8">
            <w:pPr>
              <w:spacing w:before="0" w:after="0"/>
              <w:jc w:val="left"/>
              <w:rPr>
                <w:rFonts w:eastAsia="Times New Roman"/>
                <w:noProof/>
                <w:szCs w:val="24"/>
              </w:rPr>
            </w:pPr>
            <w:r>
              <w:rPr>
                <w:noProof/>
              </w:rPr>
              <w:t>Srednjeevropski čas</w:t>
            </w:r>
          </w:p>
        </w:tc>
      </w:tr>
      <w:tr w:rsidR="006551B7">
        <w:trPr>
          <w:trHeight w:val="297"/>
          <w:tblHeader/>
        </w:trPr>
        <w:tc>
          <w:tcPr>
            <w:tcW w:w="1800" w:type="dxa"/>
          </w:tcPr>
          <w:p w:rsidR="006551B7" w:rsidRDefault="004627E8">
            <w:pPr>
              <w:spacing w:before="0" w:after="0"/>
              <w:jc w:val="left"/>
              <w:rPr>
                <w:rFonts w:eastAsia="Times New Roman"/>
                <w:noProof/>
                <w:szCs w:val="24"/>
              </w:rPr>
            </w:pPr>
            <w:r>
              <w:rPr>
                <w:noProof/>
              </w:rPr>
              <w:t>CIRCABC</w:t>
            </w:r>
          </w:p>
        </w:tc>
        <w:tc>
          <w:tcPr>
            <w:tcW w:w="6432" w:type="dxa"/>
          </w:tcPr>
          <w:p w:rsidR="006551B7" w:rsidRDefault="004627E8">
            <w:pPr>
              <w:spacing w:before="0" w:after="0"/>
              <w:jc w:val="left"/>
              <w:rPr>
                <w:rFonts w:eastAsia="Times New Roman"/>
                <w:noProof/>
                <w:szCs w:val="24"/>
              </w:rPr>
            </w:pPr>
            <w:r>
              <w:rPr>
                <w:noProof/>
              </w:rPr>
              <w:t>Komunikacijsko-informacijsko središče za uprave, podjetja in državljane</w:t>
            </w:r>
          </w:p>
        </w:tc>
      </w:tr>
      <w:tr w:rsidR="006551B7">
        <w:trPr>
          <w:trHeight w:val="297"/>
        </w:trPr>
        <w:tc>
          <w:tcPr>
            <w:tcW w:w="1800" w:type="dxa"/>
          </w:tcPr>
          <w:p w:rsidR="006551B7" w:rsidRDefault="004627E8">
            <w:pPr>
              <w:spacing w:before="0" w:after="0"/>
              <w:jc w:val="left"/>
              <w:rPr>
                <w:rFonts w:eastAsia="Times New Roman"/>
                <w:noProof/>
                <w:szCs w:val="24"/>
              </w:rPr>
            </w:pPr>
            <w:r>
              <w:rPr>
                <w:noProof/>
              </w:rPr>
              <w:t>CLO</w:t>
            </w:r>
          </w:p>
        </w:tc>
        <w:tc>
          <w:tcPr>
            <w:tcW w:w="6432" w:type="dxa"/>
          </w:tcPr>
          <w:p w:rsidR="006551B7" w:rsidRDefault="004627E8">
            <w:pPr>
              <w:spacing w:before="0" w:after="0"/>
              <w:jc w:val="left"/>
              <w:rPr>
                <w:rFonts w:eastAsia="Times New Roman"/>
                <w:noProof/>
                <w:szCs w:val="24"/>
              </w:rPr>
            </w:pPr>
            <w:r>
              <w:rPr>
                <w:noProof/>
              </w:rPr>
              <w:t>Centralni urad za zvezo</w:t>
            </w:r>
          </w:p>
        </w:tc>
      </w:tr>
      <w:tr w:rsidR="006551B7">
        <w:trPr>
          <w:trHeight w:val="297"/>
        </w:trPr>
        <w:tc>
          <w:tcPr>
            <w:tcW w:w="1800" w:type="dxa"/>
          </w:tcPr>
          <w:p w:rsidR="006551B7" w:rsidRDefault="004627E8">
            <w:pPr>
              <w:spacing w:before="0" w:after="0"/>
              <w:jc w:val="left"/>
              <w:rPr>
                <w:rFonts w:eastAsia="Times New Roman"/>
                <w:noProof/>
                <w:szCs w:val="24"/>
              </w:rPr>
            </w:pPr>
            <w:r>
              <w:rPr>
                <w:noProof/>
              </w:rPr>
              <w:t>CT</w:t>
            </w:r>
          </w:p>
        </w:tc>
        <w:tc>
          <w:tcPr>
            <w:tcW w:w="6432" w:type="dxa"/>
          </w:tcPr>
          <w:p w:rsidR="006551B7" w:rsidRDefault="004627E8">
            <w:pPr>
              <w:spacing w:before="0" w:after="0"/>
              <w:jc w:val="left"/>
              <w:rPr>
                <w:rFonts w:eastAsia="Times New Roman"/>
                <w:noProof/>
                <w:szCs w:val="24"/>
              </w:rPr>
            </w:pPr>
            <w:r>
              <w:rPr>
                <w:noProof/>
              </w:rPr>
              <w:t>Preskušanje skladnosti</w:t>
            </w:r>
          </w:p>
        </w:tc>
      </w:tr>
      <w:tr w:rsidR="006551B7">
        <w:trPr>
          <w:trHeight w:val="297"/>
        </w:trPr>
        <w:tc>
          <w:tcPr>
            <w:tcW w:w="1800" w:type="dxa"/>
          </w:tcPr>
          <w:p w:rsidR="006551B7" w:rsidRDefault="004627E8">
            <w:pPr>
              <w:spacing w:before="0" w:after="0"/>
              <w:jc w:val="left"/>
              <w:rPr>
                <w:rFonts w:eastAsia="Times New Roman"/>
                <w:noProof/>
                <w:szCs w:val="24"/>
              </w:rPr>
            </w:pPr>
            <w:r>
              <w:rPr>
                <w:noProof/>
              </w:rPr>
              <w:t>GD</w:t>
            </w:r>
          </w:p>
        </w:tc>
        <w:tc>
          <w:tcPr>
            <w:tcW w:w="6432" w:type="dxa"/>
          </w:tcPr>
          <w:p w:rsidR="006551B7" w:rsidRDefault="004627E8">
            <w:pPr>
              <w:spacing w:before="0" w:after="0"/>
              <w:jc w:val="left"/>
              <w:rPr>
                <w:rFonts w:eastAsia="Times New Roman"/>
                <w:noProof/>
                <w:szCs w:val="24"/>
              </w:rPr>
            </w:pPr>
            <w:r>
              <w:rPr>
                <w:noProof/>
              </w:rPr>
              <w:t>Generalni direktorat</w:t>
            </w:r>
          </w:p>
        </w:tc>
      </w:tr>
      <w:tr w:rsidR="006551B7">
        <w:trPr>
          <w:trHeight w:val="297"/>
        </w:trPr>
        <w:tc>
          <w:tcPr>
            <w:tcW w:w="1800" w:type="dxa"/>
          </w:tcPr>
          <w:p w:rsidR="006551B7" w:rsidRDefault="004627E8">
            <w:pPr>
              <w:spacing w:before="0" w:after="0"/>
              <w:jc w:val="left"/>
              <w:rPr>
                <w:rFonts w:eastAsia="Times New Roman"/>
                <w:noProof/>
                <w:szCs w:val="24"/>
              </w:rPr>
            </w:pPr>
            <w:r>
              <w:rPr>
                <w:noProof/>
              </w:rPr>
              <w:t>EoF</w:t>
            </w:r>
          </w:p>
        </w:tc>
        <w:tc>
          <w:tcPr>
            <w:tcW w:w="6432" w:type="dxa"/>
          </w:tcPr>
          <w:p w:rsidR="006551B7" w:rsidRDefault="004627E8">
            <w:pPr>
              <w:spacing w:before="0" w:after="0"/>
              <w:jc w:val="left"/>
              <w:rPr>
                <w:rFonts w:eastAsia="Times New Roman"/>
                <w:noProof/>
                <w:szCs w:val="24"/>
              </w:rPr>
            </w:pPr>
            <w:r>
              <w:rPr>
                <w:noProof/>
              </w:rPr>
              <w:t>Izmenjava obrazcev</w:t>
            </w:r>
          </w:p>
        </w:tc>
      </w:tr>
      <w:tr w:rsidR="006551B7">
        <w:trPr>
          <w:trHeight w:val="298"/>
        </w:trPr>
        <w:tc>
          <w:tcPr>
            <w:tcW w:w="1800" w:type="dxa"/>
          </w:tcPr>
          <w:p w:rsidR="006551B7" w:rsidRDefault="004627E8">
            <w:pPr>
              <w:spacing w:before="0" w:after="0"/>
              <w:jc w:val="left"/>
              <w:rPr>
                <w:rFonts w:eastAsia="Times New Roman"/>
                <w:noProof/>
                <w:szCs w:val="24"/>
              </w:rPr>
            </w:pPr>
            <w:r>
              <w:rPr>
                <w:noProof/>
              </w:rPr>
              <w:t>FAT</w:t>
            </w:r>
          </w:p>
        </w:tc>
        <w:tc>
          <w:tcPr>
            <w:tcW w:w="6432" w:type="dxa"/>
          </w:tcPr>
          <w:p w:rsidR="006551B7" w:rsidRDefault="004627E8">
            <w:pPr>
              <w:spacing w:before="0" w:after="0"/>
              <w:jc w:val="left"/>
              <w:rPr>
                <w:rFonts w:eastAsia="Times New Roman"/>
                <w:noProof/>
                <w:szCs w:val="24"/>
              </w:rPr>
            </w:pPr>
            <w:r>
              <w:rPr>
                <w:noProof/>
              </w:rPr>
              <w:t>Preskusi ustreznosti (Factory Acceptance Tests)</w:t>
            </w:r>
          </w:p>
        </w:tc>
      </w:tr>
      <w:tr w:rsidR="006551B7">
        <w:trPr>
          <w:trHeight w:val="298"/>
        </w:trPr>
        <w:tc>
          <w:tcPr>
            <w:tcW w:w="1800" w:type="dxa"/>
          </w:tcPr>
          <w:p w:rsidR="006551B7" w:rsidRDefault="004627E8">
            <w:pPr>
              <w:spacing w:before="0" w:after="0"/>
              <w:jc w:val="left"/>
              <w:rPr>
                <w:rFonts w:eastAsia="Times New Roman"/>
                <w:noProof/>
                <w:szCs w:val="24"/>
              </w:rPr>
            </w:pPr>
            <w:r>
              <w:rPr>
                <w:noProof/>
              </w:rPr>
              <w:t>HTTP</w:t>
            </w:r>
          </w:p>
        </w:tc>
        <w:tc>
          <w:tcPr>
            <w:tcW w:w="6432" w:type="dxa"/>
          </w:tcPr>
          <w:p w:rsidR="006551B7" w:rsidRDefault="004627E8">
            <w:pPr>
              <w:spacing w:before="0" w:after="0"/>
              <w:jc w:val="left"/>
              <w:rPr>
                <w:rFonts w:eastAsia="Times New Roman"/>
                <w:noProof/>
                <w:szCs w:val="24"/>
              </w:rPr>
            </w:pPr>
            <w:r>
              <w:rPr>
                <w:noProof/>
              </w:rPr>
              <w:t>Protokol za prenos hiperbesedila (HyperText Transfer Protocol)</w:t>
            </w:r>
          </w:p>
        </w:tc>
      </w:tr>
      <w:tr w:rsidR="006551B7">
        <w:trPr>
          <w:trHeight w:val="297"/>
        </w:trPr>
        <w:tc>
          <w:tcPr>
            <w:tcW w:w="1800" w:type="dxa"/>
          </w:tcPr>
          <w:p w:rsidR="006551B7" w:rsidRDefault="004627E8">
            <w:pPr>
              <w:spacing w:before="0" w:after="0"/>
              <w:jc w:val="left"/>
              <w:rPr>
                <w:rFonts w:eastAsia="Times New Roman"/>
                <w:noProof/>
                <w:szCs w:val="24"/>
              </w:rPr>
            </w:pPr>
            <w:r>
              <w:rPr>
                <w:noProof/>
              </w:rPr>
              <w:t>ITIL</w:t>
            </w:r>
            <w:r>
              <w:rPr>
                <w:rStyle w:val="FootnoteReference"/>
                <w:noProof/>
              </w:rPr>
              <w:footnoteReference w:id="3"/>
            </w:r>
          </w:p>
        </w:tc>
        <w:tc>
          <w:tcPr>
            <w:tcW w:w="6432" w:type="dxa"/>
          </w:tcPr>
          <w:p w:rsidR="006551B7" w:rsidRDefault="004627E8">
            <w:pPr>
              <w:spacing w:before="0" w:after="0"/>
              <w:jc w:val="left"/>
              <w:rPr>
                <w:rFonts w:eastAsia="Times New Roman"/>
                <w:noProof/>
                <w:szCs w:val="24"/>
              </w:rPr>
            </w:pPr>
            <w:r>
              <w:rPr>
                <w:noProof/>
              </w:rPr>
              <w:t>Knjižnica infrastrukture informacijske tehnologije</w:t>
            </w:r>
          </w:p>
        </w:tc>
      </w:tr>
      <w:tr w:rsidR="006551B7">
        <w:trPr>
          <w:trHeight w:val="297"/>
        </w:trPr>
        <w:tc>
          <w:tcPr>
            <w:tcW w:w="1800" w:type="dxa"/>
          </w:tcPr>
          <w:p w:rsidR="006551B7" w:rsidRDefault="004627E8">
            <w:pPr>
              <w:spacing w:before="0" w:after="0"/>
              <w:jc w:val="left"/>
              <w:rPr>
                <w:rFonts w:eastAsia="Times New Roman"/>
                <w:noProof/>
                <w:szCs w:val="24"/>
              </w:rPr>
            </w:pPr>
            <w:r>
              <w:rPr>
                <w:noProof/>
              </w:rPr>
              <w:t>ITSM</w:t>
            </w:r>
          </w:p>
        </w:tc>
        <w:tc>
          <w:tcPr>
            <w:tcW w:w="6432" w:type="dxa"/>
          </w:tcPr>
          <w:p w:rsidR="006551B7" w:rsidRDefault="004627E8">
            <w:pPr>
              <w:spacing w:before="0" w:after="0"/>
              <w:jc w:val="left"/>
              <w:rPr>
                <w:rFonts w:eastAsia="Times New Roman"/>
                <w:noProof/>
                <w:szCs w:val="24"/>
              </w:rPr>
            </w:pPr>
            <w:r>
              <w:rPr>
                <w:noProof/>
              </w:rPr>
              <w:t>Upravljanje storitev informacijske tehnologije</w:t>
            </w:r>
          </w:p>
        </w:tc>
      </w:tr>
      <w:tr w:rsidR="006551B7">
        <w:trPr>
          <w:trHeight w:val="297"/>
        </w:trPr>
        <w:tc>
          <w:tcPr>
            <w:tcW w:w="1800" w:type="dxa"/>
          </w:tcPr>
          <w:p w:rsidR="006551B7" w:rsidRDefault="004627E8">
            <w:pPr>
              <w:spacing w:before="0" w:after="0"/>
              <w:jc w:val="left"/>
              <w:rPr>
                <w:rFonts w:eastAsia="Times New Roman"/>
                <w:noProof/>
                <w:szCs w:val="24"/>
              </w:rPr>
            </w:pPr>
            <w:r>
              <w:rPr>
                <w:noProof/>
              </w:rPr>
              <w:t>Pogodbenica</w:t>
            </w:r>
          </w:p>
        </w:tc>
        <w:tc>
          <w:tcPr>
            <w:tcW w:w="6432" w:type="dxa"/>
          </w:tcPr>
          <w:p w:rsidR="006551B7" w:rsidRDefault="004627E8">
            <w:pPr>
              <w:spacing w:before="0" w:after="0"/>
              <w:rPr>
                <w:rFonts w:eastAsia="Times New Roman"/>
                <w:noProof/>
                <w:szCs w:val="24"/>
              </w:rPr>
            </w:pPr>
            <w:r>
              <w:rPr>
                <w:noProof/>
              </w:rPr>
              <w:t>V tem sporazumu o ravni storitve „pogodbenica“ pomeni Norveško ali Komisijo.</w:t>
            </w:r>
          </w:p>
        </w:tc>
      </w:tr>
      <w:tr w:rsidR="006551B7">
        <w:trPr>
          <w:trHeight w:val="298"/>
        </w:trPr>
        <w:tc>
          <w:tcPr>
            <w:tcW w:w="1800" w:type="dxa"/>
          </w:tcPr>
          <w:p w:rsidR="006551B7" w:rsidRDefault="004627E8">
            <w:pPr>
              <w:spacing w:before="0" w:after="0"/>
              <w:jc w:val="left"/>
              <w:rPr>
                <w:rFonts w:eastAsia="Times New Roman"/>
                <w:noProof/>
                <w:szCs w:val="24"/>
              </w:rPr>
            </w:pPr>
            <w:r>
              <w:rPr>
                <w:noProof/>
              </w:rPr>
              <w:t>DDV</w:t>
            </w:r>
          </w:p>
        </w:tc>
        <w:tc>
          <w:tcPr>
            <w:tcW w:w="6432" w:type="dxa"/>
          </w:tcPr>
          <w:p w:rsidR="006551B7" w:rsidRDefault="004627E8">
            <w:pPr>
              <w:keepNext/>
              <w:spacing w:before="0" w:after="0"/>
              <w:jc w:val="left"/>
              <w:rPr>
                <w:rFonts w:eastAsia="Times New Roman"/>
                <w:noProof/>
                <w:szCs w:val="24"/>
              </w:rPr>
            </w:pPr>
            <w:r>
              <w:rPr>
                <w:noProof/>
              </w:rPr>
              <w:t>Davek na dodano vrednost</w:t>
            </w:r>
          </w:p>
        </w:tc>
      </w:tr>
    </w:tbl>
    <w:p w:rsidR="006551B7" w:rsidRDefault="004627E8">
      <w:pPr>
        <w:spacing w:before="60"/>
        <w:jc w:val="center"/>
        <w:rPr>
          <w:rFonts w:eastAsia="Times New Roman"/>
          <w:noProof/>
          <w:sz w:val="20"/>
          <w:szCs w:val="20"/>
        </w:rPr>
      </w:pPr>
      <w:r>
        <w:rPr>
          <w:noProof/>
          <w:sz w:val="20"/>
        </w:rPr>
        <w:t>Preglednica </w:t>
      </w:r>
      <w:r>
        <w:rPr>
          <w:rFonts w:eastAsia="Times New Roman"/>
          <w:noProof/>
          <w:sz w:val="20"/>
          <w:szCs w:val="20"/>
        </w:rPr>
        <w:t>3</w:t>
      </w:r>
      <w:r>
        <w:rPr>
          <w:noProof/>
          <w:sz w:val="20"/>
        </w:rPr>
        <w:t xml:space="preserve">: Kratice </w:t>
      </w:r>
    </w:p>
    <w:p w:rsidR="006551B7" w:rsidRDefault="004627E8">
      <w:pPr>
        <w:pStyle w:val="ManualHeading2"/>
        <w:rPr>
          <w:noProof/>
        </w:rPr>
      </w:pPr>
      <w:bookmarkStart w:id="6" w:name="_Ref313892566"/>
      <w:r>
        <w:rPr>
          <w:noProof/>
        </w:rPr>
        <w:t>2.2</w:t>
      </w:r>
      <w:r>
        <w:rPr>
          <w:noProof/>
        </w:rPr>
        <w:tab/>
        <w:t>OPREDELITEV POJMOV</w:t>
      </w:r>
      <w:bookmarkEnd w:id="6"/>
    </w:p>
    <w:tbl>
      <w:tblPr>
        <w:tblW w:w="8232"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432"/>
      </w:tblGrid>
      <w:tr w:rsidR="006551B7">
        <w:trPr>
          <w:tblHeader/>
        </w:trPr>
        <w:tc>
          <w:tcPr>
            <w:tcW w:w="1800" w:type="dxa"/>
            <w:shd w:val="clear" w:color="auto" w:fill="E0E0E0"/>
          </w:tcPr>
          <w:p w:rsidR="006551B7" w:rsidRDefault="004627E8">
            <w:pPr>
              <w:spacing w:before="0" w:after="0"/>
              <w:jc w:val="center"/>
              <w:rPr>
                <w:rFonts w:eastAsia="Times New Roman"/>
                <w:b/>
                <w:noProof/>
                <w:szCs w:val="24"/>
              </w:rPr>
            </w:pPr>
            <w:r>
              <w:rPr>
                <w:b/>
                <w:noProof/>
              </w:rPr>
              <w:t>POJEM</w:t>
            </w:r>
          </w:p>
        </w:tc>
        <w:tc>
          <w:tcPr>
            <w:tcW w:w="6432" w:type="dxa"/>
            <w:shd w:val="clear" w:color="auto" w:fill="E0E0E0"/>
          </w:tcPr>
          <w:p w:rsidR="006551B7" w:rsidRDefault="004627E8">
            <w:pPr>
              <w:spacing w:before="0" w:after="0"/>
              <w:jc w:val="center"/>
              <w:rPr>
                <w:rFonts w:eastAsia="Times New Roman"/>
                <w:b/>
                <w:noProof/>
                <w:szCs w:val="24"/>
              </w:rPr>
            </w:pPr>
            <w:r>
              <w:rPr>
                <w:b/>
                <w:noProof/>
              </w:rPr>
              <w:t>OPREDELITEV</w:t>
            </w:r>
          </w:p>
        </w:tc>
      </w:tr>
      <w:tr w:rsidR="006551B7">
        <w:tc>
          <w:tcPr>
            <w:tcW w:w="1800" w:type="dxa"/>
          </w:tcPr>
          <w:p w:rsidR="006551B7" w:rsidRDefault="004627E8">
            <w:pPr>
              <w:spacing w:before="60" w:after="0"/>
              <w:jc w:val="left"/>
              <w:rPr>
                <w:rFonts w:eastAsia="Times New Roman"/>
                <w:noProof/>
                <w:szCs w:val="24"/>
              </w:rPr>
            </w:pPr>
            <w:r>
              <w:rPr>
                <w:noProof/>
              </w:rPr>
              <w:t>CET</w:t>
            </w:r>
          </w:p>
        </w:tc>
        <w:tc>
          <w:tcPr>
            <w:tcW w:w="6432" w:type="dxa"/>
          </w:tcPr>
          <w:p w:rsidR="006551B7" w:rsidRDefault="004627E8">
            <w:pPr>
              <w:keepNext/>
              <w:spacing w:before="60" w:after="0"/>
              <w:jc w:val="left"/>
              <w:rPr>
                <w:rFonts w:eastAsia="Times New Roman"/>
                <w:noProof/>
                <w:szCs w:val="24"/>
              </w:rPr>
            </w:pPr>
            <w:r>
              <w:rPr>
                <w:noProof/>
              </w:rPr>
              <w:t>Srednjeevropski čas, tj. GMT + 1, v poletnem času pa GMT + 2 uri.</w:t>
            </w:r>
          </w:p>
        </w:tc>
      </w:tr>
      <w:tr w:rsidR="006551B7">
        <w:tc>
          <w:tcPr>
            <w:tcW w:w="1800" w:type="dxa"/>
          </w:tcPr>
          <w:p w:rsidR="006551B7" w:rsidRDefault="004627E8">
            <w:pPr>
              <w:spacing w:before="60" w:after="0"/>
              <w:jc w:val="left"/>
              <w:rPr>
                <w:rFonts w:eastAsia="Times New Roman"/>
                <w:noProof/>
                <w:szCs w:val="24"/>
              </w:rPr>
            </w:pPr>
            <w:r>
              <w:rPr>
                <w:noProof/>
              </w:rPr>
              <w:t>Delovni dnevi in delovni čas (storitveni center ITSM)</w:t>
            </w:r>
          </w:p>
        </w:tc>
        <w:tc>
          <w:tcPr>
            <w:tcW w:w="6432" w:type="dxa"/>
          </w:tcPr>
          <w:p w:rsidR="006551B7" w:rsidRDefault="004627E8">
            <w:pPr>
              <w:keepNext/>
              <w:spacing w:before="60" w:after="0"/>
              <w:jc w:val="left"/>
              <w:rPr>
                <w:rFonts w:eastAsia="Times New Roman"/>
                <w:noProof/>
                <w:szCs w:val="24"/>
              </w:rPr>
            </w:pPr>
            <w:r>
              <w:rPr>
                <w:noProof/>
              </w:rPr>
              <w:t>Od 7.00 do 20.00 (CET), pet dni na teden (od ponedeljka do petka, tudi ob praznikih).</w:t>
            </w:r>
          </w:p>
        </w:tc>
      </w:tr>
    </w:tbl>
    <w:p w:rsidR="006551B7" w:rsidRDefault="004627E8">
      <w:pPr>
        <w:spacing w:before="60"/>
        <w:jc w:val="center"/>
        <w:rPr>
          <w:rFonts w:eastAsia="Times New Roman"/>
          <w:noProof/>
          <w:sz w:val="20"/>
          <w:szCs w:val="20"/>
        </w:rPr>
      </w:pPr>
      <w:bookmarkStart w:id="7" w:name="_Ref486337901"/>
      <w:r>
        <w:rPr>
          <w:noProof/>
          <w:sz w:val="20"/>
        </w:rPr>
        <w:t>Preglednica </w:t>
      </w:r>
      <w:r>
        <w:rPr>
          <w:rFonts w:eastAsia="Times New Roman"/>
          <w:noProof/>
          <w:sz w:val="20"/>
          <w:szCs w:val="20"/>
        </w:rPr>
        <w:t>4</w:t>
      </w:r>
      <w:bookmarkEnd w:id="7"/>
      <w:r>
        <w:rPr>
          <w:noProof/>
          <w:sz w:val="20"/>
        </w:rPr>
        <w:t>: Opredelitev pojmov</w:t>
      </w:r>
    </w:p>
    <w:p w:rsidR="006551B7" w:rsidRDefault="004627E8">
      <w:pPr>
        <w:pStyle w:val="ManualHeading1"/>
        <w:rPr>
          <w:noProof/>
        </w:rPr>
      </w:pPr>
      <w:bookmarkStart w:id="8" w:name="_Ref313971935"/>
      <w:r>
        <w:rPr>
          <w:noProof/>
        </w:rPr>
        <w:t>3.</w:t>
      </w:r>
      <w:r>
        <w:rPr>
          <w:noProof/>
        </w:rPr>
        <w:tab/>
      </w:r>
      <w:r>
        <w:rPr>
          <w:noProof/>
          <w:u w:val="single"/>
        </w:rPr>
        <w:t>UVOD</w:t>
      </w:r>
      <w:bookmarkEnd w:id="8"/>
    </w:p>
    <w:p w:rsidR="006551B7" w:rsidRDefault="004627E8">
      <w:pPr>
        <w:pStyle w:val="Text1"/>
        <w:rPr>
          <w:noProof/>
        </w:rPr>
      </w:pPr>
      <w:r>
        <w:rPr>
          <w:noProof/>
        </w:rPr>
        <w:t>Ta dokument je sestavljen iz</w:t>
      </w:r>
      <w:r>
        <w:rPr>
          <w:noProof/>
          <w:color w:val="FF0000"/>
        </w:rPr>
        <w:t xml:space="preserve"> </w:t>
      </w:r>
      <w:r>
        <w:rPr>
          <w:noProof/>
        </w:rPr>
        <w:t>sporazuma o ravni storitve med Kraljevino Norveško (v nadaljnjem besedilu: Norveška) in Evropsko komisijo (v nadaljnjem besedilu: Komisija), ki sta skupaj imenovani „pogodbenici sporazuma o ravni storitve“.</w:t>
      </w:r>
    </w:p>
    <w:p w:rsidR="006551B7" w:rsidRDefault="004627E8">
      <w:pPr>
        <w:pStyle w:val="ManualHeading2"/>
        <w:rPr>
          <w:noProof/>
        </w:rPr>
      </w:pPr>
      <w:r>
        <w:rPr>
          <w:noProof/>
        </w:rPr>
        <w:t>3.1</w:t>
      </w:r>
      <w:r>
        <w:rPr>
          <w:noProof/>
        </w:rPr>
        <w:tab/>
        <w:t>PODROČJE UPORABE SPORAZUMA O RAVNI STORITVE</w:t>
      </w:r>
    </w:p>
    <w:p w:rsidR="006551B7" w:rsidRDefault="004627E8">
      <w:pPr>
        <w:pStyle w:val="Text1"/>
        <w:rPr>
          <w:noProof/>
        </w:rPr>
      </w:pPr>
      <w:r>
        <w:rPr>
          <w:noProof/>
        </w:rPr>
        <w:t>Člen 5 Sporazuma določa, da se „[z]a zagotavljanje tehnične kakovosti in količine storitev za delovanje sistemov sporočanja in izmenjave informacij [...] sklene sporazum o ravni storitve.“</w:t>
      </w:r>
    </w:p>
    <w:p w:rsidR="006551B7" w:rsidRDefault="004627E8">
      <w:pPr>
        <w:pStyle w:val="Text1"/>
        <w:rPr>
          <w:noProof/>
        </w:rPr>
      </w:pPr>
      <w:r>
        <w:rPr>
          <w:noProof/>
        </w:rPr>
        <w:t>S tem sporazumom o ravni storitve sta določena odnos med Kraljevino Norveško in Komisijo v zvezi z uporabo sistemov in aplikacij za upravno sodelovanje in izterjavo terjatev na področju DDV ter odnos med Kraljevino Norveško in državami članicami v zvezi z izmenjavo obrazcev.</w:t>
      </w:r>
    </w:p>
    <w:p w:rsidR="006551B7" w:rsidRDefault="004627E8">
      <w:pPr>
        <w:pStyle w:val="Text1"/>
        <w:rPr>
          <w:noProof/>
        </w:rPr>
      </w:pPr>
      <w:r>
        <w:rPr>
          <w:noProof/>
        </w:rPr>
        <w:t>Sistemi, ki delujejo in za katere veljajo pogoji sporazuma o ravni storitve, so naslednji:</w:t>
      </w:r>
    </w:p>
    <w:p w:rsidR="006551B7" w:rsidRDefault="004627E8">
      <w:pPr>
        <w:pStyle w:val="Bullet1"/>
        <w:numPr>
          <w:ilvl w:val="0"/>
          <w:numId w:val="28"/>
        </w:numPr>
        <w:rPr>
          <w:noProof/>
        </w:rPr>
      </w:pPr>
      <w:r>
        <w:rPr>
          <w:noProof/>
        </w:rPr>
        <w:t>izmenjava obrazcev;</w:t>
      </w:r>
    </w:p>
    <w:p w:rsidR="006551B7" w:rsidRDefault="004627E8">
      <w:pPr>
        <w:pStyle w:val="Bullet1"/>
        <w:rPr>
          <w:noProof/>
        </w:rPr>
      </w:pPr>
      <w:r>
        <w:rPr>
          <w:noProof/>
        </w:rPr>
        <w:t>spremljanje, statistični podatki in preskušanje.</w:t>
      </w:r>
    </w:p>
    <w:p w:rsidR="006551B7" w:rsidRDefault="004627E8">
      <w:pPr>
        <w:pStyle w:val="Text1"/>
        <w:rPr>
          <w:noProof/>
        </w:rPr>
      </w:pPr>
      <w:r>
        <w:rPr>
          <w:noProof/>
        </w:rPr>
        <w:t>Komisija določi postopek za dosego sporazuma za upravno sodelovanje z uporabo informacijske tehnologije. To vključuje standarde, postopke, orodja, tehnologijo in infrastrukturo. Norveški se zagotavlja pomoč za zagotovitev, da so sistemi za izmenjavo podatkov na voljo in se pravilno izvajajo. Komisija izvaja tudi spremljanje, nadzor in ocenjevanje celotnega sistema. Poleg tega Norveški zagotavlja smernice, ki jih je treba upoštevati v zvezi s to izmenjavo informacij.</w:t>
      </w:r>
    </w:p>
    <w:p w:rsidR="006551B7" w:rsidRDefault="004627E8">
      <w:pPr>
        <w:pStyle w:val="Text1"/>
        <w:rPr>
          <w:noProof/>
        </w:rPr>
      </w:pPr>
      <w:r>
        <w:rPr>
          <w:noProof/>
        </w:rPr>
        <w:t>Vsi cilji iz sporazuma o ravni storitve veljajo samo v normalnih delovnih pogojih.</w:t>
      </w:r>
    </w:p>
    <w:p w:rsidR="006551B7" w:rsidRDefault="004627E8">
      <w:pPr>
        <w:pStyle w:val="Text1"/>
        <w:rPr>
          <w:noProof/>
        </w:rPr>
      </w:pPr>
      <w:r>
        <w:rPr>
          <w:noProof/>
        </w:rPr>
        <w:t>V primeru višje sile se veljavnost sporazuma o ravni storitve za Norveško začasno prekine za obdobje trajanja teh okoliščin višje sile.</w:t>
      </w:r>
    </w:p>
    <w:p w:rsidR="006551B7" w:rsidRDefault="004627E8">
      <w:pPr>
        <w:pStyle w:val="Text1"/>
        <w:rPr>
          <w:noProof/>
        </w:rPr>
      </w:pPr>
      <w:r>
        <w:rPr>
          <w:noProof/>
        </w:rPr>
        <w:t>Višja sila pomeni nepredvidljiv dogodek ali pojav, na katerega Norveška ali Komisija ne moreta vplivati ter ki ga ni mogoče pripisati nobenemu dejanju odgovorne pogodbenice ali njenemu nesprejetju preventivnih ukrepov. Takšni dogodki se nanašajo na vladne ukrepe, vojno, požar, eksplozijo, poplave, uvozne ali izvozne predpise ali embargo in delovne spore.</w:t>
      </w:r>
    </w:p>
    <w:p w:rsidR="006551B7" w:rsidRDefault="004627E8">
      <w:pPr>
        <w:pStyle w:val="Text1"/>
        <w:rPr>
          <w:noProof/>
        </w:rPr>
      </w:pPr>
      <w:r>
        <w:rPr>
          <w:noProof/>
        </w:rPr>
        <w:t>Pogodbenica, ki se sklicuje na višjo silo, drugo pogodbenico takoj obvesti o nezmožnosti zagotavljanja storitev ali doseganja ciljev sporazuma o ravni storitve zaradi višje sile, pri čemer mora navesti storitve in cilje, na katere vpliva višja sila. Ko se višja sila konča, prizadeta pogodbenica o tem prav tako nemudoma obvesti drugo pogodbenico.</w:t>
      </w:r>
    </w:p>
    <w:p w:rsidR="006551B7" w:rsidRDefault="004627E8">
      <w:pPr>
        <w:pStyle w:val="ManualHeading2"/>
        <w:rPr>
          <w:noProof/>
        </w:rPr>
      </w:pPr>
      <w:r>
        <w:rPr>
          <w:noProof/>
        </w:rPr>
        <w:t>3.2</w:t>
      </w:r>
      <w:r>
        <w:rPr>
          <w:noProof/>
        </w:rPr>
        <w:tab/>
        <w:t>OBDOBJE VELJAVNOSTI SPORAZUMA</w:t>
      </w:r>
    </w:p>
    <w:p w:rsidR="006551B7" w:rsidRDefault="004627E8">
      <w:pPr>
        <w:pStyle w:val="Text1"/>
        <w:rPr>
          <w:noProof/>
        </w:rPr>
      </w:pPr>
      <w:r>
        <w:rPr>
          <w:noProof/>
        </w:rPr>
        <w:t>Sporazum o ravni storitve je za pogodbenici zavezujoč od dneva, ko ga odobri skupni odbor, ustanovljen na podlagi člena 41 Sporazuma (v nadaljnjem besedilu: skupni odbor).</w:t>
      </w:r>
    </w:p>
    <w:p w:rsidR="006551B7" w:rsidRDefault="004627E8">
      <w:pPr>
        <w:pStyle w:val="ManualHeading1"/>
        <w:rPr>
          <w:noProof/>
        </w:rPr>
      </w:pPr>
      <w:r>
        <w:rPr>
          <w:noProof/>
        </w:rPr>
        <w:t>4.</w:t>
      </w:r>
      <w:r>
        <w:rPr>
          <w:noProof/>
        </w:rPr>
        <w:tab/>
      </w:r>
      <w:r>
        <w:rPr>
          <w:noProof/>
          <w:u w:val="single"/>
        </w:rPr>
        <w:t>ODGOVORNOSTI</w:t>
      </w:r>
    </w:p>
    <w:p w:rsidR="006551B7" w:rsidRDefault="004627E8">
      <w:pPr>
        <w:pStyle w:val="Text1"/>
        <w:rPr>
          <w:noProof/>
        </w:rPr>
      </w:pPr>
      <w:r>
        <w:rPr>
          <w:noProof/>
        </w:rPr>
        <w:t xml:space="preserve">Namen tega sporazuma o ravni storitve je zagotoviti kakovost in količino storitev, ki jih morata Komisija in Norveška zagotoviti, da se jima dajo na voljo določeni sistemi in aplikacije za upravno sodelovanje in izterjavo terjatev na področju DDV. </w:t>
      </w:r>
    </w:p>
    <w:p w:rsidR="006551B7" w:rsidRDefault="004627E8">
      <w:pPr>
        <w:pStyle w:val="ManualHeading2"/>
        <w:rPr>
          <w:noProof/>
        </w:rPr>
      </w:pPr>
      <w:r>
        <w:rPr>
          <w:noProof/>
        </w:rPr>
        <w:t>4.1</w:t>
      </w:r>
      <w:r>
        <w:rPr>
          <w:noProof/>
        </w:rPr>
        <w:tab/>
        <w:t xml:space="preserve">STORITVE, KI JIH KOMISIJA ZAGOTOVI NORVEŠKI </w:t>
      </w:r>
    </w:p>
    <w:p w:rsidR="006551B7" w:rsidRDefault="004627E8">
      <w:pPr>
        <w:pStyle w:val="Text1"/>
        <w:rPr>
          <w:noProof/>
        </w:rPr>
      </w:pPr>
      <w:r>
        <w:rPr>
          <w:b/>
          <w:noProof/>
        </w:rPr>
        <w:t>Komisija</w:t>
      </w:r>
      <w:r>
        <w:rPr>
          <w:noProof/>
        </w:rPr>
        <w:t xml:space="preserve"> da na voljo naslednje storitve:</w:t>
      </w:r>
    </w:p>
    <w:p w:rsidR="006551B7" w:rsidRDefault="004627E8">
      <w:pPr>
        <w:pStyle w:val="Bullet1"/>
        <w:rPr>
          <w:noProof/>
        </w:rPr>
      </w:pPr>
      <w:r>
        <w:rPr>
          <w:noProof/>
        </w:rPr>
        <w:t>operativne storitve:</w:t>
      </w:r>
    </w:p>
    <w:p w:rsidR="006551B7" w:rsidRDefault="004627E8">
      <w:pPr>
        <w:pStyle w:val="Tiret2"/>
        <w:numPr>
          <w:ilvl w:val="0"/>
          <w:numId w:val="31"/>
        </w:numPr>
        <w:rPr>
          <w:noProof/>
        </w:rPr>
      </w:pPr>
      <w:r>
        <w:rPr>
          <w:noProof/>
        </w:rPr>
        <w:t>služba za podporo uporabnikom in dejavnosti:</w:t>
      </w:r>
    </w:p>
    <w:p w:rsidR="006551B7" w:rsidRDefault="004627E8">
      <w:pPr>
        <w:pStyle w:val="Point3letter"/>
        <w:rPr>
          <w:noProof/>
        </w:rPr>
      </w:pPr>
      <w:r>
        <w:rPr>
          <w:noProof/>
        </w:rPr>
        <w:t>služba za pomoč uporabnikom,</w:t>
      </w:r>
    </w:p>
    <w:p w:rsidR="006551B7" w:rsidRDefault="004627E8">
      <w:pPr>
        <w:pStyle w:val="Point3letter"/>
        <w:rPr>
          <w:noProof/>
        </w:rPr>
      </w:pPr>
      <w:r>
        <w:rPr>
          <w:noProof/>
        </w:rPr>
        <w:t>obravnava incidentov,</w:t>
      </w:r>
    </w:p>
    <w:p w:rsidR="006551B7" w:rsidRDefault="004627E8">
      <w:pPr>
        <w:pStyle w:val="Point3letter"/>
        <w:rPr>
          <w:noProof/>
        </w:rPr>
      </w:pPr>
      <w:r>
        <w:rPr>
          <w:noProof/>
        </w:rPr>
        <w:t>spremljanje in obveščanje,</w:t>
      </w:r>
    </w:p>
    <w:p w:rsidR="006551B7" w:rsidRDefault="004627E8">
      <w:pPr>
        <w:pStyle w:val="Point3letter"/>
        <w:rPr>
          <w:noProof/>
        </w:rPr>
      </w:pPr>
      <w:r>
        <w:rPr>
          <w:noProof/>
        </w:rPr>
        <w:t>usposabljanje,</w:t>
      </w:r>
    </w:p>
    <w:p w:rsidR="006551B7" w:rsidRDefault="004627E8">
      <w:pPr>
        <w:pStyle w:val="Point3letter"/>
        <w:rPr>
          <w:noProof/>
        </w:rPr>
      </w:pPr>
      <w:r>
        <w:rPr>
          <w:noProof/>
        </w:rPr>
        <w:t>upravljanje varnosti,</w:t>
      </w:r>
    </w:p>
    <w:p w:rsidR="006551B7" w:rsidRDefault="004627E8">
      <w:pPr>
        <w:pStyle w:val="Point3letter"/>
        <w:rPr>
          <w:noProof/>
        </w:rPr>
      </w:pPr>
      <w:r>
        <w:rPr>
          <w:noProof/>
        </w:rPr>
        <w:t>poročanje in statistični podatki,</w:t>
      </w:r>
    </w:p>
    <w:p w:rsidR="006551B7" w:rsidRDefault="004627E8">
      <w:pPr>
        <w:pStyle w:val="Point3letter"/>
        <w:rPr>
          <w:noProof/>
        </w:rPr>
      </w:pPr>
      <w:r>
        <w:rPr>
          <w:noProof/>
        </w:rPr>
        <w:t>svetovanje;</w:t>
      </w:r>
    </w:p>
    <w:p w:rsidR="006551B7" w:rsidRDefault="004627E8">
      <w:pPr>
        <w:pStyle w:val="Tiret2"/>
        <w:rPr>
          <w:noProof/>
        </w:rPr>
      </w:pPr>
      <w:r>
        <w:rPr>
          <w:noProof/>
        </w:rPr>
        <w:t>referenčni center:</w:t>
      </w:r>
    </w:p>
    <w:p w:rsidR="006551B7" w:rsidRDefault="004627E8">
      <w:pPr>
        <w:pStyle w:val="Point3letter"/>
        <w:numPr>
          <w:ilvl w:val="7"/>
          <w:numId w:val="30"/>
        </w:numPr>
        <w:rPr>
          <w:noProof/>
        </w:rPr>
      </w:pPr>
      <w:r>
        <w:rPr>
          <w:noProof/>
        </w:rPr>
        <w:t>upravljanje informacij,</w:t>
      </w:r>
    </w:p>
    <w:p w:rsidR="006551B7" w:rsidRDefault="004627E8">
      <w:pPr>
        <w:pStyle w:val="Point3letter"/>
        <w:rPr>
          <w:noProof/>
        </w:rPr>
      </w:pPr>
      <w:r>
        <w:rPr>
          <w:noProof/>
        </w:rPr>
        <w:t>dokumentacijski center (CIRCABC).</w:t>
      </w:r>
    </w:p>
    <w:p w:rsidR="006551B7" w:rsidRDefault="004627E8">
      <w:pPr>
        <w:pStyle w:val="Text1"/>
        <w:rPr>
          <w:noProof/>
        </w:rPr>
      </w:pPr>
      <w:r>
        <w:rPr>
          <w:noProof/>
        </w:rPr>
        <w:t>Komisija za zagotavljanje teh storitev vzdržuje naslednje aplikacije:</w:t>
      </w:r>
    </w:p>
    <w:p w:rsidR="006551B7" w:rsidRDefault="004627E8">
      <w:pPr>
        <w:pStyle w:val="Bullet1"/>
        <w:rPr>
          <w:noProof/>
        </w:rPr>
      </w:pPr>
      <w:r>
        <w:rPr>
          <w:noProof/>
        </w:rPr>
        <w:t>statistične aplikacije,</w:t>
      </w:r>
    </w:p>
    <w:p w:rsidR="006551B7" w:rsidRDefault="004627E8">
      <w:pPr>
        <w:pStyle w:val="Bullet1"/>
        <w:rPr>
          <w:noProof/>
        </w:rPr>
      </w:pPr>
      <w:r>
        <w:rPr>
          <w:noProof/>
        </w:rPr>
        <w:t>CIRCABC,</w:t>
      </w:r>
    </w:p>
    <w:p w:rsidR="006551B7" w:rsidRDefault="004627E8">
      <w:pPr>
        <w:pStyle w:val="Bullet1"/>
        <w:rPr>
          <w:noProof/>
        </w:rPr>
      </w:pPr>
      <w:r>
        <w:rPr>
          <w:noProof/>
        </w:rPr>
        <w:t>orodje storitvenega centra.</w:t>
      </w:r>
    </w:p>
    <w:p w:rsidR="006551B7" w:rsidRDefault="004627E8">
      <w:pPr>
        <w:pStyle w:val="ManualHeading2"/>
        <w:rPr>
          <w:noProof/>
        </w:rPr>
      </w:pPr>
      <w:r>
        <w:rPr>
          <w:noProof/>
        </w:rPr>
        <w:t>4.2</w:t>
      </w:r>
      <w:r>
        <w:rPr>
          <w:noProof/>
        </w:rPr>
        <w:tab/>
        <w:t>STORITVE, KI JIH NORVEŠKA ZAGOTOVI KOMISIJI</w:t>
      </w:r>
    </w:p>
    <w:p w:rsidR="006551B7" w:rsidRDefault="004627E8">
      <w:pPr>
        <w:pStyle w:val="Text1"/>
        <w:rPr>
          <w:noProof/>
        </w:rPr>
      </w:pPr>
      <w:r>
        <w:rPr>
          <w:b/>
          <w:noProof/>
        </w:rPr>
        <w:t>Norveška</w:t>
      </w:r>
      <w:r>
        <w:rPr>
          <w:noProof/>
        </w:rPr>
        <w:t xml:space="preserve"> da na voljo naslednje storitve:</w:t>
      </w:r>
    </w:p>
    <w:p w:rsidR="006551B7" w:rsidRDefault="004627E8">
      <w:pPr>
        <w:pStyle w:val="Bullet1"/>
        <w:rPr>
          <w:noProof/>
        </w:rPr>
      </w:pPr>
      <w:r>
        <w:rPr>
          <w:noProof/>
        </w:rPr>
        <w:t>Komisiji sporoči vse razpoložljive informacije, pomembne za uporabo Sporazuma;</w:t>
      </w:r>
    </w:p>
    <w:p w:rsidR="006551B7" w:rsidRDefault="004627E8">
      <w:pPr>
        <w:pStyle w:val="Bullet1"/>
        <w:rPr>
          <w:noProof/>
        </w:rPr>
      </w:pPr>
      <w:r>
        <w:rPr>
          <w:noProof/>
        </w:rPr>
        <w:t>Komisiji sporoči vse izredne razmere;</w:t>
      </w:r>
    </w:p>
    <w:p w:rsidR="006551B7" w:rsidRDefault="004627E8">
      <w:pPr>
        <w:pStyle w:val="Bullet1"/>
        <w:rPr>
          <w:b/>
          <w:noProof/>
        </w:rPr>
      </w:pPr>
      <w:r>
        <w:rPr>
          <w:noProof/>
        </w:rPr>
        <w:t>vsako leto zagotovi statistične podatke v zvezi s sporočanjem informacij iz člena 20 Sporazuma.</w:t>
      </w:r>
      <w:r>
        <w:rPr>
          <w:noProof/>
        </w:rPr>
        <w:tab/>
      </w:r>
    </w:p>
    <w:p w:rsidR="006551B7" w:rsidRDefault="004627E8">
      <w:pPr>
        <w:pStyle w:val="ManualHeading1"/>
        <w:rPr>
          <w:noProof/>
        </w:rPr>
      </w:pPr>
      <w:r>
        <w:rPr>
          <w:noProof/>
        </w:rPr>
        <w:t>5.</w:t>
      </w:r>
      <w:r>
        <w:rPr>
          <w:noProof/>
        </w:rPr>
        <w:tab/>
      </w:r>
      <w:r>
        <w:rPr>
          <w:noProof/>
          <w:u w:val="single"/>
        </w:rPr>
        <w:t>PREGLED RAVNI STORITEV</w:t>
      </w:r>
    </w:p>
    <w:p w:rsidR="006551B7" w:rsidRDefault="004627E8">
      <w:pPr>
        <w:pStyle w:val="Text1"/>
        <w:rPr>
          <w:noProof/>
        </w:rPr>
      </w:pPr>
      <w:r>
        <w:rPr>
          <w:noProof/>
        </w:rPr>
        <w:t>V tem poglavju so podrobno opisani količinski in kakovostni vidiki storitev, ki jih morata zagotoviti Komisija in Norveška, kot je opisano zgoraj.</w:t>
      </w:r>
    </w:p>
    <w:p w:rsidR="006551B7" w:rsidRDefault="004627E8">
      <w:pPr>
        <w:pStyle w:val="ManualHeading2"/>
        <w:rPr>
          <w:noProof/>
        </w:rPr>
      </w:pPr>
      <w:r>
        <w:rPr>
          <w:noProof/>
        </w:rPr>
        <w:t>5.1</w:t>
      </w:r>
      <w:r>
        <w:rPr>
          <w:noProof/>
        </w:rPr>
        <w:tab/>
        <w:t xml:space="preserve">RAVNI STORITEV KOMISIJE </w:t>
      </w:r>
    </w:p>
    <w:p w:rsidR="006551B7" w:rsidRDefault="004627E8">
      <w:pPr>
        <w:pStyle w:val="ManualHeading3"/>
        <w:rPr>
          <w:b/>
          <w:noProof/>
        </w:rPr>
      </w:pPr>
      <w:r>
        <w:rPr>
          <w:b/>
          <w:noProof/>
        </w:rPr>
        <w:t>5.1.1</w:t>
      </w:r>
      <w:r>
        <w:rPr>
          <w:b/>
          <w:noProof/>
        </w:rPr>
        <w:tab/>
      </w:r>
      <w:r>
        <w:rPr>
          <w:b/>
          <w:noProof/>
          <w:u w:val="single"/>
        </w:rPr>
        <w:t>Storitveni center</w:t>
      </w:r>
    </w:p>
    <w:p w:rsidR="006551B7" w:rsidRDefault="004627E8">
      <w:pPr>
        <w:pStyle w:val="ManualHeading4"/>
        <w:rPr>
          <w:noProof/>
          <w:w w:val="122"/>
        </w:rPr>
      </w:pPr>
      <w:r>
        <w:rPr>
          <w:noProof/>
        </w:rPr>
        <w:t>5.1.1.1</w:t>
      </w:r>
      <w:r>
        <w:rPr>
          <w:noProof/>
        </w:rPr>
        <w:tab/>
      </w:r>
      <w:r>
        <w:rPr>
          <w:i/>
          <w:noProof/>
        </w:rPr>
        <w:t>Sporazum</w:t>
      </w:r>
    </w:p>
    <w:p w:rsidR="006551B7" w:rsidRDefault="004627E8">
      <w:pPr>
        <w:pStyle w:val="Text1"/>
        <w:rPr>
          <w:noProof/>
        </w:rPr>
      </w:pPr>
      <w:r>
        <w:rPr>
          <w:noProof/>
        </w:rPr>
        <w:t>Komisija da na voljo storitveni center, ki odgovarja na morebitna vprašanja in poroča o morebitnih težavah Norveške s sistemi in aplikacijami za upravno sodelovanje in izterjavo terjatev na področju DDV ali katerim koli sestavnim delom, ki bi lahko vplival nanje. Ta storitveni center upravlja ITSM, njegov delovni čas pa je enak delovnemu času ITSM.</w:t>
      </w:r>
    </w:p>
    <w:p w:rsidR="006551B7" w:rsidRDefault="004627E8">
      <w:pPr>
        <w:pStyle w:val="Text1"/>
        <w:rPr>
          <w:noProof/>
        </w:rPr>
      </w:pPr>
      <w:r>
        <w:rPr>
          <w:noProof/>
        </w:rPr>
        <w:t xml:space="preserve">Zagotovi se, da je storitveni center ITSM na voljo vsaj 95 % delovnega časa. Vsa vprašanja ali težave se lahko storitvenemu centru sporočijo med delovnim časom ITSM po telefonu, telefaksu ali e-pošti, zunaj delovnega časa pa po e-pošti ali telefaksu. </w:t>
      </w:r>
      <w:r>
        <w:rPr>
          <w:noProof/>
          <w:color w:val="000000"/>
        </w:rPr>
        <w:t xml:space="preserve">Kadar se ta vprašanja ali težave pošljejo zunaj delovnega časa ITSM, se samodejno šteje, da so prispele naslednji delovni dan ob 8.00 </w:t>
      </w:r>
      <w:r>
        <w:rPr>
          <w:noProof/>
        </w:rPr>
        <w:t>CET</w:t>
      </w:r>
      <w:r>
        <w:rPr>
          <w:noProof/>
          <w:color w:val="000000"/>
        </w:rPr>
        <w:t>.</w:t>
      </w:r>
    </w:p>
    <w:p w:rsidR="006551B7" w:rsidRDefault="004627E8">
      <w:pPr>
        <w:pStyle w:val="Text1"/>
        <w:rPr>
          <w:noProof/>
        </w:rPr>
      </w:pPr>
      <w:r>
        <w:rPr>
          <w:noProof/>
        </w:rPr>
        <w:t>Storitveni center v orodju za upravljanje storitev evidentira in razvrsti servisne klice ter pogodbenico, ki je poslala sporočilo, obvesti o vsaki spremembi statusa v zvezi z njenim servisnim klicem.</w:t>
      </w:r>
    </w:p>
    <w:p w:rsidR="006551B7" w:rsidRDefault="004627E8">
      <w:pPr>
        <w:pStyle w:val="Text1"/>
        <w:rPr>
          <w:noProof/>
        </w:rPr>
      </w:pPr>
      <w:r>
        <w:rPr>
          <w:noProof/>
        </w:rPr>
        <w:t>ITSM uporabnikom zagotavlja prvo podporo in v določenem roku posreduje vse servisne klice, ki so odgovornost druge stranke (npr. skupine razvijalcev, izvajalcev ITSM). ITSM zagotavlja, da se roki za evidentiranje spoštujejo v vsaj 95 % primerov v mesecu poročanja.</w:t>
      </w:r>
    </w:p>
    <w:p w:rsidR="006551B7" w:rsidRDefault="004627E8">
      <w:pPr>
        <w:pStyle w:val="Text1"/>
        <w:rPr>
          <w:noProof/>
        </w:rPr>
      </w:pPr>
      <w:r>
        <w:rPr>
          <w:noProof/>
        </w:rPr>
        <w:t>ITSM spremlja postopek reševanja za vse servisne klice in začne postopek stopnjevanja, tako da Komisiji sporoči, če je obdobje reševanja preseglo vnaprej določeno omejitev, ki je odvisna od vrste težave.</w:t>
      </w:r>
    </w:p>
    <w:p w:rsidR="006551B7" w:rsidRDefault="004627E8">
      <w:pPr>
        <w:pStyle w:val="Text1"/>
        <w:rPr>
          <w:noProof/>
        </w:rPr>
      </w:pPr>
      <w:r>
        <w:rPr>
          <w:noProof/>
        </w:rPr>
        <w:t>Prednostna stopnja določa rok za odziv in rok za reševanje. Prednostno stopnjo določi ITSM, vendar lahko države članice ali Komisija zahtevajo posebno prednostno stopnjo.</w:t>
      </w:r>
    </w:p>
    <w:p w:rsidR="006551B7" w:rsidRDefault="004627E8">
      <w:pPr>
        <w:pStyle w:val="Text1"/>
        <w:rPr>
          <w:noProof/>
        </w:rPr>
      </w:pPr>
      <w:r>
        <w:rPr>
          <w:i/>
          <w:noProof/>
        </w:rPr>
        <w:t>Rok za evidentiranje</w:t>
      </w:r>
      <w:r>
        <w:rPr>
          <w:noProof/>
        </w:rPr>
        <w:t xml:space="preserve"> je največji dovoljeni časovni presledek med časom prejema e-sporočila in pošiljanjem potrditvenega e-sporočila.</w:t>
      </w:r>
    </w:p>
    <w:p w:rsidR="006551B7" w:rsidRDefault="004627E8">
      <w:pPr>
        <w:pStyle w:val="Text1"/>
        <w:rPr>
          <w:noProof/>
        </w:rPr>
      </w:pPr>
      <w:r>
        <w:rPr>
          <w:i/>
          <w:noProof/>
        </w:rPr>
        <w:t>Rok za reševanje</w:t>
      </w:r>
      <w:r>
        <w:rPr>
          <w:noProof/>
        </w:rPr>
        <w:t xml:space="preserve"> je časovni presledek med evidentiranjem incidenta in pošiljanjem informacij o reševanju težave izdajatelju. To vključuje tudi čas, porabljen za odpravo incidenta.</w:t>
      </w:r>
    </w:p>
    <w:p w:rsidR="006551B7" w:rsidRDefault="004627E8">
      <w:pPr>
        <w:pStyle w:val="Text1"/>
        <w:rPr>
          <w:noProof/>
        </w:rPr>
      </w:pPr>
      <w:r>
        <w:rPr>
          <w:noProof/>
        </w:rPr>
        <w:t>To niso absolutni roki, saj vključujejo samo trajanje ukrepanja ITSM v zvezi s servisnim klicem. Kadar se servisni klic posreduje Norveški, Komisiji ali drugi stranki (npr. skupini razvijalcev, izvajalcem ITSM), se ta čas ne upošteva pri določitvi roka ITSM za reševanje.</w:t>
      </w:r>
    </w:p>
    <w:p w:rsidR="006551B7" w:rsidRDefault="004627E8">
      <w:pPr>
        <w:pStyle w:val="Text1"/>
        <w:rPr>
          <w:noProof/>
        </w:rPr>
      </w:pPr>
      <w:r>
        <w:rPr>
          <w:noProof/>
        </w:rPr>
        <w:t>ITSM zagotavlja, da se roki za evidentiranje in reševanje spoštujejo v vsaj 95 % primerov v mesecu poročanja.</w:t>
      </w:r>
    </w:p>
    <w:tbl>
      <w:tblPr>
        <w:tblW w:w="8200" w:type="dxa"/>
        <w:tblInd w:w="9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680"/>
        <w:gridCol w:w="3380"/>
        <w:gridCol w:w="3140"/>
      </w:tblGrid>
      <w:tr w:rsidR="006551B7">
        <w:tc>
          <w:tcPr>
            <w:tcW w:w="1680" w:type="dxa"/>
            <w:shd w:val="clear" w:color="auto" w:fill="BFBFBF"/>
            <w:tcMar>
              <w:top w:w="0" w:type="dxa"/>
              <w:left w:w="108" w:type="dxa"/>
              <w:bottom w:w="0" w:type="dxa"/>
              <w:right w:w="108" w:type="dxa"/>
            </w:tcMar>
          </w:tcPr>
          <w:p w:rsidR="006551B7" w:rsidRDefault="004627E8">
            <w:pPr>
              <w:pStyle w:val="Text2"/>
              <w:ind w:left="12" w:right="-7916"/>
              <w:jc w:val="left"/>
              <w:rPr>
                <w:noProof/>
              </w:rPr>
            </w:pPr>
            <w:r>
              <w:rPr>
                <w:noProof/>
              </w:rPr>
              <w:t>PREDNOST</w:t>
            </w:r>
          </w:p>
        </w:tc>
        <w:tc>
          <w:tcPr>
            <w:tcW w:w="3380" w:type="dxa"/>
            <w:tcMar>
              <w:top w:w="0" w:type="dxa"/>
              <w:left w:w="108" w:type="dxa"/>
              <w:bottom w:w="0" w:type="dxa"/>
              <w:right w:w="108" w:type="dxa"/>
            </w:tcMar>
          </w:tcPr>
          <w:p w:rsidR="006551B7" w:rsidRDefault="004627E8">
            <w:pPr>
              <w:pStyle w:val="Text2"/>
              <w:ind w:left="132"/>
              <w:rPr>
                <w:noProof/>
              </w:rPr>
            </w:pPr>
            <w:r>
              <w:rPr>
                <w:noProof/>
              </w:rPr>
              <w:t>ROK ZA EVIDENTIRANJE</w:t>
            </w:r>
          </w:p>
        </w:tc>
        <w:tc>
          <w:tcPr>
            <w:tcW w:w="3140" w:type="dxa"/>
            <w:tcMar>
              <w:top w:w="0" w:type="dxa"/>
              <w:left w:w="108" w:type="dxa"/>
              <w:bottom w:w="0" w:type="dxa"/>
              <w:right w:w="108" w:type="dxa"/>
            </w:tcMar>
          </w:tcPr>
          <w:p w:rsidR="006551B7" w:rsidRDefault="004627E8">
            <w:pPr>
              <w:pStyle w:val="Text2"/>
              <w:ind w:left="112"/>
              <w:rPr>
                <w:noProof/>
              </w:rPr>
            </w:pPr>
            <w:r>
              <w:rPr>
                <w:noProof/>
              </w:rPr>
              <w:t>ROK ZA REŠEVANJE</w:t>
            </w:r>
          </w:p>
        </w:tc>
      </w:tr>
      <w:tr w:rsidR="006551B7">
        <w:tc>
          <w:tcPr>
            <w:tcW w:w="1680" w:type="dxa"/>
            <w:shd w:val="clear" w:color="auto" w:fill="C00000"/>
            <w:tcMar>
              <w:top w:w="0" w:type="dxa"/>
              <w:left w:w="108" w:type="dxa"/>
              <w:bottom w:w="0" w:type="dxa"/>
              <w:right w:w="108" w:type="dxa"/>
            </w:tcMar>
          </w:tcPr>
          <w:p w:rsidR="006551B7" w:rsidRDefault="004627E8">
            <w:pPr>
              <w:pStyle w:val="Text2"/>
              <w:ind w:left="12" w:right="-7916"/>
              <w:jc w:val="left"/>
              <w:rPr>
                <w:noProof/>
              </w:rPr>
            </w:pPr>
            <w:r>
              <w:rPr>
                <w:noProof/>
              </w:rPr>
              <w:t>P1: najvišja</w:t>
            </w:r>
          </w:p>
        </w:tc>
        <w:tc>
          <w:tcPr>
            <w:tcW w:w="3380" w:type="dxa"/>
            <w:tcMar>
              <w:top w:w="0" w:type="dxa"/>
              <w:left w:w="108" w:type="dxa"/>
              <w:bottom w:w="0" w:type="dxa"/>
              <w:right w:w="108" w:type="dxa"/>
            </w:tcMar>
          </w:tcPr>
          <w:p w:rsidR="006551B7" w:rsidRDefault="004627E8">
            <w:pPr>
              <w:pStyle w:val="Text2"/>
              <w:ind w:left="132"/>
              <w:rPr>
                <w:noProof/>
              </w:rPr>
            </w:pPr>
            <w:r>
              <w:rPr>
                <w:noProof/>
              </w:rPr>
              <w:t>0,5 ure</w:t>
            </w:r>
          </w:p>
        </w:tc>
        <w:tc>
          <w:tcPr>
            <w:tcW w:w="3140" w:type="dxa"/>
            <w:tcMar>
              <w:top w:w="0" w:type="dxa"/>
              <w:left w:w="108" w:type="dxa"/>
              <w:bottom w:w="0" w:type="dxa"/>
              <w:right w:w="108" w:type="dxa"/>
            </w:tcMar>
          </w:tcPr>
          <w:p w:rsidR="006551B7" w:rsidRDefault="004627E8">
            <w:pPr>
              <w:pStyle w:val="Text2"/>
              <w:ind w:left="112"/>
              <w:rPr>
                <w:noProof/>
              </w:rPr>
            </w:pPr>
            <w:r>
              <w:rPr>
                <w:noProof/>
              </w:rPr>
              <w:t>4 ure</w:t>
            </w:r>
          </w:p>
        </w:tc>
      </w:tr>
      <w:tr w:rsidR="006551B7">
        <w:tc>
          <w:tcPr>
            <w:tcW w:w="1680" w:type="dxa"/>
            <w:shd w:val="clear" w:color="auto" w:fill="FF0000"/>
            <w:tcMar>
              <w:top w:w="0" w:type="dxa"/>
              <w:left w:w="108" w:type="dxa"/>
              <w:bottom w:w="0" w:type="dxa"/>
              <w:right w:w="108" w:type="dxa"/>
            </w:tcMar>
          </w:tcPr>
          <w:p w:rsidR="006551B7" w:rsidRDefault="004627E8">
            <w:pPr>
              <w:pStyle w:val="Text2"/>
              <w:ind w:left="12" w:right="-7916"/>
              <w:jc w:val="left"/>
              <w:rPr>
                <w:noProof/>
              </w:rPr>
            </w:pPr>
            <w:r>
              <w:rPr>
                <w:noProof/>
              </w:rPr>
              <w:t>P2: visoka</w:t>
            </w:r>
          </w:p>
        </w:tc>
        <w:tc>
          <w:tcPr>
            <w:tcW w:w="3380" w:type="dxa"/>
            <w:tcMar>
              <w:top w:w="0" w:type="dxa"/>
              <w:left w:w="108" w:type="dxa"/>
              <w:bottom w:w="0" w:type="dxa"/>
              <w:right w:w="108" w:type="dxa"/>
            </w:tcMar>
          </w:tcPr>
          <w:p w:rsidR="006551B7" w:rsidRDefault="004627E8">
            <w:pPr>
              <w:pStyle w:val="Text2"/>
              <w:ind w:left="132"/>
              <w:rPr>
                <w:noProof/>
              </w:rPr>
            </w:pPr>
            <w:r>
              <w:rPr>
                <w:noProof/>
              </w:rPr>
              <w:t>0,5 ure</w:t>
            </w:r>
          </w:p>
        </w:tc>
        <w:tc>
          <w:tcPr>
            <w:tcW w:w="3140" w:type="dxa"/>
            <w:tcMar>
              <w:top w:w="0" w:type="dxa"/>
              <w:left w:w="108" w:type="dxa"/>
              <w:bottom w:w="0" w:type="dxa"/>
              <w:right w:w="108" w:type="dxa"/>
            </w:tcMar>
          </w:tcPr>
          <w:p w:rsidR="006551B7" w:rsidRDefault="004627E8">
            <w:pPr>
              <w:pStyle w:val="Text2"/>
              <w:ind w:left="112"/>
              <w:rPr>
                <w:noProof/>
              </w:rPr>
            </w:pPr>
            <w:r>
              <w:rPr>
                <w:noProof/>
              </w:rPr>
              <w:t>13 ur (en dan)</w:t>
            </w:r>
          </w:p>
        </w:tc>
      </w:tr>
      <w:tr w:rsidR="006551B7">
        <w:tc>
          <w:tcPr>
            <w:tcW w:w="1680" w:type="dxa"/>
            <w:shd w:val="clear" w:color="auto" w:fill="FFC000"/>
            <w:tcMar>
              <w:top w:w="0" w:type="dxa"/>
              <w:left w:w="108" w:type="dxa"/>
              <w:bottom w:w="0" w:type="dxa"/>
              <w:right w:w="108" w:type="dxa"/>
            </w:tcMar>
          </w:tcPr>
          <w:p w:rsidR="006551B7" w:rsidRDefault="004627E8">
            <w:pPr>
              <w:pStyle w:val="Text2"/>
              <w:ind w:left="12" w:right="-7916"/>
              <w:jc w:val="left"/>
              <w:rPr>
                <w:noProof/>
              </w:rPr>
            </w:pPr>
            <w:r>
              <w:rPr>
                <w:noProof/>
              </w:rPr>
              <w:t>P3: srednja</w:t>
            </w:r>
          </w:p>
        </w:tc>
        <w:tc>
          <w:tcPr>
            <w:tcW w:w="3380" w:type="dxa"/>
            <w:tcMar>
              <w:top w:w="0" w:type="dxa"/>
              <w:left w:w="108" w:type="dxa"/>
              <w:bottom w:w="0" w:type="dxa"/>
              <w:right w:w="108" w:type="dxa"/>
            </w:tcMar>
          </w:tcPr>
          <w:p w:rsidR="006551B7" w:rsidRDefault="004627E8">
            <w:pPr>
              <w:pStyle w:val="Text2"/>
              <w:ind w:left="132"/>
              <w:rPr>
                <w:noProof/>
              </w:rPr>
            </w:pPr>
            <w:r>
              <w:rPr>
                <w:noProof/>
              </w:rPr>
              <w:t>0,5 ure</w:t>
            </w:r>
          </w:p>
        </w:tc>
        <w:tc>
          <w:tcPr>
            <w:tcW w:w="3140" w:type="dxa"/>
            <w:tcMar>
              <w:top w:w="0" w:type="dxa"/>
              <w:left w:w="108" w:type="dxa"/>
              <w:bottom w:w="0" w:type="dxa"/>
              <w:right w:w="108" w:type="dxa"/>
            </w:tcMar>
          </w:tcPr>
          <w:p w:rsidR="006551B7" w:rsidRDefault="004627E8">
            <w:pPr>
              <w:pStyle w:val="Text2"/>
              <w:ind w:left="112"/>
              <w:rPr>
                <w:noProof/>
              </w:rPr>
            </w:pPr>
            <w:r>
              <w:rPr>
                <w:noProof/>
              </w:rPr>
              <w:t>39 ur (tri dni)</w:t>
            </w:r>
          </w:p>
        </w:tc>
      </w:tr>
      <w:tr w:rsidR="006551B7">
        <w:tc>
          <w:tcPr>
            <w:tcW w:w="1680" w:type="dxa"/>
            <w:shd w:val="clear" w:color="auto" w:fill="00B050"/>
            <w:tcMar>
              <w:top w:w="0" w:type="dxa"/>
              <w:left w:w="108" w:type="dxa"/>
              <w:bottom w:w="0" w:type="dxa"/>
              <w:right w:w="108" w:type="dxa"/>
            </w:tcMar>
          </w:tcPr>
          <w:p w:rsidR="006551B7" w:rsidRDefault="004627E8">
            <w:pPr>
              <w:pStyle w:val="Text2"/>
              <w:ind w:left="12" w:right="-7916"/>
              <w:jc w:val="left"/>
              <w:rPr>
                <w:noProof/>
              </w:rPr>
            </w:pPr>
            <w:r>
              <w:rPr>
                <w:noProof/>
              </w:rPr>
              <w:t>P4: nizka</w:t>
            </w:r>
          </w:p>
        </w:tc>
        <w:tc>
          <w:tcPr>
            <w:tcW w:w="3380" w:type="dxa"/>
            <w:tcMar>
              <w:top w:w="0" w:type="dxa"/>
              <w:left w:w="108" w:type="dxa"/>
              <w:bottom w:w="0" w:type="dxa"/>
              <w:right w:w="108" w:type="dxa"/>
            </w:tcMar>
          </w:tcPr>
          <w:p w:rsidR="006551B7" w:rsidRDefault="004627E8">
            <w:pPr>
              <w:pStyle w:val="Text2"/>
              <w:ind w:left="132"/>
              <w:rPr>
                <w:noProof/>
              </w:rPr>
            </w:pPr>
            <w:r>
              <w:rPr>
                <w:noProof/>
              </w:rPr>
              <w:t>0,5 ure</w:t>
            </w:r>
          </w:p>
        </w:tc>
        <w:tc>
          <w:tcPr>
            <w:tcW w:w="3140" w:type="dxa"/>
            <w:tcMar>
              <w:top w:w="0" w:type="dxa"/>
              <w:left w:w="108" w:type="dxa"/>
              <w:bottom w:w="0" w:type="dxa"/>
              <w:right w:w="108" w:type="dxa"/>
            </w:tcMar>
          </w:tcPr>
          <w:p w:rsidR="006551B7" w:rsidRDefault="004627E8">
            <w:pPr>
              <w:pStyle w:val="Text1"/>
              <w:ind w:left="112"/>
              <w:rPr>
                <w:noProof/>
              </w:rPr>
            </w:pPr>
            <w:r>
              <w:rPr>
                <w:noProof/>
              </w:rPr>
              <w:t>65 ur (pet dni)</w:t>
            </w:r>
          </w:p>
        </w:tc>
      </w:tr>
    </w:tbl>
    <w:p w:rsidR="006551B7" w:rsidRDefault="004627E8">
      <w:pPr>
        <w:spacing w:before="60"/>
        <w:jc w:val="center"/>
        <w:rPr>
          <w:rFonts w:eastAsia="Calibri"/>
          <w:noProof/>
          <w:sz w:val="20"/>
          <w:szCs w:val="20"/>
        </w:rPr>
      </w:pPr>
      <w:r>
        <w:rPr>
          <w:noProof/>
          <w:sz w:val="20"/>
        </w:rPr>
        <w:t>Preglednica </w:t>
      </w:r>
      <w:r>
        <w:rPr>
          <w:rFonts w:eastAsia="Times New Roman"/>
          <w:noProof/>
          <w:sz w:val="20"/>
          <w:szCs w:val="20"/>
        </w:rPr>
        <w:t>5</w:t>
      </w:r>
      <w:r>
        <w:rPr>
          <w:noProof/>
          <w:sz w:val="20"/>
        </w:rPr>
        <w:t>: Roki za evidentiranje in reševanje (v delovnih urah/dneh)</w:t>
      </w:r>
    </w:p>
    <w:p w:rsidR="006551B7" w:rsidRDefault="004627E8">
      <w:pPr>
        <w:pStyle w:val="ManualHeading4"/>
        <w:rPr>
          <w:noProof/>
        </w:rPr>
      </w:pPr>
      <w:r>
        <w:rPr>
          <w:noProof/>
        </w:rPr>
        <w:t>5.1.1.2</w:t>
      </w:r>
      <w:r>
        <w:rPr>
          <w:noProof/>
        </w:rPr>
        <w:tab/>
      </w:r>
      <w:r>
        <w:rPr>
          <w:i/>
          <w:noProof/>
        </w:rPr>
        <w:t>Poročanje</w:t>
      </w:r>
    </w:p>
    <w:p w:rsidR="006551B7" w:rsidRDefault="004627E8">
      <w:pPr>
        <w:pStyle w:val="Text1"/>
        <w:rPr>
          <w:noProof/>
        </w:rPr>
      </w:pPr>
      <w:r>
        <w:rPr>
          <w:noProof/>
        </w:rPr>
        <w:t>Komisija poroča o vseh servisnih klicih v zvezi s sistemi in aplikacijami za upravno sodelovanje in izterjavo terjatev na področju DDV, kot sledi:</w:t>
      </w:r>
    </w:p>
    <w:p w:rsidR="006551B7" w:rsidRDefault="004627E8">
      <w:pPr>
        <w:pStyle w:val="Bullet1"/>
        <w:rPr>
          <w:noProof/>
        </w:rPr>
      </w:pPr>
      <w:r>
        <w:rPr>
          <w:noProof/>
        </w:rPr>
        <w:t>o vseh primerih servisnih klicev za Norveško, zaključenih v mesecu;</w:t>
      </w:r>
    </w:p>
    <w:p w:rsidR="006551B7" w:rsidRDefault="004627E8">
      <w:pPr>
        <w:pStyle w:val="Bullet1"/>
        <w:rPr>
          <w:noProof/>
        </w:rPr>
      </w:pPr>
      <w:r>
        <w:rPr>
          <w:noProof/>
        </w:rPr>
        <w:t>o vseh primerih servisnih klicev za Norveško, odprtih v mesecu;</w:t>
      </w:r>
    </w:p>
    <w:p w:rsidR="006551B7" w:rsidRDefault="004627E8">
      <w:pPr>
        <w:pStyle w:val="Bullet1"/>
        <w:rPr>
          <w:noProof/>
        </w:rPr>
      </w:pPr>
      <w:r>
        <w:rPr>
          <w:noProof/>
        </w:rPr>
        <w:t>o vseh primerih servisnih klicev za Norveško, ki na datum in čas poročanja še niso bili obravnavani.</w:t>
      </w:r>
    </w:p>
    <w:p w:rsidR="006551B7" w:rsidRDefault="004627E8">
      <w:pPr>
        <w:pStyle w:val="ManualHeading3"/>
        <w:rPr>
          <w:b/>
          <w:noProof/>
        </w:rPr>
      </w:pPr>
      <w:bookmarkStart w:id="9" w:name="_Ref265075246"/>
      <w:bookmarkStart w:id="10" w:name="_Ref265075253"/>
      <w:r>
        <w:rPr>
          <w:b/>
          <w:noProof/>
        </w:rPr>
        <w:t>5.1.2</w:t>
      </w:r>
      <w:r>
        <w:rPr>
          <w:b/>
          <w:noProof/>
        </w:rPr>
        <w:tab/>
      </w:r>
      <w:r>
        <w:rPr>
          <w:b/>
          <w:noProof/>
          <w:u w:val="single"/>
        </w:rPr>
        <w:t>Statistične storitve</w:t>
      </w:r>
      <w:bookmarkEnd w:id="9"/>
      <w:bookmarkEnd w:id="10"/>
    </w:p>
    <w:p w:rsidR="006551B7" w:rsidRDefault="004627E8">
      <w:pPr>
        <w:pStyle w:val="ManualHeading4"/>
        <w:rPr>
          <w:noProof/>
        </w:rPr>
      </w:pPr>
      <w:bookmarkStart w:id="11" w:name="_Ref265097545"/>
      <w:r>
        <w:rPr>
          <w:noProof/>
        </w:rPr>
        <w:t>5.1.2.1</w:t>
      </w:r>
      <w:r>
        <w:rPr>
          <w:noProof/>
        </w:rPr>
        <w:tab/>
      </w:r>
      <w:r>
        <w:rPr>
          <w:i/>
          <w:noProof/>
        </w:rPr>
        <w:t>Sporazum</w:t>
      </w:r>
      <w:bookmarkEnd w:id="11"/>
    </w:p>
    <w:p w:rsidR="006551B7" w:rsidRDefault="004627E8">
      <w:pPr>
        <w:pStyle w:val="Text1"/>
        <w:rPr>
          <w:noProof/>
        </w:rPr>
      </w:pPr>
      <w:r>
        <w:rPr>
          <w:noProof/>
        </w:rPr>
        <w:t>Komisija pripravlja statistične podatke o številu obrazcev za DDV in izterjavo, izmenjanih z uporabo sistema CCN/Mail, ki so na voljo na spletnem portalu ITSM.</w:t>
      </w:r>
    </w:p>
    <w:p w:rsidR="006551B7" w:rsidRDefault="004627E8">
      <w:pPr>
        <w:pStyle w:val="ManualHeading4"/>
        <w:rPr>
          <w:noProof/>
        </w:rPr>
      </w:pPr>
      <w:bookmarkStart w:id="12" w:name="_Ref323218048"/>
      <w:r>
        <w:rPr>
          <w:noProof/>
        </w:rPr>
        <w:t>5.1.2.2</w:t>
      </w:r>
      <w:r>
        <w:rPr>
          <w:noProof/>
        </w:rPr>
        <w:tab/>
      </w:r>
      <w:r>
        <w:rPr>
          <w:i/>
          <w:noProof/>
        </w:rPr>
        <w:t>Poročanje</w:t>
      </w:r>
      <w:bookmarkEnd w:id="12"/>
    </w:p>
    <w:p w:rsidR="006551B7" w:rsidRDefault="004627E8">
      <w:pPr>
        <w:pStyle w:val="Text1"/>
        <w:rPr>
          <w:noProof/>
        </w:rPr>
      </w:pPr>
      <w:r>
        <w:rPr>
          <w:noProof/>
        </w:rPr>
        <w:t xml:space="preserve">Komisija pripravi poročilo o poročilih o preskusih skladnosti, če je ustrezno, in jih da na voljo Norveški. </w:t>
      </w:r>
    </w:p>
    <w:p w:rsidR="006551B7" w:rsidRDefault="004627E8">
      <w:pPr>
        <w:pStyle w:val="ManualHeading3"/>
        <w:rPr>
          <w:b/>
          <w:noProof/>
        </w:rPr>
      </w:pPr>
      <w:r>
        <w:rPr>
          <w:b/>
          <w:noProof/>
        </w:rPr>
        <w:t>5.1.3</w:t>
      </w:r>
      <w:r>
        <w:rPr>
          <w:b/>
          <w:noProof/>
        </w:rPr>
        <w:tab/>
      </w:r>
      <w:r>
        <w:rPr>
          <w:b/>
          <w:noProof/>
          <w:u w:val="single"/>
        </w:rPr>
        <w:t>Izmenjava obrazcev</w:t>
      </w:r>
      <w:r>
        <w:rPr>
          <w:b/>
          <w:noProof/>
        </w:rPr>
        <w:t xml:space="preserve"> </w:t>
      </w:r>
    </w:p>
    <w:p w:rsidR="006551B7" w:rsidRDefault="004627E8">
      <w:pPr>
        <w:pStyle w:val="ManualHeading4"/>
        <w:rPr>
          <w:noProof/>
        </w:rPr>
      </w:pPr>
      <w:r>
        <w:rPr>
          <w:noProof/>
        </w:rPr>
        <w:t>5.1.3.1</w:t>
      </w:r>
      <w:r>
        <w:rPr>
          <w:noProof/>
        </w:rPr>
        <w:tab/>
      </w:r>
      <w:r>
        <w:rPr>
          <w:i/>
          <w:noProof/>
        </w:rPr>
        <w:t>Sporazum</w:t>
      </w:r>
    </w:p>
    <w:p w:rsidR="006551B7" w:rsidRDefault="004627E8">
      <w:pPr>
        <w:pStyle w:val="Text1"/>
        <w:rPr>
          <w:noProof/>
        </w:rPr>
      </w:pPr>
      <w:r>
        <w:rPr>
          <w:noProof/>
        </w:rPr>
        <w:t>V naslednji preglednici so navedeni najdaljši roki za posredovanje ali roki za odgovor za izmenjavo obrazcev, kot so opredeljeni v zakonodaji.</w:t>
      </w:r>
    </w:p>
    <w:tbl>
      <w:tblPr>
        <w:tblW w:w="8232"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163"/>
        <w:gridCol w:w="3995"/>
      </w:tblGrid>
      <w:tr w:rsidR="006551B7">
        <w:trPr>
          <w:cantSplit/>
          <w:tblHeader/>
        </w:trPr>
        <w:tc>
          <w:tcPr>
            <w:tcW w:w="2074" w:type="dxa"/>
            <w:shd w:val="clear" w:color="auto" w:fill="E0E0E0"/>
            <w:vAlign w:val="center"/>
          </w:tcPr>
          <w:p w:rsidR="006551B7" w:rsidRDefault="004627E8">
            <w:pPr>
              <w:spacing w:before="0" w:after="200" w:line="276" w:lineRule="auto"/>
              <w:ind w:left="383"/>
              <w:jc w:val="center"/>
              <w:rPr>
                <w:rFonts w:eastAsia="Calibri"/>
                <w:b/>
                <w:i/>
                <w:noProof/>
                <w:szCs w:val="24"/>
              </w:rPr>
            </w:pPr>
            <w:r>
              <w:rPr>
                <w:b/>
                <w:i/>
                <w:noProof/>
              </w:rPr>
              <w:t>Poštni predal CCN/Mail</w:t>
            </w:r>
          </w:p>
        </w:tc>
        <w:tc>
          <w:tcPr>
            <w:tcW w:w="2163" w:type="dxa"/>
            <w:shd w:val="clear" w:color="auto" w:fill="E0E0E0"/>
            <w:vAlign w:val="center"/>
          </w:tcPr>
          <w:p w:rsidR="006551B7" w:rsidRDefault="004627E8">
            <w:pPr>
              <w:spacing w:before="0" w:after="200" w:line="276" w:lineRule="auto"/>
              <w:jc w:val="left"/>
              <w:rPr>
                <w:rFonts w:eastAsia="Calibri"/>
                <w:b/>
                <w:i/>
                <w:noProof/>
                <w:szCs w:val="24"/>
              </w:rPr>
            </w:pPr>
            <w:r>
              <w:rPr>
                <w:b/>
                <w:i/>
                <w:noProof/>
              </w:rPr>
              <w:t>Obrazec</w:t>
            </w:r>
          </w:p>
        </w:tc>
        <w:tc>
          <w:tcPr>
            <w:tcW w:w="3995" w:type="dxa"/>
            <w:shd w:val="clear" w:color="auto" w:fill="E0E0E0"/>
            <w:vAlign w:val="center"/>
          </w:tcPr>
          <w:p w:rsidR="006551B7" w:rsidRDefault="004627E8">
            <w:pPr>
              <w:spacing w:before="0" w:after="200" w:line="276" w:lineRule="auto"/>
              <w:jc w:val="left"/>
              <w:rPr>
                <w:rFonts w:eastAsia="Calibri"/>
                <w:b/>
                <w:i/>
                <w:noProof/>
                <w:szCs w:val="24"/>
              </w:rPr>
            </w:pPr>
            <w:r>
              <w:rPr>
                <w:b/>
                <w:i/>
                <w:noProof/>
              </w:rPr>
              <w:t>Rok</w:t>
            </w:r>
          </w:p>
        </w:tc>
      </w:tr>
      <w:tr w:rsidR="006551B7">
        <w:tc>
          <w:tcPr>
            <w:tcW w:w="2074" w:type="dxa"/>
          </w:tcPr>
          <w:p w:rsidR="006551B7" w:rsidRDefault="004627E8">
            <w:pPr>
              <w:spacing w:before="0" w:after="200"/>
              <w:ind w:left="143"/>
              <w:jc w:val="left"/>
              <w:rPr>
                <w:rFonts w:eastAsia="Calibri"/>
                <w:iCs/>
                <w:noProof/>
                <w:szCs w:val="24"/>
              </w:rPr>
            </w:pPr>
            <w:r>
              <w:rPr>
                <w:noProof/>
              </w:rPr>
              <w:t>VIESCLO</w:t>
            </w:r>
          </w:p>
        </w:tc>
        <w:tc>
          <w:tcPr>
            <w:tcW w:w="2163" w:type="dxa"/>
          </w:tcPr>
          <w:p w:rsidR="006551B7" w:rsidRDefault="004627E8">
            <w:pPr>
              <w:spacing w:before="0" w:after="200"/>
              <w:jc w:val="left"/>
              <w:rPr>
                <w:rFonts w:eastAsia="Calibri"/>
                <w:iCs/>
                <w:noProof/>
                <w:szCs w:val="24"/>
              </w:rPr>
            </w:pPr>
            <w:r>
              <w:rPr>
                <w:noProof/>
              </w:rPr>
              <w:t>Izmenjava informacij v skladu s členi 7, 10, 12 in 18 Sporazuma </w:t>
            </w:r>
            <w:r>
              <w:rPr>
                <w:rFonts w:eastAsia="Calibri"/>
                <w:iCs/>
                <w:noProof/>
                <w:szCs w:val="24"/>
              </w:rPr>
              <w:t>0</w:t>
            </w:r>
          </w:p>
          <w:p w:rsidR="006551B7" w:rsidRDefault="004627E8">
            <w:pPr>
              <w:spacing w:before="0" w:after="200"/>
              <w:jc w:val="left"/>
              <w:rPr>
                <w:rFonts w:eastAsia="Calibri"/>
                <w:iCs/>
                <w:noProof/>
                <w:szCs w:val="24"/>
              </w:rPr>
            </w:pPr>
            <w:r>
              <w:rPr>
                <w:noProof/>
              </w:rPr>
              <w:t>Splošne izmenjave</w:t>
            </w:r>
          </w:p>
        </w:tc>
        <w:tc>
          <w:tcPr>
            <w:tcW w:w="3995" w:type="dxa"/>
          </w:tcPr>
          <w:p w:rsidR="006551B7" w:rsidRDefault="004627E8">
            <w:pPr>
              <w:autoSpaceDE w:val="0"/>
              <w:autoSpaceDN w:val="0"/>
              <w:adjustRightInd w:val="0"/>
              <w:spacing w:before="0" w:after="200"/>
              <w:jc w:val="left"/>
              <w:rPr>
                <w:rFonts w:eastAsia="Calibri"/>
                <w:iCs/>
                <w:noProof/>
                <w:szCs w:val="24"/>
              </w:rPr>
            </w:pPr>
            <w:r>
              <w:rPr>
                <w:noProof/>
              </w:rPr>
              <w:t xml:space="preserve">Rok za posredovanje informacij je čim prej in najpozneje </w:t>
            </w:r>
            <w:r>
              <w:rPr>
                <w:noProof/>
                <w:u w:val="single"/>
              </w:rPr>
              <w:t>tri mesece po datumu zahtevka</w:t>
            </w:r>
            <w:r>
              <w:rPr>
                <w:noProof/>
              </w:rPr>
              <w:t xml:space="preserve"> </w:t>
            </w:r>
            <w:r>
              <w:rPr>
                <w:b/>
                <w:noProof/>
              </w:rPr>
              <w:t>(</w:t>
            </w:r>
            <w:r>
              <w:rPr>
                <w:b/>
                <w:i/>
                <w:noProof/>
              </w:rPr>
              <w:t>člen 8 Sporazuma </w:t>
            </w:r>
            <w:r>
              <w:rPr>
                <w:rFonts w:eastAsia="Calibri"/>
                <w:b/>
                <w:iCs/>
                <w:noProof/>
                <w:szCs w:val="24"/>
              </w:rPr>
              <w:t>0</w:t>
            </w:r>
            <w:r>
              <w:rPr>
                <w:b/>
                <w:noProof/>
              </w:rPr>
              <w:t>).</w:t>
            </w:r>
          </w:p>
          <w:p w:rsidR="006551B7" w:rsidRDefault="004627E8">
            <w:pPr>
              <w:autoSpaceDE w:val="0"/>
              <w:autoSpaceDN w:val="0"/>
              <w:adjustRightInd w:val="0"/>
              <w:spacing w:before="0" w:after="60"/>
              <w:jc w:val="left"/>
              <w:rPr>
                <w:rFonts w:eastAsia="Calibri"/>
                <w:iCs/>
                <w:noProof/>
                <w:szCs w:val="24"/>
              </w:rPr>
            </w:pPr>
            <w:r>
              <w:rPr>
                <w:noProof/>
              </w:rPr>
              <w:t xml:space="preserve">Kadar pa zaprošeni organ že ima informacije, se rok skrajša na največ </w:t>
            </w:r>
            <w:r>
              <w:rPr>
                <w:noProof/>
                <w:u w:val="single"/>
              </w:rPr>
              <w:t>en mesec</w:t>
            </w:r>
            <w:r>
              <w:rPr>
                <w:noProof/>
              </w:rPr>
              <w:t xml:space="preserve"> </w:t>
            </w:r>
            <w:r>
              <w:rPr>
                <w:b/>
                <w:noProof/>
              </w:rPr>
              <w:t>(</w:t>
            </w:r>
            <w:r>
              <w:rPr>
                <w:b/>
                <w:i/>
                <w:noProof/>
              </w:rPr>
              <w:t>člen 8 Sporazuma </w:t>
            </w:r>
            <w:r>
              <w:rPr>
                <w:rFonts w:eastAsia="Calibri"/>
                <w:b/>
                <w:iCs/>
                <w:noProof/>
                <w:szCs w:val="24"/>
              </w:rPr>
              <w:t>0</w:t>
            </w:r>
            <w:r>
              <w:rPr>
                <w:b/>
                <w:noProof/>
              </w:rPr>
              <w:t>).</w:t>
            </w:r>
          </w:p>
        </w:tc>
      </w:tr>
      <w:tr w:rsidR="006551B7">
        <w:tc>
          <w:tcPr>
            <w:tcW w:w="2074" w:type="dxa"/>
            <w:tcBorders>
              <w:bottom w:val="single" w:sz="4" w:space="0" w:color="auto"/>
            </w:tcBorders>
          </w:tcPr>
          <w:p w:rsidR="006551B7" w:rsidRDefault="004627E8">
            <w:pPr>
              <w:spacing w:before="0" w:after="200"/>
              <w:ind w:left="143"/>
              <w:jc w:val="left"/>
              <w:rPr>
                <w:rFonts w:eastAsia="Calibri"/>
                <w:iCs/>
                <w:noProof/>
                <w:szCs w:val="24"/>
              </w:rPr>
            </w:pPr>
            <w:r>
              <w:rPr>
                <w:noProof/>
              </w:rPr>
              <w:t>VIESCLO</w:t>
            </w:r>
          </w:p>
        </w:tc>
        <w:tc>
          <w:tcPr>
            <w:tcW w:w="2163" w:type="dxa"/>
          </w:tcPr>
          <w:p w:rsidR="006551B7" w:rsidRDefault="004627E8">
            <w:pPr>
              <w:spacing w:before="0" w:after="200"/>
              <w:jc w:val="left"/>
              <w:rPr>
                <w:rFonts w:eastAsia="Calibri"/>
                <w:iCs/>
                <w:noProof/>
                <w:szCs w:val="24"/>
              </w:rPr>
            </w:pPr>
            <w:r>
              <w:rPr>
                <w:noProof/>
              </w:rPr>
              <w:t xml:space="preserve">Izmenjava informacij v skladu s členi 7, 10, 12 in 18 Sporazuma </w:t>
            </w:r>
            <w:r>
              <w:rPr>
                <w:rFonts w:eastAsia="Calibri"/>
                <w:iCs/>
                <w:noProof/>
                <w:szCs w:val="24"/>
              </w:rPr>
              <w:t>0</w:t>
            </w:r>
          </w:p>
          <w:p w:rsidR="006551B7" w:rsidRDefault="004627E8">
            <w:pPr>
              <w:spacing w:before="0" w:after="200"/>
              <w:jc w:val="left"/>
              <w:rPr>
                <w:rFonts w:eastAsia="Calibri"/>
                <w:iCs/>
                <w:noProof/>
                <w:szCs w:val="24"/>
              </w:rPr>
            </w:pPr>
            <w:r>
              <w:rPr>
                <w:noProof/>
              </w:rPr>
              <w:t>Zahtevek za uradno obvestilo</w:t>
            </w:r>
          </w:p>
        </w:tc>
        <w:tc>
          <w:tcPr>
            <w:tcW w:w="3995" w:type="dxa"/>
            <w:tcBorders>
              <w:top w:val="single" w:sz="4" w:space="0" w:color="auto"/>
              <w:bottom w:val="single" w:sz="4" w:space="0" w:color="auto"/>
              <w:right w:val="single" w:sz="4" w:space="0" w:color="auto"/>
            </w:tcBorders>
          </w:tcPr>
          <w:p w:rsidR="006551B7" w:rsidRDefault="004627E8">
            <w:pPr>
              <w:autoSpaceDE w:val="0"/>
              <w:autoSpaceDN w:val="0"/>
              <w:adjustRightInd w:val="0"/>
              <w:spacing w:before="0" w:after="60"/>
              <w:jc w:val="left"/>
              <w:rPr>
                <w:rFonts w:eastAsia="Calibri"/>
                <w:iCs/>
                <w:noProof/>
                <w:szCs w:val="24"/>
              </w:rPr>
            </w:pPr>
            <w:r>
              <w:rPr>
                <w:noProof/>
              </w:rPr>
              <w:t>Zahtevek za uradno obvestilo s takojšnjim odgovorom (</w:t>
            </w:r>
            <w:r>
              <w:rPr>
                <w:b/>
                <w:i/>
                <w:noProof/>
              </w:rPr>
              <w:t>člen 12</w:t>
            </w:r>
            <w:r>
              <w:rPr>
                <w:rFonts w:eastAsia="Calibri"/>
                <w:b/>
                <w:iCs/>
                <w:noProof/>
                <w:szCs w:val="24"/>
              </w:rPr>
              <w:t>0</w:t>
            </w:r>
            <w:r>
              <w:rPr>
                <w:b/>
                <w:noProof/>
              </w:rPr>
              <w:t xml:space="preserve"> Sporazuma </w:t>
            </w:r>
            <w:r>
              <w:rPr>
                <w:noProof/>
              </w:rPr>
              <w:t>).</w:t>
            </w:r>
          </w:p>
        </w:tc>
      </w:tr>
      <w:tr w:rsidR="006551B7">
        <w:tc>
          <w:tcPr>
            <w:tcW w:w="2074" w:type="dxa"/>
          </w:tcPr>
          <w:p w:rsidR="006551B7" w:rsidRDefault="004627E8">
            <w:pPr>
              <w:spacing w:before="0" w:after="200"/>
              <w:ind w:left="143"/>
              <w:jc w:val="left"/>
              <w:rPr>
                <w:rFonts w:eastAsia="Calibri"/>
                <w:iCs/>
                <w:noProof/>
                <w:szCs w:val="24"/>
              </w:rPr>
            </w:pPr>
            <w:r>
              <w:rPr>
                <w:noProof/>
              </w:rPr>
              <w:t>TAXFRAUD</w:t>
            </w:r>
          </w:p>
        </w:tc>
        <w:tc>
          <w:tcPr>
            <w:tcW w:w="2163" w:type="dxa"/>
          </w:tcPr>
          <w:p w:rsidR="006551B7" w:rsidRDefault="004627E8">
            <w:pPr>
              <w:spacing w:before="0" w:after="200"/>
              <w:jc w:val="left"/>
              <w:rPr>
                <w:rFonts w:eastAsia="Calibri"/>
                <w:iCs/>
                <w:noProof/>
                <w:szCs w:val="24"/>
              </w:rPr>
            </w:pPr>
            <w:r>
              <w:rPr>
                <w:noProof/>
              </w:rPr>
              <w:t xml:space="preserve">Izmenjava informacij v skladu s  </w:t>
            </w:r>
            <w:r>
              <w:rPr>
                <w:noProof/>
              </w:rPr>
              <w:br/>
              <w:t>členi 7, 10, 12 in 18 Sporazuma </w:t>
            </w:r>
            <w:r>
              <w:rPr>
                <w:rFonts w:eastAsia="Calibri"/>
                <w:iCs/>
                <w:noProof/>
                <w:szCs w:val="24"/>
              </w:rPr>
              <w:t>0</w:t>
            </w:r>
          </w:p>
          <w:p w:rsidR="006551B7" w:rsidRDefault="004627E8">
            <w:pPr>
              <w:spacing w:before="0" w:after="200"/>
              <w:jc w:val="left"/>
              <w:rPr>
                <w:rFonts w:eastAsia="Calibri"/>
                <w:iCs/>
                <w:noProof/>
                <w:szCs w:val="24"/>
              </w:rPr>
            </w:pPr>
            <w:r>
              <w:rPr>
                <w:noProof/>
              </w:rPr>
              <w:t>Izmenjave za boj proti goljufijam</w:t>
            </w:r>
          </w:p>
        </w:tc>
        <w:tc>
          <w:tcPr>
            <w:tcW w:w="3995" w:type="dxa"/>
          </w:tcPr>
          <w:p w:rsidR="006551B7" w:rsidRDefault="004627E8">
            <w:pPr>
              <w:autoSpaceDE w:val="0"/>
              <w:autoSpaceDN w:val="0"/>
              <w:adjustRightInd w:val="0"/>
              <w:spacing w:before="0" w:after="60"/>
              <w:jc w:val="left"/>
              <w:rPr>
                <w:rFonts w:eastAsia="Calibri"/>
                <w:iCs/>
                <w:noProof/>
                <w:szCs w:val="24"/>
              </w:rPr>
            </w:pPr>
            <w:r>
              <w:rPr>
                <w:noProof/>
              </w:rPr>
              <w:t xml:space="preserve">Manjkajoče informacije o trgovcu se pošljejo </w:t>
            </w:r>
            <w:r>
              <w:rPr>
                <w:noProof/>
                <w:u w:val="single"/>
              </w:rPr>
              <w:t>takoj, ko so na voljo</w:t>
            </w:r>
            <w:r>
              <w:rPr>
                <w:noProof/>
              </w:rPr>
              <w:t>.</w:t>
            </w:r>
          </w:p>
        </w:tc>
      </w:tr>
      <w:tr w:rsidR="006551B7">
        <w:tc>
          <w:tcPr>
            <w:tcW w:w="2074" w:type="dxa"/>
          </w:tcPr>
          <w:p w:rsidR="006551B7" w:rsidRDefault="004627E8">
            <w:pPr>
              <w:spacing w:before="0" w:after="200"/>
              <w:ind w:left="143"/>
              <w:jc w:val="left"/>
              <w:rPr>
                <w:rFonts w:eastAsia="Calibri"/>
                <w:iCs/>
                <w:noProof/>
                <w:szCs w:val="24"/>
              </w:rPr>
            </w:pPr>
            <w:r>
              <w:rPr>
                <w:noProof/>
              </w:rPr>
              <w:t>TAXAUTO</w:t>
            </w:r>
          </w:p>
        </w:tc>
        <w:tc>
          <w:tcPr>
            <w:tcW w:w="2163" w:type="dxa"/>
          </w:tcPr>
          <w:p w:rsidR="006551B7" w:rsidRDefault="004627E8">
            <w:pPr>
              <w:spacing w:before="0" w:after="200"/>
              <w:jc w:val="left"/>
              <w:rPr>
                <w:rFonts w:eastAsia="Calibri"/>
                <w:iCs/>
                <w:noProof/>
                <w:szCs w:val="24"/>
              </w:rPr>
            </w:pPr>
            <w:r>
              <w:rPr>
                <w:noProof/>
              </w:rPr>
              <w:t>Avtomatične izmenjave</w:t>
            </w:r>
          </w:p>
        </w:tc>
        <w:tc>
          <w:tcPr>
            <w:tcW w:w="3995" w:type="dxa"/>
          </w:tcPr>
          <w:p w:rsidR="006551B7" w:rsidRDefault="004627E8">
            <w:pPr>
              <w:autoSpaceDE w:val="0"/>
              <w:autoSpaceDN w:val="0"/>
              <w:adjustRightInd w:val="0"/>
              <w:spacing w:before="0" w:after="200"/>
              <w:jc w:val="left"/>
              <w:rPr>
                <w:rFonts w:eastAsia="Calibri"/>
                <w:iCs/>
                <w:noProof/>
                <w:szCs w:val="24"/>
              </w:rPr>
            </w:pPr>
            <w:r>
              <w:rPr>
                <w:noProof/>
              </w:rPr>
              <w:t xml:space="preserve">Skupni odbor določi kategorije informacij, ki so predmet avtomatične izmenjave v skladu s členom 11 Sporazuma. </w:t>
            </w:r>
          </w:p>
        </w:tc>
      </w:tr>
      <w:tr w:rsidR="006551B7">
        <w:tc>
          <w:tcPr>
            <w:tcW w:w="2074" w:type="dxa"/>
          </w:tcPr>
          <w:p w:rsidR="006551B7" w:rsidRDefault="004627E8">
            <w:pPr>
              <w:spacing w:before="0" w:after="200"/>
              <w:ind w:left="143"/>
              <w:jc w:val="left"/>
              <w:rPr>
                <w:rFonts w:eastAsia="Calibri"/>
                <w:iCs/>
                <w:noProof/>
                <w:szCs w:val="24"/>
              </w:rPr>
            </w:pPr>
            <w:r>
              <w:rPr>
                <w:noProof/>
                <w:color w:val="000000"/>
                <w:kern w:val="24"/>
              </w:rPr>
              <w:t xml:space="preserve">REC-A-CUST; REC-B-VAT; REC-C-EXCISE; REC-D-INCOME-CAP;  </w:t>
            </w:r>
            <w:r>
              <w:rPr>
                <w:rFonts w:eastAsia="Times New Roman"/>
                <w:noProof/>
                <w:color w:val="000000"/>
                <w:kern w:val="24"/>
                <w:szCs w:val="24"/>
              </w:rPr>
              <w:br/>
            </w:r>
            <w:r>
              <w:rPr>
                <w:noProof/>
                <w:color w:val="000000"/>
                <w:kern w:val="24"/>
              </w:rPr>
              <w:t xml:space="preserve">REC-E-INSUR; REC-F-INHERIT-GIFT;  </w:t>
            </w:r>
            <w:r>
              <w:rPr>
                <w:rFonts w:eastAsia="Times New Roman"/>
                <w:noProof/>
                <w:color w:val="000000"/>
                <w:kern w:val="24"/>
                <w:szCs w:val="24"/>
              </w:rPr>
              <w:br/>
            </w:r>
            <w:r>
              <w:rPr>
                <w:noProof/>
                <w:color w:val="000000"/>
                <w:kern w:val="24"/>
              </w:rPr>
              <w:t xml:space="preserve">REC-G-NAT-IMMOV;  </w:t>
            </w:r>
            <w:r>
              <w:rPr>
                <w:rFonts w:eastAsia="Times New Roman"/>
                <w:noProof/>
                <w:color w:val="000000"/>
                <w:kern w:val="24"/>
                <w:szCs w:val="24"/>
              </w:rPr>
              <w:br/>
            </w:r>
            <w:r>
              <w:rPr>
                <w:noProof/>
                <w:color w:val="000000"/>
                <w:kern w:val="24"/>
              </w:rPr>
              <w:t xml:space="preserve">REC-H-NAT-TRANSP;  </w:t>
            </w:r>
            <w:r>
              <w:rPr>
                <w:rFonts w:eastAsia="Times New Roman"/>
                <w:noProof/>
                <w:color w:val="000000"/>
                <w:kern w:val="24"/>
                <w:szCs w:val="24"/>
              </w:rPr>
              <w:br/>
            </w:r>
            <w:r>
              <w:rPr>
                <w:noProof/>
                <w:color w:val="000000"/>
                <w:kern w:val="24"/>
              </w:rPr>
              <w:t xml:space="preserve">REC-I-NAT-OTHER;  </w:t>
            </w:r>
            <w:r>
              <w:rPr>
                <w:rFonts w:eastAsia="Times New Roman"/>
                <w:noProof/>
                <w:color w:val="000000"/>
                <w:kern w:val="24"/>
                <w:szCs w:val="24"/>
              </w:rPr>
              <w:br/>
            </w:r>
            <w:r>
              <w:rPr>
                <w:noProof/>
                <w:color w:val="000000"/>
                <w:kern w:val="24"/>
              </w:rPr>
              <w:t>REC-J-REGIONAL; REC-K-LOCAL; REC-L-OTHER; REC-M-AGRI</w:t>
            </w:r>
          </w:p>
        </w:tc>
        <w:tc>
          <w:tcPr>
            <w:tcW w:w="2163" w:type="dxa"/>
          </w:tcPr>
          <w:p w:rsidR="006551B7" w:rsidRDefault="004627E8">
            <w:pPr>
              <w:spacing w:before="0" w:after="200"/>
              <w:jc w:val="left"/>
              <w:rPr>
                <w:rFonts w:eastAsia="Calibri"/>
                <w:iCs/>
                <w:noProof/>
                <w:szCs w:val="24"/>
              </w:rPr>
            </w:pPr>
            <w:r>
              <w:rPr>
                <w:noProof/>
              </w:rPr>
              <w:t>Zaprosilo za pridobitev podatkov iz člena 22 Sporazuma </w:t>
            </w:r>
            <w:r>
              <w:rPr>
                <w:rFonts w:eastAsia="Calibri"/>
                <w:iCs/>
                <w:noProof/>
                <w:szCs w:val="24"/>
              </w:rPr>
              <w:t>0</w:t>
            </w:r>
          </w:p>
          <w:p w:rsidR="006551B7" w:rsidRDefault="004627E8">
            <w:pPr>
              <w:spacing w:before="0" w:after="200"/>
              <w:jc w:val="left"/>
              <w:rPr>
                <w:rFonts w:eastAsia="Calibri"/>
                <w:iCs/>
                <w:noProof/>
                <w:szCs w:val="24"/>
              </w:rPr>
            </w:pPr>
            <w:r>
              <w:rPr>
                <w:noProof/>
              </w:rPr>
              <w:t>Zaprosilo za vročitev iz člena 25 Sporazuma </w:t>
            </w:r>
            <w:r>
              <w:rPr>
                <w:rFonts w:eastAsia="Calibri"/>
                <w:iCs/>
                <w:noProof/>
                <w:szCs w:val="24"/>
              </w:rPr>
              <w:t>0</w:t>
            </w:r>
          </w:p>
          <w:p w:rsidR="006551B7" w:rsidRDefault="004627E8">
            <w:pPr>
              <w:spacing w:before="0" w:after="200"/>
              <w:jc w:val="left"/>
              <w:rPr>
                <w:rFonts w:eastAsia="Calibri"/>
                <w:iCs/>
                <w:noProof/>
                <w:szCs w:val="24"/>
              </w:rPr>
            </w:pPr>
            <w:r>
              <w:rPr>
                <w:noProof/>
              </w:rPr>
              <w:t>Zaprosilo za izterjavo iz člena 27 Sporazuma </w:t>
            </w:r>
            <w:r>
              <w:rPr>
                <w:rFonts w:eastAsia="Calibri"/>
                <w:iCs/>
                <w:noProof/>
                <w:szCs w:val="24"/>
              </w:rPr>
              <w:t>0</w:t>
            </w:r>
          </w:p>
          <w:p w:rsidR="006551B7" w:rsidRDefault="004627E8">
            <w:pPr>
              <w:spacing w:before="0" w:after="200"/>
              <w:jc w:val="left"/>
              <w:rPr>
                <w:rFonts w:eastAsia="Calibri"/>
                <w:iCs/>
                <w:noProof/>
                <w:szCs w:val="24"/>
              </w:rPr>
            </w:pPr>
            <w:r>
              <w:rPr>
                <w:noProof/>
              </w:rPr>
              <w:t>Zaprosilo za zavarovanje plačila terjatev iz člena 33 Sporazuma </w:t>
            </w:r>
            <w:r>
              <w:rPr>
                <w:rFonts w:eastAsia="Calibri"/>
                <w:iCs/>
                <w:noProof/>
                <w:szCs w:val="24"/>
              </w:rPr>
              <w:t>0</w:t>
            </w:r>
          </w:p>
        </w:tc>
        <w:tc>
          <w:tcPr>
            <w:tcW w:w="3995" w:type="dxa"/>
          </w:tcPr>
          <w:p w:rsidR="006551B7" w:rsidRDefault="004627E8">
            <w:pPr>
              <w:autoSpaceDE w:val="0"/>
              <w:autoSpaceDN w:val="0"/>
              <w:adjustRightInd w:val="0"/>
              <w:spacing w:before="0" w:after="200"/>
              <w:jc w:val="left"/>
              <w:rPr>
                <w:rFonts w:eastAsia="Calibri"/>
                <w:iCs/>
                <w:noProof/>
                <w:szCs w:val="24"/>
              </w:rPr>
            </w:pPr>
            <w:r>
              <w:rPr>
                <w:noProof/>
              </w:rPr>
              <w:t>Zaprosilo za pridobitev podatkov:</w:t>
            </w:r>
          </w:p>
          <w:p w:rsidR="006551B7" w:rsidRDefault="004627E8">
            <w:pPr>
              <w:autoSpaceDE w:val="0"/>
              <w:autoSpaceDN w:val="0"/>
              <w:adjustRightInd w:val="0"/>
              <w:spacing w:before="0" w:after="200"/>
              <w:jc w:val="left"/>
              <w:rPr>
                <w:rFonts w:eastAsia="Calibri"/>
                <w:iCs/>
                <w:noProof/>
                <w:szCs w:val="24"/>
              </w:rPr>
            </w:pPr>
            <w:r>
              <w:rPr>
                <w:noProof/>
              </w:rPr>
              <w:t>– potrditev prejema v sedmih koledarskih dneh;</w:t>
            </w:r>
          </w:p>
          <w:p w:rsidR="006551B7" w:rsidRDefault="004627E8">
            <w:pPr>
              <w:autoSpaceDE w:val="0"/>
              <w:autoSpaceDN w:val="0"/>
              <w:adjustRightInd w:val="0"/>
              <w:spacing w:before="0" w:after="200"/>
              <w:jc w:val="left"/>
              <w:rPr>
                <w:rFonts w:eastAsia="Calibri"/>
                <w:iCs/>
                <w:noProof/>
                <w:szCs w:val="24"/>
              </w:rPr>
            </w:pPr>
            <w:r>
              <w:rPr>
                <w:noProof/>
              </w:rPr>
              <w:t>– obvestilo o razvoju ob koncu šestmesečnega obdobja po potrditvi prejema.</w:t>
            </w:r>
          </w:p>
          <w:p w:rsidR="006551B7" w:rsidRDefault="004627E8">
            <w:pPr>
              <w:autoSpaceDE w:val="0"/>
              <w:autoSpaceDN w:val="0"/>
              <w:adjustRightInd w:val="0"/>
              <w:spacing w:before="0" w:after="200"/>
              <w:jc w:val="left"/>
              <w:rPr>
                <w:rFonts w:eastAsia="Calibri"/>
                <w:iCs/>
                <w:noProof/>
                <w:szCs w:val="24"/>
              </w:rPr>
            </w:pPr>
            <w:r>
              <w:rPr>
                <w:noProof/>
              </w:rPr>
              <w:t>Zaprosilo za vročitev:</w:t>
            </w:r>
          </w:p>
          <w:p w:rsidR="006551B7" w:rsidRDefault="004627E8">
            <w:pPr>
              <w:autoSpaceDE w:val="0"/>
              <w:autoSpaceDN w:val="0"/>
              <w:adjustRightInd w:val="0"/>
              <w:spacing w:before="0" w:after="200"/>
              <w:jc w:val="left"/>
              <w:rPr>
                <w:rFonts w:eastAsia="Calibri"/>
                <w:iCs/>
                <w:noProof/>
                <w:szCs w:val="24"/>
              </w:rPr>
            </w:pPr>
            <w:r>
              <w:rPr>
                <w:noProof/>
              </w:rPr>
              <w:t>– potrditev prejema v sedmih koledarskih dneh.</w:t>
            </w:r>
          </w:p>
          <w:p w:rsidR="006551B7" w:rsidRDefault="004627E8">
            <w:pPr>
              <w:autoSpaceDE w:val="0"/>
              <w:autoSpaceDN w:val="0"/>
              <w:adjustRightInd w:val="0"/>
              <w:spacing w:before="0" w:after="200"/>
              <w:jc w:val="left"/>
              <w:rPr>
                <w:rFonts w:eastAsia="Calibri"/>
                <w:iCs/>
                <w:noProof/>
                <w:szCs w:val="24"/>
              </w:rPr>
            </w:pPr>
            <w:r>
              <w:rPr>
                <w:noProof/>
              </w:rPr>
              <w:t>Zaprosilo za izterjavo in zaprosilo za zavarovanje plačila terjatev:</w:t>
            </w:r>
          </w:p>
          <w:p w:rsidR="006551B7" w:rsidRDefault="004627E8">
            <w:pPr>
              <w:autoSpaceDE w:val="0"/>
              <w:autoSpaceDN w:val="0"/>
              <w:adjustRightInd w:val="0"/>
              <w:spacing w:before="0" w:after="200"/>
              <w:jc w:val="left"/>
              <w:rPr>
                <w:rFonts w:eastAsia="Calibri"/>
                <w:iCs/>
                <w:noProof/>
                <w:szCs w:val="24"/>
              </w:rPr>
            </w:pPr>
            <w:r>
              <w:rPr>
                <w:noProof/>
              </w:rPr>
              <w:t>– potrditev prejema v sedmih koledarskih dneh;</w:t>
            </w:r>
          </w:p>
          <w:p w:rsidR="006551B7" w:rsidRDefault="004627E8">
            <w:pPr>
              <w:autoSpaceDE w:val="0"/>
              <w:autoSpaceDN w:val="0"/>
              <w:adjustRightInd w:val="0"/>
              <w:spacing w:before="0" w:after="200"/>
              <w:jc w:val="left"/>
              <w:rPr>
                <w:rFonts w:eastAsia="Calibri"/>
                <w:iCs/>
                <w:noProof/>
                <w:szCs w:val="24"/>
              </w:rPr>
            </w:pPr>
            <w:r>
              <w:rPr>
                <w:noProof/>
              </w:rPr>
              <w:t>– obvestilo o razvoju ob koncu vsakega šestmesečnega obdobja po potrditvi prejema.</w:t>
            </w:r>
          </w:p>
        </w:tc>
      </w:tr>
    </w:tbl>
    <w:p w:rsidR="006551B7" w:rsidRDefault="004627E8">
      <w:pPr>
        <w:spacing w:before="60"/>
        <w:jc w:val="center"/>
        <w:rPr>
          <w:rFonts w:eastAsia="Times New Roman"/>
          <w:noProof/>
          <w:sz w:val="20"/>
          <w:szCs w:val="20"/>
        </w:rPr>
      </w:pPr>
      <w:r>
        <w:rPr>
          <w:noProof/>
          <w:sz w:val="20"/>
        </w:rPr>
        <w:t>Preglednica </w:t>
      </w:r>
      <w:r>
        <w:rPr>
          <w:rFonts w:eastAsia="Times New Roman"/>
          <w:noProof/>
          <w:sz w:val="20"/>
          <w:szCs w:val="20"/>
        </w:rPr>
        <w:t>6</w:t>
      </w:r>
      <w:r>
        <w:rPr>
          <w:noProof/>
          <w:sz w:val="20"/>
        </w:rPr>
        <w:t>: Izvajanje izmenjave obrazcev</w:t>
      </w:r>
    </w:p>
    <w:p w:rsidR="006551B7" w:rsidRDefault="004627E8">
      <w:pPr>
        <w:pStyle w:val="ManualHeading4"/>
        <w:rPr>
          <w:noProof/>
        </w:rPr>
      </w:pPr>
      <w:r>
        <w:rPr>
          <w:noProof/>
        </w:rPr>
        <w:t>5.1.3.2</w:t>
      </w:r>
      <w:r>
        <w:rPr>
          <w:noProof/>
        </w:rPr>
        <w:tab/>
      </w:r>
      <w:r>
        <w:rPr>
          <w:i/>
          <w:noProof/>
        </w:rPr>
        <w:t>Poročanje</w:t>
      </w:r>
    </w:p>
    <w:p w:rsidR="006551B7" w:rsidRDefault="004627E8">
      <w:pPr>
        <w:pStyle w:val="Text1"/>
        <w:rPr>
          <w:iCs/>
          <w:noProof/>
        </w:rPr>
      </w:pPr>
      <w:r>
        <w:rPr>
          <w:noProof/>
        </w:rPr>
        <w:t>Norveška Komisiji vsako leto po e-pošti zagotovi tudi statistične podatke v zvezi s sporočanjem podatkov, kot je določeno v členih 20 in 39 Sporazuma </w:t>
      </w:r>
      <w:r>
        <w:rPr>
          <w:iCs/>
          <w:noProof/>
        </w:rPr>
        <w:t>[RD.3.]</w:t>
      </w:r>
      <w:r>
        <w:rPr>
          <w:noProof/>
        </w:rPr>
        <w:t>.</w:t>
      </w:r>
      <w:r>
        <w:rPr>
          <w:i/>
          <w:noProof/>
          <w:highlight w:val="yellow"/>
        </w:rPr>
        <w:t xml:space="preserve"> </w:t>
      </w:r>
    </w:p>
    <w:p w:rsidR="006551B7" w:rsidRDefault="004627E8">
      <w:pPr>
        <w:pStyle w:val="ManualHeading3"/>
        <w:rPr>
          <w:b/>
          <w:noProof/>
        </w:rPr>
      </w:pPr>
      <w:r>
        <w:rPr>
          <w:b/>
          <w:noProof/>
        </w:rPr>
        <w:t>5.1.4</w:t>
      </w:r>
      <w:r>
        <w:rPr>
          <w:b/>
          <w:noProof/>
        </w:rPr>
        <w:tab/>
      </w:r>
      <w:r>
        <w:rPr>
          <w:b/>
          <w:noProof/>
          <w:u w:val="single"/>
        </w:rPr>
        <w:t>Odpravljanje težav</w:t>
      </w:r>
    </w:p>
    <w:p w:rsidR="006551B7" w:rsidRDefault="004627E8">
      <w:pPr>
        <w:pStyle w:val="ManualHeading4"/>
        <w:rPr>
          <w:noProof/>
        </w:rPr>
      </w:pPr>
      <w:r>
        <w:rPr>
          <w:noProof/>
        </w:rPr>
        <w:t>5.1.4.1</w:t>
      </w:r>
      <w:r>
        <w:rPr>
          <w:noProof/>
        </w:rPr>
        <w:tab/>
      </w:r>
      <w:r>
        <w:rPr>
          <w:i/>
          <w:noProof/>
        </w:rPr>
        <w:t>Sporazum</w:t>
      </w:r>
    </w:p>
    <w:p w:rsidR="006551B7" w:rsidRDefault="004627E8">
      <w:pPr>
        <w:pStyle w:val="Text1"/>
        <w:rPr>
          <w:noProof/>
        </w:rPr>
      </w:pPr>
      <w:r>
        <w:rPr>
          <w:noProof/>
        </w:rPr>
        <w:t>Norveška vzdržuje ustrezen mehanizem za evidentiranje</w:t>
      </w:r>
      <w:r>
        <w:rPr>
          <w:rStyle w:val="FootnoteReference"/>
          <w:noProof/>
        </w:rPr>
        <w:footnoteReference w:id="4"/>
      </w:r>
      <w:r>
        <w:rPr>
          <w:noProof/>
        </w:rPr>
        <w:t xml:space="preserve"> in spremljanje vseh težav, ki vplivajo na njenega gostitelja aplikacij, sistemsko programsko opremo, podatke in programske aplikacije.</w:t>
      </w:r>
    </w:p>
    <w:p w:rsidR="006551B7" w:rsidRDefault="004627E8">
      <w:pPr>
        <w:pStyle w:val="Text1"/>
        <w:rPr>
          <w:noProof/>
        </w:rPr>
      </w:pPr>
      <w:r>
        <w:rPr>
          <w:noProof/>
        </w:rPr>
        <w:t>Težave s katerim koli delom omrežja CCN (prehodi in/ali strežniki za izmenjavo pošte) se takoj sporočijo ITSM.</w:t>
      </w:r>
    </w:p>
    <w:p w:rsidR="006551B7" w:rsidRDefault="004627E8">
      <w:pPr>
        <w:pStyle w:val="ManualHeading4"/>
        <w:rPr>
          <w:noProof/>
        </w:rPr>
      </w:pPr>
      <w:r>
        <w:rPr>
          <w:noProof/>
        </w:rPr>
        <w:t>5.1.4.2</w:t>
      </w:r>
      <w:r>
        <w:rPr>
          <w:noProof/>
        </w:rPr>
        <w:tab/>
      </w:r>
      <w:r>
        <w:rPr>
          <w:i/>
          <w:noProof/>
        </w:rPr>
        <w:t>Poročanje</w:t>
      </w:r>
    </w:p>
    <w:p w:rsidR="006551B7" w:rsidRDefault="004627E8">
      <w:pPr>
        <w:pStyle w:val="Text1"/>
        <w:rPr>
          <w:noProof/>
        </w:rPr>
      </w:pPr>
      <w:r>
        <w:rPr>
          <w:noProof/>
        </w:rPr>
        <w:t>Če ima Norveška notranjo težavo s tehnično infrastrukturo, povezano z njenimi sistemi in aplikacijami za upravno sodelovanje in izterjavo terjatev na področju DDV, o tem obvesti ITSM.</w:t>
      </w:r>
    </w:p>
    <w:p w:rsidR="006551B7" w:rsidRDefault="004627E8">
      <w:pPr>
        <w:pStyle w:val="Text1"/>
        <w:rPr>
          <w:noProof/>
        </w:rPr>
      </w:pPr>
      <w:r>
        <w:rPr>
          <w:noProof/>
        </w:rPr>
        <w:t>Če Norveška meni, da se težava, ki jo je sporočila ITSM, ne obravnava ali rešuje ali da ni bila zadovoljivo obravnavana ali rešena, o tem čim prej obvesti Komisijo.</w:t>
      </w:r>
    </w:p>
    <w:p w:rsidR="006551B7" w:rsidRDefault="004627E8">
      <w:pPr>
        <w:pStyle w:val="ManualHeading3"/>
        <w:rPr>
          <w:b/>
          <w:noProof/>
        </w:rPr>
      </w:pPr>
      <w:r>
        <w:rPr>
          <w:b/>
          <w:noProof/>
        </w:rPr>
        <w:t>5.1.5</w:t>
      </w:r>
      <w:r>
        <w:rPr>
          <w:b/>
          <w:noProof/>
        </w:rPr>
        <w:tab/>
      </w:r>
      <w:r>
        <w:rPr>
          <w:b/>
          <w:noProof/>
          <w:u w:val="single"/>
        </w:rPr>
        <w:t>Upravljanje varnosti</w:t>
      </w:r>
    </w:p>
    <w:p w:rsidR="006551B7" w:rsidRDefault="004627E8">
      <w:pPr>
        <w:pStyle w:val="ManualHeading4"/>
        <w:rPr>
          <w:noProof/>
        </w:rPr>
      </w:pPr>
      <w:r>
        <w:rPr>
          <w:noProof/>
        </w:rPr>
        <w:t>5.1.5.1</w:t>
      </w:r>
      <w:r>
        <w:rPr>
          <w:noProof/>
        </w:rPr>
        <w:tab/>
      </w:r>
      <w:r>
        <w:rPr>
          <w:i/>
          <w:noProof/>
        </w:rPr>
        <w:t>Sporazum</w:t>
      </w:r>
      <w:r>
        <w:rPr>
          <w:rStyle w:val="FootnoteReference"/>
          <w:noProof/>
        </w:rPr>
        <w:footnoteReference w:id="5"/>
      </w:r>
    </w:p>
    <w:p w:rsidR="006551B7" w:rsidRDefault="004627E8">
      <w:pPr>
        <w:pStyle w:val="Text1"/>
        <w:rPr>
          <w:noProof/>
        </w:rPr>
      </w:pPr>
      <w:r>
        <w:rPr>
          <w:noProof/>
        </w:rPr>
        <w:t>Norveška svoje sisteme in aplikacije za upravno sodelovanje in izterjavo terjatev na področju DDV varuje pred kršitvami varnosti ter vodi evidenco vseh kršitev varnosti in vseh izboljšav na področju varnosti.</w:t>
      </w:r>
    </w:p>
    <w:p w:rsidR="006551B7" w:rsidRDefault="004627E8">
      <w:pPr>
        <w:pStyle w:val="Text1"/>
        <w:rPr>
          <w:noProof/>
        </w:rPr>
      </w:pPr>
      <w:r>
        <w:rPr>
          <w:noProof/>
        </w:rPr>
        <w:t>Norveška upošteva varnostna priporočila in/ali zahteve iz naslednjih dokumentov:</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1149"/>
        <w:gridCol w:w="2103"/>
      </w:tblGrid>
      <w:tr w:rsidR="006551B7">
        <w:tc>
          <w:tcPr>
            <w:tcW w:w="5539" w:type="dxa"/>
            <w:shd w:val="clear" w:color="auto" w:fill="BFBFBF"/>
          </w:tcPr>
          <w:p w:rsidR="006551B7" w:rsidRDefault="004627E8">
            <w:pPr>
              <w:spacing w:before="60"/>
              <w:jc w:val="center"/>
              <w:rPr>
                <w:rFonts w:eastAsia="Times New Roman"/>
                <w:b/>
                <w:noProof/>
                <w:szCs w:val="24"/>
              </w:rPr>
            </w:pPr>
            <w:r>
              <w:rPr>
                <w:b/>
                <w:noProof/>
              </w:rPr>
              <w:t>Naslov</w:t>
            </w:r>
          </w:p>
        </w:tc>
        <w:tc>
          <w:tcPr>
            <w:tcW w:w="1134" w:type="dxa"/>
            <w:shd w:val="clear" w:color="auto" w:fill="BFBFBF"/>
          </w:tcPr>
          <w:p w:rsidR="006551B7" w:rsidRDefault="004627E8">
            <w:pPr>
              <w:spacing w:before="60"/>
              <w:jc w:val="center"/>
              <w:rPr>
                <w:rFonts w:eastAsia="Times New Roman"/>
                <w:b/>
                <w:noProof/>
                <w:szCs w:val="24"/>
              </w:rPr>
            </w:pPr>
            <w:r>
              <w:rPr>
                <w:b/>
                <w:noProof/>
              </w:rPr>
              <w:t>Različica</w:t>
            </w:r>
          </w:p>
        </w:tc>
        <w:tc>
          <w:tcPr>
            <w:tcW w:w="1559" w:type="dxa"/>
            <w:shd w:val="clear" w:color="auto" w:fill="BFBFBF"/>
          </w:tcPr>
          <w:p w:rsidR="006551B7" w:rsidRDefault="004627E8">
            <w:pPr>
              <w:spacing w:before="60"/>
              <w:jc w:val="center"/>
              <w:rPr>
                <w:rFonts w:eastAsia="Times New Roman"/>
                <w:b/>
                <w:noProof/>
                <w:szCs w:val="24"/>
              </w:rPr>
            </w:pPr>
            <w:r>
              <w:rPr>
                <w:b/>
                <w:noProof/>
              </w:rPr>
              <w:t>Datum</w:t>
            </w:r>
          </w:p>
        </w:tc>
      </w:tr>
      <w:tr w:rsidR="006551B7">
        <w:tc>
          <w:tcPr>
            <w:tcW w:w="5539" w:type="dxa"/>
            <w:shd w:val="clear" w:color="auto" w:fill="auto"/>
          </w:tcPr>
          <w:p w:rsidR="006551B7" w:rsidRDefault="004627E8">
            <w:pPr>
              <w:spacing w:before="60"/>
              <w:rPr>
                <w:rFonts w:eastAsia="Times New Roman"/>
                <w:noProof/>
                <w:szCs w:val="24"/>
              </w:rPr>
            </w:pPr>
            <w:r>
              <w:rPr>
                <w:noProof/>
              </w:rPr>
              <w:t>https security recommendations of CCN/Mail III Webmail access – Ref. CCN/Mail III User Guide for NAs (Varnostna priporočila za protokol https za dostop do spletne pošte CCN/Mail III – Ref. uporabniški priročnik za CCN/Mail III za državne uprave)</w:t>
            </w:r>
          </w:p>
        </w:tc>
        <w:tc>
          <w:tcPr>
            <w:tcW w:w="1134" w:type="dxa"/>
            <w:shd w:val="clear" w:color="auto" w:fill="auto"/>
          </w:tcPr>
          <w:p w:rsidR="006551B7" w:rsidRDefault="004627E8">
            <w:pPr>
              <w:spacing w:before="60"/>
              <w:jc w:val="center"/>
              <w:rPr>
                <w:rFonts w:eastAsia="Times New Roman"/>
                <w:noProof/>
                <w:szCs w:val="24"/>
              </w:rPr>
            </w:pPr>
            <w:r>
              <w:rPr>
                <w:noProof/>
              </w:rPr>
              <w:t>3.0</w:t>
            </w:r>
          </w:p>
        </w:tc>
        <w:tc>
          <w:tcPr>
            <w:tcW w:w="1559" w:type="dxa"/>
            <w:shd w:val="clear" w:color="auto" w:fill="auto"/>
          </w:tcPr>
          <w:p w:rsidR="006551B7" w:rsidRDefault="004627E8">
            <w:pPr>
              <w:spacing w:before="60"/>
              <w:rPr>
                <w:rFonts w:eastAsia="Times New Roman"/>
                <w:noProof/>
                <w:szCs w:val="24"/>
              </w:rPr>
            </w:pPr>
            <w:r>
              <w:rPr>
                <w:noProof/>
              </w:rPr>
              <w:t>15. junij 2012</w:t>
            </w:r>
          </w:p>
        </w:tc>
      </w:tr>
      <w:tr w:rsidR="006551B7">
        <w:tc>
          <w:tcPr>
            <w:tcW w:w="5539" w:type="dxa"/>
            <w:shd w:val="clear" w:color="auto" w:fill="auto"/>
          </w:tcPr>
          <w:p w:rsidR="006551B7" w:rsidRDefault="004627E8">
            <w:pPr>
              <w:spacing w:before="60"/>
              <w:rPr>
                <w:rFonts w:eastAsia="Times New Roman"/>
                <w:noProof/>
                <w:szCs w:val="24"/>
              </w:rPr>
            </w:pPr>
            <w:r>
              <w:rPr>
                <w:noProof/>
              </w:rPr>
              <w:t>Security recommendations of CCN/Mail III Webmail access – Ref. CCN Intranet – Local Network Administrator Guide (Varnostna priporočila za dostop do spletne pošte CCN/Mail III – Ref. CCN Intranet – Vodič za skrbnike lokalnega omrežja)</w:t>
            </w:r>
          </w:p>
        </w:tc>
        <w:tc>
          <w:tcPr>
            <w:tcW w:w="1134" w:type="dxa"/>
            <w:shd w:val="clear" w:color="auto" w:fill="auto"/>
          </w:tcPr>
          <w:p w:rsidR="006551B7" w:rsidRDefault="004627E8">
            <w:pPr>
              <w:spacing w:before="60"/>
              <w:jc w:val="center"/>
              <w:rPr>
                <w:rFonts w:eastAsia="Times New Roman"/>
                <w:noProof/>
                <w:szCs w:val="24"/>
              </w:rPr>
            </w:pPr>
            <w:r>
              <w:rPr>
                <w:noProof/>
              </w:rPr>
              <w:t>4.0</w:t>
            </w:r>
          </w:p>
        </w:tc>
        <w:tc>
          <w:tcPr>
            <w:tcW w:w="1559" w:type="dxa"/>
            <w:shd w:val="clear" w:color="auto" w:fill="auto"/>
          </w:tcPr>
          <w:p w:rsidR="006551B7" w:rsidRDefault="004627E8">
            <w:pPr>
              <w:spacing w:before="60"/>
              <w:rPr>
                <w:rFonts w:eastAsia="Times New Roman"/>
                <w:noProof/>
                <w:szCs w:val="24"/>
              </w:rPr>
            </w:pPr>
            <w:r>
              <w:rPr>
                <w:noProof/>
              </w:rPr>
              <w:t>11. september 2008</w:t>
            </w:r>
          </w:p>
        </w:tc>
      </w:tr>
    </w:tbl>
    <w:p w:rsidR="006551B7" w:rsidRDefault="004627E8">
      <w:pPr>
        <w:pStyle w:val="ManualHeading4"/>
        <w:rPr>
          <w:noProof/>
        </w:rPr>
      </w:pPr>
      <w:r>
        <w:rPr>
          <w:noProof/>
        </w:rPr>
        <w:t>5.1.5.2</w:t>
      </w:r>
      <w:r>
        <w:rPr>
          <w:noProof/>
        </w:rPr>
        <w:tab/>
      </w:r>
      <w:r>
        <w:rPr>
          <w:i/>
          <w:noProof/>
        </w:rPr>
        <w:t>Poročanje</w:t>
      </w:r>
    </w:p>
    <w:p w:rsidR="006551B7" w:rsidRDefault="004627E8">
      <w:pPr>
        <w:pStyle w:val="Text1"/>
        <w:rPr>
          <w:noProof/>
        </w:rPr>
      </w:pPr>
      <w:r>
        <w:rPr>
          <w:noProof/>
        </w:rPr>
        <w:t>Norveška Komisiji priložnostno poroča o vseh kršitvah varnosti in vseh sprejetih ukrepih.</w:t>
      </w:r>
    </w:p>
    <w:p w:rsidR="006551B7" w:rsidRDefault="004627E8">
      <w:pPr>
        <w:pStyle w:val="ManualHeading2"/>
        <w:rPr>
          <w:noProof/>
        </w:rPr>
      </w:pPr>
      <w:r>
        <w:rPr>
          <w:noProof/>
        </w:rPr>
        <w:t>5.2</w:t>
      </w:r>
      <w:r>
        <w:rPr>
          <w:noProof/>
        </w:rPr>
        <w:tab/>
        <w:t>RAVNI STORITEV NORVEŠKE</w:t>
      </w:r>
    </w:p>
    <w:p w:rsidR="006551B7" w:rsidRDefault="004627E8">
      <w:pPr>
        <w:pStyle w:val="ManualHeading3"/>
        <w:rPr>
          <w:b/>
          <w:noProof/>
        </w:rPr>
      </w:pPr>
      <w:r>
        <w:rPr>
          <w:b/>
          <w:noProof/>
        </w:rPr>
        <w:t>5.2.1</w:t>
      </w:r>
      <w:r>
        <w:rPr>
          <w:b/>
          <w:noProof/>
        </w:rPr>
        <w:tab/>
      </w:r>
      <w:r>
        <w:rPr>
          <w:b/>
          <w:noProof/>
          <w:u w:val="single"/>
        </w:rPr>
        <w:t>Vsa področja upravljanja ravni storitev</w:t>
      </w:r>
    </w:p>
    <w:p w:rsidR="006551B7" w:rsidRDefault="004627E8">
      <w:pPr>
        <w:pStyle w:val="ManualHeading4"/>
        <w:rPr>
          <w:noProof/>
        </w:rPr>
      </w:pPr>
      <w:r>
        <w:rPr>
          <w:noProof/>
        </w:rPr>
        <w:t>5.2.1.1</w:t>
      </w:r>
      <w:r>
        <w:rPr>
          <w:noProof/>
        </w:rPr>
        <w:tab/>
      </w:r>
      <w:r>
        <w:rPr>
          <w:i/>
          <w:noProof/>
        </w:rPr>
        <w:t>Sporazum</w:t>
      </w:r>
    </w:p>
    <w:p w:rsidR="006551B7" w:rsidRDefault="004627E8">
      <w:pPr>
        <w:pStyle w:val="Text1"/>
        <w:rPr>
          <w:noProof/>
        </w:rPr>
      </w:pPr>
      <w:r>
        <w:rPr>
          <w:noProof/>
        </w:rPr>
        <w:t>Norveška evidentira vse težave z nedostopnostjo ali spremembe</w:t>
      </w:r>
      <w:r>
        <w:rPr>
          <w:rStyle w:val="FootnoteReference"/>
          <w:noProof/>
        </w:rPr>
        <w:footnoteReference w:id="6"/>
      </w:r>
      <w:r>
        <w:rPr>
          <w:noProof/>
        </w:rPr>
        <w:t xml:space="preserve"> v zvezi s tehničnimi, funkcionalnimi in organizacijskimi vidiki sistemov in aplikacij Norveške za upravno sodelovanje in izterjavo terjatev na področju DDV.</w:t>
      </w:r>
    </w:p>
    <w:p w:rsidR="006551B7" w:rsidRDefault="004627E8">
      <w:pPr>
        <w:pStyle w:val="ManualHeading4"/>
        <w:rPr>
          <w:noProof/>
        </w:rPr>
      </w:pPr>
      <w:r>
        <w:rPr>
          <w:noProof/>
        </w:rPr>
        <w:t>5.2.1.2</w:t>
      </w:r>
      <w:r>
        <w:rPr>
          <w:noProof/>
        </w:rPr>
        <w:tab/>
      </w:r>
      <w:r>
        <w:rPr>
          <w:i/>
          <w:noProof/>
        </w:rPr>
        <w:t>Poročanje</w:t>
      </w:r>
    </w:p>
    <w:p w:rsidR="006551B7" w:rsidRDefault="004627E8">
      <w:pPr>
        <w:pStyle w:val="Text1"/>
        <w:rPr>
          <w:noProof/>
        </w:rPr>
      </w:pPr>
      <w:r>
        <w:rPr>
          <w:noProof/>
        </w:rPr>
        <w:t>Norveška ITSM po potrebi obvesti o morebitnih težavah z nedostopnostjo ali spremembah v zvezi s tehničnimi, funkcionalnimi ali organizacijskimi vidiki svojega sistema. ITSM se vedno obvešča o vseh spremembah v zvezi z operativnim osebjem (operaterji, skrbniki sistema).</w:t>
      </w:r>
    </w:p>
    <w:p w:rsidR="006551B7" w:rsidRDefault="004627E8">
      <w:pPr>
        <w:pStyle w:val="ManualHeading3"/>
        <w:rPr>
          <w:b/>
          <w:noProof/>
        </w:rPr>
      </w:pPr>
      <w:r>
        <w:rPr>
          <w:b/>
          <w:noProof/>
        </w:rPr>
        <w:t>5.2.2</w:t>
      </w:r>
      <w:r>
        <w:rPr>
          <w:b/>
          <w:noProof/>
        </w:rPr>
        <w:tab/>
      </w:r>
      <w:r>
        <w:rPr>
          <w:b/>
          <w:noProof/>
          <w:u w:val="single"/>
        </w:rPr>
        <w:t>Storitveni center</w:t>
      </w:r>
    </w:p>
    <w:p w:rsidR="006551B7" w:rsidRDefault="004627E8">
      <w:pPr>
        <w:pStyle w:val="ManualHeading4"/>
        <w:rPr>
          <w:noProof/>
        </w:rPr>
      </w:pPr>
      <w:r>
        <w:rPr>
          <w:noProof/>
        </w:rPr>
        <w:t>5.2.2.1</w:t>
      </w:r>
      <w:r>
        <w:rPr>
          <w:noProof/>
        </w:rPr>
        <w:tab/>
      </w:r>
      <w:r>
        <w:rPr>
          <w:i/>
          <w:noProof/>
        </w:rPr>
        <w:t>Sporazum</w:t>
      </w:r>
    </w:p>
    <w:p w:rsidR="006551B7" w:rsidRDefault="004627E8">
      <w:pPr>
        <w:pStyle w:val="Text1"/>
        <w:rPr>
          <w:noProof/>
        </w:rPr>
      </w:pPr>
      <w:r>
        <w:rPr>
          <w:noProof/>
        </w:rPr>
        <w:t>Norveška da na voljo storitveni center, ki se odziva na incidente, pripisane Norveški, ter zagotavlja pomoč in izvaja preskuse. Delovni čas storitvenega centra bi moral biti enak delovnemu času storitvenega centra ITSM ob delovnih dneh ITSM. Storitveni center Norveške ob delovnih dneh deluje vsaj od 10.00 do 16.00 CET, razen ob državnih praznikih. Priporočljivo je, da storitveni center Norveške pri obravnavi vprašanj in incidentov upošteva smernice ITIL za storitveno podporo.</w:t>
      </w:r>
    </w:p>
    <w:p w:rsidR="006551B7" w:rsidRDefault="004627E8">
      <w:pPr>
        <w:pStyle w:val="ManualHeading4"/>
        <w:rPr>
          <w:noProof/>
        </w:rPr>
      </w:pPr>
      <w:r>
        <w:rPr>
          <w:noProof/>
        </w:rPr>
        <w:t>5.2.2.2</w:t>
      </w:r>
      <w:r>
        <w:rPr>
          <w:noProof/>
        </w:rPr>
        <w:tab/>
      </w:r>
      <w:r>
        <w:rPr>
          <w:i/>
          <w:noProof/>
        </w:rPr>
        <w:t>Poročanje</w:t>
      </w:r>
    </w:p>
    <w:p w:rsidR="006551B7" w:rsidRDefault="004627E8">
      <w:pPr>
        <w:pStyle w:val="Text1"/>
        <w:rPr>
          <w:noProof/>
        </w:rPr>
      </w:pPr>
      <w:r>
        <w:rPr>
          <w:noProof/>
        </w:rPr>
        <w:t>Norveška po potrebi ITSM obvesti o morebitnih težavah z dostopnostjo v zvezi z njenim storitvenim centrom.</w:t>
      </w:r>
    </w:p>
    <w:p w:rsidR="006551B7" w:rsidRDefault="004627E8">
      <w:pPr>
        <w:pStyle w:val="ManualHeading1"/>
        <w:rPr>
          <w:noProof/>
        </w:rPr>
      </w:pPr>
      <w:r>
        <w:rPr>
          <w:noProof/>
        </w:rPr>
        <w:t>6.</w:t>
      </w:r>
      <w:r>
        <w:rPr>
          <w:noProof/>
        </w:rPr>
        <w:tab/>
      </w:r>
      <w:r>
        <w:rPr>
          <w:noProof/>
          <w:u w:val="single"/>
        </w:rPr>
        <w:t>MERJENJE KAKOVOSTI</w:t>
      </w:r>
    </w:p>
    <w:p w:rsidR="006551B7" w:rsidRDefault="004627E8">
      <w:pPr>
        <w:pStyle w:val="ManualHeading2"/>
        <w:rPr>
          <w:noProof/>
        </w:rPr>
      </w:pPr>
      <w:r>
        <w:rPr>
          <w:noProof/>
        </w:rPr>
        <w:t>6.1</w:t>
      </w:r>
      <w:r>
        <w:rPr>
          <w:noProof/>
        </w:rPr>
        <w:tab/>
        <w:t>SPORAZUM</w:t>
      </w:r>
    </w:p>
    <w:p w:rsidR="006551B7" w:rsidRDefault="004627E8">
      <w:pPr>
        <w:pStyle w:val="Text1"/>
        <w:rPr>
          <w:noProof/>
        </w:rPr>
      </w:pPr>
      <w:r>
        <w:rPr>
          <w:noProof/>
        </w:rPr>
        <w:t>Komisija oceni poročila (poročila o dejavnostih, ki jih pripravi ITSM, uradna obvestila, statistične podatke, druge informacije), ki jih prejme od ITSM in Norveške, določi ravni skladnosti s tem sporazumom o ravni storitve, v primeru težav pa stopi v stik z Norveško, da bi rešila težavo in zagotovila, da je kakovost storitve v skladu s tem sporazumom.</w:t>
      </w:r>
    </w:p>
    <w:p w:rsidR="006551B7" w:rsidRDefault="004627E8">
      <w:pPr>
        <w:pStyle w:val="ManualHeading2"/>
        <w:rPr>
          <w:noProof/>
        </w:rPr>
      </w:pPr>
      <w:r>
        <w:rPr>
          <w:noProof/>
        </w:rPr>
        <w:t>6.2</w:t>
      </w:r>
      <w:r>
        <w:rPr>
          <w:noProof/>
        </w:rPr>
        <w:tab/>
        <w:t>POROČANJE</w:t>
      </w:r>
    </w:p>
    <w:p w:rsidR="006551B7" w:rsidRDefault="004627E8">
      <w:pPr>
        <w:pStyle w:val="Text1"/>
        <w:rPr>
          <w:noProof/>
        </w:rPr>
      </w:pPr>
      <w:r>
        <w:rPr>
          <w:noProof/>
        </w:rPr>
        <w:t>Komisija Norveški vsak mesec poroča o ravni storitve, kot je opredeljeno v oddelku 5.1.2.</w:t>
      </w:r>
    </w:p>
    <w:p w:rsidR="006551B7" w:rsidRDefault="004627E8">
      <w:pPr>
        <w:pStyle w:val="ManualHeading1"/>
        <w:rPr>
          <w:noProof/>
        </w:rPr>
      </w:pPr>
      <w:r>
        <w:rPr>
          <w:noProof/>
        </w:rPr>
        <w:t>7.</w:t>
      </w:r>
      <w:r>
        <w:rPr>
          <w:noProof/>
        </w:rPr>
        <w:tab/>
      </w:r>
      <w:r>
        <w:rPr>
          <w:noProof/>
          <w:u w:val="single"/>
        </w:rPr>
        <w:t>ODOBRITEV SPORAZUMA O RAVNI STORITVE</w:t>
      </w:r>
    </w:p>
    <w:p w:rsidR="006551B7" w:rsidRDefault="004627E8">
      <w:pPr>
        <w:pStyle w:val="Text1"/>
        <w:rPr>
          <w:noProof/>
        </w:rPr>
      </w:pPr>
      <w:r>
        <w:rPr>
          <w:noProof/>
        </w:rPr>
        <w:t>Da bi bil sporazum o ravni storitve veljaven, ga mora odobriti skupni odbor.</w:t>
      </w:r>
    </w:p>
    <w:p w:rsidR="006551B7" w:rsidRDefault="004627E8">
      <w:pPr>
        <w:pStyle w:val="ManualHeading1"/>
        <w:rPr>
          <w:noProof/>
        </w:rPr>
      </w:pPr>
      <w:bookmarkStart w:id="13" w:name="_Ref160267046"/>
      <w:r>
        <w:rPr>
          <w:noProof/>
        </w:rPr>
        <w:t>8.</w:t>
      </w:r>
      <w:r>
        <w:rPr>
          <w:noProof/>
        </w:rPr>
        <w:tab/>
      </w:r>
      <w:r>
        <w:rPr>
          <w:noProof/>
          <w:u w:val="single"/>
        </w:rPr>
        <w:t>SPREMEMBE SPORAZUMA O RAVNI STORITVE</w:t>
      </w:r>
      <w:bookmarkEnd w:id="13"/>
    </w:p>
    <w:p w:rsidR="006551B7" w:rsidRDefault="004627E8">
      <w:pPr>
        <w:pStyle w:val="Text1"/>
        <w:rPr>
          <w:noProof/>
        </w:rPr>
      </w:pPr>
      <w:r>
        <w:rPr>
          <w:noProof/>
        </w:rPr>
        <w:t xml:space="preserve">Sporazum o ravni storitve bo pregledan na podlagi pisne zahteve, ki jo Komisija ali Norveška predložita skupnemu odboru. </w:t>
      </w:r>
    </w:p>
    <w:p w:rsidR="006551B7" w:rsidRDefault="004627E8">
      <w:pPr>
        <w:pStyle w:val="Text1"/>
        <w:rPr>
          <w:noProof/>
        </w:rPr>
      </w:pPr>
      <w:r>
        <w:rPr>
          <w:noProof/>
        </w:rPr>
        <w:t>Določbe obstoječega sporazuma o ravni storitve ostanejo veljavne, dokler skupni odbor ne odloči o predlaganih spremembah. Skupni odbor deluje kot organ odločanja za ta sporazum.</w:t>
      </w:r>
    </w:p>
    <w:p w:rsidR="006551B7" w:rsidRDefault="004627E8">
      <w:pPr>
        <w:pStyle w:val="ManualHeading1"/>
        <w:rPr>
          <w:noProof/>
        </w:rPr>
      </w:pPr>
      <w:r>
        <w:rPr>
          <w:noProof/>
        </w:rPr>
        <w:t>9.</w:t>
      </w:r>
      <w:r>
        <w:rPr>
          <w:noProof/>
        </w:rPr>
        <w:tab/>
      </w:r>
      <w:r>
        <w:rPr>
          <w:noProof/>
          <w:u w:val="single"/>
        </w:rPr>
        <w:t>KONTAKTNA TOČKA</w:t>
      </w:r>
    </w:p>
    <w:p w:rsidR="006551B7" w:rsidRDefault="004627E8">
      <w:pPr>
        <w:pStyle w:val="Text1"/>
        <w:rPr>
          <w:noProof/>
        </w:rPr>
      </w:pPr>
      <w:r>
        <w:rPr>
          <w:noProof/>
        </w:rPr>
        <w:t>Če imate kakršna koli vprašanja ali pripombe glede tega dokumenta, se obrnite na:</w:t>
      </w:r>
    </w:p>
    <w:p w:rsidR="006551B7" w:rsidRDefault="004627E8">
      <w:pPr>
        <w:pStyle w:val="Text1"/>
        <w:rPr>
          <w:noProof/>
        </w:rPr>
      </w:pPr>
      <w:r>
        <w:rPr>
          <w:noProof/>
        </w:rPr>
        <w:t>PONUDNIKA STORITEV – STORITVENI CENTER</w:t>
      </w:r>
    </w:p>
    <w:p w:rsidR="006551B7" w:rsidRDefault="004627E8">
      <w:pPr>
        <w:pStyle w:val="Text1"/>
        <w:rPr>
          <w:noProof/>
        </w:rPr>
      </w:pPr>
      <w:r w:rsidRPr="004627E8">
        <w:rPr>
          <w:rStyle w:val="Hyperlink"/>
          <w:noProof/>
        </w:rPr>
        <w:t>support@itsmtaxud.europa.eu</w:t>
      </w:r>
    </w:p>
    <w:p w:rsidR="006551B7" w:rsidRDefault="004627E8">
      <w:pPr>
        <w:spacing w:before="360" w:after="60"/>
        <w:jc w:val="left"/>
        <w:rPr>
          <w:noProof/>
        </w:rPr>
      </w:pPr>
      <w:r>
        <w:rPr>
          <w:i/>
          <w:noProof/>
        </w:rPr>
        <w:t>Datum</w:t>
      </w:r>
    </w:p>
    <w:p w:rsidR="006551B7" w:rsidRDefault="006551B7">
      <w:pPr>
        <w:rPr>
          <w:noProof/>
        </w:rPr>
        <w:sectPr w:rsidR="006551B7">
          <w:pgSz w:w="11907" w:h="16839"/>
          <w:pgMar w:top="1134" w:right="1417" w:bottom="1134" w:left="1417" w:header="709" w:footer="709" w:gutter="0"/>
          <w:cols w:space="720"/>
          <w:docGrid w:linePitch="360"/>
        </w:sectPr>
      </w:pPr>
    </w:p>
    <w:p w:rsidR="006551B7" w:rsidRDefault="004627E8">
      <w:pPr>
        <w:pStyle w:val="Annexetitre"/>
        <w:rPr>
          <w:noProof/>
        </w:rPr>
      </w:pPr>
      <w:r>
        <w:rPr>
          <w:noProof/>
        </w:rPr>
        <w:t>PRILOGA 5</w:t>
      </w:r>
    </w:p>
    <w:p w:rsidR="006551B7" w:rsidRDefault="004627E8">
      <w:pPr>
        <w:pStyle w:val="NormalCentered"/>
        <w:rPr>
          <w:b/>
          <w:noProof/>
        </w:rPr>
      </w:pPr>
      <w:r>
        <w:rPr>
          <w:b/>
          <w:noProof/>
        </w:rPr>
        <w:t xml:space="preserve">Osnutek </w:t>
      </w:r>
      <w:r>
        <w:rPr>
          <w:b/>
          <w:noProof/>
        </w:rPr>
        <w:br/>
        <w:t xml:space="preserve">ODLOČITEV št. 5/[datum] skupnega odbora z dne [datum] </w:t>
      </w:r>
      <w:r>
        <w:rPr>
          <w:b/>
          <w:noProof/>
        </w:rPr>
        <w:br/>
        <w:t>o sprejetju sporazuma o ravni storitve za storitve skupnega komunikacijskega omrežja/sistema skupnega vmesnika (v nadaljnjem besedilu: sporazum o ravni storitve CCN/CSI)</w:t>
      </w:r>
    </w:p>
    <w:p w:rsidR="006551B7" w:rsidRDefault="004627E8">
      <w:pPr>
        <w:pStyle w:val="ManualHeading1"/>
        <w:rPr>
          <w:noProof/>
        </w:rPr>
      </w:pPr>
      <w:r>
        <w:rPr>
          <w:noProof/>
        </w:rPr>
        <w:t>1.</w:t>
      </w:r>
      <w:r>
        <w:rPr>
          <w:noProof/>
        </w:rPr>
        <w:tab/>
      </w:r>
      <w:r>
        <w:rPr>
          <w:noProof/>
          <w:u w:val="single"/>
        </w:rPr>
        <w:t>REFERENČNI IN VELJAVNI DOKUMENTI</w:t>
      </w:r>
    </w:p>
    <w:p w:rsidR="006551B7" w:rsidRDefault="004627E8">
      <w:pPr>
        <w:pStyle w:val="ManualHeading2"/>
        <w:rPr>
          <w:noProof/>
        </w:rPr>
      </w:pPr>
      <w:r>
        <w:rPr>
          <w:noProof/>
        </w:rPr>
        <w:t>1.1</w:t>
      </w:r>
      <w:r>
        <w:rPr>
          <w:noProof/>
        </w:rPr>
        <w:tab/>
        <w:t>VELJAVNI AKTI</w:t>
      </w:r>
    </w:p>
    <w:p w:rsidR="006551B7" w:rsidRDefault="004627E8">
      <w:pPr>
        <w:pStyle w:val="Text1"/>
        <w:rPr>
          <w:noProof/>
        </w:rPr>
      </w:pPr>
      <w:r>
        <w:rPr>
          <w:noProof/>
        </w:rPr>
        <w:t>V tem sporazumu o ravni storitve CCN/CSI se upošteva seznam sporazumov in veljavnih odločitev, navedenih v nadaljevanju.</w:t>
      </w:r>
      <w:r>
        <w:rPr>
          <w:noProof/>
          <w:highlight w:val="yellow"/>
        </w:rPr>
        <w:t xml:space="preserve"> </w:t>
      </w:r>
    </w:p>
    <w:tbl>
      <w:tblPr>
        <w:tblW w:w="828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0"/>
      </w:tblGrid>
      <w:tr w:rsidR="006551B7">
        <w:tc>
          <w:tcPr>
            <w:tcW w:w="1440" w:type="dxa"/>
          </w:tcPr>
          <w:p w:rsidR="006551B7" w:rsidRDefault="006551B7">
            <w:pPr>
              <w:numPr>
                <w:ilvl w:val="0"/>
                <w:numId w:val="32"/>
              </w:numPr>
              <w:spacing w:before="60" w:after="60" w:line="276" w:lineRule="auto"/>
              <w:jc w:val="right"/>
              <w:rPr>
                <w:rFonts w:eastAsia="Times New Roman"/>
                <w:noProof/>
                <w:szCs w:val="24"/>
              </w:rPr>
            </w:pPr>
          </w:p>
        </w:tc>
        <w:tc>
          <w:tcPr>
            <w:tcW w:w="6840" w:type="dxa"/>
          </w:tcPr>
          <w:p w:rsidR="006551B7" w:rsidRDefault="004627E8">
            <w:pPr>
              <w:spacing w:before="60" w:after="60"/>
              <w:rPr>
                <w:rFonts w:eastAsia="Times New Roman"/>
                <w:noProof/>
                <w:szCs w:val="24"/>
              </w:rPr>
            </w:pPr>
            <w:r>
              <w:rPr>
                <w:noProof/>
              </w:rPr>
              <w:t>Sporazum med Evropsko unijo in Kraljevino Norveško o upravnem sodelovanju, boju proti goljufijam in izterjavi terjatev na področju davka na dodano vrednost (v nadaljnjem besedilu: Sporazum) (UL L 195, 1.8.2018, str. 3).</w:t>
            </w:r>
          </w:p>
          <w:p w:rsidR="006551B7" w:rsidRDefault="006551B7">
            <w:pPr>
              <w:spacing w:before="60" w:after="60"/>
              <w:rPr>
                <w:rFonts w:eastAsia="Times New Roman"/>
                <w:b/>
                <w:noProof/>
                <w:szCs w:val="24"/>
              </w:rPr>
            </w:pPr>
          </w:p>
        </w:tc>
      </w:tr>
      <w:tr w:rsidR="006551B7">
        <w:tc>
          <w:tcPr>
            <w:tcW w:w="1440" w:type="dxa"/>
          </w:tcPr>
          <w:p w:rsidR="006551B7" w:rsidRDefault="006551B7">
            <w:pPr>
              <w:numPr>
                <w:ilvl w:val="0"/>
                <w:numId w:val="32"/>
              </w:numPr>
              <w:spacing w:before="60" w:after="60" w:line="276" w:lineRule="auto"/>
              <w:jc w:val="right"/>
              <w:rPr>
                <w:rFonts w:eastAsia="Times New Roman"/>
                <w:noProof/>
                <w:szCs w:val="24"/>
              </w:rPr>
            </w:pPr>
          </w:p>
        </w:tc>
        <w:tc>
          <w:tcPr>
            <w:tcW w:w="6840" w:type="dxa"/>
          </w:tcPr>
          <w:p w:rsidR="006551B7" w:rsidRDefault="004627E8">
            <w:pPr>
              <w:spacing w:before="60" w:after="60"/>
              <w:rPr>
                <w:rFonts w:eastAsia="Times New Roman"/>
                <w:i/>
                <w:noProof/>
                <w:szCs w:val="24"/>
              </w:rPr>
            </w:pPr>
            <w:r>
              <w:rPr>
                <w:noProof/>
              </w:rPr>
              <w:t xml:space="preserve">Odločitev skupnega odbora XX o izvajanju točk (d), (e), (g) in (h) člena 41(2) Sporazuma v zvezi s standardnimi obrazci, prenosom sporočil in organizacijo stikov z dne </w:t>
            </w:r>
            <w:r>
              <w:rPr>
                <w:i/>
                <w:noProof/>
              </w:rPr>
              <w:t>[datum]</w:t>
            </w:r>
            <w:r>
              <w:rPr>
                <w:noProof/>
              </w:rPr>
              <w:t>.</w:t>
            </w:r>
          </w:p>
          <w:p w:rsidR="006551B7" w:rsidRDefault="006551B7">
            <w:pPr>
              <w:spacing w:before="60" w:after="60"/>
              <w:rPr>
                <w:rFonts w:eastAsia="Times New Roman"/>
                <w:noProof/>
                <w:szCs w:val="24"/>
              </w:rPr>
            </w:pPr>
          </w:p>
        </w:tc>
      </w:tr>
    </w:tbl>
    <w:p w:rsidR="006551B7" w:rsidRDefault="004627E8">
      <w:pPr>
        <w:spacing w:before="60" w:after="0"/>
        <w:jc w:val="center"/>
        <w:rPr>
          <w:rFonts w:eastAsia="Times New Roman"/>
          <w:noProof/>
          <w:sz w:val="20"/>
          <w:szCs w:val="20"/>
        </w:rPr>
      </w:pPr>
      <w:r>
        <w:rPr>
          <w:noProof/>
          <w:sz w:val="20"/>
        </w:rPr>
        <w:t>Preglednica </w:t>
      </w:r>
      <w:r>
        <w:rPr>
          <w:rFonts w:eastAsia="Times New Roman"/>
          <w:noProof/>
          <w:sz w:val="20"/>
          <w:szCs w:val="20"/>
        </w:rPr>
        <w:t>7</w:t>
      </w:r>
      <w:r>
        <w:rPr>
          <w:noProof/>
          <w:sz w:val="20"/>
        </w:rPr>
        <w:t>: Veljavni akti</w:t>
      </w:r>
    </w:p>
    <w:p w:rsidR="006551B7" w:rsidRDefault="004627E8">
      <w:pPr>
        <w:pStyle w:val="ManualHeading2"/>
        <w:rPr>
          <w:noProof/>
        </w:rPr>
      </w:pPr>
      <w:r>
        <w:rPr>
          <w:noProof/>
        </w:rPr>
        <w:t>1.2</w:t>
      </w:r>
      <w:r>
        <w:rPr>
          <w:noProof/>
        </w:rPr>
        <w:tab/>
        <w:t>REFERENČNI DOKUMENTI</w:t>
      </w:r>
    </w:p>
    <w:p w:rsidR="006551B7" w:rsidRDefault="004627E8">
      <w:pPr>
        <w:pStyle w:val="Text1"/>
        <w:rPr>
          <w:noProof/>
        </w:rPr>
      </w:pPr>
      <w:r>
        <w:rPr>
          <w:noProof/>
        </w:rPr>
        <w:t xml:space="preserve">V tem sporazumu o ravni storitve CCN/CSI so upoštevane informacije iz naslednjih referenčnih dokumentov. Veljavne različice dokumentov so tiste, ki so na voljo ob podpisu tega sporazuma. </w:t>
      </w:r>
    </w:p>
    <w:tbl>
      <w:tblPr>
        <w:tblStyle w:val="TableGrid2"/>
        <w:tblW w:w="0" w:type="auto"/>
        <w:tblInd w:w="948" w:type="dxa"/>
        <w:tblLook w:val="04A0" w:firstRow="1" w:lastRow="0" w:firstColumn="1" w:lastColumn="0" w:noHBand="0" w:noVBand="1"/>
      </w:tblPr>
      <w:tblGrid>
        <w:gridCol w:w="1270"/>
        <w:gridCol w:w="2645"/>
        <w:gridCol w:w="2397"/>
        <w:gridCol w:w="2029"/>
      </w:tblGrid>
      <w:tr w:rsidR="006551B7">
        <w:tc>
          <w:tcPr>
            <w:tcW w:w="948" w:type="dxa"/>
            <w:shd w:val="clear" w:color="auto" w:fill="D9D9D9"/>
          </w:tcPr>
          <w:p w:rsidR="006551B7" w:rsidRDefault="004627E8">
            <w:pPr>
              <w:spacing w:before="0" w:after="0"/>
              <w:rPr>
                <w:rFonts w:eastAsia="Calibri"/>
                <w:b/>
                <w:noProof/>
              </w:rPr>
            </w:pPr>
            <w:r>
              <w:rPr>
                <w:b/>
                <w:noProof/>
              </w:rPr>
              <w:t>IDENT. OZNAKA</w:t>
            </w:r>
          </w:p>
        </w:tc>
        <w:tc>
          <w:tcPr>
            <w:tcW w:w="2760" w:type="dxa"/>
            <w:shd w:val="clear" w:color="auto" w:fill="D9D9D9"/>
          </w:tcPr>
          <w:p w:rsidR="006551B7" w:rsidRDefault="004627E8">
            <w:pPr>
              <w:spacing w:before="0" w:after="0"/>
              <w:ind w:right="132"/>
              <w:jc w:val="left"/>
              <w:rPr>
                <w:rFonts w:eastAsia="Calibri"/>
                <w:b/>
                <w:noProof/>
              </w:rPr>
            </w:pPr>
            <w:r>
              <w:rPr>
                <w:b/>
                <w:noProof/>
              </w:rPr>
              <w:t>SKLIC</w:t>
            </w:r>
          </w:p>
        </w:tc>
        <w:tc>
          <w:tcPr>
            <w:tcW w:w="2503" w:type="dxa"/>
            <w:shd w:val="clear" w:color="auto" w:fill="D9D9D9"/>
          </w:tcPr>
          <w:p w:rsidR="006551B7" w:rsidRDefault="004627E8">
            <w:pPr>
              <w:spacing w:before="0" w:after="0"/>
              <w:rPr>
                <w:rFonts w:eastAsia="Calibri"/>
                <w:b/>
                <w:noProof/>
              </w:rPr>
            </w:pPr>
            <w:r>
              <w:rPr>
                <w:b/>
                <w:noProof/>
              </w:rPr>
              <w:t>NASLOV</w:t>
            </w:r>
          </w:p>
        </w:tc>
        <w:tc>
          <w:tcPr>
            <w:tcW w:w="2069" w:type="dxa"/>
            <w:shd w:val="clear" w:color="auto" w:fill="D9D9D9"/>
          </w:tcPr>
          <w:p w:rsidR="006551B7" w:rsidRDefault="004627E8">
            <w:pPr>
              <w:spacing w:before="0" w:after="0"/>
              <w:rPr>
                <w:rFonts w:eastAsia="Calibri"/>
                <w:b/>
                <w:noProof/>
              </w:rPr>
            </w:pPr>
            <w:r>
              <w:rPr>
                <w:b/>
                <w:noProof/>
              </w:rPr>
              <w:t>RAZLIČICA</w:t>
            </w:r>
          </w:p>
        </w:tc>
      </w:tr>
      <w:tr w:rsidR="006551B7">
        <w:tc>
          <w:tcPr>
            <w:tcW w:w="948" w:type="dxa"/>
            <w:vAlign w:val="bottom"/>
          </w:tcPr>
          <w:p w:rsidR="006551B7" w:rsidRDefault="004627E8">
            <w:pPr>
              <w:spacing w:before="0" w:after="0"/>
              <w:jc w:val="left"/>
              <w:rPr>
                <w:rFonts w:eastAsia="Calibri"/>
                <w:noProof/>
                <w:szCs w:val="24"/>
              </w:rPr>
            </w:pPr>
            <w:r>
              <w:rPr>
                <w:noProof/>
                <w:color w:val="0000FF"/>
                <w:u w:val="single"/>
              </w:rPr>
              <w:t>RD1</w:t>
            </w:r>
          </w:p>
        </w:tc>
        <w:tc>
          <w:tcPr>
            <w:tcW w:w="2760" w:type="dxa"/>
            <w:vAlign w:val="bottom"/>
          </w:tcPr>
          <w:p w:rsidR="006551B7" w:rsidRDefault="004627E8">
            <w:pPr>
              <w:spacing w:before="0" w:after="0"/>
              <w:ind w:right="132"/>
              <w:jc w:val="left"/>
              <w:rPr>
                <w:rFonts w:eastAsia="Calibri"/>
                <w:noProof/>
                <w:szCs w:val="24"/>
              </w:rPr>
            </w:pPr>
            <w:r>
              <w:rPr>
                <w:noProof/>
              </w:rPr>
              <w:t>CCN-COVW-GEN</w:t>
            </w:r>
          </w:p>
        </w:tc>
        <w:tc>
          <w:tcPr>
            <w:tcW w:w="2503" w:type="dxa"/>
            <w:vAlign w:val="bottom"/>
          </w:tcPr>
          <w:p w:rsidR="006551B7" w:rsidRDefault="004627E8">
            <w:pPr>
              <w:spacing w:before="0" w:after="0"/>
              <w:ind w:left="84" w:right="-747"/>
              <w:jc w:val="left"/>
              <w:rPr>
                <w:rFonts w:eastAsia="Calibri"/>
                <w:noProof/>
                <w:szCs w:val="24"/>
              </w:rPr>
            </w:pPr>
            <w:r>
              <w:rPr>
                <w:noProof/>
              </w:rPr>
              <w:t xml:space="preserve">CCN/CSI &amp; SPEED2 Systems Overview </w:t>
            </w:r>
          </w:p>
        </w:tc>
        <w:tc>
          <w:tcPr>
            <w:tcW w:w="2069" w:type="dxa"/>
            <w:vAlign w:val="bottom"/>
          </w:tcPr>
          <w:p w:rsidR="006551B7" w:rsidRDefault="004627E8">
            <w:pPr>
              <w:spacing w:before="0" w:after="0"/>
              <w:ind w:left="84" w:right="-747"/>
              <w:jc w:val="left"/>
              <w:rPr>
                <w:rFonts w:eastAsia="Calibri"/>
                <w:noProof/>
                <w:szCs w:val="24"/>
              </w:rPr>
            </w:pPr>
            <w:r>
              <w:rPr>
                <w:noProof/>
              </w:rPr>
              <w:t>EN18.01</w:t>
            </w:r>
          </w:p>
        </w:tc>
      </w:tr>
      <w:tr w:rsidR="006551B7">
        <w:tc>
          <w:tcPr>
            <w:tcW w:w="948" w:type="dxa"/>
            <w:vAlign w:val="bottom"/>
          </w:tcPr>
          <w:p w:rsidR="006551B7" w:rsidRDefault="004627E8">
            <w:pPr>
              <w:spacing w:before="0" w:after="0"/>
              <w:jc w:val="left"/>
              <w:rPr>
                <w:rFonts w:eastAsia="Calibri"/>
                <w:noProof/>
                <w:szCs w:val="24"/>
              </w:rPr>
            </w:pPr>
            <w:r>
              <w:rPr>
                <w:noProof/>
                <w:color w:val="0000FF"/>
                <w:u w:val="single"/>
              </w:rPr>
              <w:t>RD2</w:t>
            </w:r>
          </w:p>
        </w:tc>
        <w:tc>
          <w:tcPr>
            <w:tcW w:w="2760" w:type="dxa"/>
            <w:vAlign w:val="bottom"/>
          </w:tcPr>
          <w:p w:rsidR="006551B7" w:rsidRDefault="004627E8">
            <w:pPr>
              <w:spacing w:before="0" w:after="0"/>
              <w:ind w:right="132"/>
              <w:jc w:val="left"/>
              <w:rPr>
                <w:rFonts w:eastAsia="Calibri"/>
                <w:noProof/>
                <w:szCs w:val="24"/>
              </w:rPr>
            </w:pPr>
            <w:r>
              <w:rPr>
                <w:noProof/>
              </w:rPr>
              <w:t>CCN-CMPR-GW</w:t>
            </w:r>
          </w:p>
        </w:tc>
        <w:tc>
          <w:tcPr>
            <w:tcW w:w="2503" w:type="dxa"/>
            <w:vAlign w:val="bottom"/>
          </w:tcPr>
          <w:p w:rsidR="006551B7" w:rsidRDefault="004627E8">
            <w:pPr>
              <w:spacing w:before="0" w:after="0"/>
              <w:ind w:left="84" w:right="-747"/>
              <w:jc w:val="left"/>
              <w:rPr>
                <w:rFonts w:eastAsia="Calibri"/>
                <w:noProof/>
                <w:szCs w:val="24"/>
              </w:rPr>
            </w:pPr>
            <w:r>
              <w:rPr>
                <w:noProof/>
              </w:rPr>
              <w:t xml:space="preserve">CCN Gateways Management Procedures </w:t>
            </w:r>
          </w:p>
        </w:tc>
        <w:tc>
          <w:tcPr>
            <w:tcW w:w="2069" w:type="dxa"/>
            <w:vAlign w:val="bottom"/>
          </w:tcPr>
          <w:p w:rsidR="006551B7" w:rsidRDefault="004627E8">
            <w:pPr>
              <w:spacing w:before="0" w:after="0"/>
              <w:ind w:left="84" w:right="-747"/>
              <w:jc w:val="left"/>
              <w:rPr>
                <w:rFonts w:eastAsia="Calibri"/>
                <w:noProof/>
                <w:szCs w:val="24"/>
              </w:rPr>
            </w:pPr>
            <w:r>
              <w:rPr>
                <w:noProof/>
              </w:rPr>
              <w:t>EN19.20</w:t>
            </w:r>
          </w:p>
        </w:tc>
      </w:tr>
      <w:tr w:rsidR="006551B7">
        <w:tc>
          <w:tcPr>
            <w:tcW w:w="948" w:type="dxa"/>
            <w:vAlign w:val="bottom"/>
          </w:tcPr>
          <w:p w:rsidR="006551B7" w:rsidRDefault="004627E8">
            <w:pPr>
              <w:spacing w:before="0" w:after="0"/>
              <w:jc w:val="left"/>
              <w:rPr>
                <w:rFonts w:eastAsia="Calibri"/>
                <w:noProof/>
                <w:szCs w:val="24"/>
              </w:rPr>
            </w:pPr>
            <w:r>
              <w:rPr>
                <w:noProof/>
                <w:color w:val="0000FF"/>
                <w:u w:val="single"/>
              </w:rPr>
              <w:t>RD3</w:t>
            </w:r>
          </w:p>
        </w:tc>
        <w:tc>
          <w:tcPr>
            <w:tcW w:w="2760" w:type="dxa"/>
            <w:vAlign w:val="bottom"/>
          </w:tcPr>
          <w:p w:rsidR="006551B7" w:rsidRDefault="004627E8">
            <w:pPr>
              <w:spacing w:before="0" w:after="0"/>
              <w:ind w:right="132"/>
              <w:jc w:val="left"/>
              <w:rPr>
                <w:rFonts w:eastAsia="Calibri"/>
                <w:noProof/>
                <w:szCs w:val="24"/>
              </w:rPr>
            </w:pPr>
            <w:r>
              <w:rPr>
                <w:noProof/>
              </w:rPr>
              <w:t>CCN-CSEC-POL</w:t>
            </w:r>
          </w:p>
        </w:tc>
        <w:tc>
          <w:tcPr>
            <w:tcW w:w="2503" w:type="dxa"/>
            <w:vAlign w:val="bottom"/>
          </w:tcPr>
          <w:p w:rsidR="006551B7" w:rsidRDefault="004627E8">
            <w:pPr>
              <w:spacing w:before="0" w:after="0"/>
              <w:ind w:left="84" w:right="-747"/>
              <w:jc w:val="left"/>
              <w:rPr>
                <w:rFonts w:eastAsia="Calibri"/>
                <w:noProof/>
                <w:szCs w:val="24"/>
              </w:rPr>
            </w:pPr>
            <w:r>
              <w:rPr>
                <w:noProof/>
              </w:rPr>
              <w:t xml:space="preserve">CCN/CSI General Security Policy </w:t>
            </w:r>
          </w:p>
        </w:tc>
        <w:tc>
          <w:tcPr>
            <w:tcW w:w="2069" w:type="dxa"/>
            <w:vAlign w:val="bottom"/>
          </w:tcPr>
          <w:p w:rsidR="006551B7" w:rsidRDefault="004627E8">
            <w:pPr>
              <w:spacing w:before="0" w:after="0"/>
              <w:ind w:left="84" w:right="-747"/>
              <w:jc w:val="left"/>
              <w:rPr>
                <w:rFonts w:eastAsia="Calibri"/>
                <w:noProof/>
                <w:szCs w:val="24"/>
              </w:rPr>
            </w:pPr>
            <w:r>
              <w:rPr>
                <w:noProof/>
              </w:rPr>
              <w:t>EN05.00</w:t>
            </w:r>
          </w:p>
        </w:tc>
      </w:tr>
      <w:tr w:rsidR="006551B7">
        <w:tc>
          <w:tcPr>
            <w:tcW w:w="948" w:type="dxa"/>
            <w:vAlign w:val="bottom"/>
          </w:tcPr>
          <w:p w:rsidR="006551B7" w:rsidRDefault="004627E8">
            <w:pPr>
              <w:spacing w:before="0" w:after="0"/>
              <w:jc w:val="left"/>
              <w:rPr>
                <w:rFonts w:eastAsia="Calibri"/>
                <w:noProof/>
                <w:szCs w:val="24"/>
              </w:rPr>
            </w:pPr>
            <w:r>
              <w:rPr>
                <w:noProof/>
                <w:color w:val="0000FF"/>
                <w:u w:val="single"/>
              </w:rPr>
              <w:t>RD4</w:t>
            </w:r>
          </w:p>
        </w:tc>
        <w:tc>
          <w:tcPr>
            <w:tcW w:w="2760" w:type="dxa"/>
            <w:vAlign w:val="bottom"/>
          </w:tcPr>
          <w:p w:rsidR="006551B7" w:rsidRDefault="004627E8">
            <w:pPr>
              <w:spacing w:before="0" w:after="0"/>
              <w:ind w:right="132"/>
              <w:jc w:val="left"/>
              <w:rPr>
                <w:rFonts w:eastAsia="Calibri"/>
                <w:noProof/>
                <w:szCs w:val="24"/>
              </w:rPr>
            </w:pPr>
            <w:r>
              <w:rPr>
                <w:noProof/>
              </w:rPr>
              <w:t>CCN-CSEC-BSCK</w:t>
            </w:r>
          </w:p>
        </w:tc>
        <w:tc>
          <w:tcPr>
            <w:tcW w:w="2503" w:type="dxa"/>
            <w:vAlign w:val="bottom"/>
          </w:tcPr>
          <w:p w:rsidR="006551B7" w:rsidRDefault="004627E8">
            <w:pPr>
              <w:spacing w:before="0" w:after="0"/>
              <w:ind w:left="84" w:right="-747"/>
              <w:jc w:val="left"/>
              <w:rPr>
                <w:rFonts w:eastAsia="Calibri"/>
                <w:noProof/>
                <w:szCs w:val="24"/>
              </w:rPr>
            </w:pPr>
            <w:r>
              <w:rPr>
                <w:noProof/>
              </w:rPr>
              <w:t xml:space="preserve">CCN/CSI Baseline Security Checklist </w:t>
            </w:r>
          </w:p>
        </w:tc>
        <w:tc>
          <w:tcPr>
            <w:tcW w:w="2069" w:type="dxa"/>
            <w:vAlign w:val="bottom"/>
          </w:tcPr>
          <w:p w:rsidR="006551B7" w:rsidRDefault="004627E8">
            <w:pPr>
              <w:spacing w:before="0" w:after="0"/>
              <w:ind w:left="84" w:right="-747"/>
              <w:jc w:val="left"/>
              <w:rPr>
                <w:rFonts w:eastAsia="Calibri"/>
                <w:noProof/>
                <w:szCs w:val="24"/>
              </w:rPr>
            </w:pPr>
            <w:r>
              <w:rPr>
                <w:noProof/>
              </w:rPr>
              <w:t>EN03.00</w:t>
            </w:r>
          </w:p>
        </w:tc>
      </w:tr>
      <w:tr w:rsidR="006551B7">
        <w:tc>
          <w:tcPr>
            <w:tcW w:w="948" w:type="dxa"/>
            <w:vAlign w:val="bottom"/>
          </w:tcPr>
          <w:p w:rsidR="006551B7" w:rsidRDefault="004627E8">
            <w:pPr>
              <w:spacing w:before="0" w:after="0"/>
              <w:jc w:val="left"/>
              <w:rPr>
                <w:rFonts w:eastAsia="Calibri"/>
                <w:noProof/>
                <w:szCs w:val="24"/>
              </w:rPr>
            </w:pPr>
            <w:r>
              <w:rPr>
                <w:noProof/>
                <w:color w:val="0000FF"/>
                <w:u w:val="single"/>
              </w:rPr>
              <w:t>RD5</w:t>
            </w:r>
          </w:p>
        </w:tc>
        <w:tc>
          <w:tcPr>
            <w:tcW w:w="2760" w:type="dxa"/>
            <w:vAlign w:val="bottom"/>
          </w:tcPr>
          <w:p w:rsidR="006551B7" w:rsidRDefault="004627E8">
            <w:pPr>
              <w:spacing w:before="0" w:after="0"/>
              <w:ind w:right="132"/>
              <w:jc w:val="left"/>
              <w:rPr>
                <w:rFonts w:eastAsia="Calibri"/>
                <w:noProof/>
                <w:szCs w:val="24"/>
              </w:rPr>
            </w:pPr>
            <w:r>
              <w:rPr>
                <w:noProof/>
              </w:rPr>
              <w:t>CCN-CLST-ROL</w:t>
            </w:r>
          </w:p>
        </w:tc>
        <w:tc>
          <w:tcPr>
            <w:tcW w:w="2503" w:type="dxa"/>
            <w:vAlign w:val="bottom"/>
          </w:tcPr>
          <w:p w:rsidR="006551B7" w:rsidRDefault="004627E8">
            <w:pPr>
              <w:spacing w:before="0" w:after="0"/>
              <w:ind w:left="84" w:right="-747"/>
              <w:jc w:val="left"/>
              <w:rPr>
                <w:rFonts w:eastAsia="Calibri"/>
                <w:noProof/>
                <w:szCs w:val="24"/>
              </w:rPr>
            </w:pPr>
            <w:r>
              <w:rPr>
                <w:noProof/>
              </w:rPr>
              <w:t xml:space="preserve">Description of CCN/CSI roles </w:t>
            </w:r>
          </w:p>
        </w:tc>
        <w:tc>
          <w:tcPr>
            <w:tcW w:w="2069" w:type="dxa"/>
            <w:vAlign w:val="bottom"/>
          </w:tcPr>
          <w:p w:rsidR="006551B7" w:rsidRDefault="004627E8">
            <w:pPr>
              <w:spacing w:before="0" w:after="0"/>
              <w:ind w:left="84" w:right="-747"/>
              <w:jc w:val="left"/>
              <w:rPr>
                <w:rFonts w:eastAsia="Calibri"/>
                <w:noProof/>
                <w:szCs w:val="24"/>
              </w:rPr>
            </w:pPr>
            <w:r>
              <w:rPr>
                <w:noProof/>
              </w:rPr>
              <w:t>EN02.10</w:t>
            </w:r>
          </w:p>
        </w:tc>
      </w:tr>
      <w:tr w:rsidR="006551B7">
        <w:tc>
          <w:tcPr>
            <w:tcW w:w="948" w:type="dxa"/>
            <w:vAlign w:val="bottom"/>
          </w:tcPr>
          <w:p w:rsidR="006551B7" w:rsidRDefault="004627E8">
            <w:pPr>
              <w:spacing w:before="0" w:after="0"/>
              <w:jc w:val="left"/>
              <w:rPr>
                <w:rFonts w:eastAsia="Calibri"/>
                <w:noProof/>
                <w:szCs w:val="24"/>
              </w:rPr>
            </w:pPr>
            <w:r>
              <w:rPr>
                <w:noProof/>
                <w:color w:val="0000FF"/>
                <w:u w:val="single"/>
              </w:rPr>
              <w:t>RD6</w:t>
            </w:r>
          </w:p>
        </w:tc>
        <w:tc>
          <w:tcPr>
            <w:tcW w:w="2760" w:type="dxa"/>
            <w:vAlign w:val="bottom"/>
          </w:tcPr>
          <w:p w:rsidR="006551B7" w:rsidRDefault="004627E8">
            <w:pPr>
              <w:spacing w:before="0" w:after="0"/>
              <w:ind w:right="132"/>
              <w:jc w:val="left"/>
              <w:rPr>
                <w:rFonts w:eastAsia="Calibri"/>
                <w:noProof/>
                <w:szCs w:val="24"/>
              </w:rPr>
            </w:pPr>
            <w:r>
              <w:rPr>
                <w:noProof/>
              </w:rPr>
              <w:t>CCN-CNEX-031</w:t>
            </w:r>
          </w:p>
        </w:tc>
        <w:tc>
          <w:tcPr>
            <w:tcW w:w="2503" w:type="dxa"/>
            <w:vAlign w:val="bottom"/>
          </w:tcPr>
          <w:p w:rsidR="006551B7" w:rsidRDefault="004627E8">
            <w:pPr>
              <w:spacing w:before="0" w:after="0"/>
              <w:ind w:left="84" w:right="-747"/>
              <w:jc w:val="left"/>
              <w:rPr>
                <w:rFonts w:eastAsia="Calibri"/>
                <w:noProof/>
                <w:szCs w:val="24"/>
              </w:rPr>
            </w:pPr>
            <w:r>
              <w:rPr>
                <w:noProof/>
              </w:rPr>
              <w:t xml:space="preserve">External note 031 – Procedure for the Move of a CCN/CSI Site </w:t>
            </w:r>
          </w:p>
        </w:tc>
        <w:tc>
          <w:tcPr>
            <w:tcW w:w="2069" w:type="dxa"/>
            <w:vAlign w:val="bottom"/>
          </w:tcPr>
          <w:p w:rsidR="006551B7" w:rsidRDefault="004627E8">
            <w:pPr>
              <w:spacing w:before="0" w:after="0"/>
              <w:ind w:left="84" w:right="-747"/>
              <w:jc w:val="left"/>
              <w:rPr>
                <w:rFonts w:eastAsia="Calibri"/>
                <w:noProof/>
                <w:szCs w:val="24"/>
              </w:rPr>
            </w:pPr>
            <w:r>
              <w:rPr>
                <w:noProof/>
              </w:rPr>
              <w:t>EN06.20</w:t>
            </w:r>
          </w:p>
        </w:tc>
      </w:tr>
      <w:tr w:rsidR="006551B7">
        <w:tc>
          <w:tcPr>
            <w:tcW w:w="948" w:type="dxa"/>
            <w:vAlign w:val="bottom"/>
          </w:tcPr>
          <w:p w:rsidR="006551B7" w:rsidRDefault="004627E8">
            <w:pPr>
              <w:spacing w:before="0" w:after="0"/>
              <w:jc w:val="left"/>
              <w:rPr>
                <w:rFonts w:eastAsia="Calibri"/>
                <w:noProof/>
                <w:szCs w:val="24"/>
              </w:rPr>
            </w:pPr>
            <w:r>
              <w:rPr>
                <w:noProof/>
                <w:color w:val="0000FF"/>
                <w:u w:val="single"/>
              </w:rPr>
              <w:t>RD7</w:t>
            </w:r>
          </w:p>
        </w:tc>
        <w:tc>
          <w:tcPr>
            <w:tcW w:w="2760" w:type="dxa"/>
            <w:vAlign w:val="bottom"/>
          </w:tcPr>
          <w:p w:rsidR="006551B7" w:rsidRDefault="004627E8">
            <w:pPr>
              <w:spacing w:before="0" w:after="0"/>
              <w:ind w:right="132"/>
              <w:jc w:val="left"/>
              <w:rPr>
                <w:rFonts w:eastAsia="Calibri"/>
                <w:noProof/>
                <w:szCs w:val="24"/>
              </w:rPr>
            </w:pPr>
            <w:r>
              <w:rPr>
                <w:noProof/>
              </w:rPr>
              <w:t>CCN-CNEX-060</w:t>
            </w:r>
          </w:p>
        </w:tc>
        <w:tc>
          <w:tcPr>
            <w:tcW w:w="2503" w:type="dxa"/>
            <w:vAlign w:val="bottom"/>
          </w:tcPr>
          <w:p w:rsidR="006551B7" w:rsidRDefault="004627E8">
            <w:pPr>
              <w:spacing w:before="0" w:after="0"/>
              <w:ind w:left="84" w:right="-747"/>
              <w:jc w:val="left"/>
              <w:rPr>
                <w:rFonts w:eastAsia="Calibri"/>
                <w:noProof/>
                <w:szCs w:val="24"/>
              </w:rPr>
            </w:pPr>
            <w:r>
              <w:rPr>
                <w:noProof/>
              </w:rPr>
              <w:t xml:space="preserve">External Note 060 – Install new CCN Site </w:t>
            </w:r>
          </w:p>
        </w:tc>
        <w:tc>
          <w:tcPr>
            <w:tcW w:w="2069" w:type="dxa"/>
            <w:vAlign w:val="bottom"/>
          </w:tcPr>
          <w:p w:rsidR="006551B7" w:rsidRDefault="004627E8">
            <w:pPr>
              <w:spacing w:before="0" w:after="0"/>
              <w:ind w:left="84" w:right="-747"/>
              <w:jc w:val="left"/>
              <w:rPr>
                <w:rFonts w:eastAsia="Calibri"/>
                <w:noProof/>
                <w:szCs w:val="24"/>
              </w:rPr>
            </w:pPr>
            <w:r>
              <w:rPr>
                <w:noProof/>
              </w:rPr>
              <w:t>EN02.20</w:t>
            </w:r>
          </w:p>
        </w:tc>
      </w:tr>
      <w:tr w:rsidR="006551B7">
        <w:tc>
          <w:tcPr>
            <w:tcW w:w="948" w:type="dxa"/>
            <w:vAlign w:val="bottom"/>
          </w:tcPr>
          <w:p w:rsidR="006551B7" w:rsidRDefault="004627E8">
            <w:pPr>
              <w:spacing w:before="0" w:after="0"/>
              <w:jc w:val="left"/>
              <w:rPr>
                <w:rFonts w:eastAsia="Calibri"/>
                <w:noProof/>
                <w:szCs w:val="24"/>
              </w:rPr>
            </w:pPr>
            <w:r>
              <w:rPr>
                <w:noProof/>
                <w:color w:val="0000FF"/>
                <w:u w:val="single"/>
              </w:rPr>
              <w:t>RD8</w:t>
            </w:r>
          </w:p>
        </w:tc>
        <w:tc>
          <w:tcPr>
            <w:tcW w:w="2760" w:type="dxa"/>
            <w:vAlign w:val="bottom"/>
          </w:tcPr>
          <w:p w:rsidR="006551B7" w:rsidRDefault="004627E8">
            <w:pPr>
              <w:spacing w:before="0" w:after="0"/>
              <w:ind w:right="132"/>
              <w:jc w:val="left"/>
              <w:rPr>
                <w:rFonts w:eastAsia="Calibri"/>
                <w:noProof/>
                <w:szCs w:val="24"/>
              </w:rPr>
            </w:pPr>
            <w:r>
              <w:rPr>
                <w:noProof/>
              </w:rPr>
              <w:t>CCN/CSI-PRG-AP/C-01-MARB</w:t>
            </w:r>
          </w:p>
        </w:tc>
        <w:tc>
          <w:tcPr>
            <w:tcW w:w="2503" w:type="dxa"/>
            <w:vAlign w:val="bottom"/>
          </w:tcPr>
          <w:p w:rsidR="006551B7" w:rsidRDefault="004627E8">
            <w:pPr>
              <w:spacing w:before="0" w:after="0"/>
              <w:ind w:left="84" w:right="-747"/>
              <w:jc w:val="left"/>
              <w:rPr>
                <w:rFonts w:eastAsia="Calibri"/>
                <w:noProof/>
                <w:szCs w:val="24"/>
              </w:rPr>
            </w:pPr>
            <w:r>
              <w:rPr>
                <w:noProof/>
                <w:color w:val="000000"/>
              </w:rPr>
              <w:t xml:space="preserve">CCN/CSI-PRG-AP/C-01-MARB-Application Programming Guide (C Language) </w:t>
            </w:r>
          </w:p>
        </w:tc>
        <w:tc>
          <w:tcPr>
            <w:tcW w:w="2069" w:type="dxa"/>
            <w:vAlign w:val="bottom"/>
          </w:tcPr>
          <w:p w:rsidR="006551B7" w:rsidRDefault="004627E8">
            <w:pPr>
              <w:spacing w:before="0" w:after="0"/>
              <w:ind w:left="84" w:right="-747"/>
              <w:jc w:val="left"/>
              <w:rPr>
                <w:rFonts w:eastAsia="Calibri"/>
                <w:noProof/>
                <w:szCs w:val="24"/>
              </w:rPr>
            </w:pPr>
            <w:r>
              <w:rPr>
                <w:noProof/>
              </w:rPr>
              <w:t>EN11.00</w:t>
            </w:r>
          </w:p>
        </w:tc>
      </w:tr>
    </w:tbl>
    <w:p w:rsidR="006551B7" w:rsidRDefault="004627E8">
      <w:pPr>
        <w:spacing w:before="60"/>
        <w:jc w:val="center"/>
        <w:rPr>
          <w:rFonts w:eastAsia="Times New Roman"/>
          <w:noProof/>
          <w:sz w:val="20"/>
          <w:szCs w:val="20"/>
        </w:rPr>
      </w:pPr>
      <w:r>
        <w:rPr>
          <w:noProof/>
          <w:sz w:val="20"/>
        </w:rPr>
        <w:t>Preglednica </w:t>
      </w:r>
      <w:r>
        <w:rPr>
          <w:rFonts w:eastAsia="Times New Roman"/>
          <w:noProof/>
          <w:sz w:val="20"/>
          <w:szCs w:val="20"/>
        </w:rPr>
        <w:t>8</w:t>
      </w:r>
      <w:r>
        <w:rPr>
          <w:noProof/>
          <w:sz w:val="20"/>
        </w:rPr>
        <w:t>: Referenčni dokumenti</w:t>
      </w:r>
    </w:p>
    <w:p w:rsidR="006551B7" w:rsidRDefault="004627E8">
      <w:pPr>
        <w:pStyle w:val="ManualHeading1"/>
        <w:rPr>
          <w:noProof/>
        </w:rPr>
      </w:pPr>
      <w:r>
        <w:rPr>
          <w:noProof/>
        </w:rPr>
        <w:t>2.</w:t>
      </w:r>
      <w:r>
        <w:rPr>
          <w:noProof/>
        </w:rPr>
        <w:tab/>
      </w:r>
      <w:r>
        <w:rPr>
          <w:noProof/>
          <w:u w:val="single"/>
        </w:rPr>
        <w:t>TERMINOLOGIJA</w:t>
      </w:r>
    </w:p>
    <w:p w:rsidR="006551B7" w:rsidRDefault="004627E8">
      <w:pPr>
        <w:pStyle w:val="ManualHeading2"/>
        <w:rPr>
          <w:noProof/>
        </w:rPr>
      </w:pPr>
      <w:r>
        <w:rPr>
          <w:noProof/>
        </w:rPr>
        <w:t>2.1</w:t>
      </w:r>
      <w:r>
        <w:rPr>
          <w:noProof/>
        </w:rPr>
        <w:tab/>
        <w:t xml:space="preserve">KRATICE </w:t>
      </w:r>
    </w:p>
    <w:tbl>
      <w:tblPr>
        <w:tblStyle w:val="TableGrid"/>
        <w:tblW w:w="8363" w:type="dxa"/>
        <w:tblInd w:w="959" w:type="dxa"/>
        <w:tblLook w:val="04A0" w:firstRow="1" w:lastRow="0" w:firstColumn="1" w:lastColumn="0" w:noHBand="0" w:noVBand="1"/>
      </w:tblPr>
      <w:tblGrid>
        <w:gridCol w:w="2268"/>
        <w:gridCol w:w="6095"/>
      </w:tblGrid>
      <w:tr w:rsidR="006551B7">
        <w:tc>
          <w:tcPr>
            <w:tcW w:w="2268" w:type="dxa"/>
            <w:shd w:val="clear" w:color="auto" w:fill="D9D9D9" w:themeFill="background1" w:themeFillShade="D9"/>
          </w:tcPr>
          <w:p w:rsidR="006551B7" w:rsidRDefault="004627E8">
            <w:pPr>
              <w:pStyle w:val="Text1"/>
              <w:spacing w:before="0" w:after="0"/>
              <w:ind w:left="0"/>
              <w:rPr>
                <w:noProof/>
              </w:rPr>
            </w:pPr>
            <w:r>
              <w:rPr>
                <w:b/>
                <w:caps/>
                <w:noProof/>
              </w:rPr>
              <w:t>Kratice</w:t>
            </w:r>
          </w:p>
        </w:tc>
        <w:tc>
          <w:tcPr>
            <w:tcW w:w="6095" w:type="dxa"/>
            <w:shd w:val="clear" w:color="auto" w:fill="D9D9D9" w:themeFill="background1" w:themeFillShade="D9"/>
          </w:tcPr>
          <w:p w:rsidR="006551B7" w:rsidRDefault="004627E8">
            <w:pPr>
              <w:pStyle w:val="Text1"/>
              <w:spacing w:before="0" w:after="0"/>
              <w:ind w:left="0"/>
              <w:rPr>
                <w:b/>
                <w:noProof/>
              </w:rPr>
            </w:pPr>
            <w:r>
              <w:rPr>
                <w:b/>
                <w:noProof/>
              </w:rPr>
              <w:t>OPREDELITEV</w:t>
            </w:r>
          </w:p>
        </w:tc>
      </w:tr>
      <w:tr w:rsidR="006551B7">
        <w:tc>
          <w:tcPr>
            <w:tcW w:w="2268" w:type="dxa"/>
            <w:vAlign w:val="bottom"/>
          </w:tcPr>
          <w:p w:rsidR="006551B7" w:rsidRDefault="004627E8">
            <w:pPr>
              <w:pStyle w:val="Text1"/>
              <w:spacing w:before="0" w:after="0"/>
              <w:ind w:left="0"/>
              <w:rPr>
                <w:noProof/>
              </w:rPr>
            </w:pPr>
            <w:r>
              <w:rPr>
                <w:noProof/>
              </w:rPr>
              <w:t>ACT</w:t>
            </w:r>
          </w:p>
        </w:tc>
        <w:tc>
          <w:tcPr>
            <w:tcW w:w="6095" w:type="dxa"/>
            <w:vAlign w:val="bottom"/>
          </w:tcPr>
          <w:p w:rsidR="006551B7" w:rsidRDefault="004627E8">
            <w:pPr>
              <w:pStyle w:val="Text1"/>
              <w:spacing w:before="0" w:after="0"/>
              <w:ind w:left="0"/>
              <w:rPr>
                <w:noProof/>
              </w:rPr>
            </w:pPr>
            <w:r>
              <w:rPr>
                <w:noProof/>
              </w:rPr>
              <w:t>Orodje za konfiguracijo aplikacij (Application Configuration Tool)</w:t>
            </w:r>
          </w:p>
        </w:tc>
      </w:tr>
      <w:tr w:rsidR="006551B7">
        <w:tc>
          <w:tcPr>
            <w:tcW w:w="2268" w:type="dxa"/>
            <w:vAlign w:val="bottom"/>
          </w:tcPr>
          <w:p w:rsidR="006551B7" w:rsidRDefault="004627E8">
            <w:pPr>
              <w:pStyle w:val="Text1"/>
              <w:spacing w:before="0" w:after="0"/>
              <w:ind w:left="0"/>
              <w:rPr>
                <w:noProof/>
              </w:rPr>
            </w:pPr>
            <w:r>
              <w:rPr>
                <w:noProof/>
              </w:rPr>
              <w:t>AIX</w:t>
            </w:r>
          </w:p>
        </w:tc>
        <w:tc>
          <w:tcPr>
            <w:tcW w:w="6095" w:type="dxa"/>
            <w:vAlign w:val="bottom"/>
          </w:tcPr>
          <w:p w:rsidR="006551B7" w:rsidRDefault="004627E8">
            <w:pPr>
              <w:pStyle w:val="Text1"/>
              <w:spacing w:before="0" w:after="0"/>
              <w:ind w:left="0"/>
              <w:rPr>
                <w:noProof/>
              </w:rPr>
            </w:pPr>
            <w:r>
              <w:rPr>
                <w:noProof/>
              </w:rPr>
              <w:t>Operacijski sistem IBM Unix</w:t>
            </w:r>
          </w:p>
        </w:tc>
      </w:tr>
      <w:tr w:rsidR="006551B7">
        <w:tc>
          <w:tcPr>
            <w:tcW w:w="2268" w:type="dxa"/>
            <w:vAlign w:val="bottom"/>
          </w:tcPr>
          <w:p w:rsidR="006551B7" w:rsidRDefault="004627E8">
            <w:pPr>
              <w:pStyle w:val="Text1"/>
              <w:spacing w:before="0" w:after="0"/>
              <w:ind w:left="0"/>
              <w:rPr>
                <w:noProof/>
              </w:rPr>
            </w:pPr>
            <w:r>
              <w:rPr>
                <w:noProof/>
              </w:rPr>
              <w:t>CBS</w:t>
            </w:r>
          </w:p>
        </w:tc>
        <w:tc>
          <w:tcPr>
            <w:tcW w:w="6095" w:type="dxa"/>
            <w:vAlign w:val="bottom"/>
          </w:tcPr>
          <w:p w:rsidR="006551B7" w:rsidRDefault="004627E8">
            <w:pPr>
              <w:pStyle w:val="Text1"/>
              <w:spacing w:before="0" w:after="0"/>
              <w:ind w:left="0"/>
              <w:rPr>
                <w:noProof/>
              </w:rPr>
            </w:pPr>
            <w:r>
              <w:rPr>
                <w:noProof/>
              </w:rPr>
              <w:t>Podporni center (Central Backup Site)</w:t>
            </w:r>
          </w:p>
        </w:tc>
      </w:tr>
      <w:tr w:rsidR="006551B7">
        <w:tc>
          <w:tcPr>
            <w:tcW w:w="2268" w:type="dxa"/>
            <w:vAlign w:val="bottom"/>
          </w:tcPr>
          <w:p w:rsidR="006551B7" w:rsidRDefault="004627E8">
            <w:pPr>
              <w:pStyle w:val="Text1"/>
              <w:spacing w:before="0" w:after="0"/>
              <w:ind w:left="0"/>
              <w:rPr>
                <w:noProof/>
              </w:rPr>
            </w:pPr>
            <w:r>
              <w:rPr>
                <w:noProof/>
              </w:rPr>
              <w:t>CCN</w:t>
            </w:r>
          </w:p>
        </w:tc>
        <w:tc>
          <w:tcPr>
            <w:tcW w:w="6095" w:type="dxa"/>
            <w:vAlign w:val="bottom"/>
          </w:tcPr>
          <w:p w:rsidR="006551B7" w:rsidRDefault="004627E8">
            <w:pPr>
              <w:pStyle w:val="Text1"/>
              <w:spacing w:before="0" w:after="0"/>
              <w:ind w:left="0"/>
              <w:rPr>
                <w:noProof/>
              </w:rPr>
            </w:pPr>
            <w:r>
              <w:rPr>
                <w:noProof/>
              </w:rPr>
              <w:t>Skupno komunikacijsko omrežje</w:t>
            </w:r>
          </w:p>
        </w:tc>
      </w:tr>
      <w:tr w:rsidR="006551B7">
        <w:tc>
          <w:tcPr>
            <w:tcW w:w="2268" w:type="dxa"/>
            <w:vAlign w:val="bottom"/>
          </w:tcPr>
          <w:p w:rsidR="006551B7" w:rsidRDefault="004627E8">
            <w:pPr>
              <w:pStyle w:val="Text1"/>
              <w:spacing w:before="0" w:after="0"/>
              <w:ind w:left="0"/>
              <w:rPr>
                <w:noProof/>
              </w:rPr>
            </w:pPr>
            <w:r>
              <w:rPr>
                <w:noProof/>
              </w:rPr>
              <w:t>CCN/CSI</w:t>
            </w:r>
          </w:p>
        </w:tc>
        <w:tc>
          <w:tcPr>
            <w:tcW w:w="6095" w:type="dxa"/>
            <w:vAlign w:val="bottom"/>
          </w:tcPr>
          <w:p w:rsidR="006551B7" w:rsidRDefault="004627E8">
            <w:pPr>
              <w:pStyle w:val="Text1"/>
              <w:spacing w:before="0" w:after="0"/>
              <w:ind w:left="0"/>
              <w:rPr>
                <w:noProof/>
              </w:rPr>
            </w:pPr>
            <w:r>
              <w:rPr>
                <w:noProof/>
              </w:rPr>
              <w:t>Skupno komunikacijsko omrežje/skupni sistemski vmesnik</w:t>
            </w:r>
          </w:p>
        </w:tc>
      </w:tr>
      <w:tr w:rsidR="006551B7">
        <w:tc>
          <w:tcPr>
            <w:tcW w:w="2268" w:type="dxa"/>
            <w:vAlign w:val="bottom"/>
          </w:tcPr>
          <w:p w:rsidR="006551B7" w:rsidRDefault="004627E8">
            <w:pPr>
              <w:pStyle w:val="Text1"/>
              <w:spacing w:before="0" w:after="0"/>
              <w:ind w:left="0"/>
              <w:rPr>
                <w:noProof/>
              </w:rPr>
            </w:pPr>
            <w:r>
              <w:rPr>
                <w:noProof/>
              </w:rPr>
              <w:t>CCN/WAN</w:t>
            </w:r>
          </w:p>
        </w:tc>
        <w:tc>
          <w:tcPr>
            <w:tcW w:w="6095" w:type="dxa"/>
            <w:vAlign w:val="bottom"/>
          </w:tcPr>
          <w:p w:rsidR="006551B7" w:rsidRDefault="004627E8">
            <w:pPr>
              <w:pStyle w:val="Text1"/>
              <w:spacing w:before="0" w:after="0"/>
              <w:ind w:left="0"/>
              <w:rPr>
                <w:noProof/>
              </w:rPr>
            </w:pPr>
            <w:r>
              <w:rPr>
                <w:noProof/>
              </w:rPr>
              <w:t>Okvirna storitev za zagotavljanje omrežnih storitev za CCN</w:t>
            </w:r>
          </w:p>
        </w:tc>
      </w:tr>
      <w:tr w:rsidR="006551B7">
        <w:tc>
          <w:tcPr>
            <w:tcW w:w="2268" w:type="dxa"/>
            <w:vAlign w:val="bottom"/>
          </w:tcPr>
          <w:p w:rsidR="006551B7" w:rsidRDefault="004627E8">
            <w:pPr>
              <w:pStyle w:val="Text1"/>
              <w:spacing w:before="0" w:after="0"/>
              <w:ind w:left="0"/>
              <w:rPr>
                <w:noProof/>
              </w:rPr>
            </w:pPr>
            <w:r>
              <w:rPr>
                <w:noProof/>
              </w:rPr>
              <w:t>CI</w:t>
            </w:r>
          </w:p>
        </w:tc>
        <w:tc>
          <w:tcPr>
            <w:tcW w:w="6095" w:type="dxa"/>
            <w:vAlign w:val="bottom"/>
          </w:tcPr>
          <w:p w:rsidR="006551B7" w:rsidRDefault="004627E8">
            <w:pPr>
              <w:pStyle w:val="Text1"/>
              <w:spacing w:before="0" w:after="0"/>
              <w:ind w:left="0"/>
              <w:rPr>
                <w:noProof/>
              </w:rPr>
            </w:pPr>
            <w:r>
              <w:rPr>
                <w:noProof/>
              </w:rPr>
              <w:t>Konfiguracijski element</w:t>
            </w:r>
          </w:p>
        </w:tc>
      </w:tr>
      <w:tr w:rsidR="006551B7">
        <w:tc>
          <w:tcPr>
            <w:tcW w:w="2268" w:type="dxa"/>
          </w:tcPr>
          <w:p w:rsidR="006551B7" w:rsidRDefault="004627E8">
            <w:pPr>
              <w:pStyle w:val="Text1"/>
              <w:spacing w:before="0" w:after="0"/>
              <w:ind w:left="0"/>
              <w:rPr>
                <w:noProof/>
              </w:rPr>
            </w:pPr>
            <w:r>
              <w:rPr>
                <w:noProof/>
              </w:rPr>
              <w:t>CIRCABC</w:t>
            </w:r>
          </w:p>
        </w:tc>
        <w:tc>
          <w:tcPr>
            <w:tcW w:w="6095" w:type="dxa"/>
          </w:tcPr>
          <w:p w:rsidR="006551B7" w:rsidRDefault="004627E8">
            <w:pPr>
              <w:pStyle w:val="Text1"/>
              <w:spacing w:before="0" w:after="0"/>
              <w:ind w:left="0"/>
              <w:rPr>
                <w:noProof/>
              </w:rPr>
            </w:pPr>
            <w:r>
              <w:rPr>
                <w:noProof/>
              </w:rPr>
              <w:t>Komunikacijsko-informacijsko središče za uprave, podjetja in državljane</w:t>
            </w:r>
          </w:p>
        </w:tc>
      </w:tr>
      <w:tr w:rsidR="006551B7">
        <w:tc>
          <w:tcPr>
            <w:tcW w:w="2268" w:type="dxa"/>
          </w:tcPr>
          <w:p w:rsidR="006551B7" w:rsidRDefault="004627E8">
            <w:pPr>
              <w:pStyle w:val="Text1"/>
              <w:spacing w:before="0" w:after="0"/>
              <w:ind w:left="0"/>
              <w:rPr>
                <w:noProof/>
              </w:rPr>
            </w:pPr>
            <w:r>
              <w:rPr>
                <w:noProof/>
              </w:rPr>
              <w:t>COTS</w:t>
            </w:r>
          </w:p>
        </w:tc>
        <w:tc>
          <w:tcPr>
            <w:tcW w:w="6095" w:type="dxa"/>
          </w:tcPr>
          <w:p w:rsidR="006551B7" w:rsidRDefault="004627E8">
            <w:pPr>
              <w:pStyle w:val="Text1"/>
              <w:spacing w:before="0" w:after="0"/>
              <w:ind w:left="0"/>
              <w:rPr>
                <w:noProof/>
              </w:rPr>
            </w:pPr>
            <w:r>
              <w:rPr>
                <w:noProof/>
              </w:rPr>
              <w:t>Trgovski izdelek</w:t>
            </w:r>
          </w:p>
        </w:tc>
      </w:tr>
      <w:tr w:rsidR="006551B7">
        <w:tc>
          <w:tcPr>
            <w:tcW w:w="2268" w:type="dxa"/>
            <w:vAlign w:val="bottom"/>
          </w:tcPr>
          <w:p w:rsidR="006551B7" w:rsidRDefault="004627E8">
            <w:pPr>
              <w:pStyle w:val="Text1"/>
              <w:spacing w:before="0" w:after="0"/>
              <w:ind w:left="0"/>
              <w:rPr>
                <w:noProof/>
              </w:rPr>
            </w:pPr>
            <w:r>
              <w:rPr>
                <w:noProof/>
              </w:rPr>
              <w:t>CPR</w:t>
            </w:r>
          </w:p>
        </w:tc>
        <w:tc>
          <w:tcPr>
            <w:tcW w:w="6095" w:type="dxa"/>
            <w:vAlign w:val="bottom"/>
          </w:tcPr>
          <w:p w:rsidR="006551B7" w:rsidRDefault="004627E8">
            <w:pPr>
              <w:pStyle w:val="Text1"/>
              <w:spacing w:before="0" w:after="0"/>
              <w:ind w:left="0"/>
              <w:rPr>
                <w:noProof/>
              </w:rPr>
            </w:pPr>
            <w:r>
              <w:rPr>
                <w:noProof/>
              </w:rPr>
              <w:t>Usmerjevalnik v prostorih stranke</w:t>
            </w:r>
          </w:p>
        </w:tc>
      </w:tr>
      <w:tr w:rsidR="006551B7">
        <w:tc>
          <w:tcPr>
            <w:tcW w:w="2268" w:type="dxa"/>
            <w:vAlign w:val="bottom"/>
          </w:tcPr>
          <w:p w:rsidR="006551B7" w:rsidRDefault="004627E8">
            <w:pPr>
              <w:pStyle w:val="Text1"/>
              <w:spacing w:before="0" w:after="0"/>
              <w:ind w:left="0"/>
              <w:rPr>
                <w:noProof/>
              </w:rPr>
            </w:pPr>
            <w:r>
              <w:rPr>
                <w:noProof/>
              </w:rPr>
              <w:t>CSA</w:t>
            </w:r>
          </w:p>
        </w:tc>
        <w:tc>
          <w:tcPr>
            <w:tcW w:w="6095" w:type="dxa"/>
            <w:vAlign w:val="bottom"/>
          </w:tcPr>
          <w:p w:rsidR="006551B7" w:rsidRDefault="004627E8">
            <w:pPr>
              <w:pStyle w:val="Text1"/>
              <w:spacing w:before="0" w:after="0"/>
              <w:ind w:left="0"/>
              <w:rPr>
                <w:noProof/>
              </w:rPr>
            </w:pPr>
            <w:r>
              <w:rPr>
                <w:noProof/>
              </w:rPr>
              <w:t>Skrbnik za varnost CCN</w:t>
            </w:r>
          </w:p>
        </w:tc>
      </w:tr>
      <w:tr w:rsidR="006551B7">
        <w:tc>
          <w:tcPr>
            <w:tcW w:w="2268" w:type="dxa"/>
            <w:vAlign w:val="bottom"/>
          </w:tcPr>
          <w:p w:rsidR="006551B7" w:rsidRDefault="004627E8">
            <w:pPr>
              <w:pStyle w:val="Text1"/>
              <w:spacing w:before="0" w:after="0"/>
              <w:ind w:left="0"/>
              <w:rPr>
                <w:noProof/>
              </w:rPr>
            </w:pPr>
            <w:r>
              <w:rPr>
                <w:noProof/>
              </w:rPr>
              <w:t>CSI</w:t>
            </w:r>
          </w:p>
        </w:tc>
        <w:tc>
          <w:tcPr>
            <w:tcW w:w="6095" w:type="dxa"/>
            <w:vAlign w:val="bottom"/>
          </w:tcPr>
          <w:p w:rsidR="006551B7" w:rsidRDefault="004627E8">
            <w:pPr>
              <w:pStyle w:val="Text1"/>
              <w:spacing w:before="0" w:after="0"/>
              <w:ind w:left="0"/>
              <w:rPr>
                <w:noProof/>
              </w:rPr>
            </w:pPr>
            <w:r>
              <w:rPr>
                <w:noProof/>
              </w:rPr>
              <w:t>Skupni sistemski vmesnik</w:t>
            </w:r>
          </w:p>
        </w:tc>
      </w:tr>
      <w:tr w:rsidR="006551B7">
        <w:tc>
          <w:tcPr>
            <w:tcW w:w="2268" w:type="dxa"/>
            <w:vAlign w:val="bottom"/>
          </w:tcPr>
          <w:p w:rsidR="006551B7" w:rsidRDefault="004627E8">
            <w:pPr>
              <w:pStyle w:val="Text1"/>
              <w:spacing w:before="0" w:after="0"/>
              <w:ind w:left="0"/>
              <w:rPr>
                <w:noProof/>
              </w:rPr>
            </w:pPr>
            <w:r>
              <w:rPr>
                <w:noProof/>
              </w:rPr>
              <w:t>GD</w:t>
            </w:r>
          </w:p>
        </w:tc>
        <w:tc>
          <w:tcPr>
            <w:tcW w:w="6095" w:type="dxa"/>
            <w:vAlign w:val="bottom"/>
          </w:tcPr>
          <w:p w:rsidR="006551B7" w:rsidRDefault="004627E8">
            <w:pPr>
              <w:pStyle w:val="Text1"/>
              <w:spacing w:before="0" w:after="0"/>
              <w:ind w:left="0"/>
              <w:rPr>
                <w:noProof/>
              </w:rPr>
            </w:pPr>
            <w:r>
              <w:rPr>
                <w:noProof/>
              </w:rPr>
              <w:t>Generalni direktorat</w:t>
            </w:r>
          </w:p>
        </w:tc>
      </w:tr>
      <w:tr w:rsidR="006551B7">
        <w:tc>
          <w:tcPr>
            <w:tcW w:w="2268" w:type="dxa"/>
            <w:vAlign w:val="bottom"/>
          </w:tcPr>
          <w:p w:rsidR="006551B7" w:rsidRDefault="004627E8">
            <w:pPr>
              <w:pStyle w:val="Text1"/>
              <w:spacing w:before="0" w:after="0"/>
              <w:ind w:left="0"/>
              <w:rPr>
                <w:noProof/>
              </w:rPr>
            </w:pPr>
            <w:r>
              <w:rPr>
                <w:noProof/>
              </w:rPr>
              <w:t>DMZ</w:t>
            </w:r>
          </w:p>
        </w:tc>
        <w:tc>
          <w:tcPr>
            <w:tcW w:w="6095" w:type="dxa"/>
            <w:vAlign w:val="bottom"/>
          </w:tcPr>
          <w:p w:rsidR="006551B7" w:rsidRDefault="004627E8">
            <w:pPr>
              <w:pStyle w:val="Text1"/>
              <w:spacing w:before="0" w:after="0"/>
              <w:ind w:left="0"/>
              <w:rPr>
                <w:noProof/>
              </w:rPr>
            </w:pPr>
            <w:r>
              <w:rPr>
                <w:noProof/>
              </w:rPr>
              <w:t>Demilitarizirana cona</w:t>
            </w:r>
          </w:p>
        </w:tc>
      </w:tr>
      <w:tr w:rsidR="006551B7">
        <w:tc>
          <w:tcPr>
            <w:tcW w:w="2268" w:type="dxa"/>
            <w:vAlign w:val="bottom"/>
          </w:tcPr>
          <w:p w:rsidR="006551B7" w:rsidRDefault="004627E8">
            <w:pPr>
              <w:pStyle w:val="Text1"/>
              <w:spacing w:before="0" w:after="0"/>
              <w:ind w:left="0"/>
              <w:rPr>
                <w:noProof/>
              </w:rPr>
            </w:pPr>
            <w:r>
              <w:rPr>
                <w:noProof/>
              </w:rPr>
              <w:t>EK</w:t>
            </w:r>
          </w:p>
        </w:tc>
        <w:tc>
          <w:tcPr>
            <w:tcW w:w="6095" w:type="dxa"/>
            <w:vAlign w:val="bottom"/>
          </w:tcPr>
          <w:p w:rsidR="006551B7" w:rsidRDefault="004627E8">
            <w:pPr>
              <w:pStyle w:val="Text1"/>
              <w:spacing w:before="0" w:after="0"/>
              <w:ind w:left="0"/>
              <w:rPr>
                <w:noProof/>
              </w:rPr>
            </w:pPr>
            <w:r>
              <w:rPr>
                <w:noProof/>
              </w:rPr>
              <w:t>Evropska komisija</w:t>
            </w:r>
          </w:p>
        </w:tc>
      </w:tr>
      <w:tr w:rsidR="006551B7">
        <w:tc>
          <w:tcPr>
            <w:tcW w:w="2268" w:type="dxa"/>
            <w:vAlign w:val="bottom"/>
          </w:tcPr>
          <w:p w:rsidR="006551B7" w:rsidRDefault="004627E8">
            <w:pPr>
              <w:pStyle w:val="Text1"/>
              <w:spacing w:before="0" w:after="0"/>
              <w:ind w:left="0"/>
              <w:rPr>
                <w:noProof/>
              </w:rPr>
            </w:pPr>
            <w:r>
              <w:rPr>
                <w:noProof/>
              </w:rPr>
              <w:t>ESTAT</w:t>
            </w:r>
          </w:p>
        </w:tc>
        <w:tc>
          <w:tcPr>
            <w:tcW w:w="6095" w:type="dxa"/>
            <w:vAlign w:val="bottom"/>
          </w:tcPr>
          <w:p w:rsidR="006551B7" w:rsidRDefault="004627E8">
            <w:pPr>
              <w:pStyle w:val="Text1"/>
              <w:spacing w:before="0" w:after="0"/>
              <w:ind w:left="0"/>
              <w:rPr>
                <w:noProof/>
              </w:rPr>
            </w:pPr>
            <w:r>
              <w:rPr>
                <w:noProof/>
              </w:rPr>
              <w:t>Eurostat</w:t>
            </w:r>
          </w:p>
        </w:tc>
      </w:tr>
      <w:tr w:rsidR="006551B7">
        <w:tc>
          <w:tcPr>
            <w:tcW w:w="2268" w:type="dxa"/>
            <w:vAlign w:val="bottom"/>
          </w:tcPr>
          <w:p w:rsidR="006551B7" w:rsidRDefault="004627E8">
            <w:pPr>
              <w:pStyle w:val="Text1"/>
              <w:spacing w:before="0" w:after="0"/>
              <w:ind w:left="0"/>
              <w:rPr>
                <w:noProof/>
              </w:rPr>
            </w:pPr>
            <w:r>
              <w:rPr>
                <w:noProof/>
              </w:rPr>
              <w:t>FW</w:t>
            </w:r>
          </w:p>
        </w:tc>
        <w:tc>
          <w:tcPr>
            <w:tcW w:w="6095" w:type="dxa"/>
            <w:vAlign w:val="bottom"/>
          </w:tcPr>
          <w:p w:rsidR="006551B7" w:rsidRDefault="004627E8">
            <w:pPr>
              <w:pStyle w:val="Text1"/>
              <w:spacing w:before="0" w:after="0"/>
              <w:ind w:left="0"/>
              <w:rPr>
                <w:noProof/>
              </w:rPr>
            </w:pPr>
            <w:r>
              <w:rPr>
                <w:noProof/>
              </w:rPr>
              <w:t>Požarni zid</w:t>
            </w:r>
          </w:p>
        </w:tc>
      </w:tr>
      <w:tr w:rsidR="006551B7">
        <w:tc>
          <w:tcPr>
            <w:tcW w:w="2268" w:type="dxa"/>
            <w:vAlign w:val="bottom"/>
          </w:tcPr>
          <w:p w:rsidR="006551B7" w:rsidRDefault="004627E8">
            <w:pPr>
              <w:pStyle w:val="Text1"/>
              <w:spacing w:before="0" w:after="0"/>
              <w:ind w:left="0"/>
              <w:rPr>
                <w:noProof/>
              </w:rPr>
            </w:pPr>
            <w:r>
              <w:rPr>
                <w:noProof/>
              </w:rPr>
              <w:t>HPUX</w:t>
            </w:r>
          </w:p>
        </w:tc>
        <w:tc>
          <w:tcPr>
            <w:tcW w:w="6095" w:type="dxa"/>
            <w:vAlign w:val="bottom"/>
          </w:tcPr>
          <w:p w:rsidR="006551B7" w:rsidRDefault="004627E8">
            <w:pPr>
              <w:pStyle w:val="Text1"/>
              <w:spacing w:before="0" w:after="0"/>
              <w:ind w:left="0"/>
              <w:rPr>
                <w:noProof/>
              </w:rPr>
            </w:pPr>
            <w:r>
              <w:rPr>
                <w:noProof/>
              </w:rPr>
              <w:t>Operacijski sistem Hewlett Packard Unix</w:t>
            </w:r>
          </w:p>
        </w:tc>
      </w:tr>
      <w:tr w:rsidR="006551B7">
        <w:tc>
          <w:tcPr>
            <w:tcW w:w="2268" w:type="dxa"/>
            <w:vAlign w:val="bottom"/>
          </w:tcPr>
          <w:p w:rsidR="006551B7" w:rsidRDefault="004627E8">
            <w:pPr>
              <w:pStyle w:val="Text1"/>
              <w:spacing w:before="0" w:after="0"/>
              <w:ind w:left="0"/>
              <w:rPr>
                <w:noProof/>
              </w:rPr>
            </w:pPr>
            <w:r>
              <w:rPr>
                <w:noProof/>
              </w:rPr>
              <w:t>HTTP</w:t>
            </w:r>
          </w:p>
        </w:tc>
        <w:tc>
          <w:tcPr>
            <w:tcW w:w="6095" w:type="dxa"/>
            <w:vAlign w:val="bottom"/>
          </w:tcPr>
          <w:p w:rsidR="006551B7" w:rsidRDefault="004627E8">
            <w:pPr>
              <w:pStyle w:val="Text1"/>
              <w:spacing w:before="0" w:after="0"/>
              <w:ind w:left="0"/>
              <w:rPr>
                <w:noProof/>
              </w:rPr>
            </w:pPr>
            <w:r>
              <w:rPr>
                <w:noProof/>
              </w:rPr>
              <w:t>Protokol za prenos hiperbesedila</w:t>
            </w:r>
          </w:p>
        </w:tc>
      </w:tr>
      <w:tr w:rsidR="006551B7">
        <w:tc>
          <w:tcPr>
            <w:tcW w:w="2268" w:type="dxa"/>
            <w:vAlign w:val="bottom"/>
          </w:tcPr>
          <w:p w:rsidR="006551B7" w:rsidRDefault="004627E8">
            <w:pPr>
              <w:pStyle w:val="Text1"/>
              <w:spacing w:before="0" w:after="0"/>
              <w:ind w:left="0"/>
              <w:rPr>
                <w:noProof/>
              </w:rPr>
            </w:pPr>
            <w:r>
              <w:rPr>
                <w:noProof/>
              </w:rPr>
              <w:t>HTTPS</w:t>
            </w:r>
          </w:p>
        </w:tc>
        <w:tc>
          <w:tcPr>
            <w:tcW w:w="6095" w:type="dxa"/>
            <w:vAlign w:val="bottom"/>
          </w:tcPr>
          <w:p w:rsidR="006551B7" w:rsidRDefault="004627E8">
            <w:pPr>
              <w:pStyle w:val="Text1"/>
              <w:spacing w:before="0" w:after="0"/>
              <w:ind w:left="0"/>
              <w:rPr>
                <w:noProof/>
              </w:rPr>
            </w:pPr>
            <w:r>
              <w:rPr>
                <w:noProof/>
              </w:rPr>
              <w:t>Varni protokol za prenos hiperbesedila</w:t>
            </w:r>
          </w:p>
        </w:tc>
      </w:tr>
      <w:tr w:rsidR="006551B7">
        <w:tc>
          <w:tcPr>
            <w:tcW w:w="2268" w:type="dxa"/>
            <w:vAlign w:val="bottom"/>
          </w:tcPr>
          <w:p w:rsidR="006551B7" w:rsidRDefault="004627E8">
            <w:pPr>
              <w:pStyle w:val="Text1"/>
              <w:spacing w:before="0" w:after="0"/>
              <w:ind w:left="0"/>
              <w:rPr>
                <w:noProof/>
              </w:rPr>
            </w:pPr>
            <w:r>
              <w:rPr>
                <w:noProof/>
              </w:rPr>
              <w:t>HVAC</w:t>
            </w:r>
          </w:p>
        </w:tc>
        <w:tc>
          <w:tcPr>
            <w:tcW w:w="6095" w:type="dxa"/>
            <w:vAlign w:val="bottom"/>
          </w:tcPr>
          <w:p w:rsidR="006551B7" w:rsidRDefault="004627E8">
            <w:pPr>
              <w:pStyle w:val="Text1"/>
              <w:spacing w:before="0" w:after="0"/>
              <w:ind w:left="0"/>
              <w:rPr>
                <w:noProof/>
              </w:rPr>
            </w:pPr>
            <w:r>
              <w:rPr>
                <w:noProof/>
              </w:rPr>
              <w:t>Ogrevanje, prezračevanje in klimatizacija</w:t>
            </w:r>
          </w:p>
        </w:tc>
      </w:tr>
      <w:tr w:rsidR="006551B7">
        <w:tc>
          <w:tcPr>
            <w:tcW w:w="2268" w:type="dxa"/>
            <w:vAlign w:val="bottom"/>
          </w:tcPr>
          <w:p w:rsidR="006551B7" w:rsidRDefault="004627E8">
            <w:pPr>
              <w:pStyle w:val="Text1"/>
              <w:spacing w:before="0" w:after="0"/>
              <w:ind w:left="0"/>
              <w:rPr>
                <w:noProof/>
              </w:rPr>
            </w:pPr>
            <w:r>
              <w:rPr>
                <w:noProof/>
              </w:rPr>
              <w:t>HW</w:t>
            </w:r>
          </w:p>
        </w:tc>
        <w:tc>
          <w:tcPr>
            <w:tcW w:w="6095" w:type="dxa"/>
            <w:vAlign w:val="bottom"/>
          </w:tcPr>
          <w:p w:rsidR="006551B7" w:rsidRDefault="004627E8">
            <w:pPr>
              <w:pStyle w:val="Text1"/>
              <w:spacing w:before="0" w:after="0"/>
              <w:ind w:left="0"/>
              <w:rPr>
                <w:noProof/>
              </w:rPr>
            </w:pPr>
            <w:r>
              <w:rPr>
                <w:noProof/>
              </w:rPr>
              <w:t>Strojna oprema</w:t>
            </w:r>
          </w:p>
        </w:tc>
      </w:tr>
      <w:tr w:rsidR="006551B7">
        <w:tc>
          <w:tcPr>
            <w:tcW w:w="2268" w:type="dxa"/>
            <w:vAlign w:val="bottom"/>
          </w:tcPr>
          <w:p w:rsidR="006551B7" w:rsidRDefault="004627E8">
            <w:pPr>
              <w:pStyle w:val="Text1"/>
              <w:spacing w:before="0" w:after="0"/>
              <w:ind w:left="0"/>
              <w:rPr>
                <w:noProof/>
              </w:rPr>
            </w:pPr>
            <w:r>
              <w:rPr>
                <w:noProof/>
              </w:rPr>
              <w:t>IKT</w:t>
            </w:r>
          </w:p>
        </w:tc>
        <w:tc>
          <w:tcPr>
            <w:tcW w:w="6095" w:type="dxa"/>
            <w:vAlign w:val="bottom"/>
          </w:tcPr>
          <w:p w:rsidR="006551B7" w:rsidRDefault="004627E8">
            <w:pPr>
              <w:pStyle w:val="Text1"/>
              <w:spacing w:before="0" w:after="0"/>
              <w:ind w:left="0"/>
              <w:rPr>
                <w:noProof/>
              </w:rPr>
            </w:pPr>
            <w:r>
              <w:rPr>
                <w:noProof/>
              </w:rPr>
              <w:t>Informacijska in komunikacijska tehnologija</w:t>
            </w:r>
          </w:p>
        </w:tc>
      </w:tr>
      <w:tr w:rsidR="006551B7">
        <w:tc>
          <w:tcPr>
            <w:tcW w:w="2268" w:type="dxa"/>
            <w:vAlign w:val="bottom"/>
          </w:tcPr>
          <w:p w:rsidR="006551B7" w:rsidRDefault="004627E8">
            <w:pPr>
              <w:pStyle w:val="Text1"/>
              <w:spacing w:before="0" w:after="0"/>
              <w:ind w:left="0"/>
              <w:rPr>
                <w:noProof/>
              </w:rPr>
            </w:pPr>
            <w:r>
              <w:rPr>
                <w:noProof/>
              </w:rPr>
              <w:t>IMAP</w:t>
            </w:r>
          </w:p>
        </w:tc>
        <w:tc>
          <w:tcPr>
            <w:tcW w:w="6095" w:type="dxa"/>
            <w:vAlign w:val="bottom"/>
          </w:tcPr>
          <w:p w:rsidR="006551B7" w:rsidRDefault="004627E8">
            <w:pPr>
              <w:pStyle w:val="Text1"/>
              <w:spacing w:before="0" w:after="0"/>
              <w:ind w:left="0"/>
              <w:rPr>
                <w:noProof/>
              </w:rPr>
            </w:pPr>
            <w:r>
              <w:rPr>
                <w:noProof/>
              </w:rPr>
              <w:t>Protokol za sprejemanje e-pošte (Internet Message Access Protocol)</w:t>
            </w:r>
          </w:p>
        </w:tc>
      </w:tr>
      <w:tr w:rsidR="006551B7">
        <w:tc>
          <w:tcPr>
            <w:tcW w:w="2268" w:type="dxa"/>
            <w:vAlign w:val="bottom"/>
          </w:tcPr>
          <w:p w:rsidR="006551B7" w:rsidRDefault="004627E8">
            <w:pPr>
              <w:pStyle w:val="Text1"/>
              <w:spacing w:before="0" w:after="0"/>
              <w:ind w:left="0"/>
              <w:rPr>
                <w:noProof/>
              </w:rPr>
            </w:pPr>
            <w:r>
              <w:rPr>
                <w:noProof/>
              </w:rPr>
              <w:t>IP</w:t>
            </w:r>
          </w:p>
        </w:tc>
        <w:tc>
          <w:tcPr>
            <w:tcW w:w="6095" w:type="dxa"/>
            <w:vAlign w:val="bottom"/>
          </w:tcPr>
          <w:p w:rsidR="006551B7" w:rsidRDefault="004627E8">
            <w:pPr>
              <w:pStyle w:val="Text1"/>
              <w:spacing w:before="0" w:after="0"/>
              <w:ind w:left="0"/>
              <w:rPr>
                <w:noProof/>
              </w:rPr>
            </w:pPr>
            <w:r>
              <w:rPr>
                <w:noProof/>
              </w:rPr>
              <w:t>Internetni protokol</w:t>
            </w:r>
          </w:p>
        </w:tc>
      </w:tr>
      <w:tr w:rsidR="006551B7">
        <w:tc>
          <w:tcPr>
            <w:tcW w:w="2268" w:type="dxa"/>
            <w:vAlign w:val="bottom"/>
          </w:tcPr>
          <w:p w:rsidR="006551B7" w:rsidRDefault="004627E8">
            <w:pPr>
              <w:pStyle w:val="Text1"/>
              <w:spacing w:before="0" w:after="0"/>
              <w:ind w:left="0"/>
              <w:rPr>
                <w:noProof/>
              </w:rPr>
            </w:pPr>
            <w:r>
              <w:rPr>
                <w:noProof/>
              </w:rPr>
              <w:t>ITCAM</w:t>
            </w:r>
          </w:p>
        </w:tc>
        <w:tc>
          <w:tcPr>
            <w:tcW w:w="6095" w:type="dxa"/>
            <w:vAlign w:val="bottom"/>
          </w:tcPr>
          <w:p w:rsidR="006551B7" w:rsidRDefault="004627E8">
            <w:pPr>
              <w:pStyle w:val="Text1"/>
              <w:spacing w:before="0" w:after="0"/>
              <w:ind w:left="0"/>
              <w:rPr>
                <w:noProof/>
              </w:rPr>
            </w:pPr>
            <w:r>
              <w:rPr>
                <w:noProof/>
              </w:rPr>
              <w:t>Upravitelj kompozitnih aplikacij IBM Tivoli (IBM Tivoli Composite Application Manager)</w:t>
            </w:r>
          </w:p>
        </w:tc>
      </w:tr>
      <w:tr w:rsidR="006551B7">
        <w:tc>
          <w:tcPr>
            <w:tcW w:w="2268" w:type="dxa"/>
            <w:vAlign w:val="bottom"/>
          </w:tcPr>
          <w:p w:rsidR="006551B7" w:rsidRDefault="004627E8">
            <w:pPr>
              <w:pStyle w:val="Text1"/>
              <w:spacing w:before="0" w:after="0"/>
              <w:ind w:left="0"/>
              <w:rPr>
                <w:noProof/>
              </w:rPr>
            </w:pPr>
            <w:r>
              <w:rPr>
                <w:noProof/>
              </w:rPr>
              <w:t>ITS</w:t>
            </w:r>
          </w:p>
        </w:tc>
        <w:tc>
          <w:tcPr>
            <w:tcW w:w="6095" w:type="dxa"/>
            <w:vAlign w:val="bottom"/>
          </w:tcPr>
          <w:p w:rsidR="006551B7" w:rsidRDefault="004627E8">
            <w:pPr>
              <w:pStyle w:val="Text1"/>
              <w:spacing w:before="0" w:after="0"/>
              <w:ind w:left="0"/>
              <w:rPr>
                <w:noProof/>
              </w:rPr>
            </w:pPr>
            <w:r>
              <w:rPr>
                <w:noProof/>
              </w:rPr>
              <w:t>Storitve IT</w:t>
            </w:r>
          </w:p>
        </w:tc>
      </w:tr>
      <w:tr w:rsidR="006551B7">
        <w:tc>
          <w:tcPr>
            <w:tcW w:w="2268" w:type="dxa"/>
            <w:vAlign w:val="bottom"/>
          </w:tcPr>
          <w:p w:rsidR="006551B7" w:rsidRDefault="004627E8">
            <w:pPr>
              <w:pStyle w:val="Text1"/>
              <w:spacing w:before="0" w:after="0"/>
              <w:ind w:left="0"/>
              <w:rPr>
                <w:noProof/>
              </w:rPr>
            </w:pPr>
            <w:r>
              <w:rPr>
                <w:noProof/>
              </w:rPr>
              <w:t>ITSM</w:t>
            </w:r>
          </w:p>
        </w:tc>
        <w:tc>
          <w:tcPr>
            <w:tcW w:w="6095" w:type="dxa"/>
            <w:vAlign w:val="bottom"/>
          </w:tcPr>
          <w:p w:rsidR="006551B7" w:rsidRDefault="004627E8">
            <w:pPr>
              <w:pStyle w:val="Text1"/>
              <w:spacing w:before="0" w:after="0"/>
              <w:ind w:left="0"/>
              <w:rPr>
                <w:noProof/>
              </w:rPr>
            </w:pPr>
            <w:r>
              <w:rPr>
                <w:noProof/>
              </w:rPr>
              <w:t>Upravljanje storitev IT</w:t>
            </w:r>
          </w:p>
        </w:tc>
      </w:tr>
      <w:tr w:rsidR="006551B7">
        <w:tc>
          <w:tcPr>
            <w:tcW w:w="2268" w:type="dxa"/>
            <w:vAlign w:val="bottom"/>
          </w:tcPr>
          <w:p w:rsidR="006551B7" w:rsidRDefault="004627E8">
            <w:pPr>
              <w:pStyle w:val="Text1"/>
              <w:spacing w:before="0" w:after="0"/>
              <w:ind w:left="0"/>
              <w:rPr>
                <w:noProof/>
              </w:rPr>
            </w:pPr>
            <w:r>
              <w:rPr>
                <w:noProof/>
              </w:rPr>
              <w:t>LAN</w:t>
            </w:r>
          </w:p>
        </w:tc>
        <w:tc>
          <w:tcPr>
            <w:tcW w:w="6095" w:type="dxa"/>
            <w:vAlign w:val="bottom"/>
          </w:tcPr>
          <w:p w:rsidR="006551B7" w:rsidRDefault="004627E8">
            <w:pPr>
              <w:pStyle w:val="Text1"/>
              <w:spacing w:before="0" w:after="0"/>
              <w:ind w:left="0"/>
              <w:rPr>
                <w:noProof/>
              </w:rPr>
            </w:pPr>
            <w:r>
              <w:rPr>
                <w:noProof/>
              </w:rPr>
              <w:t>Lokalno omrežje (Local Area Network)</w:t>
            </w:r>
          </w:p>
        </w:tc>
      </w:tr>
      <w:tr w:rsidR="006551B7">
        <w:tc>
          <w:tcPr>
            <w:tcW w:w="2268" w:type="dxa"/>
            <w:vAlign w:val="bottom"/>
          </w:tcPr>
          <w:p w:rsidR="006551B7" w:rsidRDefault="004627E8">
            <w:pPr>
              <w:pStyle w:val="Text1"/>
              <w:spacing w:before="0" w:after="0"/>
              <w:ind w:left="0"/>
              <w:rPr>
                <w:noProof/>
              </w:rPr>
            </w:pPr>
            <w:r>
              <w:rPr>
                <w:noProof/>
              </w:rPr>
              <w:t>LSA</w:t>
            </w:r>
          </w:p>
        </w:tc>
        <w:tc>
          <w:tcPr>
            <w:tcW w:w="6095" w:type="dxa"/>
            <w:vAlign w:val="bottom"/>
          </w:tcPr>
          <w:p w:rsidR="006551B7" w:rsidRDefault="004627E8">
            <w:pPr>
              <w:pStyle w:val="Text1"/>
              <w:spacing w:before="0" w:after="0"/>
              <w:ind w:left="0"/>
              <w:rPr>
                <w:noProof/>
              </w:rPr>
            </w:pPr>
            <w:r>
              <w:rPr>
                <w:noProof/>
              </w:rPr>
              <w:t>Skrbnik lokalnega sistema (Local System Administrator)</w:t>
            </w:r>
          </w:p>
        </w:tc>
      </w:tr>
      <w:tr w:rsidR="006551B7">
        <w:tc>
          <w:tcPr>
            <w:tcW w:w="2268" w:type="dxa"/>
            <w:vAlign w:val="bottom"/>
          </w:tcPr>
          <w:p w:rsidR="006551B7" w:rsidRDefault="004627E8">
            <w:pPr>
              <w:pStyle w:val="Text1"/>
              <w:spacing w:before="0" w:after="0"/>
              <w:ind w:left="0"/>
              <w:rPr>
                <w:noProof/>
              </w:rPr>
            </w:pPr>
            <w:r>
              <w:rPr>
                <w:noProof/>
              </w:rPr>
              <w:t>MQ</w:t>
            </w:r>
          </w:p>
        </w:tc>
        <w:tc>
          <w:tcPr>
            <w:tcW w:w="6095" w:type="dxa"/>
            <w:vAlign w:val="bottom"/>
          </w:tcPr>
          <w:p w:rsidR="006551B7" w:rsidRDefault="004627E8">
            <w:pPr>
              <w:pStyle w:val="Text1"/>
              <w:spacing w:before="0" w:after="0"/>
              <w:ind w:left="0"/>
              <w:rPr>
                <w:noProof/>
              </w:rPr>
            </w:pPr>
            <w:r>
              <w:rPr>
                <w:noProof/>
              </w:rPr>
              <w:t>Serija IBM MQ Series SW</w:t>
            </w:r>
          </w:p>
        </w:tc>
      </w:tr>
      <w:tr w:rsidR="006551B7">
        <w:tc>
          <w:tcPr>
            <w:tcW w:w="2268" w:type="dxa"/>
            <w:vAlign w:val="bottom"/>
          </w:tcPr>
          <w:p w:rsidR="006551B7" w:rsidRDefault="004627E8">
            <w:pPr>
              <w:pStyle w:val="Text1"/>
              <w:spacing w:before="0" w:after="0"/>
              <w:ind w:left="0"/>
              <w:rPr>
                <w:noProof/>
              </w:rPr>
            </w:pPr>
            <w:r>
              <w:rPr>
                <w:noProof/>
              </w:rPr>
              <w:t>MVS</w:t>
            </w:r>
          </w:p>
        </w:tc>
        <w:tc>
          <w:tcPr>
            <w:tcW w:w="6095" w:type="dxa"/>
            <w:vAlign w:val="bottom"/>
          </w:tcPr>
          <w:p w:rsidR="006551B7" w:rsidRDefault="004627E8">
            <w:pPr>
              <w:pStyle w:val="Text1"/>
              <w:spacing w:before="0" w:after="0"/>
              <w:ind w:left="0"/>
              <w:rPr>
                <w:noProof/>
              </w:rPr>
            </w:pPr>
            <w:r>
              <w:rPr>
                <w:noProof/>
              </w:rPr>
              <w:t>Večkratni navidezni pomnilnik (Multiple Virtual Storage)</w:t>
            </w:r>
          </w:p>
        </w:tc>
      </w:tr>
      <w:tr w:rsidR="006551B7">
        <w:tc>
          <w:tcPr>
            <w:tcW w:w="2268" w:type="dxa"/>
            <w:vAlign w:val="bottom"/>
          </w:tcPr>
          <w:p w:rsidR="006551B7" w:rsidRDefault="004627E8">
            <w:pPr>
              <w:pStyle w:val="Text1"/>
              <w:spacing w:before="0" w:after="0"/>
              <w:ind w:left="0"/>
              <w:rPr>
                <w:noProof/>
              </w:rPr>
            </w:pPr>
            <w:r>
              <w:rPr>
                <w:noProof/>
              </w:rPr>
              <w:t>n. r.</w:t>
            </w:r>
          </w:p>
        </w:tc>
        <w:tc>
          <w:tcPr>
            <w:tcW w:w="6095" w:type="dxa"/>
            <w:vAlign w:val="bottom"/>
          </w:tcPr>
          <w:p w:rsidR="006551B7" w:rsidRDefault="004627E8">
            <w:pPr>
              <w:pStyle w:val="Text1"/>
              <w:spacing w:before="0" w:after="0"/>
              <w:ind w:left="0"/>
              <w:rPr>
                <w:noProof/>
              </w:rPr>
            </w:pPr>
            <w:r>
              <w:rPr>
                <w:noProof/>
              </w:rPr>
              <w:t>Ni relevantno</w:t>
            </w:r>
          </w:p>
        </w:tc>
      </w:tr>
      <w:tr w:rsidR="006551B7">
        <w:tc>
          <w:tcPr>
            <w:tcW w:w="2268" w:type="dxa"/>
            <w:vAlign w:val="bottom"/>
          </w:tcPr>
          <w:p w:rsidR="006551B7" w:rsidRDefault="004627E8">
            <w:pPr>
              <w:pStyle w:val="Text1"/>
              <w:spacing w:before="0" w:after="0"/>
              <w:ind w:left="0"/>
              <w:rPr>
                <w:noProof/>
              </w:rPr>
            </w:pPr>
            <w:r>
              <w:rPr>
                <w:noProof/>
              </w:rPr>
              <w:t>NA</w:t>
            </w:r>
          </w:p>
        </w:tc>
        <w:tc>
          <w:tcPr>
            <w:tcW w:w="6095" w:type="dxa"/>
            <w:vAlign w:val="bottom"/>
          </w:tcPr>
          <w:p w:rsidR="006551B7" w:rsidRDefault="004627E8">
            <w:pPr>
              <w:pStyle w:val="Text1"/>
              <w:spacing w:before="0" w:after="0"/>
              <w:ind w:left="0"/>
              <w:rPr>
                <w:noProof/>
              </w:rPr>
            </w:pPr>
            <w:r>
              <w:rPr>
                <w:noProof/>
              </w:rPr>
              <w:t>Državna uprava</w:t>
            </w:r>
          </w:p>
        </w:tc>
      </w:tr>
      <w:tr w:rsidR="006551B7">
        <w:tc>
          <w:tcPr>
            <w:tcW w:w="2268" w:type="dxa"/>
            <w:vAlign w:val="bottom"/>
          </w:tcPr>
          <w:p w:rsidR="006551B7" w:rsidRDefault="004627E8">
            <w:pPr>
              <w:pStyle w:val="Text1"/>
              <w:spacing w:before="0" w:after="0"/>
              <w:ind w:left="0"/>
              <w:rPr>
                <w:noProof/>
              </w:rPr>
            </w:pPr>
            <w:r>
              <w:rPr>
                <w:noProof/>
              </w:rPr>
              <w:t>NDI</w:t>
            </w:r>
          </w:p>
        </w:tc>
        <w:tc>
          <w:tcPr>
            <w:tcW w:w="6095" w:type="dxa"/>
            <w:vAlign w:val="bottom"/>
          </w:tcPr>
          <w:p w:rsidR="006551B7" w:rsidRDefault="004627E8">
            <w:pPr>
              <w:pStyle w:val="Text1"/>
              <w:spacing w:before="0" w:after="0"/>
              <w:ind w:left="0"/>
              <w:rPr>
                <w:noProof/>
              </w:rPr>
            </w:pPr>
            <w:r>
              <w:rPr>
                <w:noProof/>
              </w:rPr>
              <w:t>Vmesnik za nacionalno domeno (National Domain Interface)</w:t>
            </w:r>
          </w:p>
        </w:tc>
      </w:tr>
      <w:tr w:rsidR="006551B7">
        <w:tc>
          <w:tcPr>
            <w:tcW w:w="2268" w:type="dxa"/>
            <w:vAlign w:val="bottom"/>
          </w:tcPr>
          <w:p w:rsidR="006551B7" w:rsidRDefault="004627E8">
            <w:pPr>
              <w:pStyle w:val="Text1"/>
              <w:spacing w:before="0" w:after="0"/>
              <w:ind w:left="0"/>
              <w:rPr>
                <w:noProof/>
              </w:rPr>
            </w:pPr>
            <w:r>
              <w:rPr>
                <w:noProof/>
              </w:rPr>
              <w:t>OBS</w:t>
            </w:r>
          </w:p>
        </w:tc>
        <w:tc>
          <w:tcPr>
            <w:tcW w:w="6095" w:type="dxa"/>
            <w:vAlign w:val="bottom"/>
          </w:tcPr>
          <w:p w:rsidR="006551B7" w:rsidRDefault="004627E8">
            <w:pPr>
              <w:pStyle w:val="Text1"/>
              <w:spacing w:before="0" w:after="0"/>
              <w:ind w:left="0"/>
              <w:rPr>
                <w:noProof/>
              </w:rPr>
            </w:pPr>
            <w:r>
              <w:rPr>
                <w:noProof/>
              </w:rPr>
              <w:t>Orange Business Services</w:t>
            </w:r>
          </w:p>
        </w:tc>
      </w:tr>
      <w:tr w:rsidR="006551B7">
        <w:tc>
          <w:tcPr>
            <w:tcW w:w="2268" w:type="dxa"/>
            <w:vAlign w:val="bottom"/>
          </w:tcPr>
          <w:p w:rsidR="006551B7" w:rsidRDefault="004627E8">
            <w:pPr>
              <w:pStyle w:val="Text1"/>
              <w:spacing w:before="0" w:after="0"/>
              <w:ind w:left="0"/>
              <w:rPr>
                <w:noProof/>
              </w:rPr>
            </w:pPr>
            <w:r>
              <w:rPr>
                <w:noProof/>
              </w:rPr>
              <w:t>OLA</w:t>
            </w:r>
          </w:p>
        </w:tc>
        <w:tc>
          <w:tcPr>
            <w:tcW w:w="6095" w:type="dxa"/>
            <w:vAlign w:val="bottom"/>
          </w:tcPr>
          <w:p w:rsidR="006551B7" w:rsidRDefault="004627E8">
            <w:pPr>
              <w:pStyle w:val="Text1"/>
              <w:spacing w:before="0" w:after="0"/>
              <w:ind w:left="0"/>
              <w:rPr>
                <w:noProof/>
              </w:rPr>
            </w:pPr>
            <w:r>
              <w:rPr>
                <w:noProof/>
              </w:rPr>
              <w:t>Sporazum o operativni ravni (Operational Level Agreement)</w:t>
            </w:r>
          </w:p>
        </w:tc>
      </w:tr>
      <w:tr w:rsidR="006551B7">
        <w:tc>
          <w:tcPr>
            <w:tcW w:w="2268" w:type="dxa"/>
            <w:vAlign w:val="bottom"/>
          </w:tcPr>
          <w:p w:rsidR="006551B7" w:rsidRDefault="004627E8">
            <w:pPr>
              <w:pStyle w:val="Text1"/>
              <w:spacing w:before="0" w:after="0"/>
              <w:ind w:left="0"/>
              <w:rPr>
                <w:noProof/>
              </w:rPr>
            </w:pPr>
            <w:r>
              <w:rPr>
                <w:noProof/>
              </w:rPr>
              <w:t>OLAF</w:t>
            </w:r>
          </w:p>
        </w:tc>
        <w:tc>
          <w:tcPr>
            <w:tcW w:w="6095" w:type="dxa"/>
            <w:vAlign w:val="bottom"/>
          </w:tcPr>
          <w:p w:rsidR="006551B7" w:rsidRDefault="004627E8">
            <w:pPr>
              <w:pStyle w:val="Text1"/>
              <w:spacing w:before="0" w:after="0"/>
              <w:ind w:left="0"/>
              <w:rPr>
                <w:noProof/>
              </w:rPr>
            </w:pPr>
            <w:r>
              <w:rPr>
                <w:noProof/>
              </w:rPr>
              <w:t>Office de Lutte Anti-Fraude</w:t>
            </w:r>
          </w:p>
        </w:tc>
      </w:tr>
      <w:tr w:rsidR="006551B7">
        <w:tc>
          <w:tcPr>
            <w:tcW w:w="2268" w:type="dxa"/>
            <w:vAlign w:val="bottom"/>
          </w:tcPr>
          <w:p w:rsidR="006551B7" w:rsidRDefault="004627E8">
            <w:pPr>
              <w:pStyle w:val="Text1"/>
              <w:spacing w:before="0" w:after="0"/>
              <w:ind w:left="0"/>
              <w:rPr>
                <w:noProof/>
              </w:rPr>
            </w:pPr>
            <w:r>
              <w:rPr>
                <w:noProof/>
              </w:rPr>
              <w:t>OS</w:t>
            </w:r>
          </w:p>
        </w:tc>
        <w:tc>
          <w:tcPr>
            <w:tcW w:w="6095" w:type="dxa"/>
            <w:vAlign w:val="bottom"/>
          </w:tcPr>
          <w:p w:rsidR="006551B7" w:rsidRDefault="004627E8">
            <w:pPr>
              <w:pStyle w:val="Text1"/>
              <w:spacing w:before="0" w:after="0"/>
              <w:ind w:left="0"/>
              <w:rPr>
                <w:noProof/>
              </w:rPr>
            </w:pPr>
            <w:r>
              <w:rPr>
                <w:noProof/>
              </w:rPr>
              <w:t>Operacijski sistem</w:t>
            </w:r>
          </w:p>
        </w:tc>
      </w:tr>
      <w:tr w:rsidR="006551B7">
        <w:tc>
          <w:tcPr>
            <w:tcW w:w="2268" w:type="dxa"/>
            <w:vAlign w:val="bottom"/>
          </w:tcPr>
          <w:p w:rsidR="006551B7" w:rsidRDefault="004627E8">
            <w:pPr>
              <w:pStyle w:val="Text1"/>
              <w:spacing w:before="0" w:after="0"/>
              <w:ind w:left="0"/>
              <w:rPr>
                <w:noProof/>
              </w:rPr>
            </w:pPr>
            <w:r>
              <w:rPr>
                <w:noProof/>
              </w:rPr>
              <w:t>OSP</w:t>
            </w:r>
          </w:p>
        </w:tc>
        <w:tc>
          <w:tcPr>
            <w:tcW w:w="6095" w:type="dxa"/>
            <w:vAlign w:val="bottom"/>
          </w:tcPr>
          <w:p w:rsidR="006551B7" w:rsidRDefault="004627E8">
            <w:pPr>
              <w:pStyle w:val="Text1"/>
              <w:spacing w:before="0" w:after="0"/>
              <w:ind w:left="0"/>
              <w:rPr>
                <w:noProof/>
              </w:rPr>
            </w:pPr>
            <w:r>
              <w:rPr>
                <w:noProof/>
              </w:rPr>
              <w:t>Obveznost ponudnika storitev</w:t>
            </w:r>
          </w:p>
        </w:tc>
      </w:tr>
      <w:tr w:rsidR="006551B7">
        <w:tc>
          <w:tcPr>
            <w:tcW w:w="2268" w:type="dxa"/>
            <w:vAlign w:val="bottom"/>
          </w:tcPr>
          <w:p w:rsidR="006551B7" w:rsidRDefault="004627E8">
            <w:pPr>
              <w:pStyle w:val="Text1"/>
              <w:spacing w:before="0" w:after="0"/>
              <w:ind w:left="0"/>
              <w:rPr>
                <w:noProof/>
              </w:rPr>
            </w:pPr>
            <w:r>
              <w:rPr>
                <w:noProof/>
              </w:rPr>
              <w:t>OSR</w:t>
            </w:r>
          </w:p>
        </w:tc>
        <w:tc>
          <w:tcPr>
            <w:tcW w:w="6095" w:type="dxa"/>
            <w:vAlign w:val="bottom"/>
          </w:tcPr>
          <w:p w:rsidR="006551B7" w:rsidRDefault="004627E8">
            <w:pPr>
              <w:pStyle w:val="Text1"/>
              <w:spacing w:before="0" w:after="0"/>
              <w:ind w:left="0"/>
              <w:rPr>
                <w:noProof/>
              </w:rPr>
            </w:pPr>
            <w:r>
              <w:rPr>
                <w:noProof/>
              </w:rPr>
              <w:t>Obveznost naročnikov storitev</w:t>
            </w:r>
          </w:p>
        </w:tc>
      </w:tr>
      <w:tr w:rsidR="006551B7">
        <w:tc>
          <w:tcPr>
            <w:tcW w:w="2268" w:type="dxa"/>
            <w:vAlign w:val="bottom"/>
          </w:tcPr>
          <w:p w:rsidR="006551B7" w:rsidRDefault="004627E8">
            <w:pPr>
              <w:pStyle w:val="Text1"/>
              <w:spacing w:before="0" w:after="0"/>
              <w:ind w:left="0"/>
              <w:rPr>
                <w:noProof/>
              </w:rPr>
            </w:pPr>
            <w:r>
              <w:rPr>
                <w:noProof/>
              </w:rPr>
              <w:t>POL</w:t>
            </w:r>
          </w:p>
        </w:tc>
        <w:tc>
          <w:tcPr>
            <w:tcW w:w="6095" w:type="dxa"/>
            <w:vAlign w:val="bottom"/>
          </w:tcPr>
          <w:p w:rsidR="006551B7" w:rsidRDefault="004627E8">
            <w:pPr>
              <w:pStyle w:val="Text1"/>
              <w:spacing w:before="0" w:after="0"/>
              <w:ind w:left="0"/>
              <w:rPr>
                <w:noProof/>
              </w:rPr>
            </w:pPr>
            <w:r>
              <w:rPr>
                <w:noProof/>
              </w:rPr>
              <w:t>Politika</w:t>
            </w:r>
          </w:p>
        </w:tc>
      </w:tr>
      <w:tr w:rsidR="006551B7">
        <w:tc>
          <w:tcPr>
            <w:tcW w:w="2268" w:type="dxa"/>
            <w:vAlign w:val="bottom"/>
          </w:tcPr>
          <w:p w:rsidR="006551B7" w:rsidRDefault="004627E8">
            <w:pPr>
              <w:pStyle w:val="Text1"/>
              <w:spacing w:before="0" w:after="0"/>
              <w:ind w:left="0"/>
              <w:rPr>
                <w:noProof/>
              </w:rPr>
            </w:pPr>
            <w:r>
              <w:rPr>
                <w:noProof/>
              </w:rPr>
              <w:t>PoP</w:t>
            </w:r>
          </w:p>
        </w:tc>
        <w:tc>
          <w:tcPr>
            <w:tcW w:w="6095" w:type="dxa"/>
            <w:vAlign w:val="bottom"/>
          </w:tcPr>
          <w:p w:rsidR="006551B7" w:rsidRDefault="004627E8">
            <w:pPr>
              <w:pStyle w:val="Text1"/>
              <w:spacing w:before="0" w:after="0"/>
              <w:ind w:left="0"/>
              <w:rPr>
                <w:noProof/>
              </w:rPr>
            </w:pPr>
            <w:r>
              <w:rPr>
                <w:noProof/>
              </w:rPr>
              <w:t>Vstopna točka (Point of Presence)</w:t>
            </w:r>
          </w:p>
        </w:tc>
      </w:tr>
      <w:tr w:rsidR="006551B7">
        <w:tc>
          <w:tcPr>
            <w:tcW w:w="2268" w:type="dxa"/>
            <w:vAlign w:val="bottom"/>
          </w:tcPr>
          <w:p w:rsidR="006551B7" w:rsidRDefault="004627E8">
            <w:pPr>
              <w:pStyle w:val="Text1"/>
              <w:spacing w:before="0" w:after="0"/>
              <w:ind w:left="0"/>
              <w:rPr>
                <w:noProof/>
              </w:rPr>
            </w:pPr>
            <w:r>
              <w:rPr>
                <w:noProof/>
              </w:rPr>
              <w:t>PRG</w:t>
            </w:r>
          </w:p>
        </w:tc>
        <w:tc>
          <w:tcPr>
            <w:tcW w:w="6095" w:type="dxa"/>
            <w:vAlign w:val="bottom"/>
          </w:tcPr>
          <w:p w:rsidR="006551B7" w:rsidRDefault="004627E8">
            <w:pPr>
              <w:pStyle w:val="Text1"/>
              <w:spacing w:before="0" w:after="0"/>
              <w:ind w:left="0"/>
              <w:rPr>
                <w:noProof/>
              </w:rPr>
            </w:pPr>
            <w:r>
              <w:rPr>
                <w:noProof/>
              </w:rPr>
              <w:t>Program</w:t>
            </w:r>
          </w:p>
        </w:tc>
      </w:tr>
      <w:tr w:rsidR="006551B7">
        <w:tc>
          <w:tcPr>
            <w:tcW w:w="2268" w:type="dxa"/>
            <w:vAlign w:val="bottom"/>
          </w:tcPr>
          <w:p w:rsidR="006551B7" w:rsidRDefault="004627E8">
            <w:pPr>
              <w:pStyle w:val="Text1"/>
              <w:spacing w:before="0" w:after="0"/>
              <w:ind w:left="0"/>
              <w:rPr>
                <w:noProof/>
              </w:rPr>
            </w:pPr>
            <w:r>
              <w:rPr>
                <w:noProof/>
              </w:rPr>
              <w:t>QA</w:t>
            </w:r>
          </w:p>
        </w:tc>
        <w:tc>
          <w:tcPr>
            <w:tcW w:w="6095" w:type="dxa"/>
            <w:vAlign w:val="bottom"/>
          </w:tcPr>
          <w:p w:rsidR="006551B7" w:rsidRDefault="004627E8">
            <w:pPr>
              <w:pStyle w:val="Text1"/>
              <w:spacing w:before="0" w:after="0"/>
              <w:ind w:left="0"/>
              <w:rPr>
                <w:noProof/>
              </w:rPr>
            </w:pPr>
            <w:r>
              <w:rPr>
                <w:noProof/>
              </w:rPr>
              <w:t>Zagotavljanje kakovosti</w:t>
            </w:r>
          </w:p>
        </w:tc>
      </w:tr>
      <w:tr w:rsidR="006551B7">
        <w:tc>
          <w:tcPr>
            <w:tcW w:w="2268" w:type="dxa"/>
            <w:vAlign w:val="bottom"/>
          </w:tcPr>
          <w:p w:rsidR="006551B7" w:rsidRDefault="004627E8">
            <w:pPr>
              <w:pStyle w:val="Text1"/>
              <w:spacing w:before="0" w:after="0"/>
              <w:ind w:left="0"/>
              <w:rPr>
                <w:noProof/>
              </w:rPr>
            </w:pPr>
            <w:r>
              <w:rPr>
                <w:noProof/>
              </w:rPr>
              <w:t>RAP</w:t>
            </w:r>
          </w:p>
        </w:tc>
        <w:tc>
          <w:tcPr>
            <w:tcW w:w="6095" w:type="dxa"/>
            <w:vAlign w:val="bottom"/>
          </w:tcPr>
          <w:p w:rsidR="006551B7" w:rsidRDefault="004627E8">
            <w:pPr>
              <w:pStyle w:val="Text1"/>
              <w:spacing w:before="0" w:after="0"/>
              <w:ind w:left="0"/>
              <w:rPr>
                <w:noProof/>
              </w:rPr>
            </w:pPr>
            <w:r>
              <w:rPr>
                <w:noProof/>
              </w:rPr>
              <w:t>Oddaljeni posredniški vmesnik API (Remote API Proxy)</w:t>
            </w:r>
          </w:p>
        </w:tc>
      </w:tr>
      <w:tr w:rsidR="006551B7">
        <w:tc>
          <w:tcPr>
            <w:tcW w:w="2268" w:type="dxa"/>
            <w:vAlign w:val="bottom"/>
          </w:tcPr>
          <w:p w:rsidR="006551B7" w:rsidRDefault="004627E8">
            <w:pPr>
              <w:pStyle w:val="Text1"/>
              <w:spacing w:before="0" w:after="0"/>
              <w:ind w:left="0"/>
              <w:rPr>
                <w:noProof/>
              </w:rPr>
            </w:pPr>
            <w:r>
              <w:rPr>
                <w:noProof/>
              </w:rPr>
              <w:t>RD</w:t>
            </w:r>
          </w:p>
        </w:tc>
        <w:tc>
          <w:tcPr>
            <w:tcW w:w="6095" w:type="dxa"/>
            <w:vAlign w:val="bottom"/>
          </w:tcPr>
          <w:p w:rsidR="006551B7" w:rsidRDefault="004627E8">
            <w:pPr>
              <w:pStyle w:val="Text1"/>
              <w:spacing w:before="0" w:after="0"/>
              <w:ind w:left="0"/>
              <w:rPr>
                <w:noProof/>
              </w:rPr>
            </w:pPr>
            <w:r>
              <w:rPr>
                <w:noProof/>
              </w:rPr>
              <w:t>Referenčni dokument</w:t>
            </w:r>
          </w:p>
        </w:tc>
      </w:tr>
      <w:tr w:rsidR="006551B7">
        <w:tc>
          <w:tcPr>
            <w:tcW w:w="2268" w:type="dxa"/>
            <w:vAlign w:val="bottom"/>
          </w:tcPr>
          <w:p w:rsidR="006551B7" w:rsidRDefault="004627E8">
            <w:pPr>
              <w:pStyle w:val="Text1"/>
              <w:spacing w:before="0" w:after="0"/>
              <w:ind w:left="0"/>
              <w:rPr>
                <w:noProof/>
              </w:rPr>
            </w:pPr>
            <w:r>
              <w:rPr>
                <w:noProof/>
              </w:rPr>
              <w:t>REV</w:t>
            </w:r>
          </w:p>
        </w:tc>
        <w:tc>
          <w:tcPr>
            <w:tcW w:w="6095" w:type="dxa"/>
            <w:vAlign w:val="bottom"/>
          </w:tcPr>
          <w:p w:rsidR="006551B7" w:rsidRDefault="004627E8">
            <w:pPr>
              <w:pStyle w:val="Text1"/>
              <w:spacing w:before="0" w:after="0"/>
              <w:ind w:left="0"/>
              <w:rPr>
                <w:noProof/>
              </w:rPr>
            </w:pPr>
            <w:r>
              <w:rPr>
                <w:noProof/>
              </w:rPr>
              <w:t>Revizija</w:t>
            </w:r>
          </w:p>
        </w:tc>
      </w:tr>
      <w:tr w:rsidR="006551B7">
        <w:tc>
          <w:tcPr>
            <w:tcW w:w="2268" w:type="dxa"/>
            <w:vAlign w:val="bottom"/>
          </w:tcPr>
          <w:p w:rsidR="006551B7" w:rsidRDefault="004627E8">
            <w:pPr>
              <w:pStyle w:val="Text1"/>
              <w:spacing w:before="0" w:after="0"/>
              <w:ind w:left="0"/>
              <w:rPr>
                <w:noProof/>
              </w:rPr>
            </w:pPr>
            <w:r>
              <w:rPr>
                <w:noProof/>
              </w:rPr>
              <w:t>RFA</w:t>
            </w:r>
          </w:p>
        </w:tc>
        <w:tc>
          <w:tcPr>
            <w:tcW w:w="6095" w:type="dxa"/>
            <w:vAlign w:val="bottom"/>
          </w:tcPr>
          <w:p w:rsidR="006551B7" w:rsidRDefault="004627E8">
            <w:pPr>
              <w:pStyle w:val="Text1"/>
              <w:spacing w:before="0" w:after="0"/>
              <w:ind w:left="0"/>
              <w:rPr>
                <w:noProof/>
              </w:rPr>
            </w:pPr>
            <w:r>
              <w:rPr>
                <w:noProof/>
              </w:rPr>
              <w:t>Zahteva za ukrepanje</w:t>
            </w:r>
          </w:p>
        </w:tc>
      </w:tr>
      <w:tr w:rsidR="006551B7">
        <w:tc>
          <w:tcPr>
            <w:tcW w:w="2268" w:type="dxa"/>
            <w:vAlign w:val="bottom"/>
          </w:tcPr>
          <w:p w:rsidR="006551B7" w:rsidRDefault="004627E8">
            <w:pPr>
              <w:pStyle w:val="Text1"/>
              <w:spacing w:before="0" w:after="0"/>
              <w:ind w:left="0"/>
              <w:rPr>
                <w:noProof/>
              </w:rPr>
            </w:pPr>
            <w:r>
              <w:rPr>
                <w:noProof/>
              </w:rPr>
              <w:t>ROL</w:t>
            </w:r>
          </w:p>
        </w:tc>
        <w:tc>
          <w:tcPr>
            <w:tcW w:w="6095" w:type="dxa"/>
            <w:vAlign w:val="bottom"/>
          </w:tcPr>
          <w:p w:rsidR="006551B7" w:rsidRDefault="004627E8">
            <w:pPr>
              <w:pStyle w:val="Text1"/>
              <w:spacing w:before="0" w:after="0"/>
              <w:ind w:left="0"/>
              <w:rPr>
                <w:noProof/>
              </w:rPr>
            </w:pPr>
            <w:r>
              <w:rPr>
                <w:noProof/>
              </w:rPr>
              <w:t>Vloga</w:t>
            </w:r>
          </w:p>
        </w:tc>
      </w:tr>
      <w:tr w:rsidR="006551B7">
        <w:tc>
          <w:tcPr>
            <w:tcW w:w="2268" w:type="dxa"/>
            <w:vAlign w:val="bottom"/>
          </w:tcPr>
          <w:p w:rsidR="006551B7" w:rsidRDefault="004627E8">
            <w:pPr>
              <w:pStyle w:val="Text1"/>
              <w:spacing w:before="0" w:after="0"/>
              <w:ind w:left="0"/>
              <w:rPr>
                <w:noProof/>
              </w:rPr>
            </w:pPr>
            <w:r>
              <w:rPr>
                <w:noProof/>
              </w:rPr>
              <w:t>SFI</w:t>
            </w:r>
          </w:p>
        </w:tc>
        <w:tc>
          <w:tcPr>
            <w:tcW w:w="6095" w:type="dxa"/>
            <w:vAlign w:val="bottom"/>
          </w:tcPr>
          <w:p w:rsidR="006551B7" w:rsidRDefault="004627E8">
            <w:pPr>
              <w:pStyle w:val="Text1"/>
              <w:spacing w:before="0" w:after="0"/>
              <w:ind w:left="0"/>
              <w:rPr>
                <w:noProof/>
              </w:rPr>
            </w:pPr>
            <w:r>
              <w:rPr>
                <w:noProof/>
              </w:rPr>
              <w:t>Predložiti v vednost</w:t>
            </w:r>
          </w:p>
        </w:tc>
      </w:tr>
      <w:tr w:rsidR="006551B7">
        <w:tc>
          <w:tcPr>
            <w:tcW w:w="2268" w:type="dxa"/>
            <w:vAlign w:val="bottom"/>
          </w:tcPr>
          <w:p w:rsidR="006551B7" w:rsidRDefault="004627E8">
            <w:pPr>
              <w:pStyle w:val="Text1"/>
              <w:spacing w:before="0" w:after="0"/>
              <w:ind w:left="0"/>
              <w:rPr>
                <w:noProof/>
              </w:rPr>
            </w:pPr>
            <w:r>
              <w:rPr>
                <w:noProof/>
              </w:rPr>
              <w:t>SMTP</w:t>
            </w:r>
          </w:p>
        </w:tc>
        <w:tc>
          <w:tcPr>
            <w:tcW w:w="6095" w:type="dxa"/>
            <w:vAlign w:val="bottom"/>
          </w:tcPr>
          <w:p w:rsidR="006551B7" w:rsidRDefault="004627E8">
            <w:pPr>
              <w:pStyle w:val="Text1"/>
              <w:spacing w:before="0" w:after="0"/>
              <w:ind w:left="0"/>
              <w:rPr>
                <w:noProof/>
              </w:rPr>
            </w:pPr>
            <w:r>
              <w:rPr>
                <w:noProof/>
              </w:rPr>
              <w:t>Preprosti protokol za prenos pošte (Simple Mail Transport Protocol)</w:t>
            </w:r>
          </w:p>
        </w:tc>
      </w:tr>
      <w:tr w:rsidR="006551B7">
        <w:tc>
          <w:tcPr>
            <w:tcW w:w="2268" w:type="dxa"/>
            <w:vAlign w:val="bottom"/>
          </w:tcPr>
          <w:p w:rsidR="006551B7" w:rsidRDefault="004627E8">
            <w:pPr>
              <w:pStyle w:val="Text1"/>
              <w:spacing w:before="0" w:after="0"/>
              <w:ind w:left="0"/>
              <w:rPr>
                <w:noProof/>
              </w:rPr>
            </w:pPr>
            <w:r>
              <w:rPr>
                <w:noProof/>
              </w:rPr>
              <w:t>SQI</w:t>
            </w:r>
          </w:p>
        </w:tc>
        <w:tc>
          <w:tcPr>
            <w:tcW w:w="6095" w:type="dxa"/>
            <w:vAlign w:val="bottom"/>
          </w:tcPr>
          <w:p w:rsidR="006551B7" w:rsidRDefault="004627E8">
            <w:pPr>
              <w:pStyle w:val="Text1"/>
              <w:spacing w:before="0" w:after="0"/>
              <w:ind w:left="0"/>
              <w:rPr>
                <w:noProof/>
              </w:rPr>
            </w:pPr>
            <w:r>
              <w:rPr>
                <w:noProof/>
              </w:rPr>
              <w:t>Kazalnik kakovosti storitve</w:t>
            </w:r>
          </w:p>
        </w:tc>
      </w:tr>
      <w:tr w:rsidR="006551B7">
        <w:tc>
          <w:tcPr>
            <w:tcW w:w="2268" w:type="dxa"/>
            <w:vAlign w:val="bottom"/>
          </w:tcPr>
          <w:p w:rsidR="006551B7" w:rsidRDefault="004627E8">
            <w:pPr>
              <w:pStyle w:val="Text1"/>
              <w:spacing w:before="0" w:after="0"/>
              <w:ind w:left="0"/>
              <w:rPr>
                <w:noProof/>
              </w:rPr>
            </w:pPr>
            <w:r>
              <w:rPr>
                <w:noProof/>
              </w:rPr>
              <w:t>SSG</w:t>
            </w:r>
          </w:p>
        </w:tc>
        <w:tc>
          <w:tcPr>
            <w:tcW w:w="6095" w:type="dxa"/>
            <w:vAlign w:val="bottom"/>
          </w:tcPr>
          <w:p w:rsidR="006551B7" w:rsidRDefault="004627E8">
            <w:pPr>
              <w:pStyle w:val="Text1"/>
              <w:spacing w:before="0" w:after="0"/>
              <w:ind w:left="0"/>
              <w:rPr>
                <w:noProof/>
              </w:rPr>
            </w:pPr>
            <w:r>
              <w:rPr>
                <w:noProof/>
              </w:rPr>
              <w:t>Varni prehodi za storitve (Secure Services Gateways) (orodje za šifriranje Juniper)</w:t>
            </w:r>
          </w:p>
        </w:tc>
      </w:tr>
      <w:tr w:rsidR="006551B7">
        <w:tc>
          <w:tcPr>
            <w:tcW w:w="2268" w:type="dxa"/>
            <w:vAlign w:val="bottom"/>
          </w:tcPr>
          <w:p w:rsidR="006551B7" w:rsidRDefault="004627E8">
            <w:pPr>
              <w:pStyle w:val="Text1"/>
              <w:spacing w:before="0" w:after="0"/>
              <w:ind w:left="0"/>
              <w:rPr>
                <w:noProof/>
              </w:rPr>
            </w:pPr>
            <w:r>
              <w:rPr>
                <w:noProof/>
              </w:rPr>
              <w:t>SW</w:t>
            </w:r>
          </w:p>
        </w:tc>
        <w:tc>
          <w:tcPr>
            <w:tcW w:w="6095" w:type="dxa"/>
            <w:vAlign w:val="bottom"/>
          </w:tcPr>
          <w:p w:rsidR="006551B7" w:rsidRDefault="004627E8">
            <w:pPr>
              <w:pStyle w:val="Text1"/>
              <w:spacing w:before="0" w:after="0"/>
              <w:ind w:left="0"/>
              <w:rPr>
                <w:noProof/>
              </w:rPr>
            </w:pPr>
            <w:r>
              <w:rPr>
                <w:noProof/>
              </w:rPr>
              <w:t>Programska oprema</w:t>
            </w:r>
          </w:p>
        </w:tc>
      </w:tr>
      <w:tr w:rsidR="006551B7">
        <w:tc>
          <w:tcPr>
            <w:tcW w:w="2268" w:type="dxa"/>
            <w:vAlign w:val="bottom"/>
          </w:tcPr>
          <w:p w:rsidR="006551B7" w:rsidRDefault="004627E8">
            <w:pPr>
              <w:pStyle w:val="Text1"/>
              <w:spacing w:before="0" w:after="0"/>
              <w:ind w:left="0"/>
              <w:rPr>
                <w:noProof/>
              </w:rPr>
            </w:pPr>
            <w:r>
              <w:rPr>
                <w:noProof/>
              </w:rPr>
              <w:t>TAXUD</w:t>
            </w:r>
          </w:p>
        </w:tc>
        <w:tc>
          <w:tcPr>
            <w:tcW w:w="6095" w:type="dxa"/>
            <w:vAlign w:val="bottom"/>
          </w:tcPr>
          <w:p w:rsidR="006551B7" w:rsidRDefault="004627E8">
            <w:pPr>
              <w:pStyle w:val="Text1"/>
              <w:spacing w:before="0" w:after="0"/>
              <w:ind w:left="0"/>
              <w:rPr>
                <w:noProof/>
              </w:rPr>
            </w:pPr>
            <w:r>
              <w:rPr>
                <w:noProof/>
              </w:rPr>
              <w:t>Obdavčenje in carinska unija</w:t>
            </w:r>
          </w:p>
        </w:tc>
      </w:tr>
      <w:tr w:rsidR="006551B7">
        <w:tc>
          <w:tcPr>
            <w:tcW w:w="2268" w:type="dxa"/>
            <w:vAlign w:val="bottom"/>
          </w:tcPr>
          <w:p w:rsidR="006551B7" w:rsidRDefault="004627E8">
            <w:pPr>
              <w:pStyle w:val="Text1"/>
              <w:spacing w:before="0" w:after="0"/>
              <w:ind w:left="0"/>
              <w:rPr>
                <w:noProof/>
              </w:rPr>
            </w:pPr>
            <w:r>
              <w:rPr>
                <w:noProof/>
              </w:rPr>
              <w:t>TCP</w:t>
            </w:r>
          </w:p>
        </w:tc>
        <w:tc>
          <w:tcPr>
            <w:tcW w:w="6095" w:type="dxa"/>
            <w:vAlign w:val="bottom"/>
          </w:tcPr>
          <w:p w:rsidR="006551B7" w:rsidRDefault="004627E8">
            <w:pPr>
              <w:pStyle w:val="Text1"/>
              <w:spacing w:before="0" w:after="0"/>
              <w:ind w:left="0"/>
              <w:rPr>
                <w:noProof/>
              </w:rPr>
            </w:pPr>
            <w:r>
              <w:rPr>
                <w:noProof/>
              </w:rPr>
              <w:t>Protokol za nadzor prenosa (Transmission Control Protocol)</w:t>
            </w:r>
          </w:p>
        </w:tc>
      </w:tr>
      <w:tr w:rsidR="006551B7">
        <w:tc>
          <w:tcPr>
            <w:tcW w:w="2268" w:type="dxa"/>
            <w:vAlign w:val="bottom"/>
          </w:tcPr>
          <w:p w:rsidR="006551B7" w:rsidRDefault="004627E8">
            <w:pPr>
              <w:pStyle w:val="Text1"/>
              <w:spacing w:before="0" w:after="0"/>
              <w:ind w:left="0"/>
              <w:rPr>
                <w:noProof/>
              </w:rPr>
            </w:pPr>
            <w:r>
              <w:rPr>
                <w:noProof/>
              </w:rPr>
              <w:t>UPS</w:t>
            </w:r>
          </w:p>
        </w:tc>
        <w:tc>
          <w:tcPr>
            <w:tcW w:w="6095" w:type="dxa"/>
            <w:vAlign w:val="bottom"/>
          </w:tcPr>
          <w:p w:rsidR="006551B7" w:rsidRDefault="004627E8">
            <w:pPr>
              <w:pStyle w:val="Text1"/>
              <w:spacing w:before="0" w:after="0"/>
              <w:ind w:left="0"/>
              <w:rPr>
                <w:noProof/>
              </w:rPr>
            </w:pPr>
            <w:r>
              <w:rPr>
                <w:noProof/>
              </w:rPr>
              <w:t>Brezprekinitveno napajanje (Uninterruptible Power Supply)</w:t>
            </w:r>
          </w:p>
        </w:tc>
      </w:tr>
      <w:tr w:rsidR="006551B7">
        <w:tc>
          <w:tcPr>
            <w:tcW w:w="2268" w:type="dxa"/>
            <w:vAlign w:val="bottom"/>
          </w:tcPr>
          <w:p w:rsidR="006551B7" w:rsidRDefault="004627E8">
            <w:pPr>
              <w:pStyle w:val="Text1"/>
              <w:spacing w:before="0" w:after="0"/>
              <w:ind w:left="0"/>
              <w:rPr>
                <w:noProof/>
              </w:rPr>
            </w:pPr>
            <w:r>
              <w:rPr>
                <w:noProof/>
              </w:rPr>
              <w:t>VM</w:t>
            </w:r>
          </w:p>
        </w:tc>
        <w:tc>
          <w:tcPr>
            <w:tcW w:w="6095" w:type="dxa"/>
            <w:vAlign w:val="bottom"/>
          </w:tcPr>
          <w:p w:rsidR="006551B7" w:rsidRDefault="004627E8">
            <w:pPr>
              <w:pStyle w:val="Text1"/>
              <w:spacing w:before="0" w:after="0"/>
              <w:ind w:left="0"/>
              <w:rPr>
                <w:noProof/>
              </w:rPr>
            </w:pPr>
            <w:r>
              <w:rPr>
                <w:noProof/>
              </w:rPr>
              <w:t>Navidezni stroj</w:t>
            </w:r>
          </w:p>
        </w:tc>
      </w:tr>
      <w:tr w:rsidR="006551B7">
        <w:tc>
          <w:tcPr>
            <w:tcW w:w="2268" w:type="dxa"/>
            <w:vAlign w:val="bottom"/>
          </w:tcPr>
          <w:p w:rsidR="006551B7" w:rsidRDefault="004627E8">
            <w:pPr>
              <w:pStyle w:val="Text1"/>
              <w:spacing w:before="0" w:after="0"/>
              <w:ind w:left="0"/>
              <w:rPr>
                <w:noProof/>
              </w:rPr>
            </w:pPr>
            <w:r>
              <w:rPr>
                <w:noProof/>
              </w:rPr>
              <w:t>VPN</w:t>
            </w:r>
          </w:p>
        </w:tc>
        <w:tc>
          <w:tcPr>
            <w:tcW w:w="6095" w:type="dxa"/>
            <w:vAlign w:val="bottom"/>
          </w:tcPr>
          <w:p w:rsidR="006551B7" w:rsidRDefault="004627E8">
            <w:pPr>
              <w:pStyle w:val="Text1"/>
              <w:spacing w:before="0" w:after="0"/>
              <w:ind w:left="0"/>
              <w:rPr>
                <w:noProof/>
              </w:rPr>
            </w:pPr>
            <w:r>
              <w:rPr>
                <w:noProof/>
              </w:rPr>
              <w:t xml:space="preserve">Navidezno zasebno omrežje (Virtual Private Network) </w:t>
            </w:r>
          </w:p>
        </w:tc>
      </w:tr>
      <w:tr w:rsidR="006551B7">
        <w:tc>
          <w:tcPr>
            <w:tcW w:w="2268" w:type="dxa"/>
            <w:vAlign w:val="bottom"/>
          </w:tcPr>
          <w:p w:rsidR="006551B7" w:rsidRDefault="004627E8">
            <w:pPr>
              <w:pStyle w:val="Text1"/>
              <w:spacing w:before="0" w:after="0"/>
              <w:ind w:left="0"/>
              <w:rPr>
                <w:noProof/>
              </w:rPr>
            </w:pPr>
            <w:r>
              <w:rPr>
                <w:noProof/>
              </w:rPr>
              <w:t>WAN</w:t>
            </w:r>
          </w:p>
        </w:tc>
        <w:tc>
          <w:tcPr>
            <w:tcW w:w="6095" w:type="dxa"/>
            <w:vAlign w:val="bottom"/>
          </w:tcPr>
          <w:p w:rsidR="006551B7" w:rsidRDefault="004627E8">
            <w:pPr>
              <w:pStyle w:val="Text1"/>
              <w:spacing w:before="0" w:after="0"/>
              <w:ind w:left="0"/>
              <w:rPr>
                <w:noProof/>
              </w:rPr>
            </w:pPr>
            <w:r>
              <w:rPr>
                <w:noProof/>
              </w:rPr>
              <w:t>Prostrano omrežje (Wide Area Network)</w:t>
            </w:r>
          </w:p>
        </w:tc>
      </w:tr>
    </w:tbl>
    <w:p w:rsidR="006551B7" w:rsidRDefault="004627E8">
      <w:pPr>
        <w:spacing w:before="60"/>
        <w:jc w:val="center"/>
        <w:rPr>
          <w:rFonts w:eastAsia="Times New Roman"/>
          <w:noProof/>
          <w:sz w:val="20"/>
          <w:szCs w:val="20"/>
        </w:rPr>
      </w:pPr>
      <w:r>
        <w:rPr>
          <w:noProof/>
          <w:sz w:val="20"/>
        </w:rPr>
        <w:t>Preglednica </w:t>
      </w:r>
      <w:r>
        <w:rPr>
          <w:rFonts w:eastAsia="Times New Roman"/>
          <w:noProof/>
          <w:sz w:val="20"/>
          <w:szCs w:val="20"/>
        </w:rPr>
        <w:t>9</w:t>
      </w:r>
      <w:r>
        <w:rPr>
          <w:noProof/>
          <w:sz w:val="20"/>
        </w:rPr>
        <w:t xml:space="preserve">: Kratice </w:t>
      </w:r>
    </w:p>
    <w:p w:rsidR="006551B7" w:rsidRDefault="004627E8">
      <w:pPr>
        <w:pStyle w:val="ManualHeading2"/>
        <w:rPr>
          <w:noProof/>
        </w:rPr>
      </w:pPr>
      <w:r>
        <w:rPr>
          <w:noProof/>
        </w:rPr>
        <w:t>2.2</w:t>
      </w:r>
      <w:r>
        <w:rPr>
          <w:noProof/>
        </w:rPr>
        <w:tab/>
        <w:t>OPREDELITEV POJMOV ZA SPORAZUM O RAVNI STORITVE CCN/CSI</w:t>
      </w:r>
    </w:p>
    <w:tbl>
      <w:tblPr>
        <w:tblStyle w:val="TableGrid"/>
        <w:tblW w:w="8363" w:type="dxa"/>
        <w:tblInd w:w="959" w:type="dxa"/>
        <w:tblLook w:val="04A0" w:firstRow="1" w:lastRow="0" w:firstColumn="1" w:lastColumn="0" w:noHBand="0" w:noVBand="1"/>
      </w:tblPr>
      <w:tblGrid>
        <w:gridCol w:w="2268"/>
        <w:gridCol w:w="6095"/>
      </w:tblGrid>
      <w:tr w:rsidR="006551B7">
        <w:tc>
          <w:tcPr>
            <w:tcW w:w="2268" w:type="dxa"/>
            <w:shd w:val="clear" w:color="auto" w:fill="D9D9D9" w:themeFill="background1" w:themeFillShade="D9"/>
          </w:tcPr>
          <w:p w:rsidR="006551B7" w:rsidRDefault="004627E8">
            <w:pPr>
              <w:pStyle w:val="Text1"/>
              <w:spacing w:before="0" w:after="0"/>
              <w:ind w:left="0"/>
              <w:rPr>
                <w:noProof/>
              </w:rPr>
            </w:pPr>
            <w:r>
              <w:rPr>
                <w:b/>
                <w:caps/>
                <w:noProof/>
              </w:rPr>
              <w:t>Pojem</w:t>
            </w:r>
          </w:p>
        </w:tc>
        <w:tc>
          <w:tcPr>
            <w:tcW w:w="6095" w:type="dxa"/>
            <w:shd w:val="clear" w:color="auto" w:fill="D9D9D9" w:themeFill="background1" w:themeFillShade="D9"/>
          </w:tcPr>
          <w:p w:rsidR="006551B7" w:rsidRDefault="004627E8">
            <w:pPr>
              <w:pStyle w:val="Text1"/>
              <w:spacing w:before="0" w:after="0"/>
              <w:ind w:left="0"/>
              <w:rPr>
                <w:b/>
                <w:noProof/>
              </w:rPr>
            </w:pPr>
            <w:r>
              <w:rPr>
                <w:b/>
                <w:noProof/>
              </w:rPr>
              <w:t>OPIS</w:t>
            </w:r>
          </w:p>
        </w:tc>
      </w:tr>
      <w:tr w:rsidR="006551B7">
        <w:tc>
          <w:tcPr>
            <w:tcW w:w="2268" w:type="dxa"/>
          </w:tcPr>
          <w:p w:rsidR="006551B7" w:rsidRDefault="004627E8">
            <w:pPr>
              <w:pStyle w:val="Text1"/>
              <w:spacing w:before="0" w:after="0"/>
              <w:ind w:left="0"/>
              <w:rPr>
                <w:noProof/>
              </w:rPr>
            </w:pPr>
            <w:r>
              <w:rPr>
                <w:b/>
                <w:noProof/>
              </w:rPr>
              <w:t>Obdobje poročanja</w:t>
            </w:r>
          </w:p>
        </w:tc>
        <w:tc>
          <w:tcPr>
            <w:tcW w:w="6095" w:type="dxa"/>
          </w:tcPr>
          <w:p w:rsidR="006551B7" w:rsidRDefault="004627E8">
            <w:pPr>
              <w:pStyle w:val="Text1"/>
              <w:spacing w:before="0" w:after="0"/>
              <w:ind w:left="0"/>
              <w:rPr>
                <w:noProof/>
              </w:rPr>
            </w:pPr>
            <w:r>
              <w:rPr>
                <w:noProof/>
              </w:rPr>
              <w:t xml:space="preserve">Zajeti pretečeni čas je en mesec. </w:t>
            </w:r>
          </w:p>
        </w:tc>
      </w:tr>
      <w:tr w:rsidR="006551B7">
        <w:tc>
          <w:tcPr>
            <w:tcW w:w="2268" w:type="dxa"/>
          </w:tcPr>
          <w:p w:rsidR="006551B7" w:rsidRDefault="004627E8">
            <w:pPr>
              <w:pStyle w:val="Text1"/>
              <w:spacing w:before="0" w:after="0"/>
              <w:ind w:left="0"/>
              <w:rPr>
                <w:noProof/>
              </w:rPr>
            </w:pPr>
            <w:r>
              <w:rPr>
                <w:b/>
                <w:noProof/>
              </w:rPr>
              <w:t>Delovni dan</w:t>
            </w:r>
          </w:p>
        </w:tc>
        <w:tc>
          <w:tcPr>
            <w:tcW w:w="6095" w:type="dxa"/>
          </w:tcPr>
          <w:p w:rsidR="006551B7" w:rsidRDefault="004627E8">
            <w:pPr>
              <w:pStyle w:val="Text1"/>
              <w:spacing w:before="0" w:after="0"/>
              <w:ind w:left="0"/>
              <w:rPr>
                <w:noProof/>
              </w:rPr>
            </w:pPr>
            <w:r>
              <w:rPr>
                <w:noProof/>
              </w:rPr>
              <w:t>Delovni dnevi so delovni dnevi storitvenega centra ponudnika storitev, tj. sedem dni v tednu, vključno z državnimi prazniki.</w:t>
            </w:r>
          </w:p>
        </w:tc>
      </w:tr>
      <w:tr w:rsidR="006551B7">
        <w:tc>
          <w:tcPr>
            <w:tcW w:w="2268" w:type="dxa"/>
          </w:tcPr>
          <w:p w:rsidR="006551B7" w:rsidRDefault="004627E8">
            <w:pPr>
              <w:pStyle w:val="Text1"/>
              <w:spacing w:before="0" w:after="0"/>
              <w:ind w:left="0"/>
              <w:rPr>
                <w:noProof/>
              </w:rPr>
            </w:pPr>
            <w:r>
              <w:rPr>
                <w:b/>
                <w:noProof/>
              </w:rPr>
              <w:t>Delovni čas</w:t>
            </w:r>
          </w:p>
        </w:tc>
        <w:tc>
          <w:tcPr>
            <w:tcW w:w="6095" w:type="dxa"/>
          </w:tcPr>
          <w:p w:rsidR="006551B7" w:rsidRDefault="004627E8">
            <w:pPr>
              <w:pStyle w:val="Text1"/>
              <w:spacing w:before="0" w:after="0"/>
              <w:ind w:left="0"/>
              <w:rPr>
                <w:noProof/>
              </w:rPr>
            </w:pPr>
            <w:r>
              <w:rPr>
                <w:noProof/>
              </w:rPr>
              <w:t>Delovni čas je delovni čas storitvenega centra ponudnika storitev, tj. 24 ur vsak delovni dan.</w:t>
            </w:r>
          </w:p>
        </w:tc>
      </w:tr>
      <w:tr w:rsidR="006551B7">
        <w:tc>
          <w:tcPr>
            <w:tcW w:w="2268" w:type="dxa"/>
          </w:tcPr>
          <w:p w:rsidR="006551B7" w:rsidRDefault="004627E8">
            <w:pPr>
              <w:pStyle w:val="Text1"/>
              <w:spacing w:before="0" w:after="0"/>
              <w:ind w:left="0"/>
              <w:rPr>
                <w:noProof/>
              </w:rPr>
            </w:pPr>
            <w:r>
              <w:rPr>
                <w:b/>
                <w:noProof/>
              </w:rPr>
              <w:t>Obdobje dežurstva</w:t>
            </w:r>
          </w:p>
        </w:tc>
        <w:tc>
          <w:tcPr>
            <w:tcW w:w="6095" w:type="dxa"/>
          </w:tcPr>
          <w:p w:rsidR="006551B7" w:rsidRDefault="004627E8">
            <w:pPr>
              <w:keepNext/>
              <w:keepLines/>
              <w:spacing w:before="0" w:line="276" w:lineRule="auto"/>
              <w:rPr>
                <w:rFonts w:eastAsia="Calibri"/>
                <w:noProof/>
                <w:szCs w:val="24"/>
              </w:rPr>
            </w:pPr>
            <w:r>
              <w:rPr>
                <w:noProof/>
              </w:rPr>
              <w:t>„Obdobje dežurstva“ ponudnika storitev pomeni čas, ko se opravlja funkcija storitvenega centra. Storitveni center ponudnika storitev je dežuren 24 ur na dan, sedem dni v tednu, vključno z državnimi prazniki.</w:t>
            </w:r>
          </w:p>
          <w:p w:rsidR="006551B7" w:rsidRDefault="004627E8">
            <w:pPr>
              <w:pStyle w:val="Text1"/>
              <w:spacing w:before="0" w:after="0"/>
              <w:ind w:left="0"/>
              <w:rPr>
                <w:noProof/>
              </w:rPr>
            </w:pPr>
            <w:r>
              <w:rPr>
                <w:noProof/>
              </w:rPr>
              <w:t>Glede na storitveno okno za konfiguracijski element se nemudoma ukrepa (24*7) ali pa se ukrepanje predvidi za naslednji dan. Pisma, telefaksi, e-pošta in elektronska zaprosila (prek portala ITSM) se sprejmejo kadar koli. Prejeta zaprosila se v sistemu upravljanja storitvenega centra ponudnika storitev evidentirajo kot „servisni klici“.</w:t>
            </w:r>
          </w:p>
        </w:tc>
      </w:tr>
    </w:tbl>
    <w:p w:rsidR="006551B7" w:rsidRDefault="004627E8">
      <w:pPr>
        <w:spacing w:before="60"/>
        <w:jc w:val="center"/>
        <w:rPr>
          <w:rFonts w:eastAsia="Times New Roman"/>
          <w:noProof/>
          <w:sz w:val="20"/>
          <w:szCs w:val="20"/>
        </w:rPr>
      </w:pPr>
      <w:r>
        <w:rPr>
          <w:noProof/>
          <w:sz w:val="20"/>
        </w:rPr>
        <w:t>Preglednica </w:t>
      </w:r>
      <w:r>
        <w:rPr>
          <w:rFonts w:eastAsia="Times New Roman"/>
          <w:noProof/>
          <w:sz w:val="20"/>
          <w:szCs w:val="20"/>
        </w:rPr>
        <w:t>10</w:t>
      </w:r>
      <w:r>
        <w:rPr>
          <w:noProof/>
          <w:sz w:val="20"/>
        </w:rPr>
        <w:t>: Opredelitev pojmov</w:t>
      </w:r>
    </w:p>
    <w:p w:rsidR="006551B7" w:rsidRDefault="004627E8">
      <w:pPr>
        <w:pStyle w:val="ManualHeading1"/>
        <w:rPr>
          <w:noProof/>
        </w:rPr>
      </w:pPr>
      <w:r>
        <w:rPr>
          <w:noProof/>
        </w:rPr>
        <w:t>3.</w:t>
      </w:r>
      <w:r>
        <w:rPr>
          <w:noProof/>
        </w:rPr>
        <w:tab/>
      </w:r>
      <w:r>
        <w:rPr>
          <w:noProof/>
          <w:u w:val="single"/>
        </w:rPr>
        <w:t>UVOD</w:t>
      </w:r>
    </w:p>
    <w:p w:rsidR="006551B7" w:rsidRDefault="004627E8">
      <w:pPr>
        <w:pStyle w:val="Text1"/>
        <w:rPr>
          <w:noProof/>
        </w:rPr>
      </w:pPr>
      <w:r>
        <w:rPr>
          <w:noProof/>
        </w:rPr>
        <w:t>Ta dokument je sestavljen iz sporazuma o ravni storitve za</w:t>
      </w:r>
      <w:r>
        <w:rPr>
          <w:noProof/>
          <w:color w:val="FF0000"/>
        </w:rPr>
        <w:t xml:space="preserve"> </w:t>
      </w:r>
      <w:r>
        <w:rPr>
          <w:noProof/>
        </w:rPr>
        <w:t>skupno komunikacijsko omrežje/skupni sistemski vmesnik</w:t>
      </w:r>
      <w:r>
        <w:rPr>
          <w:noProof/>
          <w:color w:val="FF0000"/>
        </w:rPr>
        <w:t xml:space="preserve"> </w:t>
      </w:r>
      <w:r>
        <w:rPr>
          <w:noProof/>
        </w:rPr>
        <w:t xml:space="preserve">(sporazum o ravni storitve CCN/CSI) med Evropsko komisijo (v nadaljnjem besedilu: ponudnik storitev) in Kraljevino Norveško (v nadaljnjem besedilu: naročnik storitev), ki sta skupaj imenovani „pogodbenici sporazuma o ravni storitve“. </w:t>
      </w:r>
    </w:p>
    <w:p w:rsidR="006551B7" w:rsidRDefault="004627E8">
      <w:pPr>
        <w:pStyle w:val="Text1"/>
        <w:rPr>
          <w:rFonts w:eastAsia="Calibri"/>
          <w:noProof/>
        </w:rPr>
      </w:pPr>
      <w:r>
        <w:rPr>
          <w:noProof/>
        </w:rPr>
        <w:t>Natančneje, „ponudnik storitev“ vključuje naslednje organizacijske enote GD TAXUD:</w:t>
      </w:r>
    </w:p>
    <w:p w:rsidR="006551B7" w:rsidRDefault="004627E8">
      <w:pPr>
        <w:pStyle w:val="Bullet1"/>
        <w:rPr>
          <w:noProof/>
        </w:rPr>
      </w:pPr>
      <w:r>
        <w:rPr>
          <w:noProof/>
        </w:rPr>
        <w:t>enoto B2 GD TAXUD, ki usklajuje vse dejavnosti CCN/CSI;</w:t>
      </w:r>
    </w:p>
    <w:p w:rsidR="006551B7" w:rsidRDefault="004627E8">
      <w:pPr>
        <w:pStyle w:val="Bullet1"/>
        <w:rPr>
          <w:noProof/>
        </w:rPr>
      </w:pPr>
      <w:r>
        <w:rPr>
          <w:noProof/>
        </w:rPr>
        <w:t>operativno enoto ITSM3 (ITSM3 Operations), ki zagotavlja operativne storitve;</w:t>
      </w:r>
    </w:p>
    <w:p w:rsidR="006551B7" w:rsidRDefault="004627E8">
      <w:pPr>
        <w:pStyle w:val="Bullet1"/>
        <w:rPr>
          <w:noProof/>
        </w:rPr>
      </w:pPr>
      <w:r>
        <w:rPr>
          <w:noProof/>
        </w:rPr>
        <w:t>enoto CCN2DEV, ki zagotavlja programsko opremo CCN (storitve razvojnega in korektivnega vzdrževanja);</w:t>
      </w:r>
    </w:p>
    <w:p w:rsidR="006551B7" w:rsidRDefault="004627E8">
      <w:pPr>
        <w:pStyle w:val="Bullet1"/>
        <w:rPr>
          <w:noProof/>
        </w:rPr>
      </w:pPr>
      <w:r>
        <w:rPr>
          <w:noProof/>
        </w:rPr>
        <w:t>ponudnika vseevropskega hrbteničnega omrežja (CCN/WAN, trenutno OBS).</w:t>
      </w:r>
    </w:p>
    <w:p w:rsidR="006551B7" w:rsidRDefault="004627E8">
      <w:pPr>
        <w:pStyle w:val="Text1"/>
        <w:rPr>
          <w:noProof/>
        </w:rPr>
      </w:pPr>
      <w:r>
        <w:rPr>
          <w:noProof/>
        </w:rPr>
        <w:t>Na podlagi vrste zahtevane storitve bo nalogo opravil eden od ponudnikov storitev.</w:t>
      </w:r>
    </w:p>
    <w:p w:rsidR="006551B7" w:rsidRDefault="004627E8">
      <w:pPr>
        <w:pStyle w:val="Text1"/>
        <w:rPr>
          <w:noProof/>
        </w:rPr>
      </w:pPr>
      <w:r>
        <w:rPr>
          <w:noProof/>
        </w:rPr>
        <w:t>„Naročnik storitev“ je državna davčna uprava Norveške. Zadevne organizacijske enote državne uprave so:</w:t>
      </w:r>
    </w:p>
    <w:p w:rsidR="006551B7" w:rsidRDefault="004627E8">
      <w:pPr>
        <w:pStyle w:val="Bullet1"/>
        <w:rPr>
          <w:noProof/>
        </w:rPr>
      </w:pPr>
      <w:r>
        <w:rPr>
          <w:b/>
          <w:noProof/>
        </w:rPr>
        <w:t>nacionalni podporni center za CCN</w:t>
      </w:r>
      <w:r>
        <w:rPr>
          <w:noProof/>
        </w:rPr>
        <w:t>, ki je odgovoren za podporo in upravljanje infrastrukturne opreme CCN GD TAXUD v prostorih državne uprave ter nacionalne infrastrukture, ki podpira aplikacije, ki delujejo prek infrastrukture CCN/CSI;</w:t>
      </w:r>
    </w:p>
    <w:p w:rsidR="006551B7" w:rsidRDefault="004627E8">
      <w:pPr>
        <w:pStyle w:val="Bullet1"/>
        <w:rPr>
          <w:noProof/>
        </w:rPr>
      </w:pPr>
      <w:r>
        <w:rPr>
          <w:b/>
          <w:noProof/>
        </w:rPr>
        <w:t>nacionalni podporni center za aplikacije</w:t>
      </w:r>
      <w:r>
        <w:rPr>
          <w:noProof/>
        </w:rPr>
        <w:t>, ki je odgovoren za nacionalno podporo aplikacijam EK, ki se izvajajo v nacionalni domeni in uporabljajo storitve infrastrukture CCN/CSI;</w:t>
      </w:r>
    </w:p>
    <w:p w:rsidR="006551B7" w:rsidRDefault="004627E8">
      <w:pPr>
        <w:pStyle w:val="Bullet1"/>
        <w:rPr>
          <w:noProof/>
        </w:rPr>
      </w:pPr>
      <w:r>
        <w:rPr>
          <w:b/>
          <w:noProof/>
        </w:rPr>
        <w:t>nacionalne skupine za razvoj aplikacij</w:t>
      </w:r>
      <w:r>
        <w:rPr>
          <w:noProof/>
        </w:rPr>
        <w:t>, ki so odgovorne za razvoj aplikacij, ki uporabljajo infrastrukturo CCN/CSI, vključno z njihovimi podizvajalci.</w:t>
      </w:r>
    </w:p>
    <w:p w:rsidR="006551B7" w:rsidRDefault="004627E8">
      <w:pPr>
        <w:pStyle w:val="ManualHeading2"/>
        <w:rPr>
          <w:noProof/>
        </w:rPr>
      </w:pPr>
      <w:r>
        <w:rPr>
          <w:noProof/>
        </w:rPr>
        <w:t>3.1</w:t>
      </w:r>
      <w:r>
        <w:rPr>
          <w:noProof/>
        </w:rPr>
        <w:tab/>
        <w:t>PODROČJE UPORABE SPORAZUMA O RAVNI STORITVE CCN/CSI</w:t>
      </w:r>
    </w:p>
    <w:p w:rsidR="006551B7" w:rsidRDefault="004627E8">
      <w:pPr>
        <w:pStyle w:val="Text1"/>
        <w:rPr>
          <w:rFonts w:eastAsia="Calibri"/>
          <w:noProof/>
          <w:sz w:val="22"/>
        </w:rPr>
      </w:pPr>
      <w:r>
        <w:rPr>
          <w:noProof/>
        </w:rPr>
        <w:t>Člen 5 Sporazuma določa, da se „[z]a zagotavljanje tehnične kakovosti in količine storitev za delovanje sistemov sporočanja in izmenjave informacij [...] sklene sporazum o ravni storitve.“</w:t>
      </w:r>
    </w:p>
    <w:p w:rsidR="006551B7" w:rsidRDefault="004627E8">
      <w:pPr>
        <w:pStyle w:val="Text1"/>
        <w:rPr>
          <w:rFonts w:eastAsia="Calibri"/>
          <w:noProof/>
          <w:sz w:val="22"/>
        </w:rPr>
      </w:pPr>
      <w:r>
        <w:rPr>
          <w:noProof/>
        </w:rPr>
        <w:t xml:space="preserve">S tem sporazumom o ravni storitve CCN/CSI je določen odnos med Komisijo (ponudnik storitev) in Kraljevino Norveško (naročnik storitev) v zvezi z </w:t>
      </w:r>
      <w:r>
        <w:rPr>
          <w:noProof/>
          <w:sz w:val="22"/>
        </w:rPr>
        <w:t>operativno fazo sistema skupnega komunikacijskega omrežja/skupnega sistemskega vmesnika (v nadaljnjem besedilu: sistem CCN/CSI).</w:t>
      </w:r>
    </w:p>
    <w:p w:rsidR="006551B7" w:rsidRDefault="004627E8">
      <w:pPr>
        <w:pStyle w:val="Text1"/>
        <w:rPr>
          <w:noProof/>
        </w:rPr>
      </w:pPr>
      <w:r>
        <w:rPr>
          <w:noProof/>
        </w:rPr>
        <w:t xml:space="preserve">Sporazum določa zahtevano raven storitve, zagotovljene naročniku storitev. Omogoča tudi skupno razumevanje pričakovanj glede ravni storitve in odgovornosti vključenih pogodbenic sporazuma o ravni storitve. </w:t>
      </w:r>
    </w:p>
    <w:p w:rsidR="006551B7" w:rsidRDefault="004627E8">
      <w:pPr>
        <w:pStyle w:val="Text1"/>
        <w:rPr>
          <w:noProof/>
        </w:rPr>
      </w:pPr>
      <w:r>
        <w:rPr>
          <w:noProof/>
        </w:rPr>
        <w:t xml:space="preserve">V tem dokumentu so opisane storitve in ravni storitev, ki jih trenutno zagotavlja ponudnik storitev. </w:t>
      </w:r>
    </w:p>
    <w:p w:rsidR="006551B7" w:rsidRDefault="004627E8">
      <w:pPr>
        <w:pStyle w:val="Text1"/>
        <w:rPr>
          <w:noProof/>
        </w:rPr>
      </w:pPr>
      <w:r>
        <w:rPr>
          <w:noProof/>
        </w:rPr>
        <w:t>Vsi cilji, navedeni v sporazumu o ravni storitve CCN/CSI, veljajo samo v normalnih delovnih pogojih.</w:t>
      </w:r>
    </w:p>
    <w:p w:rsidR="006551B7" w:rsidRDefault="004627E8">
      <w:pPr>
        <w:pStyle w:val="Text1"/>
        <w:rPr>
          <w:noProof/>
        </w:rPr>
      </w:pPr>
      <w:r>
        <w:rPr>
          <w:noProof/>
        </w:rPr>
        <w:t>V primeru višje sile nobena pogodbenica ni odgovorna za morebitno neizpolnjevanje obveznosti, če je takšno neizpolnjevanje posledica naravne nesreče (vključno s požarom, poplavami, potresom, nevihto, orkanom ali drugimi naravnimi nesrečami), vojne, invazije, dejanja tujega sovražnika, sovražnosti (z vojno napovedjo ali brez nje), državljanske vojne, upora, revolucije, vstaje, vojaškega ali nasilnega prevzema oblasti ali zaplembe, terorističnih dejavnosti, nacionalizacije, vladne odredbe, blokade, embarga, delovnega spora, stavke ali začasnega odklopa, prekinitve ali dolgoročnega izpada komercialnega električnega omrežja.</w:t>
      </w:r>
    </w:p>
    <w:p w:rsidR="006551B7" w:rsidRDefault="004627E8">
      <w:pPr>
        <w:pStyle w:val="ManualHeading2"/>
        <w:rPr>
          <w:noProof/>
        </w:rPr>
      </w:pPr>
      <w:r>
        <w:rPr>
          <w:noProof/>
        </w:rPr>
        <w:t>3.2</w:t>
      </w:r>
      <w:r>
        <w:rPr>
          <w:noProof/>
        </w:rPr>
        <w:tab/>
        <w:t>OPREDELITEV IN LASTNOSTI STORITEV CCN/CSI</w:t>
      </w:r>
    </w:p>
    <w:p w:rsidR="006551B7" w:rsidRDefault="004627E8">
      <w:pPr>
        <w:pStyle w:val="Text1"/>
        <w:rPr>
          <w:noProof/>
        </w:rPr>
      </w:pPr>
      <w:r>
        <w:rPr>
          <w:noProof/>
        </w:rPr>
        <w:t>Skupno komunikacijsko omrežje/skupni sistemski vmesnik je orodje za izmenjavo davčnih informacij med državnimi upravami na področju obdavčenja in boja proti goljufijam. Glavne lastnosti infrastrukture sistema CCN/CSI so navedene v nadaljevanju:</w:t>
      </w:r>
    </w:p>
    <w:tbl>
      <w:tblPr>
        <w:tblStyle w:val="TableGrid"/>
        <w:tblW w:w="8221" w:type="dxa"/>
        <w:tblInd w:w="959" w:type="dxa"/>
        <w:tblLook w:val="04A0" w:firstRow="1" w:lastRow="0" w:firstColumn="1" w:lastColumn="0" w:noHBand="0" w:noVBand="1"/>
      </w:tblPr>
      <w:tblGrid>
        <w:gridCol w:w="2163"/>
        <w:gridCol w:w="6058"/>
      </w:tblGrid>
      <w:tr w:rsidR="006551B7">
        <w:tc>
          <w:tcPr>
            <w:tcW w:w="2126" w:type="dxa"/>
            <w:shd w:val="clear" w:color="auto" w:fill="D9D9D9" w:themeFill="background1" w:themeFillShade="D9"/>
          </w:tcPr>
          <w:p w:rsidR="006551B7" w:rsidRDefault="004627E8">
            <w:pPr>
              <w:pStyle w:val="Text1"/>
              <w:ind w:left="0"/>
              <w:rPr>
                <w:b/>
                <w:noProof/>
              </w:rPr>
            </w:pPr>
            <w:r>
              <w:rPr>
                <w:b/>
                <w:noProof/>
              </w:rPr>
              <w:t>VSEEVROPSKA RAZSEŽNOST</w:t>
            </w:r>
          </w:p>
        </w:tc>
        <w:tc>
          <w:tcPr>
            <w:tcW w:w="6095" w:type="dxa"/>
            <w:shd w:val="clear" w:color="auto" w:fill="auto"/>
          </w:tcPr>
          <w:p w:rsidR="006551B7" w:rsidRDefault="004627E8">
            <w:pPr>
              <w:pStyle w:val="Text1"/>
              <w:ind w:left="0"/>
              <w:jc w:val="left"/>
              <w:rPr>
                <w:noProof/>
              </w:rPr>
            </w:pPr>
            <w:r>
              <w:rPr>
                <w:noProof/>
              </w:rPr>
              <w:t>CCN/CSI naročnikom storitev ponuja dostop do globalnega omrežja WAN prek številnih vstopnih točk v vsaki državi članici, pristopnih državah in na Norveškem. Hrbtenično omrežje CCN/CSI zagotavlja potrebno zmogljivost in odpornost, da naročnikom storitev zagotavlja visoko stopnjo razpoložljivosti.</w:t>
            </w:r>
          </w:p>
        </w:tc>
      </w:tr>
      <w:tr w:rsidR="006551B7">
        <w:tc>
          <w:tcPr>
            <w:tcW w:w="2126" w:type="dxa"/>
            <w:shd w:val="clear" w:color="auto" w:fill="D9D9D9" w:themeFill="background1" w:themeFillShade="D9"/>
          </w:tcPr>
          <w:p w:rsidR="006551B7" w:rsidRDefault="004627E8">
            <w:pPr>
              <w:pStyle w:val="Text1"/>
              <w:ind w:left="0"/>
              <w:rPr>
                <w:b/>
                <w:noProof/>
              </w:rPr>
            </w:pPr>
            <w:r>
              <w:rPr>
                <w:b/>
                <w:noProof/>
              </w:rPr>
              <w:t>VEČ PLATFORM</w:t>
            </w:r>
          </w:p>
        </w:tc>
        <w:tc>
          <w:tcPr>
            <w:tcW w:w="6095" w:type="dxa"/>
            <w:shd w:val="clear" w:color="auto" w:fill="auto"/>
          </w:tcPr>
          <w:p w:rsidR="006551B7" w:rsidRDefault="004627E8">
            <w:pPr>
              <w:pStyle w:val="Text1"/>
              <w:ind w:left="0"/>
              <w:jc w:val="left"/>
              <w:rPr>
                <w:noProof/>
              </w:rPr>
            </w:pPr>
            <w:r>
              <w:rPr>
                <w:noProof/>
              </w:rPr>
              <w:t>Omogoča interoperabilnost med heterogenimi platformami (Windows, Linux, Solaris, AIX, HPUX, SVR4, IBM MVS itd.) prek visoko prenosljivega komunikacijskega sklada (CSI), nameščenega na standardne nacionalne aplikacijske platforme.</w:t>
            </w:r>
          </w:p>
        </w:tc>
      </w:tr>
      <w:tr w:rsidR="006551B7">
        <w:tc>
          <w:tcPr>
            <w:tcW w:w="2126" w:type="dxa"/>
            <w:shd w:val="clear" w:color="auto" w:fill="D9D9D9" w:themeFill="background1" w:themeFillShade="D9"/>
          </w:tcPr>
          <w:p w:rsidR="006551B7" w:rsidRDefault="004627E8">
            <w:pPr>
              <w:pStyle w:val="Text1"/>
              <w:ind w:left="0"/>
              <w:rPr>
                <w:b/>
                <w:noProof/>
              </w:rPr>
            </w:pPr>
            <w:r>
              <w:rPr>
                <w:b/>
                <w:noProof/>
              </w:rPr>
              <w:t>VEČ PROTOKOLOV</w:t>
            </w:r>
          </w:p>
        </w:tc>
        <w:tc>
          <w:tcPr>
            <w:tcW w:w="6095" w:type="dxa"/>
            <w:shd w:val="clear" w:color="auto" w:fill="auto"/>
          </w:tcPr>
          <w:p w:rsidR="006551B7" w:rsidRDefault="004627E8">
            <w:pPr>
              <w:keepLines/>
              <w:spacing w:before="0" w:after="0"/>
              <w:jc w:val="left"/>
              <w:rPr>
                <w:rFonts w:eastAsia="Calibri"/>
                <w:noProof/>
                <w:szCs w:val="24"/>
              </w:rPr>
            </w:pPr>
            <w:r>
              <w:rPr>
                <w:noProof/>
              </w:rPr>
              <w:t>Podpira različne protokole in paradigme izmenjave:</w:t>
            </w:r>
          </w:p>
          <w:p w:rsidR="006551B7" w:rsidRDefault="004627E8">
            <w:pPr>
              <w:keepLines/>
              <w:numPr>
                <w:ilvl w:val="0"/>
                <w:numId w:val="13"/>
              </w:numPr>
              <w:spacing w:before="0" w:after="0"/>
              <w:contextualSpacing/>
              <w:jc w:val="left"/>
              <w:rPr>
                <w:rFonts w:eastAsia="Calibri"/>
                <w:noProof/>
                <w:szCs w:val="24"/>
              </w:rPr>
            </w:pPr>
            <w:r>
              <w:rPr>
                <w:noProof/>
              </w:rPr>
              <w:t>protokol CSI, ki podpira asinhrone in sinhrone (zahteva/odziv) komunikacijske paradigme (kanal CCN/CSI);</w:t>
            </w:r>
          </w:p>
          <w:p w:rsidR="006551B7" w:rsidRDefault="004627E8">
            <w:pPr>
              <w:keepLines/>
              <w:numPr>
                <w:ilvl w:val="0"/>
                <w:numId w:val="13"/>
              </w:numPr>
              <w:spacing w:before="0" w:after="0"/>
              <w:contextualSpacing/>
              <w:jc w:val="left"/>
              <w:rPr>
                <w:rFonts w:eastAsia="Calibri"/>
                <w:noProof/>
                <w:szCs w:val="24"/>
              </w:rPr>
            </w:pPr>
            <w:r>
              <w:rPr>
                <w:noProof/>
              </w:rPr>
              <w:t>protokol HTTP/S za interaktivni dostop do storitev intraneta CCN (intranetni kanal CCN);</w:t>
            </w:r>
          </w:p>
          <w:p w:rsidR="006551B7" w:rsidRDefault="004627E8">
            <w:pPr>
              <w:pStyle w:val="Text1"/>
              <w:ind w:left="0"/>
              <w:jc w:val="left"/>
              <w:rPr>
                <w:noProof/>
              </w:rPr>
            </w:pPr>
            <w:r>
              <w:rPr>
                <w:noProof/>
              </w:rPr>
              <w:t>protokole POP, IMAP in SMTP za izmenjavo e-pošte med uporabniki v državni upravi ter med aplikacijami (kanal CCN Mail III).</w:t>
            </w:r>
          </w:p>
        </w:tc>
      </w:tr>
      <w:tr w:rsidR="006551B7">
        <w:tc>
          <w:tcPr>
            <w:tcW w:w="2126" w:type="dxa"/>
            <w:shd w:val="clear" w:color="auto" w:fill="D9D9D9" w:themeFill="background1" w:themeFillShade="D9"/>
          </w:tcPr>
          <w:p w:rsidR="006551B7" w:rsidRDefault="004627E8">
            <w:pPr>
              <w:pStyle w:val="Text1"/>
              <w:ind w:left="0"/>
              <w:rPr>
                <w:b/>
                <w:noProof/>
              </w:rPr>
            </w:pPr>
            <w:r>
              <w:rPr>
                <w:b/>
                <w:noProof/>
              </w:rPr>
              <w:t>VARNOST</w:t>
            </w:r>
          </w:p>
        </w:tc>
        <w:tc>
          <w:tcPr>
            <w:tcW w:w="6095" w:type="dxa"/>
            <w:shd w:val="clear" w:color="auto" w:fill="auto"/>
          </w:tcPr>
          <w:p w:rsidR="006551B7" w:rsidRDefault="004627E8">
            <w:pPr>
              <w:keepLines/>
              <w:spacing w:before="0" w:after="0"/>
              <w:jc w:val="left"/>
              <w:rPr>
                <w:rFonts w:eastAsia="Calibri"/>
                <w:noProof/>
                <w:szCs w:val="24"/>
              </w:rPr>
            </w:pPr>
            <w:r>
              <w:rPr>
                <w:noProof/>
              </w:rPr>
              <w:t>Izmenjave informacij prek omrežja CCN/CSI so zaščitene, da se zagotovi optimalna zaupnost in celovitost podatkov. Varnostne storitve vključujejo:</w:t>
            </w:r>
          </w:p>
          <w:p w:rsidR="006551B7" w:rsidRDefault="004627E8">
            <w:pPr>
              <w:keepLines/>
              <w:numPr>
                <w:ilvl w:val="0"/>
                <w:numId w:val="14"/>
              </w:numPr>
              <w:spacing w:before="0" w:after="0"/>
              <w:contextualSpacing/>
              <w:jc w:val="left"/>
              <w:rPr>
                <w:rFonts w:eastAsia="Calibri"/>
                <w:noProof/>
                <w:szCs w:val="24"/>
              </w:rPr>
            </w:pPr>
            <w:r>
              <w:rPr>
                <w:noProof/>
              </w:rPr>
              <w:t xml:space="preserve">šifriranje IPSec256 bitov med lokacijami in zaščita pred neželenim dostopom, ki jo zagotavlja požarni zid/šifrirne naprave na vsaki lokaciji CCN/CSI; </w:t>
            </w:r>
          </w:p>
          <w:p w:rsidR="006551B7" w:rsidRDefault="004627E8">
            <w:pPr>
              <w:keepLines/>
              <w:numPr>
                <w:ilvl w:val="0"/>
                <w:numId w:val="14"/>
              </w:numPr>
              <w:spacing w:before="0" w:after="0"/>
              <w:contextualSpacing/>
              <w:jc w:val="left"/>
              <w:rPr>
                <w:rFonts w:eastAsia="Calibri"/>
                <w:noProof/>
                <w:szCs w:val="24"/>
              </w:rPr>
            </w:pPr>
            <w:r>
              <w:rPr>
                <w:noProof/>
              </w:rPr>
              <w:t>mehanizme za nadzor dostopa (avtentikacijo, avtorizacijo, obračunavanje) na ravni lokacije, ki se izvajajo na prehodu CCN in jih podpirajo orodja za lokalno skrbništvo (ADM3G);</w:t>
            </w:r>
          </w:p>
          <w:p w:rsidR="006551B7" w:rsidRDefault="004627E8">
            <w:pPr>
              <w:pStyle w:val="Text1"/>
              <w:ind w:left="0"/>
              <w:jc w:val="left"/>
              <w:rPr>
                <w:noProof/>
              </w:rPr>
            </w:pPr>
            <w:r>
              <w:rPr>
                <w:noProof/>
              </w:rPr>
              <w:t xml:space="preserve">varnost na ravni seje, zagotovljeno s šifriranjem na ravni sporočila (varni CSI), vzajemno avtentikacijo in šifriranjem SSL v.3 (HTTPS), POP-S in IMAP-S (varen prenos e-pošte). </w:t>
            </w:r>
          </w:p>
        </w:tc>
      </w:tr>
      <w:tr w:rsidR="006551B7">
        <w:tc>
          <w:tcPr>
            <w:tcW w:w="2126" w:type="dxa"/>
            <w:shd w:val="clear" w:color="auto" w:fill="D9D9D9" w:themeFill="background1" w:themeFillShade="D9"/>
          </w:tcPr>
          <w:p w:rsidR="006551B7" w:rsidRDefault="004627E8">
            <w:pPr>
              <w:pStyle w:val="Text1"/>
              <w:ind w:left="0"/>
              <w:rPr>
                <w:b/>
                <w:noProof/>
              </w:rPr>
            </w:pPr>
            <w:r>
              <w:rPr>
                <w:b/>
                <w:noProof/>
              </w:rPr>
              <w:t>UPRAVLJANOST</w:t>
            </w:r>
          </w:p>
        </w:tc>
        <w:tc>
          <w:tcPr>
            <w:tcW w:w="6095" w:type="dxa"/>
            <w:shd w:val="clear" w:color="auto" w:fill="auto"/>
          </w:tcPr>
          <w:p w:rsidR="006551B7" w:rsidRDefault="004627E8">
            <w:pPr>
              <w:keepLines/>
              <w:spacing w:before="0" w:after="0"/>
              <w:jc w:val="left"/>
              <w:rPr>
                <w:rFonts w:eastAsia="Calibri"/>
                <w:noProof/>
              </w:rPr>
            </w:pPr>
            <w:r>
              <w:rPr>
                <w:noProof/>
              </w:rPr>
              <w:t>Infrastruktura CCN/CSI naročnikom storitev zagotavlja tudi upravljane storitve, vključno z:</w:t>
            </w:r>
          </w:p>
          <w:p w:rsidR="006551B7" w:rsidRDefault="004627E8">
            <w:pPr>
              <w:keepLines/>
              <w:numPr>
                <w:ilvl w:val="0"/>
                <w:numId w:val="15"/>
              </w:numPr>
              <w:spacing w:before="0" w:after="0"/>
              <w:contextualSpacing/>
              <w:jc w:val="left"/>
              <w:rPr>
                <w:rFonts w:eastAsia="Calibri"/>
                <w:noProof/>
              </w:rPr>
            </w:pPr>
            <w:r>
              <w:rPr>
                <w:noProof/>
              </w:rPr>
              <w:t>osrednjim nadzorom,</w:t>
            </w:r>
          </w:p>
          <w:p w:rsidR="006551B7" w:rsidRDefault="004627E8">
            <w:pPr>
              <w:keepLines/>
              <w:numPr>
                <w:ilvl w:val="0"/>
                <w:numId w:val="15"/>
              </w:numPr>
              <w:spacing w:before="0" w:after="0"/>
              <w:contextualSpacing/>
              <w:jc w:val="left"/>
              <w:rPr>
                <w:rFonts w:eastAsia="Calibri"/>
                <w:noProof/>
              </w:rPr>
            </w:pPr>
            <w:r>
              <w:rPr>
                <w:noProof/>
              </w:rPr>
              <w:t>vodenjem dnevnika dogodkov,</w:t>
            </w:r>
          </w:p>
          <w:p w:rsidR="006551B7" w:rsidRDefault="004627E8">
            <w:pPr>
              <w:keepLines/>
              <w:numPr>
                <w:ilvl w:val="0"/>
                <w:numId w:val="15"/>
              </w:numPr>
              <w:spacing w:before="0" w:after="0"/>
              <w:contextualSpacing/>
              <w:jc w:val="left"/>
              <w:rPr>
                <w:rFonts w:eastAsia="Calibri"/>
                <w:noProof/>
              </w:rPr>
            </w:pPr>
            <w:r>
              <w:rPr>
                <w:noProof/>
              </w:rPr>
              <w:t>pripravo statističnih podatkov o izmenjavi sporočil prek CSI in CCN Mail III (velikost, število sporočil, matrika) ter statističnih podatkov o prehodih CCN in sistemu CCN Mail III,</w:t>
            </w:r>
          </w:p>
          <w:p w:rsidR="006551B7" w:rsidRDefault="004627E8">
            <w:pPr>
              <w:keepLines/>
              <w:numPr>
                <w:ilvl w:val="0"/>
                <w:numId w:val="15"/>
              </w:numPr>
              <w:spacing w:before="0" w:after="0"/>
              <w:contextualSpacing/>
              <w:jc w:val="left"/>
              <w:rPr>
                <w:rFonts w:eastAsia="Calibri"/>
                <w:noProof/>
              </w:rPr>
            </w:pPr>
            <w:r>
              <w:rPr>
                <w:noProof/>
              </w:rPr>
              <w:t>storitvami upravljanja uporabnikov (ADM3G) in imeniškimi storitvami,</w:t>
            </w:r>
          </w:p>
          <w:p w:rsidR="006551B7" w:rsidRDefault="004627E8">
            <w:pPr>
              <w:keepLines/>
              <w:numPr>
                <w:ilvl w:val="0"/>
                <w:numId w:val="15"/>
              </w:numPr>
              <w:spacing w:before="0" w:after="0"/>
              <w:contextualSpacing/>
              <w:jc w:val="left"/>
              <w:rPr>
                <w:rFonts w:eastAsia="Calibri"/>
                <w:noProof/>
              </w:rPr>
            </w:pPr>
            <w:r>
              <w:rPr>
                <w:noProof/>
              </w:rPr>
              <w:t>validacijo skladov CSI,</w:t>
            </w:r>
          </w:p>
          <w:p w:rsidR="006551B7" w:rsidRDefault="004627E8">
            <w:pPr>
              <w:keepLines/>
              <w:numPr>
                <w:ilvl w:val="0"/>
                <w:numId w:val="15"/>
              </w:numPr>
              <w:spacing w:before="0" w:after="0"/>
              <w:contextualSpacing/>
              <w:jc w:val="left"/>
              <w:rPr>
                <w:rFonts w:eastAsia="Calibri"/>
                <w:noProof/>
              </w:rPr>
            </w:pPr>
            <w:r>
              <w:rPr>
                <w:noProof/>
              </w:rPr>
              <w:t>storitvami portalov:</w:t>
            </w:r>
          </w:p>
          <w:p w:rsidR="006551B7" w:rsidRDefault="004627E8">
            <w:pPr>
              <w:keepLines/>
              <w:numPr>
                <w:ilvl w:val="1"/>
                <w:numId w:val="15"/>
              </w:numPr>
              <w:spacing w:before="0" w:after="0"/>
              <w:contextualSpacing/>
              <w:jc w:val="left"/>
              <w:rPr>
                <w:rFonts w:eastAsia="Calibri"/>
                <w:noProof/>
              </w:rPr>
            </w:pPr>
            <w:r>
              <w:rPr>
                <w:noProof/>
              </w:rPr>
              <w:t>portal CCN: spletni dostop do statističnih podatkov, spletno upravljanje oddaljenih posredniških vmesnikov API (Remote API Proxies – RAP),</w:t>
            </w:r>
          </w:p>
          <w:p w:rsidR="006551B7" w:rsidRDefault="004627E8">
            <w:pPr>
              <w:keepLines/>
              <w:numPr>
                <w:ilvl w:val="1"/>
                <w:numId w:val="15"/>
              </w:numPr>
              <w:spacing w:before="0" w:after="0"/>
              <w:contextualSpacing/>
              <w:jc w:val="left"/>
              <w:rPr>
                <w:rFonts w:eastAsia="Calibri"/>
                <w:noProof/>
              </w:rPr>
            </w:pPr>
            <w:r>
              <w:rPr>
                <w:noProof/>
              </w:rPr>
              <w:t>portal ITSM: spletno glasilo, dokumentacija na spletu in paketi skladov CSI, pogosta vprašanja o CCN (FAQ),</w:t>
            </w:r>
          </w:p>
          <w:p w:rsidR="006551B7" w:rsidRDefault="004627E8">
            <w:pPr>
              <w:keepLines/>
              <w:numPr>
                <w:ilvl w:val="0"/>
                <w:numId w:val="15"/>
              </w:numPr>
              <w:spacing w:before="0" w:after="0"/>
              <w:contextualSpacing/>
              <w:jc w:val="left"/>
              <w:rPr>
                <w:rFonts w:eastAsia="Calibri"/>
                <w:noProof/>
              </w:rPr>
            </w:pPr>
            <w:r>
              <w:rPr>
                <w:noProof/>
              </w:rPr>
              <w:t xml:space="preserve">orodjem za konfiguracijo aplikacij (Application Configuration Tool – ACT). </w:t>
            </w:r>
          </w:p>
          <w:p w:rsidR="006551B7" w:rsidRDefault="004627E8">
            <w:pPr>
              <w:pStyle w:val="Text1"/>
              <w:ind w:left="0"/>
              <w:jc w:val="left"/>
              <w:rPr>
                <w:noProof/>
              </w:rPr>
            </w:pPr>
            <w:r>
              <w:rPr>
                <w:noProof/>
              </w:rPr>
              <w:t>sledenjem servisnim klicem in spletno podporo.</w:t>
            </w:r>
          </w:p>
        </w:tc>
      </w:tr>
    </w:tbl>
    <w:p w:rsidR="006551B7" w:rsidRDefault="004627E8">
      <w:pPr>
        <w:spacing w:before="60"/>
        <w:jc w:val="center"/>
        <w:rPr>
          <w:rFonts w:eastAsia="Times New Roman"/>
          <w:noProof/>
          <w:sz w:val="20"/>
          <w:szCs w:val="20"/>
        </w:rPr>
      </w:pPr>
      <w:r>
        <w:rPr>
          <w:noProof/>
          <w:sz w:val="20"/>
        </w:rPr>
        <w:t>Preglednica 5: Lastnosti storitev, ki jih zagotavlja CCN/CSI</w:t>
      </w:r>
    </w:p>
    <w:p w:rsidR="006551B7" w:rsidRDefault="004627E8">
      <w:pPr>
        <w:pStyle w:val="ManualHeading2"/>
        <w:rPr>
          <w:noProof/>
        </w:rPr>
      </w:pPr>
      <w:r>
        <w:rPr>
          <w:noProof/>
        </w:rPr>
        <w:t>3.3</w:t>
      </w:r>
      <w:r>
        <w:rPr>
          <w:noProof/>
        </w:rPr>
        <w:tab/>
        <w:t>OBDOBJE VELJAVNOSTI SPORAZUMA</w:t>
      </w:r>
    </w:p>
    <w:p w:rsidR="006551B7" w:rsidRDefault="004627E8">
      <w:pPr>
        <w:pStyle w:val="Text1"/>
        <w:rPr>
          <w:noProof/>
        </w:rPr>
      </w:pPr>
      <w:r>
        <w:rPr>
          <w:noProof/>
        </w:rPr>
        <w:t>Sporazum o ravni storitve CCN/CSI je za pogodbenici zavezujoč od dneva, ko ga odobri skupni odbor, ustanovljen na podlagi člena 41 Sporazuma (v nadaljnjem besedilu: skupni odbor).</w:t>
      </w:r>
    </w:p>
    <w:p w:rsidR="006551B7" w:rsidRDefault="004627E8">
      <w:pPr>
        <w:pStyle w:val="ManualHeading1"/>
        <w:rPr>
          <w:noProof/>
        </w:rPr>
      </w:pPr>
      <w:r>
        <w:rPr>
          <w:noProof/>
        </w:rPr>
        <w:t>4.</w:t>
      </w:r>
      <w:r>
        <w:rPr>
          <w:noProof/>
        </w:rPr>
        <w:tab/>
      </w:r>
      <w:r>
        <w:rPr>
          <w:noProof/>
          <w:u w:val="single"/>
        </w:rPr>
        <w:t>ODGOVORNOSTI</w:t>
      </w:r>
      <w:r>
        <w:rPr>
          <w:noProof/>
        </w:rPr>
        <w:t xml:space="preserve"> </w:t>
      </w:r>
    </w:p>
    <w:p w:rsidR="006551B7" w:rsidRDefault="004627E8">
      <w:pPr>
        <w:pStyle w:val="ManualHeading2"/>
        <w:rPr>
          <w:noProof/>
        </w:rPr>
      </w:pPr>
      <w:r>
        <w:rPr>
          <w:noProof/>
        </w:rPr>
        <w:t>4.1</w:t>
      </w:r>
      <w:r>
        <w:rPr>
          <w:noProof/>
        </w:rPr>
        <w:tab/>
        <w:t>NALOGE PONUDNIKA STORITEV (OSP)</w:t>
      </w:r>
    </w:p>
    <w:p w:rsidR="006551B7" w:rsidRDefault="004627E8">
      <w:pPr>
        <w:pStyle w:val="Text1"/>
        <w:rPr>
          <w:noProof/>
        </w:rPr>
      </w:pPr>
      <w:r>
        <w:rPr>
          <w:noProof/>
        </w:rPr>
        <w:t>Ponudnik storitev:</w:t>
      </w:r>
    </w:p>
    <w:tbl>
      <w:tblPr>
        <w:tblStyle w:val="TableGrid"/>
        <w:tblW w:w="8363" w:type="dxa"/>
        <w:tblInd w:w="959" w:type="dxa"/>
        <w:tblLook w:val="04A0" w:firstRow="1" w:lastRow="0" w:firstColumn="1" w:lastColumn="0" w:noHBand="0" w:noVBand="1"/>
      </w:tblPr>
      <w:tblGrid>
        <w:gridCol w:w="2692"/>
        <w:gridCol w:w="5671"/>
      </w:tblGrid>
      <w:tr w:rsidR="006551B7">
        <w:tc>
          <w:tcPr>
            <w:tcW w:w="2692" w:type="dxa"/>
            <w:shd w:val="clear" w:color="auto" w:fill="D9D9D9"/>
          </w:tcPr>
          <w:p w:rsidR="006551B7" w:rsidRDefault="004627E8">
            <w:pPr>
              <w:pStyle w:val="Text1"/>
              <w:ind w:left="0"/>
              <w:rPr>
                <w:b/>
                <w:noProof/>
              </w:rPr>
            </w:pPr>
            <w:r>
              <w:rPr>
                <w:b/>
                <w:noProof/>
              </w:rPr>
              <w:t>[OSP</w:t>
            </w:r>
            <w:r>
              <w:rPr>
                <w:rFonts w:eastAsia="Calibri"/>
                <w:b/>
                <w:noProof/>
                <w:szCs w:val="24"/>
              </w:rPr>
              <w:t>1</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color w:val="000000"/>
                <w:szCs w:val="24"/>
              </w:rPr>
            </w:pPr>
            <w:r>
              <w:rPr>
                <w:noProof/>
              </w:rPr>
              <w:t>Upravlja infrastrukturo omrežja CCN/CSI, da doseže ravni storitev iz oddelka 8.</w:t>
            </w:r>
          </w:p>
        </w:tc>
      </w:tr>
      <w:tr w:rsidR="006551B7">
        <w:tc>
          <w:tcPr>
            <w:tcW w:w="2692" w:type="dxa"/>
            <w:shd w:val="clear" w:color="auto" w:fill="D9D9D9"/>
          </w:tcPr>
          <w:p w:rsidR="006551B7" w:rsidRDefault="004627E8">
            <w:pPr>
              <w:pStyle w:val="Text1"/>
              <w:ind w:left="0"/>
              <w:rPr>
                <w:b/>
                <w:noProof/>
              </w:rPr>
            </w:pPr>
            <w:r>
              <w:rPr>
                <w:b/>
                <w:noProof/>
              </w:rPr>
              <w:t>[OSP</w:t>
            </w:r>
            <w:r>
              <w:rPr>
                <w:rFonts w:eastAsia="Calibri"/>
                <w:b/>
                <w:noProof/>
                <w:szCs w:val="24"/>
              </w:rPr>
              <w:t>2</w:t>
            </w:r>
            <w:r>
              <w:rPr>
                <w:b/>
                <w:noProof/>
              </w:rPr>
              <w:t>]</w:t>
            </w:r>
          </w:p>
        </w:tc>
        <w:tc>
          <w:tcPr>
            <w:tcW w:w="5671" w:type="dxa"/>
            <w:shd w:val="clear" w:color="auto" w:fill="auto"/>
          </w:tcPr>
          <w:p w:rsidR="006551B7" w:rsidRDefault="004627E8">
            <w:pPr>
              <w:pStyle w:val="Text1"/>
              <w:ind w:left="0"/>
              <w:rPr>
                <w:rFonts w:eastAsia="Calibri"/>
                <w:noProof/>
                <w:color w:val="000000"/>
                <w:szCs w:val="24"/>
              </w:rPr>
            </w:pPr>
            <w:r>
              <w:rPr>
                <w:noProof/>
              </w:rPr>
              <w:t>Izbere različne sestavne dele infrastrukture in programske opreme CCN/CSI.</w:t>
            </w:r>
          </w:p>
        </w:tc>
      </w:tr>
      <w:tr w:rsidR="006551B7">
        <w:tc>
          <w:tcPr>
            <w:tcW w:w="2692" w:type="dxa"/>
            <w:shd w:val="clear" w:color="auto" w:fill="D9D9D9"/>
          </w:tcPr>
          <w:p w:rsidR="006551B7" w:rsidRDefault="004627E8">
            <w:pPr>
              <w:pStyle w:val="Text1"/>
              <w:ind w:left="0"/>
              <w:rPr>
                <w:b/>
                <w:noProof/>
              </w:rPr>
            </w:pPr>
            <w:r>
              <w:rPr>
                <w:b/>
                <w:noProof/>
              </w:rPr>
              <w:t>[OSP</w:t>
            </w:r>
            <w:r>
              <w:rPr>
                <w:rFonts w:eastAsia="Calibri"/>
                <w:b/>
                <w:noProof/>
                <w:szCs w:val="24"/>
              </w:rPr>
              <w:t>3</w:t>
            </w:r>
            <w:r>
              <w:rPr>
                <w:b/>
                <w:noProof/>
              </w:rPr>
              <w:t>]</w:t>
            </w:r>
          </w:p>
        </w:tc>
        <w:tc>
          <w:tcPr>
            <w:tcW w:w="5671" w:type="dxa"/>
            <w:shd w:val="clear" w:color="auto" w:fill="auto"/>
          </w:tcPr>
          <w:p w:rsidR="006551B7" w:rsidRDefault="004627E8">
            <w:pPr>
              <w:pStyle w:val="Text1"/>
              <w:ind w:left="0"/>
              <w:rPr>
                <w:rFonts w:eastAsia="Calibri"/>
                <w:noProof/>
                <w:color w:val="000000"/>
                <w:szCs w:val="24"/>
              </w:rPr>
            </w:pPr>
            <w:r>
              <w:rPr>
                <w:noProof/>
              </w:rPr>
              <w:t xml:space="preserve">Zagotavlja vzdrževanje strojne in programske opreme za infrastrukturno opremo CCN GD TAXUD (npr. prehode CCN), nameščeno v prostorih naročnikov storitev, ter centralne strežnike za CCN Mail III. </w:t>
            </w:r>
          </w:p>
        </w:tc>
      </w:tr>
      <w:tr w:rsidR="006551B7">
        <w:tc>
          <w:tcPr>
            <w:tcW w:w="2692" w:type="dxa"/>
            <w:shd w:val="clear" w:color="auto" w:fill="D9D9D9"/>
          </w:tcPr>
          <w:p w:rsidR="006551B7" w:rsidRDefault="004627E8">
            <w:pPr>
              <w:pStyle w:val="Text1"/>
              <w:ind w:left="0"/>
              <w:rPr>
                <w:b/>
                <w:noProof/>
              </w:rPr>
            </w:pPr>
            <w:r>
              <w:rPr>
                <w:b/>
                <w:noProof/>
              </w:rPr>
              <w:t>[OSP</w:t>
            </w:r>
            <w:r>
              <w:rPr>
                <w:rFonts w:eastAsia="Calibri"/>
                <w:b/>
                <w:noProof/>
                <w:szCs w:val="24"/>
              </w:rPr>
              <w:t>4</w:t>
            </w:r>
            <w:r>
              <w:rPr>
                <w:b/>
                <w:noProof/>
              </w:rPr>
              <w:t>]</w:t>
            </w:r>
          </w:p>
        </w:tc>
        <w:tc>
          <w:tcPr>
            <w:tcW w:w="5671" w:type="dxa"/>
            <w:shd w:val="clear" w:color="auto" w:fill="auto"/>
          </w:tcPr>
          <w:p w:rsidR="006551B7" w:rsidRDefault="004627E8">
            <w:pPr>
              <w:pStyle w:val="Text1"/>
              <w:ind w:left="0"/>
              <w:rPr>
                <w:rFonts w:eastAsia="Calibri"/>
                <w:noProof/>
                <w:color w:val="000000"/>
                <w:szCs w:val="24"/>
              </w:rPr>
            </w:pPr>
            <w:r>
              <w:rPr>
                <w:noProof/>
              </w:rPr>
              <w:t>Zagotavlja spremljanje infrastrukturne opreme CCN GD TAXUD, nameščene v prostorih naročnikov storitev.</w:t>
            </w:r>
          </w:p>
        </w:tc>
      </w:tr>
      <w:tr w:rsidR="006551B7">
        <w:tc>
          <w:tcPr>
            <w:tcW w:w="2692" w:type="dxa"/>
            <w:shd w:val="clear" w:color="auto" w:fill="D9D9D9"/>
          </w:tcPr>
          <w:p w:rsidR="006551B7" w:rsidRDefault="004627E8">
            <w:pPr>
              <w:pStyle w:val="Text1"/>
              <w:ind w:left="0"/>
              <w:rPr>
                <w:b/>
                <w:noProof/>
              </w:rPr>
            </w:pPr>
            <w:r>
              <w:rPr>
                <w:b/>
                <w:noProof/>
              </w:rPr>
              <w:t>[OSP</w:t>
            </w:r>
            <w:r>
              <w:rPr>
                <w:rFonts w:eastAsia="Calibri"/>
                <w:b/>
                <w:noProof/>
                <w:szCs w:val="24"/>
              </w:rPr>
              <w:t>5</w:t>
            </w:r>
            <w:r>
              <w:rPr>
                <w:b/>
                <w:noProof/>
              </w:rPr>
              <w:t>]</w:t>
            </w:r>
          </w:p>
        </w:tc>
        <w:tc>
          <w:tcPr>
            <w:tcW w:w="5671" w:type="dxa"/>
            <w:shd w:val="clear" w:color="auto" w:fill="auto"/>
          </w:tcPr>
          <w:p w:rsidR="006551B7" w:rsidRDefault="004627E8">
            <w:pPr>
              <w:pStyle w:val="Text1"/>
              <w:ind w:left="0"/>
              <w:rPr>
                <w:rFonts w:eastAsia="Calibri"/>
                <w:noProof/>
                <w:color w:val="000000"/>
                <w:szCs w:val="24"/>
              </w:rPr>
            </w:pPr>
            <w:r>
              <w:rPr>
                <w:noProof/>
              </w:rPr>
              <w:t>Upravlja revizijske datoteke CCN/CSI.</w:t>
            </w:r>
          </w:p>
        </w:tc>
      </w:tr>
      <w:tr w:rsidR="006551B7">
        <w:tc>
          <w:tcPr>
            <w:tcW w:w="2692" w:type="dxa"/>
            <w:shd w:val="clear" w:color="auto" w:fill="D9D9D9"/>
          </w:tcPr>
          <w:p w:rsidR="006551B7" w:rsidRDefault="004627E8">
            <w:pPr>
              <w:pStyle w:val="Text1"/>
              <w:ind w:left="0"/>
              <w:rPr>
                <w:b/>
                <w:noProof/>
              </w:rPr>
            </w:pPr>
            <w:r>
              <w:rPr>
                <w:b/>
                <w:noProof/>
              </w:rPr>
              <w:t>[OSP</w:t>
            </w:r>
            <w:r>
              <w:rPr>
                <w:rFonts w:eastAsia="Calibri"/>
                <w:b/>
                <w:noProof/>
                <w:szCs w:val="24"/>
              </w:rPr>
              <w:t>6</w:t>
            </w:r>
            <w:r>
              <w:rPr>
                <w:b/>
                <w:noProof/>
              </w:rPr>
              <w:t>]</w:t>
            </w:r>
          </w:p>
        </w:tc>
        <w:tc>
          <w:tcPr>
            <w:tcW w:w="5671" w:type="dxa"/>
            <w:shd w:val="clear" w:color="auto" w:fill="auto"/>
          </w:tcPr>
          <w:p w:rsidR="006551B7" w:rsidRDefault="004627E8">
            <w:pPr>
              <w:pStyle w:val="Text1"/>
              <w:ind w:left="0"/>
              <w:rPr>
                <w:rFonts w:eastAsia="Calibri"/>
                <w:noProof/>
                <w:color w:val="000000"/>
                <w:szCs w:val="24"/>
              </w:rPr>
            </w:pPr>
            <w:r>
              <w:rPr>
                <w:noProof/>
              </w:rPr>
              <w:t>Upravlja načrt naslovov CCN/CSI.</w:t>
            </w:r>
          </w:p>
        </w:tc>
      </w:tr>
      <w:tr w:rsidR="006551B7">
        <w:tc>
          <w:tcPr>
            <w:tcW w:w="2692" w:type="dxa"/>
            <w:shd w:val="clear" w:color="auto" w:fill="D9D9D9"/>
          </w:tcPr>
          <w:p w:rsidR="006551B7" w:rsidRDefault="004627E8">
            <w:pPr>
              <w:pStyle w:val="Text1"/>
              <w:ind w:left="0"/>
              <w:rPr>
                <w:b/>
                <w:noProof/>
              </w:rPr>
            </w:pPr>
            <w:r>
              <w:rPr>
                <w:b/>
                <w:noProof/>
              </w:rPr>
              <w:t>[OSP</w:t>
            </w:r>
            <w:r>
              <w:rPr>
                <w:rFonts w:eastAsia="Calibri"/>
                <w:b/>
                <w:noProof/>
                <w:szCs w:val="24"/>
              </w:rPr>
              <w:t>7</w:t>
            </w:r>
            <w:r>
              <w:rPr>
                <w:b/>
                <w:noProof/>
              </w:rPr>
              <w:t>]</w:t>
            </w:r>
          </w:p>
        </w:tc>
        <w:tc>
          <w:tcPr>
            <w:tcW w:w="5671" w:type="dxa"/>
            <w:shd w:val="clear" w:color="auto" w:fill="auto"/>
          </w:tcPr>
          <w:p w:rsidR="006551B7" w:rsidRDefault="004627E8">
            <w:pPr>
              <w:spacing w:before="0" w:after="0"/>
              <w:ind w:right="33"/>
              <w:jc w:val="left"/>
              <w:rPr>
                <w:rFonts w:eastAsia="Calibri"/>
                <w:noProof/>
                <w:szCs w:val="24"/>
              </w:rPr>
            </w:pPr>
            <w:r>
              <w:rPr>
                <w:noProof/>
              </w:rPr>
              <w:t>Spoštuje pravila in priporočila, poudarjena v „dokumentih o varnosti“:</w:t>
            </w:r>
          </w:p>
          <w:p w:rsidR="006551B7" w:rsidRDefault="004627E8">
            <w:pPr>
              <w:numPr>
                <w:ilvl w:val="0"/>
                <w:numId w:val="16"/>
              </w:numPr>
              <w:spacing w:before="0" w:after="0"/>
              <w:ind w:right="33"/>
              <w:contextualSpacing/>
              <w:jc w:val="left"/>
              <w:rPr>
                <w:rFonts w:eastAsia="Calibri"/>
                <w:noProof/>
                <w:szCs w:val="24"/>
              </w:rPr>
            </w:pPr>
            <w:r>
              <w:rPr>
                <w:noProof/>
              </w:rPr>
              <w:t xml:space="preserve">CCN/CSI General Security Policy (Splošna varnostna politika CCN/CSI) </w:t>
            </w:r>
            <w:r>
              <w:rPr>
                <w:noProof/>
                <w:color w:val="0000FF"/>
                <w:u w:val="single"/>
              </w:rPr>
              <w:t>RD3</w:t>
            </w:r>
            <w:r>
              <w:rPr>
                <w:noProof/>
              </w:rPr>
              <w:t>;</w:t>
            </w:r>
          </w:p>
          <w:p w:rsidR="006551B7" w:rsidRDefault="004627E8">
            <w:pPr>
              <w:pStyle w:val="Text1"/>
              <w:ind w:left="0"/>
              <w:rPr>
                <w:rFonts w:eastAsia="Calibri"/>
                <w:noProof/>
                <w:color w:val="000000"/>
                <w:szCs w:val="24"/>
              </w:rPr>
            </w:pPr>
            <w:r>
              <w:rPr>
                <w:noProof/>
              </w:rPr>
              <w:t xml:space="preserve">CCN/CSI Baseline Security Checklist (Osnovni varnostni kontrolni seznam za CCN/CSI) </w:t>
            </w:r>
            <w:r>
              <w:rPr>
                <w:noProof/>
                <w:color w:val="0000FF"/>
                <w:u w:val="single"/>
              </w:rPr>
              <w:t>RD4</w:t>
            </w:r>
            <w:r>
              <w:rPr>
                <w:noProof/>
              </w:rPr>
              <w:t>;</w:t>
            </w:r>
          </w:p>
        </w:tc>
      </w:tr>
      <w:tr w:rsidR="006551B7">
        <w:tc>
          <w:tcPr>
            <w:tcW w:w="2692" w:type="dxa"/>
            <w:shd w:val="clear" w:color="auto" w:fill="D9D9D9"/>
          </w:tcPr>
          <w:p w:rsidR="006551B7" w:rsidRDefault="004627E8">
            <w:pPr>
              <w:pStyle w:val="Text1"/>
              <w:ind w:left="0"/>
              <w:rPr>
                <w:b/>
                <w:noProof/>
              </w:rPr>
            </w:pPr>
            <w:r>
              <w:rPr>
                <w:b/>
                <w:noProof/>
              </w:rPr>
              <w:t>[OSP8]</w:t>
            </w:r>
          </w:p>
        </w:tc>
        <w:tc>
          <w:tcPr>
            <w:tcW w:w="5671" w:type="dxa"/>
            <w:shd w:val="clear" w:color="auto" w:fill="auto"/>
          </w:tcPr>
          <w:p w:rsidR="006551B7" w:rsidRDefault="004627E8">
            <w:pPr>
              <w:pStyle w:val="Text1"/>
              <w:ind w:left="0"/>
              <w:rPr>
                <w:rFonts w:eastAsia="Calibri"/>
                <w:noProof/>
                <w:color w:val="000000"/>
                <w:szCs w:val="24"/>
              </w:rPr>
            </w:pPr>
            <w:r>
              <w:rPr>
                <w:noProof/>
              </w:rPr>
              <w:t>Naročnik storitev mora občasno poskrbeti, da vzdrževanje ali druge pričakovane prekinitve dostopa ne bodo zmanjšale razpoložljivosti omrežja. V tem primeru naročnik storitev ponudnika storitev obvesti vsaj en mesec vnaprej. Če naročnik storitev ne more spoštovati te določbe glede zakasnitve, bo GD TAXUD presodil situacijo.</w:t>
            </w:r>
          </w:p>
        </w:tc>
      </w:tr>
      <w:tr w:rsidR="006551B7">
        <w:tc>
          <w:tcPr>
            <w:tcW w:w="2692" w:type="dxa"/>
            <w:shd w:val="clear" w:color="auto" w:fill="D9D9D9"/>
          </w:tcPr>
          <w:p w:rsidR="006551B7" w:rsidRDefault="004627E8">
            <w:pPr>
              <w:pStyle w:val="Text1"/>
              <w:ind w:left="0"/>
              <w:rPr>
                <w:b/>
                <w:noProof/>
              </w:rPr>
            </w:pPr>
            <w:r>
              <w:rPr>
                <w:b/>
                <w:noProof/>
              </w:rPr>
              <w:t>[OSP9]</w:t>
            </w:r>
          </w:p>
        </w:tc>
        <w:tc>
          <w:tcPr>
            <w:tcW w:w="5671" w:type="dxa"/>
            <w:shd w:val="clear" w:color="auto" w:fill="auto"/>
          </w:tcPr>
          <w:p w:rsidR="006551B7" w:rsidRDefault="004627E8">
            <w:pPr>
              <w:pStyle w:val="Text1"/>
              <w:ind w:left="0"/>
              <w:rPr>
                <w:rFonts w:eastAsia="Calibri"/>
                <w:noProof/>
                <w:color w:val="000000"/>
                <w:szCs w:val="24"/>
              </w:rPr>
            </w:pPr>
            <w:r>
              <w:rPr>
                <w:noProof/>
              </w:rPr>
              <w:t>Vse licence programske opreme, ki deluje na prehodih CCN, bo zagotovil GD TAXUD.</w:t>
            </w:r>
          </w:p>
        </w:tc>
      </w:tr>
      <w:tr w:rsidR="006551B7">
        <w:tc>
          <w:tcPr>
            <w:tcW w:w="2692" w:type="dxa"/>
            <w:shd w:val="clear" w:color="auto" w:fill="D9D9D9"/>
          </w:tcPr>
          <w:p w:rsidR="006551B7" w:rsidRDefault="004627E8">
            <w:pPr>
              <w:pStyle w:val="Text1"/>
              <w:ind w:left="0"/>
              <w:rPr>
                <w:b/>
                <w:noProof/>
              </w:rPr>
            </w:pPr>
            <w:r>
              <w:rPr>
                <w:b/>
                <w:noProof/>
              </w:rPr>
              <w:t>[OSP10]</w:t>
            </w:r>
          </w:p>
        </w:tc>
        <w:tc>
          <w:tcPr>
            <w:tcW w:w="5671" w:type="dxa"/>
            <w:shd w:val="clear" w:color="auto" w:fill="auto"/>
          </w:tcPr>
          <w:p w:rsidR="006551B7" w:rsidRDefault="004627E8">
            <w:pPr>
              <w:pStyle w:val="Text1"/>
              <w:ind w:left="0"/>
              <w:rPr>
                <w:rFonts w:eastAsia="Calibri"/>
                <w:noProof/>
                <w:color w:val="000000"/>
                <w:szCs w:val="24"/>
              </w:rPr>
            </w:pPr>
            <w:r>
              <w:rPr>
                <w:noProof/>
              </w:rPr>
              <w:t xml:space="preserve">Spoštuje politiko varnostnega kopiranja na lokacijah CCN/CSI (glej </w:t>
            </w:r>
            <w:r>
              <w:rPr>
                <w:noProof/>
                <w:color w:val="0000FF"/>
              </w:rPr>
              <w:t>RD2</w:t>
            </w:r>
            <w:r>
              <w:rPr>
                <w:noProof/>
              </w:rPr>
              <w:t>).</w:t>
            </w:r>
          </w:p>
        </w:tc>
      </w:tr>
      <w:tr w:rsidR="006551B7">
        <w:tc>
          <w:tcPr>
            <w:tcW w:w="2692" w:type="dxa"/>
            <w:shd w:val="clear" w:color="auto" w:fill="D9D9D9"/>
          </w:tcPr>
          <w:p w:rsidR="006551B7" w:rsidRDefault="004627E8">
            <w:pPr>
              <w:pStyle w:val="Text1"/>
              <w:ind w:left="0"/>
              <w:rPr>
                <w:b/>
                <w:noProof/>
              </w:rPr>
            </w:pPr>
            <w:r>
              <w:rPr>
                <w:b/>
                <w:noProof/>
              </w:rPr>
              <w:t>[OSP11]</w:t>
            </w:r>
          </w:p>
        </w:tc>
        <w:tc>
          <w:tcPr>
            <w:tcW w:w="5671" w:type="dxa"/>
            <w:shd w:val="clear" w:color="auto" w:fill="auto"/>
          </w:tcPr>
          <w:p w:rsidR="006551B7" w:rsidRDefault="004627E8">
            <w:pPr>
              <w:pStyle w:val="Text1"/>
              <w:ind w:left="0"/>
              <w:rPr>
                <w:rFonts w:eastAsia="Calibri"/>
                <w:noProof/>
                <w:color w:val="000000"/>
                <w:szCs w:val="24"/>
              </w:rPr>
            </w:pPr>
            <w:r>
              <w:rPr>
                <w:noProof/>
              </w:rPr>
              <w:t xml:space="preserve">Revidira sistem, kot je opredeljeno v </w:t>
            </w:r>
            <w:r>
              <w:rPr>
                <w:noProof/>
                <w:color w:val="0000FF"/>
              </w:rPr>
              <w:t>RD2</w:t>
            </w:r>
            <w:r>
              <w:rPr>
                <w:noProof/>
              </w:rPr>
              <w:t>.</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b/>
                <w:noProof/>
              </w:rPr>
            </w:pPr>
            <w:r>
              <w:rPr>
                <w:b/>
                <w:noProof/>
              </w:rPr>
              <w:t>[OSP12]</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color w:val="000000"/>
                <w:szCs w:val="24"/>
              </w:rPr>
            </w:pPr>
            <w:r>
              <w:rPr>
                <w:noProof/>
              </w:rPr>
              <w:t xml:space="preserve">Redno izvaja preglede varnosti sistema (System Security Checkup), kot so opredeljeni v </w:t>
            </w:r>
            <w:r>
              <w:rPr>
                <w:noProof/>
                <w:color w:val="0000FF"/>
              </w:rPr>
              <w:t>RD2</w:t>
            </w:r>
            <w:r>
              <w:rPr>
                <w:noProof/>
              </w:rPr>
              <w:t>.</w:t>
            </w:r>
          </w:p>
        </w:tc>
      </w:tr>
    </w:tbl>
    <w:p w:rsidR="006551B7" w:rsidRDefault="004627E8">
      <w:pPr>
        <w:spacing w:before="60"/>
        <w:jc w:val="center"/>
        <w:rPr>
          <w:rFonts w:eastAsia="Times New Roman"/>
          <w:noProof/>
          <w:sz w:val="20"/>
          <w:szCs w:val="20"/>
        </w:rPr>
      </w:pPr>
      <w:r>
        <w:rPr>
          <w:noProof/>
          <w:sz w:val="20"/>
        </w:rPr>
        <w:t>Preglednica 6: Obveznosti ponudnika storitev (OSP)</w:t>
      </w:r>
    </w:p>
    <w:p w:rsidR="006551B7" w:rsidRDefault="004627E8">
      <w:pPr>
        <w:pStyle w:val="ManualHeading2"/>
        <w:rPr>
          <w:noProof/>
        </w:rPr>
      </w:pPr>
      <w:bookmarkStart w:id="14" w:name="_Ref374535365"/>
      <w:r>
        <w:rPr>
          <w:noProof/>
        </w:rPr>
        <w:t>4.2</w:t>
      </w:r>
      <w:r>
        <w:rPr>
          <w:noProof/>
        </w:rPr>
        <w:tab/>
        <w:t>NALOGE NAROČNIKA STORITEV (OSR)</w:t>
      </w:r>
      <w:bookmarkEnd w:id="14"/>
    </w:p>
    <w:p w:rsidR="006551B7" w:rsidRDefault="004627E8">
      <w:pPr>
        <w:pStyle w:val="Text1"/>
        <w:rPr>
          <w:noProof/>
        </w:rPr>
      </w:pPr>
      <w:r>
        <w:rPr>
          <w:noProof/>
        </w:rPr>
        <w:t>Naročnik storitev:</w:t>
      </w:r>
    </w:p>
    <w:tbl>
      <w:tblPr>
        <w:tblStyle w:val="TableGrid"/>
        <w:tblW w:w="8363" w:type="dxa"/>
        <w:tblInd w:w="959" w:type="dxa"/>
        <w:tblLook w:val="04A0" w:firstRow="1" w:lastRow="0" w:firstColumn="1" w:lastColumn="0" w:noHBand="0" w:noVBand="1"/>
      </w:tblPr>
      <w:tblGrid>
        <w:gridCol w:w="2692"/>
        <w:gridCol w:w="5671"/>
      </w:tblGrid>
      <w:tr w:rsidR="006551B7">
        <w:tc>
          <w:tcPr>
            <w:tcW w:w="8363" w:type="dxa"/>
            <w:gridSpan w:val="2"/>
            <w:shd w:val="clear" w:color="auto" w:fill="D9D9D9" w:themeFill="background1" w:themeFillShade="D9"/>
          </w:tcPr>
          <w:p w:rsidR="006551B7" w:rsidRDefault="004627E8">
            <w:pPr>
              <w:pStyle w:val="Text1"/>
              <w:ind w:left="0"/>
              <w:jc w:val="center"/>
              <w:rPr>
                <w:noProof/>
                <w:szCs w:val="24"/>
              </w:rPr>
            </w:pPr>
            <w:r>
              <w:rPr>
                <w:b/>
                <w:noProof/>
              </w:rPr>
              <w:t>Tehnična in infrastrukturna raven</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b/>
                <w:noProof/>
              </w:rPr>
            </w:pPr>
            <w:r>
              <w:rPr>
                <w:b/>
                <w:noProof/>
              </w:rPr>
              <w:t>[OSR</w:t>
            </w:r>
            <w:r>
              <w:rPr>
                <w:rFonts w:eastAsia="Calibri"/>
                <w:b/>
                <w:noProof/>
                <w:szCs w:val="24"/>
              </w:rPr>
              <w:t>1</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spacing w:before="0" w:after="0"/>
              <w:ind w:right="33"/>
              <w:jc w:val="left"/>
              <w:rPr>
                <w:rFonts w:eastAsia="Calibri"/>
                <w:noProof/>
                <w:szCs w:val="24"/>
              </w:rPr>
            </w:pPr>
            <w:r>
              <w:rPr>
                <w:noProof/>
              </w:rPr>
              <w:t>V svojih prostorih hrani infrastrukturno opremo CCN GD TAXUD, ki jo priskrbi GD TAXUD, in zagotovi:</w:t>
            </w:r>
          </w:p>
          <w:p w:rsidR="006551B7" w:rsidRDefault="004627E8">
            <w:pPr>
              <w:numPr>
                <w:ilvl w:val="0"/>
                <w:numId w:val="19"/>
              </w:numPr>
              <w:spacing w:before="0" w:after="0"/>
              <w:ind w:right="33"/>
              <w:jc w:val="left"/>
              <w:rPr>
                <w:rFonts w:eastAsia="Calibri"/>
                <w:noProof/>
                <w:szCs w:val="24"/>
              </w:rPr>
            </w:pPr>
            <w:r>
              <w:rPr>
                <w:noProof/>
              </w:rPr>
              <w:t xml:space="preserve">ustrezne omare z režami/prostor za shranjevanje; </w:t>
            </w:r>
          </w:p>
          <w:p w:rsidR="006551B7" w:rsidRDefault="004627E8">
            <w:pPr>
              <w:numPr>
                <w:ilvl w:val="0"/>
                <w:numId w:val="19"/>
              </w:numPr>
              <w:spacing w:before="0" w:after="0"/>
              <w:ind w:right="33"/>
              <w:jc w:val="left"/>
              <w:rPr>
                <w:rFonts w:eastAsia="Calibri"/>
                <w:noProof/>
                <w:szCs w:val="24"/>
              </w:rPr>
            </w:pPr>
            <w:r>
              <w:rPr>
                <w:noProof/>
              </w:rPr>
              <w:t>ustrezno električno napajanje;</w:t>
            </w:r>
          </w:p>
          <w:p w:rsidR="006551B7" w:rsidRDefault="004627E8">
            <w:pPr>
              <w:pStyle w:val="Text1"/>
              <w:spacing w:before="0" w:after="0"/>
              <w:ind w:left="0"/>
              <w:jc w:val="left"/>
              <w:rPr>
                <w:rFonts w:eastAsia="Calibri"/>
                <w:noProof/>
                <w:color w:val="000000"/>
                <w:szCs w:val="24"/>
              </w:rPr>
            </w:pPr>
            <w:r>
              <w:rPr>
                <w:noProof/>
              </w:rPr>
              <w:t>ustrezno ogrevanje, prezračevanje in klimatizacijo.</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b/>
                <w:noProof/>
              </w:rPr>
            </w:pPr>
            <w:r>
              <w:rPr>
                <w:b/>
                <w:noProof/>
              </w:rPr>
              <w:t>[OSR</w:t>
            </w:r>
            <w:r>
              <w:rPr>
                <w:rFonts w:eastAsia="Calibri"/>
                <w:b/>
                <w:noProof/>
                <w:szCs w:val="24"/>
              </w:rPr>
              <w:t>2</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spacing w:before="0" w:after="0"/>
              <w:ind w:left="0"/>
              <w:jc w:val="left"/>
              <w:rPr>
                <w:rFonts w:eastAsia="Calibri"/>
                <w:noProof/>
                <w:color w:val="000000"/>
                <w:szCs w:val="24"/>
              </w:rPr>
            </w:pPr>
            <w:r>
              <w:rPr>
                <w:noProof/>
              </w:rPr>
              <w:t>Zagotovi, da so sestavni deli CCN/CSI „električno“ priključeni na UPS. Naročnik storitev mora zagotoviti posebne prilagoditve lokalnim standardom (npr. adapterje za vtičnice).</w:t>
            </w:r>
          </w:p>
        </w:tc>
      </w:tr>
      <w:tr w:rsidR="006551B7">
        <w:tc>
          <w:tcPr>
            <w:tcW w:w="8363" w:type="dxa"/>
            <w:gridSpan w:val="2"/>
            <w:shd w:val="clear" w:color="auto" w:fill="D9D9D9" w:themeFill="background1" w:themeFillShade="D9"/>
          </w:tcPr>
          <w:p w:rsidR="006551B7" w:rsidRDefault="004627E8">
            <w:pPr>
              <w:pStyle w:val="Text1"/>
              <w:ind w:left="0"/>
              <w:jc w:val="center"/>
              <w:rPr>
                <w:noProof/>
                <w:szCs w:val="24"/>
              </w:rPr>
            </w:pPr>
            <w:r>
              <w:rPr>
                <w:b/>
                <w:noProof/>
              </w:rPr>
              <w:t>Operativna in organizacijska raven</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b/>
                <w:noProof/>
              </w:rPr>
            </w:pPr>
            <w:r>
              <w:rPr>
                <w:b/>
                <w:noProof/>
              </w:rPr>
              <w:t>[OSR</w:t>
            </w:r>
            <w:r>
              <w:rPr>
                <w:rFonts w:eastAsia="Calibri"/>
                <w:b/>
                <w:noProof/>
                <w:szCs w:val="24"/>
              </w:rPr>
              <w:t>3</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color w:val="000000"/>
                <w:szCs w:val="24"/>
              </w:rPr>
            </w:pPr>
            <w:r>
              <w:rPr>
                <w:noProof/>
              </w:rPr>
              <w:t xml:space="preserve">Dodeli osebje, odgovorno za naloge iz </w:t>
            </w:r>
            <w:r>
              <w:rPr>
                <w:noProof/>
                <w:color w:val="0000FF"/>
                <w:u w:val="single"/>
              </w:rPr>
              <w:t>RD5</w:t>
            </w:r>
            <w:r>
              <w:rPr>
                <w:noProof/>
              </w:rPr>
              <w:t xml:space="preserve">. </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b/>
                <w:noProof/>
              </w:rPr>
            </w:pPr>
            <w:r>
              <w:rPr>
                <w:b/>
                <w:noProof/>
              </w:rPr>
              <w:t>[OSR</w:t>
            </w:r>
            <w:r>
              <w:rPr>
                <w:rFonts w:eastAsia="Calibri"/>
                <w:b/>
                <w:noProof/>
                <w:szCs w:val="24"/>
              </w:rPr>
              <w:t>4</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spacing w:before="0" w:after="0"/>
              <w:ind w:right="33"/>
              <w:rPr>
                <w:rFonts w:eastAsia="Calibri"/>
                <w:noProof/>
                <w:szCs w:val="24"/>
              </w:rPr>
            </w:pPr>
            <w:r>
              <w:rPr>
                <w:noProof/>
              </w:rPr>
              <w:t>Zagotovi prisotnost zunaj običajnega delovnega časa, kadar je to potrebno in kadar to zahteva ponudnik storitev.</w:t>
            </w:r>
          </w:p>
          <w:p w:rsidR="006551B7" w:rsidRDefault="004627E8">
            <w:pPr>
              <w:pStyle w:val="Text1"/>
              <w:ind w:left="0"/>
              <w:rPr>
                <w:rFonts w:eastAsia="Calibri"/>
                <w:noProof/>
                <w:color w:val="000000"/>
                <w:szCs w:val="24"/>
              </w:rPr>
            </w:pPr>
            <w:r>
              <w:rPr>
                <w:noProof/>
              </w:rPr>
              <w:t>Za nekatere dejavnosti, ki jih izvaja operater hrbteničnega omrežja ali ponudnik storitev, je morda potrebno usklajevanje in/ali prisotnost skrbnika lokalnega sistema uporabnika storitev. Za načrtovanje teh dejavnosti je treba obvestilo poslati vsaj en mesec vnaprej; potrebno je popolno sodelovanje, da se omogoči zapleteno načrtovanje zaradi velikega števila lokacij.</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b/>
                <w:noProof/>
              </w:rPr>
            </w:pPr>
            <w:r>
              <w:rPr>
                <w:b/>
                <w:noProof/>
              </w:rPr>
              <w:t>[OSR</w:t>
            </w:r>
            <w:r>
              <w:rPr>
                <w:rFonts w:eastAsia="Calibri"/>
                <w:b/>
                <w:noProof/>
                <w:szCs w:val="24"/>
              </w:rPr>
              <w:t>5</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color w:val="000000"/>
                <w:szCs w:val="24"/>
              </w:rPr>
            </w:pPr>
            <w:r>
              <w:rPr>
                <w:noProof/>
              </w:rPr>
              <w:t>Nikoli ne zaustavi nobene infrastrukturne opreme CCN GD TAXUD, ne da bi prej pridobil uradno dovoljenje ponudnika storitev.</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b/>
                <w:noProof/>
              </w:rPr>
            </w:pPr>
            <w:r>
              <w:rPr>
                <w:b/>
                <w:noProof/>
              </w:rPr>
              <w:t>[OSR</w:t>
            </w:r>
            <w:r>
              <w:rPr>
                <w:rFonts w:eastAsia="Calibri"/>
                <w:b/>
                <w:noProof/>
                <w:szCs w:val="24"/>
              </w:rPr>
              <w:t>6</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color w:val="000000"/>
                <w:szCs w:val="24"/>
              </w:rPr>
            </w:pPr>
            <w:r>
              <w:rPr>
                <w:noProof/>
              </w:rPr>
              <w:t>Zaprosi za uradno dovoljenje ponudnika storitev, preden na infrastrukturno opremo CCN GD TAXUD namesti dodatne sestavne dele strojne ali programske opreme, ki ne pripadajo dobavljenemu standardnemu paketu.</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b/>
                <w:noProof/>
              </w:rPr>
            </w:pPr>
            <w:r>
              <w:rPr>
                <w:b/>
                <w:noProof/>
              </w:rPr>
              <w:t>[OSR</w:t>
            </w:r>
            <w:r>
              <w:rPr>
                <w:rFonts w:eastAsia="Calibri"/>
                <w:b/>
                <w:noProof/>
                <w:szCs w:val="24"/>
              </w:rPr>
              <w:t>7</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color w:val="000000"/>
                <w:szCs w:val="24"/>
              </w:rPr>
            </w:pPr>
            <w:r>
              <w:rPr>
                <w:noProof/>
              </w:rPr>
              <w:t>Zagotovi jasen opis zaznanih/prijavljenih incidentov, ki jih sporoči naročnik storitev.</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b/>
                <w:noProof/>
              </w:rPr>
            </w:pPr>
            <w:r>
              <w:rPr>
                <w:b/>
                <w:noProof/>
              </w:rPr>
              <w:t>[OSR</w:t>
            </w:r>
            <w:r>
              <w:rPr>
                <w:rFonts w:eastAsia="Calibri"/>
                <w:b/>
                <w:noProof/>
                <w:szCs w:val="24"/>
              </w:rPr>
              <w:t>8</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color w:val="000000"/>
                <w:szCs w:val="24"/>
              </w:rPr>
            </w:pPr>
            <w:r>
              <w:rPr>
                <w:noProof/>
              </w:rPr>
              <w:t>Dejavno sodeluje s ponudnikom storitev in/ali njegovimi zastopniki, če je to potrebno za zagotavljanje storitev.</w:t>
            </w:r>
          </w:p>
        </w:tc>
      </w:tr>
      <w:tr w:rsidR="006551B7">
        <w:tc>
          <w:tcPr>
            <w:tcW w:w="8363" w:type="dxa"/>
            <w:gridSpan w:val="2"/>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jc w:val="center"/>
              <w:rPr>
                <w:rFonts w:eastAsia="Calibri"/>
                <w:b/>
                <w:noProof/>
                <w:szCs w:val="24"/>
              </w:rPr>
            </w:pPr>
            <w:r>
              <w:rPr>
                <w:b/>
                <w:noProof/>
              </w:rPr>
              <w:t>Komunikacijska raven</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rFonts w:eastAsia="Calibri"/>
                <w:b/>
                <w:noProof/>
                <w:szCs w:val="24"/>
              </w:rPr>
            </w:pPr>
            <w:r>
              <w:rPr>
                <w:b/>
                <w:noProof/>
              </w:rPr>
              <w:t>[OSR</w:t>
            </w:r>
            <w:r>
              <w:rPr>
                <w:rFonts w:eastAsia="Calibri"/>
                <w:b/>
                <w:noProof/>
                <w:szCs w:val="24"/>
              </w:rPr>
              <w:t>9</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szCs w:val="24"/>
              </w:rPr>
            </w:pPr>
            <w:r>
              <w:rPr>
                <w:noProof/>
              </w:rPr>
              <w:t>Uporablja izključno kontaktne točke ponudnika storitev in kontaktne točke znotraj svoje organizacije.</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rFonts w:eastAsia="Calibri"/>
                <w:b/>
                <w:noProof/>
                <w:szCs w:val="24"/>
              </w:rPr>
            </w:pPr>
            <w:r>
              <w:rPr>
                <w:b/>
                <w:noProof/>
              </w:rPr>
              <w:t>[OSR</w:t>
            </w:r>
            <w:r>
              <w:rPr>
                <w:rFonts w:eastAsia="Calibri"/>
                <w:b/>
                <w:noProof/>
                <w:szCs w:val="24"/>
              </w:rPr>
              <w:t>10</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szCs w:val="24"/>
              </w:rPr>
            </w:pPr>
            <w:r>
              <w:rPr>
                <w:noProof/>
              </w:rPr>
              <w:t>Ponudnika storitev obvesti o vsaki odsotnosti kontaktnih točk med delovnim časom ponudnika storitev ali vsaj zagotovi podporno službo, ki lahko nadomesti kontaktne točke.</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rFonts w:eastAsia="Calibri"/>
                <w:b/>
                <w:noProof/>
                <w:szCs w:val="24"/>
              </w:rPr>
            </w:pPr>
            <w:r>
              <w:rPr>
                <w:b/>
                <w:noProof/>
              </w:rPr>
              <w:t>[OSR</w:t>
            </w:r>
            <w:r>
              <w:rPr>
                <w:rFonts w:eastAsia="Calibri"/>
                <w:b/>
                <w:noProof/>
                <w:szCs w:val="24"/>
              </w:rPr>
              <w:t>11</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szCs w:val="24"/>
              </w:rPr>
            </w:pPr>
            <w:r>
              <w:rPr>
                <w:noProof/>
              </w:rPr>
              <w:t>Ponudnika storitev obvesti o vsaki spremembi svojih kontaktnih točk, in sicer vsaj pet delovnih dni pred začetkom veljavnosti te spremembe.</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rFonts w:eastAsia="Calibri"/>
                <w:b/>
                <w:noProof/>
                <w:szCs w:val="24"/>
              </w:rPr>
            </w:pPr>
            <w:r>
              <w:rPr>
                <w:b/>
                <w:noProof/>
              </w:rPr>
              <w:t>[OSR</w:t>
            </w:r>
            <w:r>
              <w:rPr>
                <w:rFonts w:eastAsia="Calibri"/>
                <w:b/>
                <w:noProof/>
                <w:szCs w:val="24"/>
              </w:rPr>
              <w:t>12</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spacing w:before="0" w:after="0"/>
              <w:ind w:right="33"/>
              <w:jc w:val="left"/>
              <w:rPr>
                <w:rFonts w:eastAsia="Calibri"/>
                <w:noProof/>
                <w:szCs w:val="24"/>
              </w:rPr>
            </w:pPr>
            <w:r>
              <w:rPr>
                <w:noProof/>
              </w:rPr>
              <w:t>Ponudnika storitev obvesti o vsakem načrtovanem vzdrževanju INFRASTRUKTURE, ki bi lahko vplivalo na infrastrukturno opremo CCN GD TAXUD, ki gostuje v prostorih uporabnika storitev (vsaj en teden vnaprej za vso opremo).</w:t>
            </w:r>
          </w:p>
          <w:p w:rsidR="006551B7" w:rsidRDefault="004627E8">
            <w:pPr>
              <w:pStyle w:val="Text1"/>
              <w:ind w:left="0"/>
              <w:rPr>
                <w:rFonts w:eastAsia="Calibri"/>
                <w:noProof/>
                <w:szCs w:val="24"/>
              </w:rPr>
            </w:pPr>
            <w:r>
              <w:rPr>
                <w:noProof/>
              </w:rPr>
              <w:t>Obvesti ga na primer o načrtovanih izpadih elektrike ali omrežne infrastrukture, preselitvi podatkovnega centra, spremembah naslova IP itd.</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rFonts w:eastAsia="Calibri"/>
                <w:b/>
                <w:noProof/>
                <w:szCs w:val="24"/>
              </w:rPr>
            </w:pPr>
            <w:r>
              <w:rPr>
                <w:b/>
                <w:noProof/>
              </w:rPr>
              <w:t>[OSR</w:t>
            </w:r>
            <w:r>
              <w:rPr>
                <w:rFonts w:eastAsia="Calibri"/>
                <w:b/>
                <w:noProof/>
                <w:szCs w:val="24"/>
              </w:rPr>
              <w:t>13</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szCs w:val="24"/>
              </w:rPr>
            </w:pPr>
            <w:r>
              <w:rPr>
                <w:noProof/>
              </w:rPr>
              <w:t>Ponudnika storitev obvesti o vseh zunanjih težavah, kot je izpad električnega toka, ki vpliva na dobro delovanje prehodov CCN in aplikacijskih platform.</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rFonts w:eastAsia="Calibri"/>
                <w:b/>
                <w:noProof/>
                <w:szCs w:val="24"/>
              </w:rPr>
            </w:pPr>
            <w:r>
              <w:rPr>
                <w:b/>
                <w:noProof/>
              </w:rPr>
              <w:t>[OSR</w:t>
            </w:r>
            <w:r>
              <w:rPr>
                <w:rFonts w:eastAsia="Calibri"/>
                <w:b/>
                <w:noProof/>
                <w:szCs w:val="24"/>
              </w:rPr>
              <w:t>14</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szCs w:val="24"/>
              </w:rPr>
            </w:pPr>
            <w:r>
              <w:rPr>
                <w:noProof/>
              </w:rPr>
              <w:t xml:space="preserve">Ponudnika storitev najmanj šest mesecev vnaprej z uradnim zahtevkom obvesti o vsaki preselitvi infrastrukturne opreme CCN GD TAXUD. Naročnik storitev prevzame odgovornost za stroške preselitve. Več podrobnosti o postopku je na voljo v </w:t>
            </w:r>
            <w:r>
              <w:rPr>
                <w:noProof/>
                <w:color w:val="0000FF"/>
                <w:u w:val="single"/>
              </w:rPr>
              <w:t>RD6</w:t>
            </w:r>
            <w:r>
              <w:rPr>
                <w:noProof/>
              </w:rPr>
              <w:t>.</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rFonts w:eastAsia="Calibri"/>
                <w:b/>
                <w:noProof/>
                <w:szCs w:val="24"/>
              </w:rPr>
            </w:pPr>
            <w:r>
              <w:rPr>
                <w:b/>
                <w:noProof/>
              </w:rPr>
              <w:t>[OSR</w:t>
            </w:r>
            <w:r>
              <w:rPr>
                <w:rFonts w:eastAsia="Calibri"/>
                <w:b/>
                <w:noProof/>
                <w:szCs w:val="24"/>
              </w:rPr>
              <w:t>15</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szCs w:val="24"/>
              </w:rPr>
            </w:pPr>
            <w:r>
              <w:rPr>
                <w:noProof/>
              </w:rPr>
              <w:t>Ponudnika storitev obvesti o vsakem izpadu zavarovanih povezav med infrastrukturo CCN GD TAXUD in naročnikom storitev (državno upravo ali ustreznim GD).</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rFonts w:eastAsia="Calibri"/>
                <w:b/>
                <w:noProof/>
                <w:szCs w:val="24"/>
              </w:rPr>
            </w:pPr>
            <w:r>
              <w:rPr>
                <w:b/>
                <w:noProof/>
              </w:rPr>
              <w:t>[OSR</w:t>
            </w:r>
            <w:r>
              <w:rPr>
                <w:rFonts w:eastAsia="Calibri"/>
                <w:b/>
                <w:noProof/>
                <w:szCs w:val="24"/>
              </w:rPr>
              <w:t>16</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szCs w:val="24"/>
              </w:rPr>
            </w:pPr>
            <w:r>
              <w:rPr>
                <w:noProof/>
              </w:rPr>
              <w:t>Ponudnika storitev obvesti o vseh izpadih delovanja aplikacijskih platform.</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rFonts w:eastAsia="Calibri"/>
                <w:b/>
                <w:noProof/>
                <w:szCs w:val="24"/>
              </w:rPr>
            </w:pPr>
            <w:r>
              <w:rPr>
                <w:b/>
                <w:noProof/>
              </w:rPr>
              <w:t>[OSR28]</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szCs w:val="24"/>
              </w:rPr>
            </w:pPr>
            <w:r>
              <w:rPr>
                <w:noProof/>
              </w:rPr>
              <w:t>Naročnik storitev mora vsak načrtovani izpad delovanja lokalnega krmilnika domene/računalniškega prostora (vključno z WAN) sporočiti vnaprej, in sicer en delovni teden pred takim izpadom. To GD TAXUD omogoča, da pošlje potrebna sporočila vsem drugim vključenim zainteresiranim stranem.</w:t>
            </w:r>
          </w:p>
        </w:tc>
      </w:tr>
      <w:tr w:rsidR="006551B7">
        <w:tc>
          <w:tcPr>
            <w:tcW w:w="8363" w:type="dxa"/>
            <w:gridSpan w:val="2"/>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jc w:val="center"/>
              <w:rPr>
                <w:rFonts w:eastAsia="Calibri"/>
                <w:b/>
                <w:noProof/>
                <w:szCs w:val="24"/>
              </w:rPr>
            </w:pPr>
            <w:r>
              <w:rPr>
                <w:b/>
                <w:noProof/>
              </w:rPr>
              <w:t>Varnostna raven in raven upravljanja uporabnikov</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rFonts w:eastAsia="Calibri"/>
                <w:b/>
                <w:noProof/>
                <w:szCs w:val="24"/>
              </w:rPr>
            </w:pPr>
            <w:r>
              <w:rPr>
                <w:b/>
                <w:noProof/>
              </w:rPr>
              <w:t>[OSR</w:t>
            </w:r>
            <w:r>
              <w:rPr>
                <w:rFonts w:eastAsia="Calibri"/>
                <w:b/>
                <w:noProof/>
                <w:szCs w:val="24"/>
              </w:rPr>
              <w:t>17</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szCs w:val="24"/>
              </w:rPr>
            </w:pPr>
            <w:r>
              <w:rPr>
                <w:noProof/>
              </w:rPr>
              <w:t xml:space="preserve">Upravlja lokalne uporabniške račune na prehodu CCN (glej </w:t>
            </w:r>
            <w:r>
              <w:rPr>
                <w:noProof/>
                <w:color w:val="0000FF"/>
              </w:rPr>
              <w:t>RD2</w:t>
            </w:r>
            <w:r>
              <w:rPr>
                <w:noProof/>
              </w:rPr>
              <w:t>).</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rFonts w:eastAsia="Calibri"/>
                <w:b/>
                <w:noProof/>
                <w:szCs w:val="24"/>
              </w:rPr>
            </w:pPr>
            <w:r>
              <w:rPr>
                <w:b/>
                <w:noProof/>
              </w:rPr>
              <w:t>[OSR</w:t>
            </w:r>
            <w:r>
              <w:rPr>
                <w:rFonts w:eastAsia="Calibri"/>
                <w:b/>
                <w:noProof/>
                <w:szCs w:val="24"/>
              </w:rPr>
              <w:t>18</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szCs w:val="24"/>
              </w:rPr>
            </w:pPr>
            <w:r>
              <w:rPr>
                <w:noProof/>
              </w:rPr>
              <w:t>Po potrebi da dovoljenje za fizični dostop do opreme osebju, ki ga je pooblastil ponudnik storitev.</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rFonts w:eastAsia="Calibri"/>
                <w:b/>
                <w:noProof/>
                <w:szCs w:val="24"/>
              </w:rPr>
            </w:pPr>
            <w:r>
              <w:rPr>
                <w:b/>
                <w:noProof/>
              </w:rPr>
              <w:t>[OSR</w:t>
            </w:r>
            <w:r>
              <w:rPr>
                <w:rFonts w:eastAsia="Calibri"/>
                <w:b/>
                <w:noProof/>
                <w:szCs w:val="24"/>
              </w:rPr>
              <w:t>19</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szCs w:val="24"/>
              </w:rPr>
            </w:pPr>
            <w:r>
              <w:rPr>
                <w:noProof/>
              </w:rPr>
              <w:t xml:space="preserve">Odobri ustrezna vrata TCP v omrežju uporabnikov storitev (nacionalna domena) (glej </w:t>
            </w:r>
            <w:r>
              <w:rPr>
                <w:noProof/>
                <w:color w:val="0000FF"/>
              </w:rPr>
              <w:t>RD2</w:t>
            </w:r>
            <w:r>
              <w:rPr>
                <w:noProof/>
              </w:rPr>
              <w:t>).</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rFonts w:eastAsia="Calibri"/>
                <w:b/>
                <w:noProof/>
                <w:szCs w:val="24"/>
              </w:rPr>
            </w:pPr>
            <w:r>
              <w:rPr>
                <w:b/>
                <w:noProof/>
              </w:rPr>
              <w:t>[OSR</w:t>
            </w:r>
            <w:r>
              <w:rPr>
                <w:rFonts w:eastAsia="Calibri"/>
                <w:b/>
                <w:noProof/>
                <w:szCs w:val="24"/>
              </w:rPr>
              <w:t>20</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szCs w:val="24"/>
              </w:rPr>
            </w:pPr>
            <w:r>
              <w:rPr>
                <w:noProof/>
              </w:rPr>
              <w:t>Zagotovi, da so naprave za omrežno šifriranje (trenutno Juniper SSG) na lokaciji naročnika storitev postavljene na območju z nadzorovanim dostopom.</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rFonts w:eastAsia="Calibri"/>
                <w:b/>
                <w:noProof/>
                <w:szCs w:val="24"/>
              </w:rPr>
            </w:pPr>
            <w:r>
              <w:rPr>
                <w:b/>
                <w:noProof/>
              </w:rPr>
              <w:t>[OSR</w:t>
            </w:r>
            <w:r>
              <w:rPr>
                <w:rFonts w:eastAsia="Calibri"/>
                <w:b/>
                <w:noProof/>
                <w:szCs w:val="24"/>
              </w:rPr>
              <w:t>21</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szCs w:val="24"/>
              </w:rPr>
            </w:pPr>
            <w:r>
              <w:rPr>
                <w:noProof/>
              </w:rPr>
              <w:t>Omeji dostop do vseh naprav infrastrukture CCN GD TAXUD na pooblaščeno osebje. Dostop se odobri le na zahtevo skrbnika za varnost CCN. Nezaželen dostop do teh naprav lahko ogrozi varnost ali vsaj povzroči izpade omrežja.</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rFonts w:eastAsia="Calibri"/>
                <w:b/>
                <w:noProof/>
                <w:szCs w:val="24"/>
              </w:rPr>
            </w:pPr>
            <w:r>
              <w:rPr>
                <w:b/>
                <w:noProof/>
              </w:rPr>
              <w:t>[OSR</w:t>
            </w:r>
            <w:r>
              <w:rPr>
                <w:rFonts w:eastAsia="Calibri"/>
                <w:b/>
                <w:noProof/>
                <w:szCs w:val="24"/>
              </w:rPr>
              <w:t>22</w:t>
            </w:r>
            <w:r>
              <w:rPr>
                <w:b/>
                <w:noProof/>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spacing w:before="0" w:after="0"/>
              <w:ind w:right="33"/>
              <w:jc w:val="left"/>
              <w:rPr>
                <w:rFonts w:eastAsia="Calibri"/>
                <w:noProof/>
                <w:szCs w:val="24"/>
              </w:rPr>
            </w:pPr>
            <w:r>
              <w:rPr>
                <w:noProof/>
              </w:rPr>
              <w:t>Spoštuje pravila in priporočila, poudarjena v „dokumentih o varnosti“:</w:t>
            </w:r>
          </w:p>
          <w:p w:rsidR="006551B7" w:rsidRDefault="004627E8">
            <w:pPr>
              <w:numPr>
                <w:ilvl w:val="0"/>
                <w:numId w:val="17"/>
              </w:numPr>
              <w:spacing w:before="0" w:after="0"/>
              <w:ind w:right="33"/>
              <w:contextualSpacing/>
              <w:jc w:val="left"/>
              <w:rPr>
                <w:rFonts w:eastAsia="Calibri"/>
                <w:noProof/>
                <w:szCs w:val="24"/>
              </w:rPr>
            </w:pPr>
            <w:r>
              <w:rPr>
                <w:noProof/>
              </w:rPr>
              <w:t xml:space="preserve">CCN/CSI General Security Policy (Splošna varnostna politika CCN/CSI) </w:t>
            </w:r>
            <w:r>
              <w:rPr>
                <w:noProof/>
                <w:color w:val="0000FF"/>
                <w:u w:val="single"/>
              </w:rPr>
              <w:t>RD5</w:t>
            </w:r>
            <w:r>
              <w:rPr>
                <w:noProof/>
                <w:color w:val="0000FF"/>
              </w:rPr>
              <w:t>;</w:t>
            </w:r>
          </w:p>
          <w:p w:rsidR="006551B7" w:rsidRDefault="004627E8">
            <w:pPr>
              <w:pStyle w:val="Text1"/>
              <w:numPr>
                <w:ilvl w:val="0"/>
                <w:numId w:val="37"/>
              </w:numPr>
              <w:rPr>
                <w:rFonts w:eastAsia="Calibri"/>
                <w:noProof/>
                <w:szCs w:val="24"/>
              </w:rPr>
            </w:pPr>
            <w:r>
              <w:rPr>
                <w:noProof/>
              </w:rPr>
              <w:t xml:space="preserve">CCN/CSI Baseline Security Checklist (Osnovni varnostni kontrolni seznam za CCN/CSI) </w:t>
            </w:r>
            <w:r w:rsidRPr="004627E8">
              <w:rPr>
                <w:rStyle w:val="Hyperlink"/>
                <w:noProof/>
              </w:rPr>
              <w:t>RD6</w:t>
            </w:r>
            <w:r>
              <w:rPr>
                <w:noProof/>
              </w:rPr>
              <w:t>.</w:t>
            </w:r>
          </w:p>
        </w:tc>
      </w:tr>
      <w:tr w:rsidR="006551B7">
        <w:tc>
          <w:tcPr>
            <w:tcW w:w="8363" w:type="dxa"/>
            <w:gridSpan w:val="2"/>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jc w:val="center"/>
              <w:rPr>
                <w:rFonts w:eastAsia="Calibri"/>
                <w:noProof/>
                <w:szCs w:val="24"/>
              </w:rPr>
            </w:pPr>
            <w:r>
              <w:rPr>
                <w:b/>
                <w:noProof/>
              </w:rPr>
              <w:t>Razvoj upravljanja aplikacij</w:t>
            </w:r>
          </w:p>
        </w:tc>
      </w:tr>
      <w:tr w:rsidR="006551B7">
        <w:tc>
          <w:tcPr>
            <w:tcW w:w="2692" w:type="dxa"/>
            <w:tcBorders>
              <w:top w:val="single" w:sz="4" w:space="0" w:color="auto"/>
              <w:left w:val="single" w:sz="4" w:space="0" w:color="auto"/>
              <w:bottom w:val="single" w:sz="4" w:space="0" w:color="auto"/>
              <w:right w:val="single" w:sz="4" w:space="0" w:color="auto"/>
            </w:tcBorders>
            <w:shd w:val="clear" w:color="auto" w:fill="D9D9D9"/>
          </w:tcPr>
          <w:p w:rsidR="006551B7" w:rsidRDefault="004627E8">
            <w:pPr>
              <w:pStyle w:val="Text1"/>
              <w:ind w:left="0"/>
              <w:rPr>
                <w:rFonts w:eastAsia="Calibri"/>
                <w:b/>
                <w:noProof/>
                <w:szCs w:val="24"/>
              </w:rPr>
            </w:pPr>
            <w:r>
              <w:rPr>
                <w:b/>
                <w:noProof/>
              </w:rPr>
              <w:t>[OSR27]</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551B7" w:rsidRDefault="004627E8">
            <w:pPr>
              <w:pStyle w:val="Text1"/>
              <w:ind w:left="0"/>
              <w:rPr>
                <w:rFonts w:eastAsia="Calibri"/>
                <w:noProof/>
                <w:szCs w:val="24"/>
              </w:rPr>
            </w:pPr>
            <w:r>
              <w:rPr>
                <w:noProof/>
              </w:rPr>
              <w:t xml:space="preserve">Naročnik storitev je edini odgovoren za razvoj, podporo in upravljanje svojih aplikacij. Te morajo biti v skladu s pravili iz </w:t>
            </w:r>
            <w:r>
              <w:rPr>
                <w:noProof/>
                <w:color w:val="0000FF"/>
              </w:rPr>
              <w:t>RD8</w:t>
            </w:r>
            <w:r>
              <w:rPr>
                <w:noProof/>
              </w:rPr>
              <w:t>.</w:t>
            </w:r>
          </w:p>
        </w:tc>
      </w:tr>
    </w:tbl>
    <w:p w:rsidR="006551B7" w:rsidRDefault="004627E8">
      <w:pPr>
        <w:spacing w:before="60"/>
        <w:jc w:val="center"/>
        <w:rPr>
          <w:rFonts w:eastAsia="Times New Roman"/>
          <w:noProof/>
          <w:sz w:val="20"/>
          <w:szCs w:val="20"/>
        </w:rPr>
      </w:pPr>
      <w:r>
        <w:rPr>
          <w:noProof/>
          <w:sz w:val="20"/>
        </w:rPr>
        <w:t>Preglednica 7: Obveznosti naročnikov storitev (OSR)</w:t>
      </w:r>
    </w:p>
    <w:p w:rsidR="006551B7" w:rsidRDefault="004627E8">
      <w:pPr>
        <w:pStyle w:val="ManualHeading2"/>
        <w:rPr>
          <w:noProof/>
        </w:rPr>
      </w:pPr>
      <w:r>
        <w:rPr>
          <w:noProof/>
        </w:rPr>
        <w:t>4.3</w:t>
      </w:r>
      <w:r>
        <w:rPr>
          <w:noProof/>
        </w:rPr>
        <w:tab/>
        <w:t>STORITVE, KI JIH ZAGOTAVLJA PONUDNIK STORITEV</w:t>
      </w:r>
    </w:p>
    <w:p w:rsidR="006551B7" w:rsidRDefault="004627E8">
      <w:pPr>
        <w:pStyle w:val="ManualHeading3"/>
        <w:rPr>
          <w:b/>
          <w:noProof/>
        </w:rPr>
      </w:pPr>
      <w:r>
        <w:rPr>
          <w:b/>
          <w:noProof/>
        </w:rPr>
        <w:t>4.3.1</w:t>
      </w:r>
      <w:r>
        <w:rPr>
          <w:b/>
          <w:noProof/>
        </w:rPr>
        <w:tab/>
      </w:r>
      <w:r>
        <w:rPr>
          <w:b/>
          <w:noProof/>
          <w:u w:val="single"/>
        </w:rPr>
        <w:t>Storitveni center IT</w:t>
      </w:r>
      <w:r>
        <w:rPr>
          <w:b/>
          <w:noProof/>
        </w:rPr>
        <w:t xml:space="preserve"> </w:t>
      </w:r>
    </w:p>
    <w:p w:rsidR="006551B7" w:rsidRDefault="004627E8">
      <w:pPr>
        <w:pStyle w:val="Text1"/>
        <w:rPr>
          <w:noProof/>
        </w:rPr>
      </w:pPr>
      <w:r>
        <w:rPr>
          <w:noProof/>
        </w:rPr>
        <w:t>Ponudnik storitev ponuja konsolidirani storitveni center IT z upravljanjem incidentov in odpravljanjem težav. Storitveni center IT presega obseg klasičnih storitev služb za podporo uporabnikom in ponuja bolj splošno usmerjen pristop, s čimer omogoča vključitev poslovnih procesov v upravljanje storitev CCN/CSI.</w:t>
      </w:r>
    </w:p>
    <w:p w:rsidR="006551B7" w:rsidRDefault="004627E8">
      <w:pPr>
        <w:pStyle w:val="Text1"/>
        <w:rPr>
          <w:noProof/>
        </w:rPr>
      </w:pPr>
      <w:r>
        <w:rPr>
          <w:noProof/>
        </w:rPr>
        <w:t>Storitveni center IT dejansko ne obravnava le incidentov, težav in vprašanj, ampak zagotavlja vmesnik za druge dejavnosti, kot so zahtevki za spremembe, pogodbe o vzdrževanju, licence programske opreme, upravljanje ravni storitev, upravljanje konfiguracije, upravljanje razpoložljivosti, upravljanje varnosti in upravljanje neprekinjenega delovanja storitev IT.</w:t>
      </w:r>
    </w:p>
    <w:p w:rsidR="006551B7" w:rsidRDefault="004627E8">
      <w:pPr>
        <w:pStyle w:val="Text1"/>
        <w:rPr>
          <w:noProof/>
        </w:rPr>
      </w:pPr>
      <w:r>
        <w:rPr>
          <w:noProof/>
        </w:rPr>
        <w:t>Storitveni center IT naročnika storitev tudi na lastno pobudo obvešča o vseh nujnih informacijah, s čimer deluje kot center za posredovanje informacij za naročnika storitev.</w:t>
      </w:r>
    </w:p>
    <w:p w:rsidR="006551B7" w:rsidRDefault="004627E8">
      <w:pPr>
        <w:pStyle w:val="Text1"/>
        <w:rPr>
          <w:noProof/>
        </w:rPr>
      </w:pPr>
      <w:r>
        <w:rPr>
          <w:noProof/>
        </w:rPr>
        <w:t>Obvestilo je opredeljeno kot sporočilo, ki ga izda ponudnik storitev in ki naročnika storitev opozarja na dogodek, ki bi lahko vplival na delovanje CCN/CSI: nedostopnost prehoda, izpad sistema, okvare, vzdrževanje infrastrukture ali posodobitev programske opreme.</w:t>
      </w:r>
    </w:p>
    <w:p w:rsidR="006551B7" w:rsidRDefault="004627E8">
      <w:pPr>
        <w:pStyle w:val="Text1"/>
        <w:rPr>
          <w:b/>
          <w:noProof/>
          <w:sz w:val="22"/>
        </w:rPr>
      </w:pPr>
      <w:r>
        <w:rPr>
          <w:noProof/>
        </w:rPr>
        <w:t>Povezava med storitvenim centrom IT in naročnikom storitev je dosežena prek kontaktne točke ponudnika storitev ali prek spletnega portala ITSM, ki naročniku storitev zagotavlja spletne storitve, kot so sledenje servisnim klicem; orodje ACT in spletni portal CCN, ki zagotavlja območje za prenos paketov CSI, dostop do statističnih podatkov in informacij o spremljanju itd</w:t>
      </w:r>
      <w:r>
        <w:rPr>
          <w:noProof/>
          <w:sz w:val="22"/>
        </w:rPr>
        <w:t>.</w:t>
      </w:r>
    </w:p>
    <w:p w:rsidR="006551B7" w:rsidRDefault="004627E8">
      <w:pPr>
        <w:pStyle w:val="ManualHeading4"/>
        <w:rPr>
          <w:noProof/>
        </w:rPr>
      </w:pPr>
      <w:r>
        <w:rPr>
          <w:noProof/>
        </w:rPr>
        <w:t>4.3.1.1</w:t>
      </w:r>
      <w:r>
        <w:rPr>
          <w:noProof/>
        </w:rPr>
        <w:tab/>
      </w:r>
      <w:r>
        <w:rPr>
          <w:i/>
          <w:noProof/>
        </w:rPr>
        <w:t>Upravljanje incidentov in odpravljanje težav</w:t>
      </w:r>
    </w:p>
    <w:p w:rsidR="006551B7" w:rsidRDefault="004627E8">
      <w:pPr>
        <w:pStyle w:val="Text1"/>
        <w:rPr>
          <w:noProof/>
        </w:rPr>
      </w:pPr>
      <w:r>
        <w:rPr>
          <w:noProof/>
        </w:rPr>
        <w:t>Ta služba obravnava incidente, ki jih sporočijo uporabniki storitvenega centra (vključno z operacijami sistema). Incident se lahko opredeli kot preprosto zaprosilo za pridobitev podatkov ali pojasnilo, vendar se lahko razvrsti tudi kot prijava neskladnega obnašanja določenega sestavnega dela.</w:t>
      </w:r>
    </w:p>
    <w:p w:rsidR="006551B7" w:rsidRDefault="004627E8">
      <w:pPr>
        <w:pStyle w:val="Text1"/>
        <w:rPr>
          <w:noProof/>
        </w:rPr>
      </w:pPr>
      <w:r>
        <w:rPr>
          <w:noProof/>
        </w:rPr>
        <w:t>Incident je opredeljen kot nepričakovan dogodek, ki ni del standardnega delovanja infrastrukture, ali nepravilno delovanje, ki poslabša kakovost operativne storitve CCN/CSI. Incident je odpravljen, ko je storitev ponovno vzpostavljena.</w:t>
      </w:r>
    </w:p>
    <w:p w:rsidR="006551B7" w:rsidRDefault="004627E8">
      <w:pPr>
        <w:pStyle w:val="Text1"/>
        <w:rPr>
          <w:noProof/>
        </w:rPr>
      </w:pPr>
      <w:r>
        <w:rPr>
          <w:noProof/>
        </w:rPr>
        <w:t>Incident je lahko povezan z naslednjimi konfiguracijskimi elementi:</w:t>
      </w:r>
    </w:p>
    <w:p w:rsidR="006551B7" w:rsidRDefault="004627E8">
      <w:pPr>
        <w:pStyle w:val="Bullet1"/>
        <w:rPr>
          <w:noProof/>
        </w:rPr>
      </w:pPr>
      <w:r>
        <w:rPr>
          <w:noProof/>
        </w:rPr>
        <w:t>strojno opremo, za katero je odgovoren ponudnik storitev: prehodi CCN, varnostnimi napravami, usmerjevalniki v prostorih strank (Customer Premises Routers – CPR) in drugimi napravami za omrežno povezljivost v lokalnem omrežju, priklopljenem na EuroDomain (infrastruktura CCN GD TAXUD);</w:t>
      </w:r>
    </w:p>
    <w:p w:rsidR="006551B7" w:rsidRDefault="004627E8">
      <w:pPr>
        <w:pStyle w:val="Bullet1"/>
        <w:rPr>
          <w:noProof/>
        </w:rPr>
      </w:pPr>
      <w:r>
        <w:rPr>
          <w:noProof/>
        </w:rPr>
        <w:t>programsko opremo, ki se izvaja na napravah za šifriranje;</w:t>
      </w:r>
    </w:p>
    <w:p w:rsidR="006551B7" w:rsidRDefault="004627E8">
      <w:pPr>
        <w:pStyle w:val="Bullet1"/>
        <w:rPr>
          <w:noProof/>
        </w:rPr>
      </w:pPr>
      <w:r>
        <w:rPr>
          <w:noProof/>
        </w:rPr>
        <w:t>sistemsko programsko opremo, ki se izvaja na prehodih: operacijskimi sistemi, osnovno komunikacijsko programsko opremo, kot je TCP/IP, itd.;</w:t>
      </w:r>
    </w:p>
    <w:p w:rsidR="006551B7" w:rsidRDefault="004627E8">
      <w:pPr>
        <w:pStyle w:val="Bullet1"/>
        <w:rPr>
          <w:noProof/>
        </w:rPr>
      </w:pPr>
      <w:r>
        <w:rPr>
          <w:noProof/>
        </w:rPr>
        <w:t>programsko opremo tretjih oseb, ki se izvaja na prehodih, kot so Tuxedo, MQSeries, Sun ONE Directory Server, PostgreSQL, Apache itd.;</w:t>
      </w:r>
    </w:p>
    <w:p w:rsidR="006551B7" w:rsidRDefault="004627E8">
      <w:pPr>
        <w:pStyle w:val="Bullet1"/>
        <w:rPr>
          <w:noProof/>
        </w:rPr>
      </w:pPr>
      <w:r>
        <w:rPr>
          <w:noProof/>
        </w:rPr>
        <w:t>sistemom CCN Mail III;</w:t>
      </w:r>
    </w:p>
    <w:p w:rsidR="006551B7" w:rsidRDefault="004627E8">
      <w:pPr>
        <w:pStyle w:val="Bullet1"/>
        <w:rPr>
          <w:noProof/>
        </w:rPr>
      </w:pPr>
      <w:r>
        <w:rPr>
          <w:noProof/>
        </w:rPr>
        <w:t>programsko opremo CCN/CSI, ki se izvaja na prehodih;</w:t>
      </w:r>
    </w:p>
    <w:p w:rsidR="006551B7" w:rsidRDefault="004627E8">
      <w:pPr>
        <w:pStyle w:val="Bullet1"/>
        <w:rPr>
          <w:noProof/>
        </w:rPr>
      </w:pPr>
      <w:r>
        <w:rPr>
          <w:noProof/>
        </w:rPr>
        <w:t>programsko opremo CSI, ki se izvaja na aplikacijskih platformah;</w:t>
      </w:r>
    </w:p>
    <w:p w:rsidR="006551B7" w:rsidRDefault="004627E8">
      <w:pPr>
        <w:pStyle w:val="Bullet1"/>
        <w:rPr>
          <w:noProof/>
        </w:rPr>
      </w:pPr>
      <w:r>
        <w:rPr>
          <w:noProof/>
        </w:rPr>
        <w:t>točko za varen internetni dostop (Secure Internet Access Point – SIAP) – enotna zaščita.</w:t>
      </w:r>
    </w:p>
    <w:p w:rsidR="006551B7" w:rsidRDefault="004627E8">
      <w:pPr>
        <w:pStyle w:val="Text1"/>
        <w:rPr>
          <w:noProof/>
        </w:rPr>
      </w:pPr>
      <w:r>
        <w:rPr>
          <w:noProof/>
        </w:rPr>
        <w:t>Težava se opredeli na podlagi enega incidenta, ki zelo škodljivo vpliva na uporabniško storitev in vzrok katerega ni znan, ali na podlagi več incidentov, ki kažejo skupne simptome. Težava je rešena, ko je vzrok opredeljen in odpravljen.</w:t>
      </w:r>
    </w:p>
    <w:p w:rsidR="006551B7" w:rsidRDefault="004627E8">
      <w:pPr>
        <w:pStyle w:val="Text1"/>
        <w:rPr>
          <w:noProof/>
        </w:rPr>
      </w:pPr>
      <w:r>
        <w:rPr>
          <w:noProof/>
        </w:rPr>
        <w:t xml:space="preserve">Kadar pride do incidenta, se stanje razišče, da se (po potrebi) ponovno vzpostavijo operativne storitve CCN/CSI in odkrije poglavitni vzrok incidenta. Ponudnik storitev pomaga rešiti incidente v aplikacijski programski opremi državne uprave na ravni vmesnika za povezavo s CCN/CSI, če to ne vpliva na druge storitve, ki jih mora zagotoviti ponudnik storitev. Pomoč ponudnika storitev vključuje zagotavljanje informacij o pravilni uporabi CCN/CSI. </w:t>
      </w:r>
      <w:r>
        <w:rPr>
          <w:b/>
          <w:noProof/>
          <w:u w:val="single"/>
        </w:rPr>
        <w:t>Ne vključuje pa sodelovanja pri odpravljanju napak v aplikacijski programski opremi državne uprave.</w:t>
      </w:r>
    </w:p>
    <w:p w:rsidR="006551B7" w:rsidRDefault="004627E8">
      <w:pPr>
        <w:pStyle w:val="ManualHeading3"/>
        <w:rPr>
          <w:b/>
          <w:noProof/>
        </w:rPr>
      </w:pPr>
      <w:r>
        <w:rPr>
          <w:b/>
          <w:noProof/>
        </w:rPr>
        <w:t>4.3.2</w:t>
      </w:r>
      <w:r>
        <w:rPr>
          <w:b/>
          <w:noProof/>
        </w:rPr>
        <w:tab/>
      </w:r>
      <w:r>
        <w:rPr>
          <w:b/>
          <w:noProof/>
          <w:u w:val="single"/>
        </w:rPr>
        <w:t>Orodja, ki podpirajo upravljanje storitev</w:t>
      </w:r>
      <w:r>
        <w:rPr>
          <w:b/>
          <w:noProof/>
        </w:rPr>
        <w:t xml:space="preserve"> </w:t>
      </w:r>
    </w:p>
    <w:p w:rsidR="006551B7" w:rsidRDefault="004627E8">
      <w:pPr>
        <w:pStyle w:val="Text1"/>
        <w:rPr>
          <w:noProof/>
        </w:rPr>
      </w:pPr>
      <w:r>
        <w:rPr>
          <w:noProof/>
        </w:rPr>
        <w:t>Spremljanje infrastrukture prehodov CCN, aplikacij in čakalnih vrst CCN je podprto z družino izdelkov IBM® Tivoli Monitoring (Tivoli Monitoring) in IBM Tivoli Composite Application Manager (ITCAM).</w:t>
      </w:r>
    </w:p>
    <w:p w:rsidR="006551B7" w:rsidRDefault="004627E8">
      <w:pPr>
        <w:pStyle w:val="Text1"/>
        <w:rPr>
          <w:noProof/>
        </w:rPr>
      </w:pPr>
      <w:r>
        <w:rPr>
          <w:noProof/>
        </w:rPr>
        <w:t xml:space="preserve">Storitev CCN Tivoli Monitoring and Reporting (spremljanje in poročanje CCN Tivoli), ki temelji na programskem naboru IBM Tivoli Monitoring, zagotavlja naslednje funkcije: </w:t>
      </w:r>
    </w:p>
    <w:p w:rsidR="006551B7" w:rsidRDefault="004627E8">
      <w:pPr>
        <w:pStyle w:val="Bullet1"/>
        <w:rPr>
          <w:noProof/>
        </w:rPr>
      </w:pPr>
      <w:r>
        <w:rPr>
          <w:noProof/>
        </w:rPr>
        <w:t>spremljanje čakalnih vrst aplikacij na prehodih CCN (WebSphere MQ);</w:t>
      </w:r>
    </w:p>
    <w:p w:rsidR="006551B7" w:rsidRDefault="004627E8">
      <w:pPr>
        <w:pStyle w:val="Bullet1"/>
        <w:rPr>
          <w:noProof/>
        </w:rPr>
      </w:pPr>
      <w:r>
        <w:rPr>
          <w:noProof/>
        </w:rPr>
        <w:t>spremljanje stanja operacijskega sistema prehodov CCN;</w:t>
      </w:r>
    </w:p>
    <w:p w:rsidR="006551B7" w:rsidRDefault="004627E8">
      <w:pPr>
        <w:pStyle w:val="Bullet1"/>
        <w:rPr>
          <w:noProof/>
        </w:rPr>
      </w:pPr>
      <w:r>
        <w:rPr>
          <w:noProof/>
        </w:rPr>
        <w:t>uporabo procesorja, prostor na disku, uporabo pomnilnika, uporabo omrežja, procese;</w:t>
      </w:r>
    </w:p>
    <w:p w:rsidR="006551B7" w:rsidRDefault="004627E8">
      <w:pPr>
        <w:pStyle w:val="Bullet1"/>
        <w:rPr>
          <w:noProof/>
        </w:rPr>
      </w:pPr>
      <w:r>
        <w:rPr>
          <w:noProof/>
        </w:rPr>
        <w:t>zunajpasovni nadzor strojne opreme (Out of Band HW monitoring);</w:t>
      </w:r>
    </w:p>
    <w:p w:rsidR="006551B7" w:rsidRDefault="004627E8">
      <w:pPr>
        <w:pStyle w:val="Bullet1"/>
        <w:rPr>
          <w:noProof/>
        </w:rPr>
      </w:pPr>
      <w:r>
        <w:rPr>
          <w:noProof/>
        </w:rPr>
        <w:t>spremljanje tekočih procesov sestavnih delov CCN na prehodih CCN;</w:t>
      </w:r>
    </w:p>
    <w:p w:rsidR="006551B7" w:rsidRDefault="004627E8">
      <w:pPr>
        <w:pStyle w:val="Bullet1"/>
        <w:rPr>
          <w:noProof/>
        </w:rPr>
      </w:pPr>
      <w:r>
        <w:rPr>
          <w:noProof/>
        </w:rPr>
        <w:t>spremljanje infrastrukture CCN Mail III;</w:t>
      </w:r>
    </w:p>
    <w:p w:rsidR="006551B7" w:rsidRDefault="004627E8">
      <w:pPr>
        <w:pStyle w:val="Bullet1"/>
        <w:rPr>
          <w:noProof/>
        </w:rPr>
      </w:pPr>
      <w:r>
        <w:rPr>
          <w:noProof/>
        </w:rPr>
        <w:t>zagotavljanje možnosti uporabnikom CCN Tivoli, da si ogledajo prejšnje nadzorovane informacije;</w:t>
      </w:r>
    </w:p>
    <w:p w:rsidR="006551B7" w:rsidRDefault="004627E8">
      <w:pPr>
        <w:pStyle w:val="Bullet1"/>
        <w:rPr>
          <w:noProof/>
        </w:rPr>
      </w:pPr>
      <w:r>
        <w:rPr>
          <w:noProof/>
        </w:rPr>
        <w:t>ustvarjanje vnaprej opredeljenih opozoril glede prejšnjih nadzorovanih sestavnih delov;</w:t>
      </w:r>
    </w:p>
    <w:p w:rsidR="006551B7" w:rsidRDefault="004627E8">
      <w:pPr>
        <w:pStyle w:val="Bullet1"/>
        <w:rPr>
          <w:noProof/>
        </w:rPr>
      </w:pPr>
      <w:r>
        <w:rPr>
          <w:noProof/>
        </w:rPr>
        <w:t>zagotavljanje poročil na podlagi zbranih preteklih podatkov (CCN Tivoli Data Warehouse);</w:t>
      </w:r>
    </w:p>
    <w:p w:rsidR="006551B7" w:rsidRDefault="004627E8">
      <w:pPr>
        <w:pStyle w:val="Bullet1"/>
        <w:rPr>
          <w:noProof/>
        </w:rPr>
      </w:pPr>
      <w:r>
        <w:rPr>
          <w:noProof/>
        </w:rPr>
        <w:t>zagotavljanje informacij o razpoložljivosti in učinkovitosti infrastrukture CCN/CSI v daljših obdobjih ter skladno in celovito poročanje o pomembnih trendih.</w:t>
      </w:r>
    </w:p>
    <w:p w:rsidR="006551B7" w:rsidRDefault="004627E8">
      <w:pPr>
        <w:pStyle w:val="ManualHeading3"/>
        <w:rPr>
          <w:b/>
          <w:noProof/>
        </w:rPr>
      </w:pPr>
      <w:r>
        <w:rPr>
          <w:b/>
          <w:noProof/>
        </w:rPr>
        <w:t>4.3.3</w:t>
      </w:r>
      <w:r>
        <w:rPr>
          <w:b/>
          <w:noProof/>
        </w:rPr>
        <w:tab/>
      </w:r>
      <w:r>
        <w:rPr>
          <w:b/>
          <w:noProof/>
          <w:u w:val="single"/>
        </w:rPr>
        <w:t>Upravljanje infrastrukture IKT in njene operacije</w:t>
      </w:r>
    </w:p>
    <w:p w:rsidR="006551B7" w:rsidRDefault="004627E8">
      <w:pPr>
        <w:pStyle w:val="Text1"/>
        <w:rPr>
          <w:noProof/>
        </w:rPr>
      </w:pPr>
      <w:r>
        <w:rPr>
          <w:noProof/>
        </w:rPr>
        <w:t>Ponudnik storitev je pozvan k namestitvi, upravljanju in vzdrževanju operativne infrastrukture CCN/CSI, da se zagotovijo dogovorjene ravni razpoložljivosti.</w:t>
      </w:r>
    </w:p>
    <w:p w:rsidR="006551B7" w:rsidRDefault="004627E8">
      <w:pPr>
        <w:pStyle w:val="Text1"/>
        <w:rPr>
          <w:noProof/>
        </w:rPr>
      </w:pPr>
      <w:r>
        <w:rPr>
          <w:noProof/>
        </w:rPr>
        <w:t xml:space="preserve">Operativna infrastruktura CCN/CSI je sestavljena iz relejnih naprav EuroDomain (prehodov CCN), varnostnih naprav, usmerjevalnika v prostorih stranke in telekomunikacijskih naprav. </w:t>
      </w:r>
    </w:p>
    <w:p w:rsidR="006551B7" w:rsidRDefault="004627E8">
      <w:pPr>
        <w:pStyle w:val="Text1"/>
        <w:rPr>
          <w:noProof/>
        </w:rPr>
      </w:pPr>
      <w:r>
        <w:rPr>
          <w:noProof/>
        </w:rPr>
        <w:t>Ta storitev zajema:</w:t>
      </w:r>
    </w:p>
    <w:p w:rsidR="006551B7" w:rsidRDefault="004627E8">
      <w:pPr>
        <w:pStyle w:val="Bullet1"/>
        <w:rPr>
          <w:noProof/>
        </w:rPr>
      </w:pPr>
      <w:r>
        <w:rPr>
          <w:noProof/>
        </w:rPr>
        <w:t>upravljanje razpoložljivosti;</w:t>
      </w:r>
    </w:p>
    <w:p w:rsidR="006551B7" w:rsidRDefault="004627E8">
      <w:pPr>
        <w:pStyle w:val="Bullet1"/>
        <w:rPr>
          <w:noProof/>
        </w:rPr>
      </w:pPr>
      <w:r>
        <w:rPr>
          <w:noProof/>
        </w:rPr>
        <w:t>obvladovanje nepredvidljivih razmer;</w:t>
      </w:r>
    </w:p>
    <w:p w:rsidR="006551B7" w:rsidRDefault="004627E8">
      <w:pPr>
        <w:pStyle w:val="Bullet1"/>
        <w:rPr>
          <w:noProof/>
        </w:rPr>
      </w:pPr>
      <w:r>
        <w:rPr>
          <w:noProof/>
        </w:rPr>
        <w:t>upravljanje konfiguracijskih podatkov za aplikacije;</w:t>
      </w:r>
    </w:p>
    <w:p w:rsidR="006551B7" w:rsidRDefault="004627E8">
      <w:pPr>
        <w:pStyle w:val="Bullet1"/>
        <w:rPr>
          <w:noProof/>
        </w:rPr>
      </w:pPr>
      <w:r>
        <w:rPr>
          <w:noProof/>
        </w:rPr>
        <w:t>upravljanje varnosti.</w:t>
      </w:r>
    </w:p>
    <w:p w:rsidR="006551B7" w:rsidRDefault="004627E8">
      <w:pPr>
        <w:pStyle w:val="Text1"/>
        <w:rPr>
          <w:noProof/>
        </w:rPr>
      </w:pPr>
      <w:r>
        <w:rPr>
          <w:noProof/>
        </w:rPr>
        <w:t>Vključuje tudi:</w:t>
      </w:r>
    </w:p>
    <w:p w:rsidR="006551B7" w:rsidRDefault="004627E8">
      <w:pPr>
        <w:pStyle w:val="Bullet1"/>
        <w:rPr>
          <w:noProof/>
        </w:rPr>
      </w:pPr>
      <w:r>
        <w:rPr>
          <w:noProof/>
        </w:rPr>
        <w:t>usklajevanje selitve opreme CCN/CSI;</w:t>
      </w:r>
    </w:p>
    <w:p w:rsidR="006551B7" w:rsidRDefault="004627E8">
      <w:pPr>
        <w:pStyle w:val="Bullet1"/>
        <w:rPr>
          <w:noProof/>
        </w:rPr>
      </w:pPr>
      <w:r>
        <w:rPr>
          <w:noProof/>
        </w:rPr>
        <w:t>usklajevanje uvajanja novih lokacij;</w:t>
      </w:r>
    </w:p>
    <w:p w:rsidR="006551B7" w:rsidRDefault="004627E8">
      <w:pPr>
        <w:pStyle w:val="Bullet1"/>
        <w:rPr>
          <w:noProof/>
        </w:rPr>
      </w:pPr>
      <w:r>
        <w:rPr>
          <w:noProof/>
        </w:rPr>
        <w:t>načrtovanje zmogljivosti infrastrukture CCN;</w:t>
      </w:r>
    </w:p>
    <w:p w:rsidR="006551B7" w:rsidRDefault="004627E8">
      <w:pPr>
        <w:pStyle w:val="Bullet1"/>
        <w:rPr>
          <w:noProof/>
        </w:rPr>
      </w:pPr>
      <w:r>
        <w:rPr>
          <w:noProof/>
        </w:rPr>
        <w:t>spremljanje zgoraj zahtevanih dejavnosti med mesečno sejo o napredku. Na seji je prisoten izvajalec zagotavljanja kakovosti, udeležijo pa se je vse pogodbenice, ki prispevajo k storitvam CCN/CSI;</w:t>
      </w:r>
    </w:p>
    <w:p w:rsidR="006551B7" w:rsidRDefault="004627E8">
      <w:pPr>
        <w:pStyle w:val="Bullet1"/>
        <w:rPr>
          <w:noProof/>
        </w:rPr>
      </w:pPr>
      <w:r>
        <w:rPr>
          <w:noProof/>
        </w:rPr>
        <w:t>poenostavitev zahtev glede „zamrznitev“. Te lahko imenovanemu uradniku GD TAXUD predložijo samo pooblaščeni uporabniki;</w:t>
      </w:r>
    </w:p>
    <w:p w:rsidR="006551B7" w:rsidRDefault="004627E8">
      <w:pPr>
        <w:pStyle w:val="Bullet1"/>
        <w:rPr>
          <w:noProof/>
        </w:rPr>
      </w:pPr>
      <w:r>
        <w:rPr>
          <w:noProof/>
        </w:rPr>
        <w:t>snovanje, načrtovanje, uvedbo, operacije, tehnično podporo in opustitev strojne opreme, operacijskega sistema in trgovskih izdelkov ob koncu njihove življenjske dobe;</w:t>
      </w:r>
    </w:p>
    <w:p w:rsidR="006551B7" w:rsidRDefault="004627E8">
      <w:pPr>
        <w:pStyle w:val="Bullet1"/>
        <w:rPr>
          <w:noProof/>
        </w:rPr>
      </w:pPr>
      <w:r>
        <w:rPr>
          <w:noProof/>
        </w:rPr>
        <w:t>omrežne storitve;</w:t>
      </w:r>
    </w:p>
    <w:p w:rsidR="006551B7" w:rsidRDefault="004627E8">
      <w:pPr>
        <w:pStyle w:val="Bullet1"/>
        <w:rPr>
          <w:noProof/>
        </w:rPr>
      </w:pPr>
      <w:r>
        <w:rPr>
          <w:noProof/>
        </w:rPr>
        <w:t>storitve v zvezi s strojno opremo, operacijskimi sistemi in trgovskimi izdelki;</w:t>
      </w:r>
    </w:p>
    <w:p w:rsidR="006551B7" w:rsidRDefault="004627E8">
      <w:pPr>
        <w:pStyle w:val="Bullet1"/>
        <w:rPr>
          <w:noProof/>
        </w:rPr>
      </w:pPr>
      <w:r>
        <w:rPr>
          <w:noProof/>
        </w:rPr>
        <w:t xml:space="preserve">varnostno kopiranje in obnovitev; </w:t>
      </w:r>
    </w:p>
    <w:p w:rsidR="006551B7" w:rsidRDefault="004627E8">
      <w:pPr>
        <w:pStyle w:val="Bullet1"/>
        <w:rPr>
          <w:noProof/>
        </w:rPr>
      </w:pPr>
      <w:r>
        <w:rPr>
          <w:noProof/>
        </w:rPr>
        <w:t>storitev upravljanja poslovnih nalog;</w:t>
      </w:r>
    </w:p>
    <w:p w:rsidR="006551B7" w:rsidRDefault="004627E8">
      <w:pPr>
        <w:pStyle w:val="Bullet1"/>
        <w:rPr>
          <w:noProof/>
        </w:rPr>
      </w:pPr>
      <w:r>
        <w:rPr>
          <w:noProof/>
        </w:rPr>
        <w:t>pripravo in vzdrževanje načrtov, povezanih z upravljanjem infrastrukture IKT, tj. načrta infrastrukture IKT, načrta razpoložljivosti, načrta zmogljivosti in načrta neprekinjenega delovanja;</w:t>
      </w:r>
    </w:p>
    <w:p w:rsidR="006551B7" w:rsidRDefault="004627E8">
      <w:pPr>
        <w:pStyle w:val="Bullet1"/>
        <w:rPr>
          <w:noProof/>
        </w:rPr>
      </w:pPr>
      <w:r>
        <w:rPr>
          <w:noProof/>
        </w:rPr>
        <w:t>študije izvedljivosti, povezane z infrastrukturo.</w:t>
      </w:r>
    </w:p>
    <w:p w:rsidR="006551B7" w:rsidRDefault="004627E8">
      <w:pPr>
        <w:pStyle w:val="ManualHeading4"/>
        <w:rPr>
          <w:noProof/>
          <w:w w:val="122"/>
        </w:rPr>
      </w:pPr>
      <w:r>
        <w:rPr>
          <w:noProof/>
        </w:rPr>
        <w:t>4.3.3.1</w:t>
      </w:r>
      <w:r>
        <w:rPr>
          <w:noProof/>
        </w:rPr>
        <w:tab/>
      </w:r>
      <w:r>
        <w:rPr>
          <w:i/>
          <w:noProof/>
        </w:rPr>
        <w:t>Upravljanje razpoložljivosti</w:t>
      </w:r>
    </w:p>
    <w:p w:rsidR="006551B7" w:rsidRDefault="004627E8">
      <w:pPr>
        <w:pStyle w:val="Text1"/>
        <w:rPr>
          <w:noProof/>
        </w:rPr>
      </w:pPr>
      <w:r>
        <w:rPr>
          <w:noProof/>
        </w:rPr>
        <w:t>Glavna storitev, ki jo mora zagotavljati ponudnik storitev, je zagotavljati, da je sistem CCN/CSI „vzpostavljen in delujoč“ na zahtevani ravni razpoložljivosti.</w:t>
      </w:r>
    </w:p>
    <w:p w:rsidR="006551B7" w:rsidRDefault="004627E8">
      <w:pPr>
        <w:pStyle w:val="Text1"/>
        <w:rPr>
          <w:noProof/>
        </w:rPr>
      </w:pPr>
      <w:r>
        <w:rPr>
          <w:noProof/>
        </w:rPr>
        <w:t>Ponudnik storitev zagotovi, da so vse lokacije CCN/CSI med seboj povezane prek prostranega omrežja (WAN), ki ponuja potrebno odpornost in zmogljivost, da se zagotovi pravilno delovanje ključnih poslovnih aplikacij, ki uporabljajo infrastrukturo in storitve CCN/CSI.</w:t>
      </w:r>
    </w:p>
    <w:p w:rsidR="006551B7" w:rsidRDefault="004627E8">
      <w:pPr>
        <w:pStyle w:val="Text1"/>
        <w:rPr>
          <w:noProof/>
        </w:rPr>
      </w:pPr>
      <w:r>
        <w:rPr>
          <w:noProof/>
        </w:rPr>
        <w:t>Storitev upravljanja razpoložljivosti zajema naslednje elemente:</w:t>
      </w:r>
    </w:p>
    <w:p w:rsidR="006551B7" w:rsidRDefault="004627E8">
      <w:pPr>
        <w:pStyle w:val="Bullet1"/>
        <w:rPr>
          <w:noProof/>
        </w:rPr>
      </w:pPr>
      <w:r>
        <w:rPr>
          <w:noProof/>
        </w:rPr>
        <w:t>globalni dostop v vseh povezanih državnih upravah;</w:t>
      </w:r>
    </w:p>
    <w:p w:rsidR="006551B7" w:rsidRDefault="004627E8">
      <w:pPr>
        <w:pStyle w:val="Bullet1"/>
        <w:rPr>
          <w:noProof/>
        </w:rPr>
      </w:pPr>
      <w:r>
        <w:rPr>
          <w:noProof/>
        </w:rPr>
        <w:t>zagotavljanje lokalne zanke (in rezervne linije) med lokalno vstopno točko (PoP) WAN in prostori državne uprave;</w:t>
      </w:r>
    </w:p>
    <w:p w:rsidR="006551B7" w:rsidRDefault="004627E8">
      <w:pPr>
        <w:pStyle w:val="Bullet1"/>
        <w:rPr>
          <w:noProof/>
        </w:rPr>
      </w:pPr>
      <w:r>
        <w:rPr>
          <w:noProof/>
        </w:rPr>
        <w:t>namestitev, konfiguracijo in vzdrževanje usmerjevalnikov v prostorih strank;</w:t>
      </w:r>
    </w:p>
    <w:p w:rsidR="006551B7" w:rsidRDefault="004627E8">
      <w:pPr>
        <w:pStyle w:val="Bullet1"/>
        <w:rPr>
          <w:noProof/>
        </w:rPr>
      </w:pPr>
      <w:r>
        <w:rPr>
          <w:noProof/>
        </w:rPr>
        <w:t>namestitev in vzdrževanje varnostne naprave (npr. orodja za šifriranje in požarni zid SSG);</w:t>
      </w:r>
    </w:p>
    <w:p w:rsidR="006551B7" w:rsidRDefault="004627E8">
      <w:pPr>
        <w:pStyle w:val="Bullet1"/>
        <w:rPr>
          <w:noProof/>
        </w:rPr>
      </w:pPr>
      <w:r>
        <w:rPr>
          <w:noProof/>
        </w:rPr>
        <w:t>komunikacijske prehode v demilitarizirani coni, na vsakem lokalnem mestu (tj. prehodih CCN);</w:t>
      </w:r>
    </w:p>
    <w:p w:rsidR="006551B7" w:rsidRDefault="004627E8">
      <w:pPr>
        <w:pStyle w:val="Bullet1"/>
        <w:rPr>
          <w:noProof/>
        </w:rPr>
      </w:pPr>
      <w:r>
        <w:rPr>
          <w:noProof/>
        </w:rPr>
        <w:t>osrednji sistem CCN Mail III.</w:t>
      </w:r>
    </w:p>
    <w:p w:rsidR="006551B7" w:rsidRDefault="004627E8">
      <w:pPr>
        <w:pStyle w:val="Text1"/>
        <w:rPr>
          <w:noProof/>
        </w:rPr>
      </w:pPr>
      <w:r>
        <w:rPr>
          <w:noProof/>
        </w:rPr>
        <w:t>Ponudnik storitev zagotavlja tudi statistične podatke o razpoložljivosti, zbrane v obratovalnih razmerah, ter storitev spremljanja za namene proaktivnega sledenja težavam in statistične namene.</w:t>
      </w:r>
    </w:p>
    <w:p w:rsidR="006551B7" w:rsidRDefault="004627E8">
      <w:pPr>
        <w:pStyle w:val="ManualHeading4"/>
        <w:rPr>
          <w:noProof/>
        </w:rPr>
      </w:pPr>
      <w:r>
        <w:rPr>
          <w:noProof/>
        </w:rPr>
        <w:t>4.3.3.2</w:t>
      </w:r>
      <w:r>
        <w:rPr>
          <w:noProof/>
        </w:rPr>
        <w:tab/>
      </w:r>
      <w:r>
        <w:rPr>
          <w:i/>
          <w:noProof/>
        </w:rPr>
        <w:t>Obvladovanje nepredvidljivih razmer</w:t>
      </w:r>
    </w:p>
    <w:p w:rsidR="006551B7" w:rsidRDefault="004627E8">
      <w:pPr>
        <w:pStyle w:val="Text1"/>
        <w:rPr>
          <w:noProof/>
        </w:rPr>
      </w:pPr>
      <w:r>
        <w:rPr>
          <w:noProof/>
        </w:rPr>
        <w:t>Ponudnik storitev je odgovoren za sestavne dele CCN/CSI v infrastrukturi CCN GD TAXUD na posamezni lokaciji CCN/CSI.</w:t>
      </w:r>
    </w:p>
    <w:p w:rsidR="006551B7" w:rsidRDefault="004627E8">
      <w:pPr>
        <w:pStyle w:val="Text1"/>
        <w:rPr>
          <w:noProof/>
        </w:rPr>
      </w:pPr>
      <w:r>
        <w:rPr>
          <w:noProof/>
        </w:rPr>
        <w:t>Namen storitve obvladovanja nepredvidljivih razmer je, da v primeru delnega ali popolnega nedelovanja ali uničenja sistema CCN/CSI v dogovorjenem časovnem okviru ponovno vzpostavi dogovorjene ravni storitev, tako da naročnikom storitev zagotovi pomoč in elemente, kot so:</w:t>
      </w:r>
    </w:p>
    <w:p w:rsidR="006551B7" w:rsidRDefault="004627E8">
      <w:pPr>
        <w:pStyle w:val="Bullet1"/>
        <w:rPr>
          <w:noProof/>
        </w:rPr>
      </w:pPr>
      <w:r>
        <w:rPr>
          <w:noProof/>
        </w:rPr>
        <w:t>rezervna programska oprema prehodov CCN (na vsaki lokaciji);</w:t>
      </w:r>
    </w:p>
    <w:p w:rsidR="006551B7" w:rsidRDefault="004627E8">
      <w:pPr>
        <w:pStyle w:val="Bullet1"/>
        <w:rPr>
          <w:noProof/>
        </w:rPr>
      </w:pPr>
      <w:r>
        <w:rPr>
          <w:noProof/>
        </w:rPr>
        <w:t xml:space="preserve">osrednja rezervna lokacija CCN; </w:t>
      </w:r>
    </w:p>
    <w:p w:rsidR="006551B7" w:rsidRDefault="004627E8">
      <w:pPr>
        <w:pStyle w:val="Bullet1"/>
        <w:rPr>
          <w:noProof/>
        </w:rPr>
      </w:pPr>
      <w:r>
        <w:rPr>
          <w:noProof/>
        </w:rPr>
        <w:t>redundantne naprave za šifriranje;</w:t>
      </w:r>
    </w:p>
    <w:p w:rsidR="006551B7" w:rsidRDefault="004627E8">
      <w:pPr>
        <w:pStyle w:val="Bullet1"/>
        <w:rPr>
          <w:noProof/>
        </w:rPr>
      </w:pPr>
      <w:r>
        <w:rPr>
          <w:noProof/>
        </w:rPr>
        <w:t>preklapljanje zmogljivosti med produkcijskim in rezervnim prehodom;</w:t>
      </w:r>
    </w:p>
    <w:p w:rsidR="006551B7" w:rsidRDefault="004627E8">
      <w:pPr>
        <w:pStyle w:val="Bullet1"/>
        <w:rPr>
          <w:noProof/>
        </w:rPr>
      </w:pPr>
      <w:r>
        <w:rPr>
          <w:noProof/>
        </w:rPr>
        <w:t>rezervne enote za strojno opremo;</w:t>
      </w:r>
    </w:p>
    <w:p w:rsidR="006551B7" w:rsidRDefault="004627E8">
      <w:pPr>
        <w:pStyle w:val="Bullet1"/>
        <w:rPr>
          <w:noProof/>
        </w:rPr>
      </w:pPr>
      <w:r>
        <w:rPr>
          <w:noProof/>
        </w:rPr>
        <w:t>dvojni telekomunikacijski dostopovni vodi do hrbteničnega omrežja CCN (na vsaki lokaciji);</w:t>
      </w:r>
    </w:p>
    <w:p w:rsidR="006551B7" w:rsidRDefault="004627E8">
      <w:pPr>
        <w:pStyle w:val="Bullet1"/>
        <w:rPr>
          <w:noProof/>
        </w:rPr>
      </w:pPr>
      <w:r>
        <w:rPr>
          <w:noProof/>
        </w:rPr>
        <w:t>pomoč pri namestitvi in konfiguraciji elementov CCN/CSI v infrastrukturi CCN GD TAXUD;</w:t>
      </w:r>
    </w:p>
    <w:p w:rsidR="006551B7" w:rsidRDefault="004627E8">
      <w:pPr>
        <w:pStyle w:val="Bullet1"/>
        <w:rPr>
          <w:noProof/>
        </w:rPr>
      </w:pPr>
      <w:r>
        <w:rPr>
          <w:noProof/>
        </w:rPr>
        <w:t>postopki obnovitve.</w:t>
      </w:r>
    </w:p>
    <w:p w:rsidR="006551B7" w:rsidRDefault="004627E8">
      <w:pPr>
        <w:pStyle w:val="ManualHeading4"/>
        <w:rPr>
          <w:noProof/>
        </w:rPr>
      </w:pPr>
      <w:r>
        <w:rPr>
          <w:noProof/>
        </w:rPr>
        <w:t>4.3.3.3</w:t>
      </w:r>
      <w:r>
        <w:rPr>
          <w:noProof/>
        </w:rPr>
        <w:tab/>
      </w:r>
      <w:r>
        <w:rPr>
          <w:i/>
          <w:noProof/>
        </w:rPr>
        <w:t>Upravljanje konfiguracijskih podatkov za aplikacije</w:t>
      </w:r>
    </w:p>
    <w:p w:rsidR="006551B7" w:rsidRDefault="004627E8">
      <w:pPr>
        <w:pStyle w:val="Text1"/>
        <w:rPr>
          <w:noProof/>
        </w:rPr>
      </w:pPr>
      <w:r>
        <w:rPr>
          <w:noProof/>
        </w:rPr>
        <w:t>Ta storitev se nanaša na upravljanje konfiguracijskih podatkov, ki jih zahtevajo aplikacije CCN/CSI, s strani ponudnika storitev.</w:t>
      </w:r>
    </w:p>
    <w:p w:rsidR="006551B7" w:rsidRDefault="004627E8">
      <w:pPr>
        <w:pStyle w:val="Text1"/>
        <w:rPr>
          <w:noProof/>
        </w:rPr>
      </w:pPr>
      <w:r>
        <w:rPr>
          <w:noProof/>
        </w:rPr>
        <w:t>Ti konfiguracijski podatki so shranjeni v osrednji podatkovni zbirki CCN/CSI. Osrednjo podatkovno zbirko CCN/CSI skupaj upravljajo ponudnik storitev in državne uprave. Vsaka državna uprava je odgovorna za upravljanje svojih lokalnih uporabnikov CCN/CSI. Ostale uporabnike upravlja ponudnik storitev.</w:t>
      </w:r>
    </w:p>
    <w:p w:rsidR="006551B7" w:rsidRDefault="004627E8">
      <w:pPr>
        <w:pStyle w:val="Text1"/>
        <w:rPr>
          <w:noProof/>
        </w:rPr>
      </w:pPr>
      <w:r>
        <w:rPr>
          <w:noProof/>
        </w:rPr>
        <w:t>Primeri konfiguracij, za katere je potreben zahtevek za skrbniško storitev (Administration Service Request):</w:t>
      </w:r>
    </w:p>
    <w:p w:rsidR="006551B7" w:rsidRDefault="004627E8">
      <w:pPr>
        <w:pStyle w:val="Bullet1"/>
        <w:rPr>
          <w:noProof/>
        </w:rPr>
      </w:pPr>
      <w:r>
        <w:rPr>
          <w:noProof/>
        </w:rPr>
        <w:t>opredelitev profila lokalnega skrbnika;</w:t>
      </w:r>
    </w:p>
    <w:p w:rsidR="006551B7" w:rsidRDefault="004627E8">
      <w:pPr>
        <w:pStyle w:val="Bullet1"/>
        <w:rPr>
          <w:noProof/>
        </w:rPr>
      </w:pPr>
      <w:r>
        <w:rPr>
          <w:noProof/>
        </w:rPr>
        <w:t>registracija aplikacijske storitve;</w:t>
      </w:r>
    </w:p>
    <w:p w:rsidR="006551B7" w:rsidRDefault="004627E8">
      <w:pPr>
        <w:pStyle w:val="Bullet1"/>
        <w:rPr>
          <w:noProof/>
        </w:rPr>
      </w:pPr>
      <w:r>
        <w:rPr>
          <w:noProof/>
        </w:rPr>
        <w:t>registracija čakalne vrste aplikacij;</w:t>
      </w:r>
    </w:p>
    <w:p w:rsidR="006551B7" w:rsidRDefault="004627E8">
      <w:pPr>
        <w:pStyle w:val="Bullet1"/>
        <w:rPr>
          <w:noProof/>
        </w:rPr>
      </w:pPr>
      <w:r>
        <w:rPr>
          <w:noProof/>
        </w:rPr>
        <w:t>registracija vrste sporočila;</w:t>
      </w:r>
    </w:p>
    <w:p w:rsidR="006551B7" w:rsidRDefault="004627E8">
      <w:pPr>
        <w:pStyle w:val="Bullet1"/>
        <w:rPr>
          <w:noProof/>
        </w:rPr>
      </w:pPr>
      <w:r>
        <w:rPr>
          <w:noProof/>
        </w:rPr>
        <w:t>validacija konfiguracijskih podatkov za aplikacije;</w:t>
      </w:r>
    </w:p>
    <w:p w:rsidR="006551B7" w:rsidRDefault="004627E8">
      <w:pPr>
        <w:pStyle w:val="Bullet1"/>
        <w:rPr>
          <w:noProof/>
        </w:rPr>
      </w:pPr>
      <w:r>
        <w:rPr>
          <w:noProof/>
        </w:rPr>
        <w:t>registracija skrbniških vlog;</w:t>
      </w:r>
    </w:p>
    <w:p w:rsidR="006551B7" w:rsidRDefault="004627E8">
      <w:pPr>
        <w:pStyle w:val="Bullet1"/>
        <w:rPr>
          <w:noProof/>
        </w:rPr>
      </w:pPr>
      <w:r>
        <w:rPr>
          <w:noProof/>
        </w:rPr>
        <w:t>upravljanje seznama kontaktnih podatkov.</w:t>
      </w:r>
    </w:p>
    <w:p w:rsidR="006551B7" w:rsidRDefault="004627E8">
      <w:pPr>
        <w:pStyle w:val="ManualHeading3"/>
        <w:rPr>
          <w:b/>
          <w:noProof/>
        </w:rPr>
      </w:pPr>
      <w:r>
        <w:rPr>
          <w:b/>
          <w:noProof/>
        </w:rPr>
        <w:t>4.3.4</w:t>
      </w:r>
      <w:r>
        <w:rPr>
          <w:b/>
          <w:noProof/>
        </w:rPr>
        <w:tab/>
      </w:r>
      <w:r>
        <w:rPr>
          <w:b/>
          <w:noProof/>
          <w:u w:val="single"/>
        </w:rPr>
        <w:t>Upravljanje varnosti</w:t>
      </w:r>
    </w:p>
    <w:p w:rsidR="006551B7" w:rsidRDefault="004627E8">
      <w:pPr>
        <w:pStyle w:val="Text1"/>
        <w:rPr>
          <w:noProof/>
        </w:rPr>
      </w:pPr>
      <w:r>
        <w:rPr>
          <w:noProof/>
        </w:rPr>
        <w:t>Ta storitev se nanaša na upravljanje varnostnih elementov, ki jih zahteva okolje CCN/CSI, s strani ponudnika storitev.</w:t>
      </w:r>
    </w:p>
    <w:p w:rsidR="006551B7" w:rsidRDefault="004627E8">
      <w:pPr>
        <w:pStyle w:val="Text1"/>
        <w:rPr>
          <w:noProof/>
        </w:rPr>
      </w:pPr>
      <w:r>
        <w:rPr>
          <w:noProof/>
        </w:rPr>
        <w:t xml:space="preserve">Varnost se upravlja tudi na ravni vključene strežniške opreme (OS) in omrežne opreme ter na operativni ravni. </w:t>
      </w:r>
    </w:p>
    <w:p w:rsidR="006551B7" w:rsidRDefault="004627E8">
      <w:pPr>
        <w:pStyle w:val="Bullet1"/>
        <w:rPr>
          <w:noProof/>
        </w:rPr>
      </w:pPr>
      <w:r>
        <w:rPr>
          <w:noProof/>
        </w:rPr>
        <w:t xml:space="preserve">Izmenjave informacij prek omrežja CCN/CSI so zaščitene, da se zagotovi optimalna zaupnost in celovitost podatkov. </w:t>
      </w:r>
    </w:p>
    <w:p w:rsidR="006551B7" w:rsidRDefault="004627E8">
      <w:pPr>
        <w:pStyle w:val="Bullet1"/>
        <w:rPr>
          <w:noProof/>
        </w:rPr>
      </w:pPr>
      <w:r>
        <w:rPr>
          <w:noProof/>
        </w:rPr>
        <w:t>Varnostne storitve vključujejo:</w:t>
      </w:r>
    </w:p>
    <w:p w:rsidR="006551B7" w:rsidRDefault="004627E8">
      <w:pPr>
        <w:pStyle w:val="Tiret2"/>
        <w:numPr>
          <w:ilvl w:val="0"/>
          <w:numId w:val="29"/>
        </w:numPr>
        <w:rPr>
          <w:noProof/>
        </w:rPr>
      </w:pPr>
      <w:r>
        <w:rPr>
          <w:noProof/>
        </w:rPr>
        <w:t>šifriranje povezav med lokacijami in zaščito pred neželenim dostopom, ki se izvajata s požarnim zidom/napravami za šifriranje;</w:t>
      </w:r>
    </w:p>
    <w:p w:rsidR="006551B7" w:rsidRDefault="004627E8">
      <w:pPr>
        <w:pStyle w:val="Tiret2"/>
        <w:rPr>
          <w:noProof/>
        </w:rPr>
      </w:pPr>
      <w:r>
        <w:rPr>
          <w:noProof/>
        </w:rPr>
        <w:t>mehanizme za nadzor dostopa (avtentikacijo, avtorizacijo, obračunavanje) na ravni lokacije, ki se izvajajo na prehodu CCN in jih podpirajo orodja za lokalno skrbništvo (ADM3G);</w:t>
      </w:r>
    </w:p>
    <w:p w:rsidR="006551B7" w:rsidRDefault="004627E8">
      <w:pPr>
        <w:pStyle w:val="Tiret2"/>
        <w:rPr>
          <w:noProof/>
        </w:rPr>
      </w:pPr>
      <w:r>
        <w:rPr>
          <w:noProof/>
        </w:rPr>
        <w:t>varnost na ravni seje, zagotovljeno s šifriranjem na ravni sporočila (varni CSI), vzajemno avtentikacijo in šifriranjem SSL (HTTPS in NJCSI), POP-S in IMAP-S (varen prenos e-pošte);</w:t>
      </w:r>
    </w:p>
    <w:p w:rsidR="006551B7" w:rsidRDefault="004627E8">
      <w:pPr>
        <w:pStyle w:val="Tiret2"/>
        <w:rPr>
          <w:noProof/>
        </w:rPr>
      </w:pPr>
      <w:r>
        <w:rPr>
          <w:noProof/>
        </w:rPr>
        <w:t>enotni obrambni mehanizem SIAP za varen internetni dostop do storitev CCN.</w:t>
      </w:r>
    </w:p>
    <w:p w:rsidR="006551B7" w:rsidRDefault="004627E8">
      <w:pPr>
        <w:pStyle w:val="ManualHeading3"/>
        <w:rPr>
          <w:b/>
          <w:noProof/>
        </w:rPr>
      </w:pPr>
      <w:r>
        <w:rPr>
          <w:b/>
          <w:noProof/>
        </w:rPr>
        <w:t>4.3.5</w:t>
      </w:r>
      <w:r>
        <w:rPr>
          <w:b/>
          <w:noProof/>
        </w:rPr>
        <w:tab/>
      </w:r>
      <w:r>
        <w:rPr>
          <w:b/>
          <w:noProof/>
          <w:u w:val="single"/>
        </w:rPr>
        <w:t>Upravljanje dokumentacije</w:t>
      </w:r>
    </w:p>
    <w:p w:rsidR="006551B7" w:rsidRDefault="004627E8">
      <w:pPr>
        <w:pStyle w:val="Text1"/>
        <w:rPr>
          <w:noProof/>
        </w:rPr>
      </w:pPr>
      <w:r>
        <w:rPr>
          <w:noProof/>
        </w:rPr>
        <w:t>Ponudnik storitev posodablja celotno tehnično dokumentacijo CCN/CSI (tj. tehnični dokument, uporabniške priročnike, pogosta vprašanja, glasila, napovedane dogodke itd.), ki deluje kot dokumentacijski center.</w:t>
      </w:r>
    </w:p>
    <w:p w:rsidR="006551B7" w:rsidRDefault="004627E8">
      <w:pPr>
        <w:pStyle w:val="Text1"/>
        <w:rPr>
          <w:noProof/>
        </w:rPr>
      </w:pPr>
      <w:r>
        <w:rPr>
          <w:noProof/>
        </w:rPr>
        <w:t>To vključuje dokumentacijo, povezano z infrastrukturo CCN/CSI: Oracle-Tuxedo, IBM-MQ, prehodi CCN, CCN Mail III, programska oprema CSI, postopki, poročila, zgodovina komunikacije s partnerji itd.</w:t>
      </w:r>
    </w:p>
    <w:p w:rsidR="006551B7" w:rsidRDefault="004627E8">
      <w:pPr>
        <w:pStyle w:val="Text1"/>
        <w:rPr>
          <w:noProof/>
        </w:rPr>
      </w:pPr>
      <w:r>
        <w:rPr>
          <w:noProof/>
        </w:rPr>
        <w:t>Ponudnik storitev vodi seznam dokumentacije, povezane s CCN/CSI, ki ga lahko posreduje naročniku storitev. Ti dokumenti so na voljo na spletišču CIRCABC in portalu ITSM.</w:t>
      </w:r>
    </w:p>
    <w:p w:rsidR="006551B7" w:rsidRDefault="004627E8">
      <w:pPr>
        <w:pStyle w:val="Text1"/>
        <w:rPr>
          <w:noProof/>
        </w:rPr>
      </w:pPr>
      <w:r>
        <w:rPr>
          <w:noProof/>
        </w:rPr>
        <w:t>Ponudnik storitev samodejno posodablja seznam, tako da vanj vključi novoodobrene različice dokumentov.</w:t>
      </w:r>
    </w:p>
    <w:p w:rsidR="006551B7" w:rsidRDefault="004627E8">
      <w:pPr>
        <w:pStyle w:val="ManualHeading3"/>
        <w:rPr>
          <w:rFonts w:eastAsia="Times New Roman"/>
          <w:b/>
          <w:caps/>
          <w:noProof/>
          <w:szCs w:val="20"/>
        </w:rPr>
      </w:pPr>
      <w:r>
        <w:rPr>
          <w:b/>
          <w:noProof/>
        </w:rPr>
        <w:t>4.3.6</w:t>
      </w:r>
      <w:r>
        <w:rPr>
          <w:b/>
          <w:noProof/>
        </w:rPr>
        <w:tab/>
      </w:r>
      <w:r>
        <w:rPr>
          <w:b/>
          <w:noProof/>
          <w:u w:val="single"/>
        </w:rPr>
        <w:t>Poročanje in statistični podatki</w:t>
      </w:r>
    </w:p>
    <w:p w:rsidR="006551B7" w:rsidRDefault="004627E8">
      <w:pPr>
        <w:pStyle w:val="Text1"/>
        <w:rPr>
          <w:noProof/>
        </w:rPr>
      </w:pPr>
      <w:r>
        <w:rPr>
          <w:noProof/>
        </w:rPr>
        <w:t>Ponudnik storitev naročniku storitev zagotavlja naslednja sredstva poročanja prek CCN in spletnega portala ITSM:</w:t>
      </w:r>
    </w:p>
    <w:p w:rsidR="006551B7" w:rsidRDefault="004627E8">
      <w:pPr>
        <w:pStyle w:val="Bullet1"/>
        <w:rPr>
          <w:noProof/>
        </w:rPr>
      </w:pPr>
      <w:r>
        <w:rPr>
          <w:noProof/>
        </w:rPr>
        <w:t>podatke o spletni dostopnosti za prehode CCN in strežnike CCN Mail III;</w:t>
      </w:r>
    </w:p>
    <w:p w:rsidR="006551B7" w:rsidRDefault="004627E8">
      <w:pPr>
        <w:pStyle w:val="Bullet1"/>
        <w:rPr>
          <w:noProof/>
        </w:rPr>
      </w:pPr>
      <w:r>
        <w:rPr>
          <w:noProof/>
        </w:rPr>
        <w:t>spletna glasila;</w:t>
      </w:r>
    </w:p>
    <w:p w:rsidR="006551B7" w:rsidRDefault="004627E8">
      <w:pPr>
        <w:pStyle w:val="Bullet1"/>
        <w:rPr>
          <w:noProof/>
        </w:rPr>
      </w:pPr>
      <w:r>
        <w:rPr>
          <w:noProof/>
        </w:rPr>
        <w:t>statistične podatke o izmenjavah prek CCN/CSI.</w:t>
      </w:r>
    </w:p>
    <w:p w:rsidR="006551B7" w:rsidRDefault="004627E8">
      <w:pPr>
        <w:pStyle w:val="Text1"/>
        <w:rPr>
          <w:noProof/>
        </w:rPr>
      </w:pPr>
      <w:r>
        <w:rPr>
          <w:noProof/>
        </w:rPr>
        <w:t>Ponudnik storitev tudi redno organizira srečanja o tehnologiji in infrastrukturi IT (IT Tech &amp; Infra), na katerih se predstavijo poročila in statistični podatki.</w:t>
      </w:r>
    </w:p>
    <w:p w:rsidR="006551B7" w:rsidRDefault="004627E8">
      <w:pPr>
        <w:pStyle w:val="ManualHeading3"/>
        <w:rPr>
          <w:rFonts w:eastAsia="Times New Roman"/>
          <w:b/>
          <w:caps/>
          <w:noProof/>
          <w:szCs w:val="20"/>
        </w:rPr>
      </w:pPr>
      <w:r>
        <w:rPr>
          <w:b/>
          <w:noProof/>
        </w:rPr>
        <w:t>4.3.7</w:t>
      </w:r>
      <w:r>
        <w:rPr>
          <w:b/>
          <w:noProof/>
        </w:rPr>
        <w:tab/>
      </w:r>
      <w:r>
        <w:rPr>
          <w:b/>
          <w:noProof/>
          <w:u w:val="single"/>
        </w:rPr>
        <w:t>Usposabljanje</w:t>
      </w:r>
    </w:p>
    <w:p w:rsidR="006551B7" w:rsidRDefault="004627E8">
      <w:pPr>
        <w:pStyle w:val="Text1"/>
        <w:rPr>
          <w:noProof/>
        </w:rPr>
      </w:pPr>
      <w:r>
        <w:rPr>
          <w:noProof/>
        </w:rPr>
        <w:t>Ponudnik storitev pripravi tečaje in izvaja usposabljanje, povezano s tehničnimi vidiki sistema CCN/CSI. Standardni tečaji so organizirani kot sklopi usposabljanja, razdeljeni na module. Usposabljanje se praviloma organizira vsako leto. Standardni sklopi usposabljanja se dvakrat na leto razdelijo prek GD TAXUD in so na voljo na spletnem portalu ITSM.</w:t>
      </w:r>
    </w:p>
    <w:p w:rsidR="006551B7" w:rsidRDefault="004627E8">
      <w:pPr>
        <w:pStyle w:val="ManualHeading1"/>
        <w:rPr>
          <w:noProof/>
        </w:rPr>
      </w:pPr>
      <w:bookmarkStart w:id="15" w:name="_Ref374521587"/>
      <w:bookmarkStart w:id="16" w:name="_Ref136410190"/>
      <w:r>
        <w:rPr>
          <w:noProof/>
        </w:rPr>
        <w:t>5.</w:t>
      </w:r>
      <w:r>
        <w:rPr>
          <w:noProof/>
        </w:rPr>
        <w:tab/>
      </w:r>
      <w:r>
        <w:rPr>
          <w:noProof/>
          <w:u w:val="single"/>
        </w:rPr>
        <w:t>MERJENJE RAVNI STORITEV</w:t>
      </w:r>
      <w:bookmarkEnd w:id="15"/>
    </w:p>
    <w:bookmarkEnd w:id="16"/>
    <w:p w:rsidR="006551B7" w:rsidRDefault="004627E8">
      <w:pPr>
        <w:pStyle w:val="ManualHeading2"/>
        <w:rPr>
          <w:noProof/>
        </w:rPr>
      </w:pPr>
      <w:r>
        <w:rPr>
          <w:noProof/>
        </w:rPr>
        <w:t>5.2</w:t>
      </w:r>
      <w:r>
        <w:rPr>
          <w:noProof/>
        </w:rPr>
        <w:tab/>
        <w:t>RAVEN STORITEV</w:t>
      </w:r>
    </w:p>
    <w:p w:rsidR="006551B7" w:rsidRDefault="004627E8">
      <w:pPr>
        <w:pStyle w:val="Text1"/>
        <w:rPr>
          <w:noProof/>
        </w:rPr>
      </w:pPr>
      <w:r>
        <w:rPr>
          <w:noProof/>
        </w:rPr>
        <w:t>Raven storitev je merilo kakovosti storitev, ki jih zagotavlja ponudnik storitev. Izračuna se na podlagi kazalnika kakovosti storitev (Service Quality Indicator – SQI).</w:t>
      </w:r>
    </w:p>
    <w:p w:rsidR="006551B7" w:rsidRDefault="004627E8">
      <w:pPr>
        <w:pStyle w:val="Text1"/>
        <w:rPr>
          <w:noProof/>
        </w:rPr>
      </w:pPr>
      <w:r>
        <w:rPr>
          <w:noProof/>
        </w:rPr>
        <w:t xml:space="preserve">Pričakuje se, da naročnik storitev izpolnjuje svoje obveznosti (glej odstavek 0) za doseganje dogovorjene ravni storitev. </w:t>
      </w:r>
    </w:p>
    <w:p w:rsidR="006551B7" w:rsidRDefault="004627E8">
      <w:pPr>
        <w:pStyle w:val="ManualNumPar2"/>
        <w:rPr>
          <w:b/>
          <w:noProof/>
        </w:rPr>
      </w:pPr>
      <w:bookmarkStart w:id="17" w:name="_Ref156929460"/>
      <w:r>
        <w:rPr>
          <w:b/>
          <w:noProof/>
        </w:rPr>
        <w:t>5.2.</w:t>
      </w:r>
      <w:r>
        <w:rPr>
          <w:b/>
          <w:noProof/>
        </w:rPr>
        <w:tab/>
        <w:t>VELJAVNI KAZALNIKI KAKOVOSTI STORITEV</w:t>
      </w:r>
      <w:bookmarkEnd w:id="17"/>
      <w:r>
        <w:rPr>
          <w:b/>
          <w:noProof/>
        </w:rPr>
        <w:t xml:space="preserve"> </w:t>
      </w:r>
    </w:p>
    <w:p w:rsidR="006551B7" w:rsidRDefault="004627E8">
      <w:pPr>
        <w:pStyle w:val="ManualNumPar3"/>
        <w:rPr>
          <w:noProof/>
        </w:rPr>
      </w:pPr>
      <w:bookmarkStart w:id="18" w:name="OLE_LINK1"/>
      <w:r>
        <w:rPr>
          <w:noProof/>
        </w:rPr>
        <w:t>5.2.1</w:t>
      </w:r>
      <w:r>
        <w:rPr>
          <w:noProof/>
        </w:rPr>
        <w:tab/>
      </w:r>
      <w:r>
        <w:rPr>
          <w:b/>
          <w:i/>
          <w:noProof/>
          <w:u w:val="single"/>
        </w:rPr>
        <w:t>Razpoložljivost posamezne lokacije CCN/CSI</w:t>
      </w:r>
    </w:p>
    <w:bookmarkEnd w:id="18"/>
    <w:p w:rsidR="006551B7" w:rsidRDefault="004627E8">
      <w:pPr>
        <w:pStyle w:val="Text1"/>
        <w:rPr>
          <w:noProof/>
        </w:rPr>
      </w:pPr>
      <w:r>
        <w:rPr>
          <w:noProof/>
        </w:rPr>
        <w:t>Ta kazalnik kakovosti zagotavlja najmanjšo izmerjeno razpoložljivost posamezne lokacije v celotnem obdobju, tj. 24*7, v danem mesecu. Omejitev za sporazum o ravni storitve CCN/CSI je opredeljena, kot sledi:</w:t>
      </w:r>
    </w:p>
    <w:tbl>
      <w:tblPr>
        <w:tblStyle w:val="TableGrid"/>
        <w:tblW w:w="8221" w:type="dxa"/>
        <w:tblInd w:w="959" w:type="dxa"/>
        <w:tblLook w:val="04A0" w:firstRow="1" w:lastRow="0" w:firstColumn="1" w:lastColumn="0" w:noHBand="0" w:noVBand="1"/>
      </w:tblPr>
      <w:tblGrid>
        <w:gridCol w:w="2693"/>
        <w:gridCol w:w="5528"/>
      </w:tblGrid>
      <w:tr w:rsidR="006551B7">
        <w:tc>
          <w:tcPr>
            <w:tcW w:w="2693" w:type="dxa"/>
            <w:shd w:val="clear" w:color="auto" w:fill="D9D9D9" w:themeFill="background1" w:themeFillShade="D9"/>
          </w:tcPr>
          <w:p w:rsidR="006551B7" w:rsidRDefault="004627E8">
            <w:pPr>
              <w:pStyle w:val="Text1"/>
              <w:ind w:left="0"/>
              <w:rPr>
                <w:b/>
                <w:noProof/>
              </w:rPr>
            </w:pPr>
            <w:r>
              <w:rPr>
                <w:b/>
                <w:noProof/>
              </w:rPr>
              <w:t>OMEJITEV</w:t>
            </w:r>
          </w:p>
        </w:tc>
        <w:tc>
          <w:tcPr>
            <w:tcW w:w="5528" w:type="dxa"/>
          </w:tcPr>
          <w:p w:rsidR="006551B7" w:rsidRDefault="004627E8">
            <w:pPr>
              <w:pStyle w:val="Text1"/>
              <w:ind w:left="0"/>
              <w:rPr>
                <w:noProof/>
              </w:rPr>
            </w:pPr>
            <w:bookmarkStart w:id="19" w:name="OLE_LINK2"/>
            <w:r>
              <w:rPr>
                <w:noProof/>
                <w:color w:val="000000"/>
              </w:rPr>
              <w:t>&gt;= 97,0-odstotna razpoložljivost</w:t>
            </w:r>
            <w:bookmarkEnd w:id="19"/>
          </w:p>
        </w:tc>
      </w:tr>
    </w:tbl>
    <w:p w:rsidR="006551B7" w:rsidRDefault="004627E8">
      <w:pPr>
        <w:pStyle w:val="ManualNumPar3"/>
        <w:rPr>
          <w:noProof/>
        </w:rPr>
      </w:pPr>
      <w:bookmarkStart w:id="20" w:name="_Ref158529204"/>
      <w:bookmarkStart w:id="21" w:name="OLE_LINK4"/>
      <w:r>
        <w:rPr>
          <w:noProof/>
        </w:rPr>
        <w:t>5.2.2</w:t>
      </w:r>
      <w:r>
        <w:rPr>
          <w:noProof/>
        </w:rPr>
        <w:tab/>
      </w:r>
      <w:r>
        <w:rPr>
          <w:b/>
          <w:i/>
          <w:noProof/>
          <w:u w:val="single"/>
        </w:rPr>
        <w:t>Kazalnik kakovosti za obdobje dežurstva</w:t>
      </w:r>
      <w:bookmarkEnd w:id="20"/>
    </w:p>
    <w:bookmarkEnd w:id="21"/>
    <w:p w:rsidR="006551B7" w:rsidRDefault="004627E8">
      <w:pPr>
        <w:pStyle w:val="Text1"/>
        <w:rPr>
          <w:noProof/>
        </w:rPr>
      </w:pPr>
      <w:r>
        <w:rPr>
          <w:noProof/>
        </w:rPr>
        <w:t>„Obdobje dežurstva“ ponudnika storitev pomeni čas, ko se opravlja funkcija storitvenega centra. Storitveni center ponudnika storitev je dežuren 24 ur na dan, sedem dni v tednu, vključno z državnimi prazniki.</w:t>
      </w:r>
    </w:p>
    <w:p w:rsidR="006551B7" w:rsidRDefault="004627E8">
      <w:pPr>
        <w:pStyle w:val="Text1"/>
        <w:rPr>
          <w:noProof/>
        </w:rPr>
      </w:pPr>
      <w:r>
        <w:rPr>
          <w:noProof/>
        </w:rPr>
        <w:t>Glede na storitveno okno za konfiguracijski element se nemudoma ukrepa (24*7) ali pa se ukrepanje predvidi za naslednje storitveno okno. Pisma, telefaksi, e-pošta in elektronska zaprosila (prek portala ITSM) se sprejmejo kadar koli. Prejeta zaprosila se v sistemu upravljanja storitvenega centra ponudnika storitev evidentirajo kot „servisni klici“.</w:t>
      </w:r>
    </w:p>
    <w:p w:rsidR="006551B7" w:rsidRDefault="004627E8">
      <w:pPr>
        <w:pStyle w:val="Text1"/>
        <w:rPr>
          <w:noProof/>
        </w:rPr>
      </w:pPr>
      <w:r>
        <w:rPr>
          <w:noProof/>
        </w:rPr>
        <w:t>Omejitev za sporazum o ravni storitve je opredeljena, kot sledi:</w:t>
      </w:r>
    </w:p>
    <w:tbl>
      <w:tblPr>
        <w:tblStyle w:val="TableGrid"/>
        <w:tblW w:w="8221" w:type="dxa"/>
        <w:tblInd w:w="959" w:type="dxa"/>
        <w:tblLook w:val="04A0" w:firstRow="1" w:lastRow="0" w:firstColumn="1" w:lastColumn="0" w:noHBand="0" w:noVBand="1"/>
      </w:tblPr>
      <w:tblGrid>
        <w:gridCol w:w="2693"/>
        <w:gridCol w:w="5528"/>
      </w:tblGrid>
      <w:tr w:rsidR="006551B7">
        <w:tc>
          <w:tcPr>
            <w:tcW w:w="2693" w:type="dxa"/>
            <w:shd w:val="clear" w:color="auto" w:fill="D9D9D9" w:themeFill="background1" w:themeFillShade="D9"/>
          </w:tcPr>
          <w:p w:rsidR="006551B7" w:rsidRDefault="004627E8">
            <w:pPr>
              <w:pStyle w:val="Text1"/>
              <w:ind w:left="0"/>
              <w:rPr>
                <w:b/>
                <w:noProof/>
              </w:rPr>
            </w:pPr>
            <w:r>
              <w:rPr>
                <w:b/>
                <w:noProof/>
              </w:rPr>
              <w:t>OMEJITEV</w:t>
            </w:r>
          </w:p>
        </w:tc>
        <w:tc>
          <w:tcPr>
            <w:tcW w:w="5528" w:type="dxa"/>
          </w:tcPr>
          <w:p w:rsidR="006551B7" w:rsidRDefault="004627E8">
            <w:pPr>
              <w:pStyle w:val="Text1"/>
              <w:ind w:left="0"/>
              <w:rPr>
                <w:noProof/>
              </w:rPr>
            </w:pPr>
            <w:r>
              <w:rPr>
                <w:noProof/>
              </w:rPr>
              <w:t>Storitveni center v obdobju dežurstva ne sme biti nedosegljiv več kot dvakrat na mesec.</w:t>
            </w:r>
          </w:p>
        </w:tc>
      </w:tr>
    </w:tbl>
    <w:p w:rsidR="006551B7" w:rsidRDefault="004627E8">
      <w:pPr>
        <w:pStyle w:val="ManualNumPar3"/>
        <w:rPr>
          <w:b/>
          <w:noProof/>
        </w:rPr>
      </w:pPr>
      <w:bookmarkStart w:id="22" w:name="_Ref156974467"/>
      <w:bookmarkStart w:id="23" w:name="OLE_LINK5"/>
      <w:r>
        <w:rPr>
          <w:b/>
          <w:noProof/>
        </w:rPr>
        <w:t>5.2.3</w:t>
      </w:r>
      <w:r>
        <w:rPr>
          <w:b/>
          <w:noProof/>
        </w:rPr>
        <w:tab/>
      </w:r>
      <w:r>
        <w:rPr>
          <w:b/>
          <w:i/>
          <w:noProof/>
          <w:u w:val="single"/>
        </w:rPr>
        <w:t>Kazalnik kakovosti za storitev obveščanja</w:t>
      </w:r>
      <w:bookmarkEnd w:id="22"/>
    </w:p>
    <w:bookmarkEnd w:id="23"/>
    <w:p w:rsidR="006551B7" w:rsidRDefault="004627E8">
      <w:pPr>
        <w:pStyle w:val="Text1"/>
        <w:rPr>
          <w:noProof/>
        </w:rPr>
      </w:pPr>
      <w:r>
        <w:rPr>
          <w:noProof/>
        </w:rPr>
        <w:t>Ponudnik storitev naročniku storitev zagotavlja storitve obveščanja.</w:t>
      </w:r>
    </w:p>
    <w:p w:rsidR="006551B7" w:rsidRDefault="004627E8">
      <w:pPr>
        <w:pStyle w:val="Text1"/>
        <w:rPr>
          <w:noProof/>
        </w:rPr>
      </w:pPr>
      <w:r>
        <w:rPr>
          <w:noProof/>
        </w:rPr>
        <w:t>Obstajata dve vrsti obvestil, in sicer nujna obvestila in običajna obvestila:</w:t>
      </w:r>
    </w:p>
    <w:p w:rsidR="006551B7" w:rsidRDefault="004627E8">
      <w:pPr>
        <w:pStyle w:val="Bullet1"/>
        <w:rPr>
          <w:noProof/>
        </w:rPr>
      </w:pPr>
      <w:r>
        <w:rPr>
          <w:noProof/>
        </w:rPr>
        <w:t>NUJNA OBVESTILA (kadar ni dovolj časa, da bi bila skupnost CCN/CSI obveščena vsaj sedem koledarskih dni vnaprej): obvestila se ustrezni ciljni skupini pošljejo najpozneje dve uri po prejemu zahtevka za nujno obvestilo;</w:t>
      </w:r>
    </w:p>
    <w:p w:rsidR="006551B7" w:rsidRDefault="004627E8">
      <w:pPr>
        <w:pStyle w:val="Bullet1"/>
        <w:rPr>
          <w:noProof/>
        </w:rPr>
      </w:pPr>
      <w:r>
        <w:rPr>
          <w:noProof/>
        </w:rPr>
        <w:t>OBIČAJNA OBVESTILA (ali načrtovani posegi): obvestila se ustrezni ciljni skupini pošljejo vsaj en teden (sedem koledarskih dni) pred posegom, vsaj 24 ur pred dogodkom pa se pošlje opomnik.</w:t>
      </w:r>
    </w:p>
    <w:p w:rsidR="006551B7" w:rsidRDefault="004627E8">
      <w:pPr>
        <w:spacing w:before="0" w:after="200" w:line="276" w:lineRule="auto"/>
        <w:ind w:left="709"/>
        <w:rPr>
          <w:rFonts w:eastAsia="Calibri"/>
          <w:noProof/>
          <w:szCs w:val="24"/>
        </w:rPr>
      </w:pPr>
      <w:r>
        <w:rPr>
          <w:noProof/>
        </w:rPr>
        <w:t>S tem kazalnikom se meri upoštevanje roka za obveščanje (prek množičnega pošiljanja pošte) o načrtovani nedostopnosti.</w:t>
      </w:r>
    </w:p>
    <w:p w:rsidR="006551B7" w:rsidRDefault="004627E8">
      <w:pPr>
        <w:pStyle w:val="ManualNumPar3"/>
        <w:rPr>
          <w:b/>
          <w:noProof/>
        </w:rPr>
      </w:pPr>
      <w:bookmarkStart w:id="24" w:name="OLE_LINK6"/>
      <w:r>
        <w:rPr>
          <w:b/>
          <w:noProof/>
        </w:rPr>
        <w:t>5.3.4</w:t>
      </w:r>
      <w:r>
        <w:rPr>
          <w:b/>
          <w:noProof/>
        </w:rPr>
        <w:tab/>
      </w:r>
      <w:r>
        <w:rPr>
          <w:b/>
          <w:i/>
          <w:noProof/>
          <w:u w:val="single"/>
        </w:rPr>
        <w:t>Kazalnik kakovosti za obvladovanje nepredvidljivih razmer</w:t>
      </w:r>
    </w:p>
    <w:bookmarkEnd w:id="24"/>
    <w:p w:rsidR="006551B7" w:rsidRDefault="004627E8">
      <w:pPr>
        <w:pStyle w:val="Text1"/>
        <w:rPr>
          <w:noProof/>
          <w:w w:val="122"/>
        </w:rPr>
      </w:pPr>
      <w:r>
        <w:rPr>
          <w:b/>
          <w:noProof/>
        </w:rPr>
        <w:t>Hladna rezerva</w:t>
      </w:r>
      <w:r>
        <w:rPr>
          <w:noProof/>
        </w:rPr>
        <w:t xml:space="preserve"> (postopek preklopa, varnostno kopiranje in obnovitev ali CCN prek interneta)</w:t>
      </w:r>
    </w:p>
    <w:p w:rsidR="006551B7" w:rsidRDefault="004627E8">
      <w:pPr>
        <w:pStyle w:val="Text1"/>
        <w:rPr>
          <w:noProof/>
        </w:rPr>
      </w:pPr>
      <w:r>
        <w:rPr>
          <w:noProof/>
        </w:rPr>
        <w:t>Ustrezna vrsta preklopa, ki ga je treba izvesti, je odvisna od temeljite analize posebne ureditve državne uprave in zadevne težave.</w:t>
      </w:r>
    </w:p>
    <w:p w:rsidR="006551B7" w:rsidRDefault="004627E8">
      <w:pPr>
        <w:pStyle w:val="Text1"/>
        <w:rPr>
          <w:noProof/>
        </w:rPr>
      </w:pPr>
      <w:r>
        <w:rPr>
          <w:noProof/>
        </w:rPr>
        <w:t>Najdaljša zakasnitev, dovoljena za preklop s katerega koli produkcijskega prehoda državne uprave na ustrezno rešitev z rezervnim prehodom CCN, je opredeljena, kot sledi:</w:t>
      </w:r>
    </w:p>
    <w:tbl>
      <w:tblPr>
        <w:tblStyle w:val="TableGrid"/>
        <w:tblW w:w="8221" w:type="dxa"/>
        <w:tblInd w:w="959" w:type="dxa"/>
        <w:tblLook w:val="04A0" w:firstRow="1" w:lastRow="0" w:firstColumn="1" w:lastColumn="0" w:noHBand="0" w:noVBand="1"/>
      </w:tblPr>
      <w:tblGrid>
        <w:gridCol w:w="2693"/>
        <w:gridCol w:w="5528"/>
      </w:tblGrid>
      <w:tr w:rsidR="006551B7">
        <w:tc>
          <w:tcPr>
            <w:tcW w:w="2693" w:type="dxa"/>
            <w:shd w:val="clear" w:color="auto" w:fill="D9D9D9" w:themeFill="background1" w:themeFillShade="D9"/>
          </w:tcPr>
          <w:p w:rsidR="006551B7" w:rsidRDefault="004627E8">
            <w:pPr>
              <w:pStyle w:val="Text1"/>
              <w:ind w:left="0"/>
              <w:rPr>
                <w:b/>
                <w:noProof/>
              </w:rPr>
            </w:pPr>
            <w:r>
              <w:rPr>
                <w:b/>
                <w:noProof/>
              </w:rPr>
              <w:t>OMEJITEV</w:t>
            </w:r>
          </w:p>
        </w:tc>
        <w:tc>
          <w:tcPr>
            <w:tcW w:w="5528" w:type="dxa"/>
          </w:tcPr>
          <w:p w:rsidR="006551B7" w:rsidRDefault="004627E8">
            <w:pPr>
              <w:pStyle w:val="Text1"/>
              <w:ind w:left="0"/>
              <w:rPr>
                <w:noProof/>
                <w:szCs w:val="24"/>
              </w:rPr>
            </w:pPr>
            <w:r>
              <w:rPr>
                <w:noProof/>
                <w:color w:val="000000"/>
              </w:rPr>
              <w:t>največ pet delovnih ur po sklenitvi dogovora z naročnikom storitev glede izvedbe preklopa</w:t>
            </w:r>
          </w:p>
        </w:tc>
      </w:tr>
    </w:tbl>
    <w:p w:rsidR="006551B7" w:rsidRDefault="004627E8">
      <w:pPr>
        <w:pStyle w:val="ManualNumPar3"/>
        <w:rPr>
          <w:b/>
          <w:noProof/>
        </w:rPr>
      </w:pPr>
      <w:bookmarkStart w:id="25" w:name="OLE_LINK7"/>
      <w:r>
        <w:rPr>
          <w:b/>
          <w:noProof/>
        </w:rPr>
        <w:t>5.3.5</w:t>
      </w:r>
      <w:r>
        <w:rPr>
          <w:b/>
          <w:noProof/>
        </w:rPr>
        <w:tab/>
      </w:r>
      <w:r>
        <w:rPr>
          <w:b/>
          <w:i/>
          <w:noProof/>
          <w:u w:val="single"/>
        </w:rPr>
        <w:t>Kazalnik kakovosti za upravljanje konfiguracijskih podatkov za aplikacije</w:t>
      </w:r>
    </w:p>
    <w:bookmarkEnd w:id="25"/>
    <w:p w:rsidR="006551B7" w:rsidRDefault="004627E8">
      <w:pPr>
        <w:pStyle w:val="Text1"/>
        <w:rPr>
          <w:noProof/>
        </w:rPr>
      </w:pPr>
      <w:r>
        <w:rPr>
          <w:noProof/>
        </w:rPr>
        <w:t>Najdaljša zakasnitev, dovoljena za izvedbo zahteve za konfiguracijo aplikacij z orodjem za konfiguracijo aplikacij (Application Configuration Tool – ACT) za eno lokacijo, je opredeljena, kot sledi:</w:t>
      </w:r>
    </w:p>
    <w:tbl>
      <w:tblPr>
        <w:tblStyle w:val="TableGrid"/>
        <w:tblW w:w="8221" w:type="dxa"/>
        <w:tblInd w:w="959" w:type="dxa"/>
        <w:tblLook w:val="04A0" w:firstRow="1" w:lastRow="0" w:firstColumn="1" w:lastColumn="0" w:noHBand="0" w:noVBand="1"/>
      </w:tblPr>
      <w:tblGrid>
        <w:gridCol w:w="2693"/>
        <w:gridCol w:w="5528"/>
      </w:tblGrid>
      <w:tr w:rsidR="006551B7">
        <w:tc>
          <w:tcPr>
            <w:tcW w:w="2693" w:type="dxa"/>
            <w:shd w:val="clear" w:color="auto" w:fill="D9D9D9" w:themeFill="background1" w:themeFillShade="D9"/>
          </w:tcPr>
          <w:p w:rsidR="006551B7" w:rsidRDefault="004627E8">
            <w:pPr>
              <w:pStyle w:val="Text1"/>
              <w:ind w:left="0"/>
              <w:rPr>
                <w:b/>
                <w:noProof/>
              </w:rPr>
            </w:pPr>
            <w:r>
              <w:rPr>
                <w:b/>
                <w:noProof/>
              </w:rPr>
              <w:t>OMEJITEV</w:t>
            </w:r>
          </w:p>
        </w:tc>
        <w:tc>
          <w:tcPr>
            <w:tcW w:w="5528" w:type="dxa"/>
          </w:tcPr>
          <w:p w:rsidR="006551B7" w:rsidRDefault="004627E8">
            <w:pPr>
              <w:pStyle w:val="Text1"/>
              <w:ind w:left="0"/>
              <w:rPr>
                <w:noProof/>
                <w:szCs w:val="24"/>
              </w:rPr>
            </w:pPr>
            <w:r>
              <w:rPr>
                <w:noProof/>
                <w:color w:val="000000"/>
              </w:rPr>
              <w:t>5 delovnih dni</w:t>
            </w:r>
          </w:p>
        </w:tc>
      </w:tr>
    </w:tbl>
    <w:p w:rsidR="006551B7" w:rsidRDefault="004627E8">
      <w:pPr>
        <w:pStyle w:val="ManualNumPar3"/>
        <w:rPr>
          <w:b/>
          <w:noProof/>
        </w:rPr>
      </w:pPr>
      <w:bookmarkStart w:id="26" w:name="OLE_LINK8"/>
      <w:r>
        <w:rPr>
          <w:b/>
          <w:noProof/>
        </w:rPr>
        <w:t>5.3.6</w:t>
      </w:r>
      <w:r>
        <w:rPr>
          <w:b/>
          <w:noProof/>
        </w:rPr>
        <w:tab/>
      </w:r>
      <w:r>
        <w:rPr>
          <w:b/>
          <w:i/>
          <w:noProof/>
          <w:u w:val="single"/>
        </w:rPr>
        <w:t>Kazalnik kakovosti za zakasnitev potrditve prejema</w:t>
      </w:r>
    </w:p>
    <w:bookmarkEnd w:id="26"/>
    <w:p w:rsidR="006551B7" w:rsidRDefault="004627E8">
      <w:pPr>
        <w:pStyle w:val="Text1"/>
        <w:rPr>
          <w:noProof/>
        </w:rPr>
      </w:pPr>
      <w:r>
        <w:rPr>
          <w:noProof/>
        </w:rPr>
        <w:t xml:space="preserve">Najdaljša zakasnitev, ki lahko preteče od trenutka, ko storitveni center prejme zahtevek, do trenutka pošiljanja potrditve prejema (tj. številke servisnega klica) naročniku storitev, je opredeljena, kot sledi: </w:t>
      </w:r>
    </w:p>
    <w:tbl>
      <w:tblPr>
        <w:tblStyle w:val="TableGrid"/>
        <w:tblW w:w="8221" w:type="dxa"/>
        <w:tblInd w:w="959" w:type="dxa"/>
        <w:tblLook w:val="04A0" w:firstRow="1" w:lastRow="0" w:firstColumn="1" w:lastColumn="0" w:noHBand="0" w:noVBand="1"/>
      </w:tblPr>
      <w:tblGrid>
        <w:gridCol w:w="2693"/>
        <w:gridCol w:w="5528"/>
      </w:tblGrid>
      <w:tr w:rsidR="006551B7">
        <w:tc>
          <w:tcPr>
            <w:tcW w:w="2693" w:type="dxa"/>
            <w:shd w:val="clear" w:color="auto" w:fill="D9D9D9" w:themeFill="background1" w:themeFillShade="D9"/>
          </w:tcPr>
          <w:p w:rsidR="006551B7" w:rsidRDefault="004627E8">
            <w:pPr>
              <w:pStyle w:val="Text1"/>
              <w:ind w:left="0"/>
              <w:rPr>
                <w:b/>
                <w:noProof/>
              </w:rPr>
            </w:pPr>
            <w:r>
              <w:rPr>
                <w:b/>
                <w:noProof/>
              </w:rPr>
              <w:t>OMEJITEV</w:t>
            </w:r>
          </w:p>
        </w:tc>
        <w:tc>
          <w:tcPr>
            <w:tcW w:w="5528" w:type="dxa"/>
          </w:tcPr>
          <w:p w:rsidR="006551B7" w:rsidRDefault="004627E8">
            <w:pPr>
              <w:pStyle w:val="Text1"/>
              <w:ind w:left="0"/>
              <w:rPr>
                <w:noProof/>
                <w:szCs w:val="24"/>
              </w:rPr>
            </w:pPr>
            <w:r>
              <w:rPr>
                <w:noProof/>
                <w:color w:val="000000"/>
              </w:rPr>
              <w:t>30 minut</w:t>
            </w:r>
          </w:p>
        </w:tc>
      </w:tr>
    </w:tbl>
    <w:p w:rsidR="006551B7" w:rsidRDefault="004627E8">
      <w:pPr>
        <w:pStyle w:val="Text1"/>
        <w:rPr>
          <w:noProof/>
        </w:rPr>
      </w:pPr>
      <w:r>
        <w:rPr>
          <w:noProof/>
        </w:rPr>
        <w:t xml:space="preserve">Incidenti so razvrščeni glede na </w:t>
      </w:r>
      <w:r>
        <w:rPr>
          <w:b/>
          <w:noProof/>
        </w:rPr>
        <w:t>prednostne stopnje</w:t>
      </w:r>
      <w:r>
        <w:rPr>
          <w:noProof/>
        </w:rPr>
        <w:t xml:space="preserve">. </w:t>
      </w:r>
    </w:p>
    <w:p w:rsidR="006551B7" w:rsidRDefault="004627E8">
      <w:pPr>
        <w:pStyle w:val="Text1"/>
        <w:rPr>
          <w:noProof/>
        </w:rPr>
      </w:pPr>
      <w:r>
        <w:rPr>
          <w:noProof/>
        </w:rPr>
        <w:t xml:space="preserve">Prednost incidenta je izražena kot številka od 1 do 4: </w:t>
      </w:r>
    </w:p>
    <w:tbl>
      <w:tblPr>
        <w:tblStyle w:val="TableGrid"/>
        <w:tblW w:w="8221" w:type="dxa"/>
        <w:tblInd w:w="959" w:type="dxa"/>
        <w:tblLook w:val="04A0" w:firstRow="1" w:lastRow="0" w:firstColumn="1" w:lastColumn="0" w:noHBand="0" w:noVBand="1"/>
      </w:tblPr>
      <w:tblGrid>
        <w:gridCol w:w="2693"/>
        <w:gridCol w:w="5528"/>
      </w:tblGrid>
      <w:tr w:rsidR="006551B7">
        <w:tc>
          <w:tcPr>
            <w:tcW w:w="2693" w:type="dxa"/>
            <w:shd w:val="clear" w:color="auto" w:fill="FF0000"/>
          </w:tcPr>
          <w:p w:rsidR="006551B7" w:rsidRDefault="004627E8">
            <w:pPr>
              <w:pStyle w:val="Text1"/>
              <w:ind w:left="0"/>
              <w:jc w:val="center"/>
              <w:rPr>
                <w:b/>
                <w:noProof/>
                <w:color w:val="000000" w:themeColor="text1"/>
              </w:rPr>
            </w:pPr>
            <w:r>
              <w:rPr>
                <w:b/>
                <w:noProof/>
                <w:color w:val="000000" w:themeColor="text1"/>
              </w:rPr>
              <w:t>1</w:t>
            </w:r>
          </w:p>
        </w:tc>
        <w:tc>
          <w:tcPr>
            <w:tcW w:w="5528" w:type="dxa"/>
            <w:shd w:val="clear" w:color="auto" w:fill="FF0000"/>
          </w:tcPr>
          <w:p w:rsidR="006551B7" w:rsidRDefault="004627E8">
            <w:pPr>
              <w:pStyle w:val="Text1"/>
              <w:ind w:left="0"/>
              <w:jc w:val="center"/>
              <w:rPr>
                <w:b/>
                <w:noProof/>
                <w:color w:val="000000" w:themeColor="text1"/>
                <w:szCs w:val="24"/>
              </w:rPr>
            </w:pPr>
            <w:r>
              <w:rPr>
                <w:b/>
                <w:noProof/>
                <w:color w:val="000000" w:themeColor="text1"/>
              </w:rPr>
              <w:t>NAJVIŠJA</w:t>
            </w:r>
          </w:p>
        </w:tc>
      </w:tr>
      <w:tr w:rsidR="006551B7">
        <w:tc>
          <w:tcPr>
            <w:tcW w:w="2693" w:type="dxa"/>
            <w:shd w:val="clear" w:color="auto" w:fill="00B050"/>
          </w:tcPr>
          <w:p w:rsidR="006551B7" w:rsidRDefault="004627E8">
            <w:pPr>
              <w:pStyle w:val="Text1"/>
              <w:ind w:left="0"/>
              <w:jc w:val="center"/>
              <w:rPr>
                <w:b/>
                <w:noProof/>
                <w:color w:val="000000" w:themeColor="text1"/>
              </w:rPr>
            </w:pPr>
            <w:r>
              <w:rPr>
                <w:b/>
                <w:noProof/>
                <w:color w:val="000000" w:themeColor="text1"/>
              </w:rPr>
              <w:t>2</w:t>
            </w:r>
          </w:p>
        </w:tc>
        <w:tc>
          <w:tcPr>
            <w:tcW w:w="5528" w:type="dxa"/>
            <w:shd w:val="clear" w:color="auto" w:fill="00B050"/>
          </w:tcPr>
          <w:p w:rsidR="006551B7" w:rsidRDefault="004627E8">
            <w:pPr>
              <w:pStyle w:val="Text1"/>
              <w:ind w:left="0"/>
              <w:jc w:val="center"/>
              <w:rPr>
                <w:rFonts w:eastAsia="Calibri"/>
                <w:b/>
                <w:noProof/>
                <w:color w:val="000000" w:themeColor="text1"/>
                <w:szCs w:val="24"/>
              </w:rPr>
            </w:pPr>
            <w:r>
              <w:rPr>
                <w:b/>
                <w:noProof/>
                <w:color w:val="000000" w:themeColor="text1"/>
              </w:rPr>
              <w:t>VISOKA</w:t>
            </w:r>
          </w:p>
        </w:tc>
      </w:tr>
      <w:tr w:rsidR="006551B7">
        <w:tc>
          <w:tcPr>
            <w:tcW w:w="2693" w:type="dxa"/>
            <w:shd w:val="clear" w:color="auto" w:fill="BFBFBF" w:themeFill="background1" w:themeFillShade="BF"/>
          </w:tcPr>
          <w:p w:rsidR="006551B7" w:rsidRDefault="004627E8">
            <w:pPr>
              <w:pStyle w:val="Text1"/>
              <w:ind w:left="0"/>
              <w:jc w:val="center"/>
              <w:rPr>
                <w:b/>
                <w:noProof/>
                <w:color w:val="000000" w:themeColor="text1"/>
              </w:rPr>
            </w:pPr>
            <w:r>
              <w:rPr>
                <w:b/>
                <w:noProof/>
                <w:color w:val="000000" w:themeColor="text1"/>
              </w:rPr>
              <w:t>3</w:t>
            </w:r>
          </w:p>
        </w:tc>
        <w:tc>
          <w:tcPr>
            <w:tcW w:w="5528" w:type="dxa"/>
            <w:shd w:val="clear" w:color="auto" w:fill="BFBFBF" w:themeFill="background1" w:themeFillShade="BF"/>
          </w:tcPr>
          <w:p w:rsidR="006551B7" w:rsidRDefault="004627E8">
            <w:pPr>
              <w:pStyle w:val="Text1"/>
              <w:ind w:left="0"/>
              <w:jc w:val="center"/>
              <w:rPr>
                <w:rFonts w:eastAsia="Calibri"/>
                <w:b/>
                <w:noProof/>
                <w:color w:val="000000" w:themeColor="text1"/>
                <w:szCs w:val="24"/>
              </w:rPr>
            </w:pPr>
            <w:r>
              <w:rPr>
                <w:b/>
                <w:noProof/>
                <w:color w:val="000000" w:themeColor="text1"/>
              </w:rPr>
              <w:t>SREDNJA</w:t>
            </w:r>
          </w:p>
        </w:tc>
      </w:tr>
      <w:tr w:rsidR="006551B7">
        <w:tc>
          <w:tcPr>
            <w:tcW w:w="2693" w:type="dxa"/>
            <w:shd w:val="clear" w:color="auto" w:fill="95B3D7" w:themeFill="accent1" w:themeFillTint="99"/>
          </w:tcPr>
          <w:p w:rsidR="006551B7" w:rsidRDefault="004627E8">
            <w:pPr>
              <w:pStyle w:val="Text1"/>
              <w:ind w:left="0"/>
              <w:jc w:val="center"/>
              <w:rPr>
                <w:b/>
                <w:noProof/>
                <w:color w:val="000000" w:themeColor="text1"/>
              </w:rPr>
            </w:pPr>
            <w:r>
              <w:rPr>
                <w:b/>
                <w:noProof/>
                <w:color w:val="000000" w:themeColor="text1"/>
              </w:rPr>
              <w:t>4</w:t>
            </w:r>
          </w:p>
        </w:tc>
        <w:tc>
          <w:tcPr>
            <w:tcW w:w="5528" w:type="dxa"/>
            <w:shd w:val="clear" w:color="auto" w:fill="95B3D7" w:themeFill="accent1" w:themeFillTint="99"/>
          </w:tcPr>
          <w:p w:rsidR="006551B7" w:rsidRDefault="004627E8">
            <w:pPr>
              <w:pStyle w:val="Text1"/>
              <w:ind w:left="0"/>
              <w:jc w:val="center"/>
              <w:rPr>
                <w:rFonts w:eastAsia="Calibri"/>
                <w:b/>
                <w:noProof/>
                <w:color w:val="000000" w:themeColor="text1"/>
                <w:szCs w:val="24"/>
              </w:rPr>
            </w:pPr>
            <w:r>
              <w:rPr>
                <w:b/>
                <w:noProof/>
                <w:color w:val="000000" w:themeColor="text1"/>
              </w:rPr>
              <w:t>NIZKA</w:t>
            </w:r>
          </w:p>
        </w:tc>
      </w:tr>
    </w:tbl>
    <w:p w:rsidR="006551B7" w:rsidRDefault="004627E8">
      <w:pPr>
        <w:pStyle w:val="ManualNumPar3"/>
        <w:rPr>
          <w:b/>
          <w:noProof/>
        </w:rPr>
      </w:pPr>
      <w:bookmarkStart w:id="27" w:name="_Ref158695475"/>
      <w:bookmarkStart w:id="28" w:name="OLE_LINK9"/>
      <w:r>
        <w:rPr>
          <w:b/>
          <w:noProof/>
        </w:rPr>
        <w:t>5.3.7</w:t>
      </w:r>
      <w:r>
        <w:rPr>
          <w:b/>
          <w:noProof/>
        </w:rPr>
        <w:tab/>
      </w:r>
      <w:r>
        <w:rPr>
          <w:b/>
          <w:i/>
          <w:noProof/>
          <w:u w:val="single"/>
        </w:rPr>
        <w:t>Kazalnik kakovosti za zakasnitev reševanja</w:t>
      </w:r>
      <w:bookmarkEnd w:id="27"/>
    </w:p>
    <w:bookmarkEnd w:id="28"/>
    <w:p w:rsidR="006551B7" w:rsidRDefault="004627E8">
      <w:pPr>
        <w:pStyle w:val="Text1"/>
        <w:rPr>
          <w:noProof/>
        </w:rPr>
      </w:pPr>
      <w:r>
        <w:rPr>
          <w:noProof/>
        </w:rPr>
        <w:t xml:space="preserve">Zakasnitev reševanja je čas, ki preteče od trenutka, ko ponudnik storitev potrdi prejem obvestila o incidentu, do trenutka, ko ponudnik storitev odpravi poglavitni vzrok incidenta ali izvede nadomestno rešitev. </w:t>
      </w:r>
    </w:p>
    <w:p w:rsidR="006551B7" w:rsidRDefault="004627E8">
      <w:pPr>
        <w:pStyle w:val="Text1"/>
        <w:rPr>
          <w:noProof/>
        </w:rPr>
      </w:pPr>
      <w:r>
        <w:rPr>
          <w:noProof/>
        </w:rPr>
        <w:t>Glede na prednost je zakasnitev reševanja opredeljena, kot sledi:</w:t>
      </w:r>
    </w:p>
    <w:tbl>
      <w:tblPr>
        <w:tblStyle w:val="TableGrid"/>
        <w:tblW w:w="8221" w:type="dxa"/>
        <w:tblInd w:w="959" w:type="dxa"/>
        <w:tblLook w:val="04A0" w:firstRow="1" w:lastRow="0" w:firstColumn="1" w:lastColumn="0" w:noHBand="0" w:noVBand="1"/>
      </w:tblPr>
      <w:tblGrid>
        <w:gridCol w:w="2693"/>
        <w:gridCol w:w="5528"/>
      </w:tblGrid>
      <w:tr w:rsidR="006551B7">
        <w:tc>
          <w:tcPr>
            <w:tcW w:w="2693" w:type="dxa"/>
            <w:shd w:val="clear" w:color="auto" w:fill="BFBFBF" w:themeFill="background1" w:themeFillShade="BF"/>
          </w:tcPr>
          <w:p w:rsidR="006551B7" w:rsidRDefault="004627E8">
            <w:pPr>
              <w:pStyle w:val="Text1"/>
              <w:ind w:left="0"/>
              <w:jc w:val="center"/>
              <w:rPr>
                <w:b/>
                <w:noProof/>
              </w:rPr>
            </w:pPr>
            <w:r>
              <w:rPr>
                <w:b/>
                <w:noProof/>
              </w:rPr>
              <w:t>PREDNOST</w:t>
            </w:r>
          </w:p>
        </w:tc>
        <w:tc>
          <w:tcPr>
            <w:tcW w:w="5528" w:type="dxa"/>
            <w:shd w:val="clear" w:color="auto" w:fill="BFBFBF" w:themeFill="background1" w:themeFillShade="BF"/>
          </w:tcPr>
          <w:p w:rsidR="006551B7" w:rsidRDefault="004627E8">
            <w:pPr>
              <w:pStyle w:val="Text1"/>
              <w:ind w:left="0"/>
              <w:jc w:val="center"/>
              <w:rPr>
                <w:b/>
                <w:noProof/>
                <w:szCs w:val="24"/>
              </w:rPr>
            </w:pPr>
            <w:r>
              <w:rPr>
                <w:b/>
                <w:noProof/>
                <w:color w:val="000000"/>
              </w:rPr>
              <w:t>ZAKASNITEV REŠEVANJA</w:t>
            </w:r>
          </w:p>
        </w:tc>
      </w:tr>
      <w:tr w:rsidR="006551B7">
        <w:tc>
          <w:tcPr>
            <w:tcW w:w="2693" w:type="dxa"/>
            <w:shd w:val="clear" w:color="auto" w:fill="D9D9D9" w:themeFill="background1" w:themeFillShade="D9"/>
          </w:tcPr>
          <w:p w:rsidR="006551B7" w:rsidRDefault="004627E8">
            <w:pPr>
              <w:pStyle w:val="Text1"/>
              <w:ind w:left="0"/>
              <w:jc w:val="center"/>
              <w:rPr>
                <w:b/>
                <w:noProof/>
              </w:rPr>
            </w:pPr>
            <w:r>
              <w:rPr>
                <w:b/>
                <w:noProof/>
              </w:rPr>
              <w:t>NAJVIŠJA</w:t>
            </w:r>
          </w:p>
        </w:tc>
        <w:tc>
          <w:tcPr>
            <w:tcW w:w="5528" w:type="dxa"/>
          </w:tcPr>
          <w:p w:rsidR="006551B7" w:rsidRDefault="004627E8">
            <w:pPr>
              <w:pStyle w:val="Text1"/>
              <w:ind w:left="0"/>
              <w:jc w:val="center"/>
              <w:rPr>
                <w:rFonts w:eastAsia="Calibri"/>
                <w:noProof/>
                <w:color w:val="000000"/>
                <w:szCs w:val="24"/>
              </w:rPr>
            </w:pPr>
            <w:r>
              <w:rPr>
                <w:noProof/>
              </w:rPr>
              <w:t>5 delovnih ur</w:t>
            </w:r>
          </w:p>
        </w:tc>
      </w:tr>
      <w:tr w:rsidR="006551B7">
        <w:tc>
          <w:tcPr>
            <w:tcW w:w="2693" w:type="dxa"/>
            <w:shd w:val="clear" w:color="auto" w:fill="D9D9D9" w:themeFill="background1" w:themeFillShade="D9"/>
          </w:tcPr>
          <w:p w:rsidR="006551B7" w:rsidRDefault="004627E8">
            <w:pPr>
              <w:pStyle w:val="Text1"/>
              <w:ind w:left="0"/>
              <w:jc w:val="center"/>
              <w:rPr>
                <w:b/>
                <w:noProof/>
              </w:rPr>
            </w:pPr>
            <w:r>
              <w:rPr>
                <w:b/>
                <w:noProof/>
              </w:rPr>
              <w:t>VISOKA</w:t>
            </w:r>
          </w:p>
        </w:tc>
        <w:tc>
          <w:tcPr>
            <w:tcW w:w="5528" w:type="dxa"/>
          </w:tcPr>
          <w:p w:rsidR="006551B7" w:rsidRDefault="004627E8">
            <w:pPr>
              <w:pStyle w:val="Text1"/>
              <w:ind w:left="0"/>
              <w:jc w:val="center"/>
              <w:rPr>
                <w:rFonts w:eastAsia="Calibri"/>
                <w:noProof/>
                <w:color w:val="000000"/>
                <w:szCs w:val="24"/>
              </w:rPr>
            </w:pPr>
            <w:r>
              <w:rPr>
                <w:noProof/>
              </w:rPr>
              <w:t>13 delovnih ur</w:t>
            </w:r>
          </w:p>
        </w:tc>
      </w:tr>
      <w:tr w:rsidR="006551B7">
        <w:tc>
          <w:tcPr>
            <w:tcW w:w="2693" w:type="dxa"/>
            <w:shd w:val="clear" w:color="auto" w:fill="D9D9D9" w:themeFill="background1" w:themeFillShade="D9"/>
          </w:tcPr>
          <w:p w:rsidR="006551B7" w:rsidRDefault="004627E8">
            <w:pPr>
              <w:pStyle w:val="Text1"/>
              <w:ind w:left="0"/>
              <w:jc w:val="center"/>
              <w:rPr>
                <w:b/>
                <w:noProof/>
              </w:rPr>
            </w:pPr>
            <w:r>
              <w:rPr>
                <w:b/>
                <w:noProof/>
              </w:rPr>
              <w:t>SREDNJA</w:t>
            </w:r>
          </w:p>
        </w:tc>
        <w:tc>
          <w:tcPr>
            <w:tcW w:w="5528" w:type="dxa"/>
          </w:tcPr>
          <w:p w:rsidR="006551B7" w:rsidRDefault="004627E8">
            <w:pPr>
              <w:pStyle w:val="Text1"/>
              <w:ind w:left="0"/>
              <w:jc w:val="center"/>
              <w:rPr>
                <w:rFonts w:eastAsia="Calibri"/>
                <w:noProof/>
                <w:color w:val="000000"/>
                <w:szCs w:val="24"/>
              </w:rPr>
            </w:pPr>
            <w:r>
              <w:rPr>
                <w:noProof/>
              </w:rPr>
              <w:t>39 delovnih ur</w:t>
            </w:r>
          </w:p>
        </w:tc>
      </w:tr>
      <w:tr w:rsidR="006551B7">
        <w:tc>
          <w:tcPr>
            <w:tcW w:w="2693" w:type="dxa"/>
            <w:shd w:val="clear" w:color="auto" w:fill="D9D9D9" w:themeFill="background1" w:themeFillShade="D9"/>
          </w:tcPr>
          <w:p w:rsidR="006551B7" w:rsidRDefault="004627E8">
            <w:pPr>
              <w:pStyle w:val="Text1"/>
              <w:ind w:left="0"/>
              <w:jc w:val="center"/>
              <w:rPr>
                <w:b/>
                <w:noProof/>
              </w:rPr>
            </w:pPr>
            <w:r>
              <w:rPr>
                <w:b/>
                <w:noProof/>
              </w:rPr>
              <w:t>NIZKA</w:t>
            </w:r>
          </w:p>
        </w:tc>
        <w:tc>
          <w:tcPr>
            <w:tcW w:w="5528" w:type="dxa"/>
          </w:tcPr>
          <w:p w:rsidR="006551B7" w:rsidRDefault="004627E8">
            <w:pPr>
              <w:pStyle w:val="Text1"/>
              <w:ind w:left="0"/>
              <w:jc w:val="center"/>
              <w:rPr>
                <w:rFonts w:eastAsia="Calibri"/>
                <w:noProof/>
                <w:color w:val="000000"/>
                <w:szCs w:val="24"/>
              </w:rPr>
            </w:pPr>
            <w:r>
              <w:rPr>
                <w:noProof/>
              </w:rPr>
              <w:t>65 delovnih ur</w:t>
            </w:r>
          </w:p>
        </w:tc>
      </w:tr>
    </w:tbl>
    <w:p w:rsidR="006551B7" w:rsidRDefault="004627E8">
      <w:pPr>
        <w:spacing w:before="60"/>
        <w:jc w:val="center"/>
        <w:rPr>
          <w:rFonts w:eastAsia="Times New Roman"/>
          <w:noProof/>
          <w:sz w:val="20"/>
          <w:szCs w:val="20"/>
        </w:rPr>
      </w:pPr>
      <w:bookmarkStart w:id="29" w:name="_Ref156975057"/>
      <w:r>
        <w:rPr>
          <w:noProof/>
          <w:sz w:val="20"/>
        </w:rPr>
        <w:t>Preglednica 8: Zakasnitev reševanja</w:t>
      </w:r>
      <w:bookmarkEnd w:id="29"/>
    </w:p>
    <w:tbl>
      <w:tblPr>
        <w:tblStyle w:val="TableGrid"/>
        <w:tblW w:w="8221" w:type="dxa"/>
        <w:tblInd w:w="959" w:type="dxa"/>
        <w:tblLook w:val="04A0" w:firstRow="1" w:lastRow="0" w:firstColumn="1" w:lastColumn="0" w:noHBand="0" w:noVBand="1"/>
      </w:tblPr>
      <w:tblGrid>
        <w:gridCol w:w="2693"/>
        <w:gridCol w:w="5528"/>
      </w:tblGrid>
      <w:tr w:rsidR="006551B7">
        <w:tc>
          <w:tcPr>
            <w:tcW w:w="2693" w:type="dxa"/>
            <w:shd w:val="clear" w:color="auto" w:fill="BFBFBF" w:themeFill="background1" w:themeFillShade="BF"/>
          </w:tcPr>
          <w:p w:rsidR="006551B7" w:rsidRDefault="004627E8">
            <w:pPr>
              <w:pStyle w:val="Text1"/>
              <w:ind w:left="0"/>
              <w:jc w:val="center"/>
              <w:rPr>
                <w:b/>
                <w:noProof/>
              </w:rPr>
            </w:pPr>
            <w:r>
              <w:rPr>
                <w:b/>
                <w:noProof/>
              </w:rPr>
              <w:t>PREDNOST</w:t>
            </w:r>
          </w:p>
        </w:tc>
        <w:tc>
          <w:tcPr>
            <w:tcW w:w="5528" w:type="dxa"/>
            <w:shd w:val="clear" w:color="auto" w:fill="BFBFBF" w:themeFill="background1" w:themeFillShade="BF"/>
          </w:tcPr>
          <w:p w:rsidR="006551B7" w:rsidRDefault="004627E8">
            <w:pPr>
              <w:pStyle w:val="Text1"/>
              <w:ind w:left="0"/>
              <w:jc w:val="center"/>
              <w:rPr>
                <w:b/>
                <w:noProof/>
                <w:szCs w:val="24"/>
              </w:rPr>
            </w:pPr>
            <w:r>
              <w:rPr>
                <w:b/>
                <w:noProof/>
                <w:color w:val="000000"/>
              </w:rPr>
              <w:t>OMEJITEV</w:t>
            </w:r>
          </w:p>
        </w:tc>
      </w:tr>
      <w:tr w:rsidR="006551B7">
        <w:tc>
          <w:tcPr>
            <w:tcW w:w="2693" w:type="dxa"/>
            <w:shd w:val="clear" w:color="auto" w:fill="D9D9D9" w:themeFill="background1" w:themeFillShade="D9"/>
          </w:tcPr>
          <w:p w:rsidR="006551B7" w:rsidRDefault="004627E8">
            <w:pPr>
              <w:pStyle w:val="Text1"/>
              <w:ind w:left="0"/>
              <w:jc w:val="center"/>
              <w:rPr>
                <w:b/>
                <w:noProof/>
              </w:rPr>
            </w:pPr>
            <w:r>
              <w:rPr>
                <w:b/>
                <w:noProof/>
              </w:rPr>
              <w:t>NAJVIŠJA</w:t>
            </w:r>
          </w:p>
        </w:tc>
        <w:tc>
          <w:tcPr>
            <w:tcW w:w="5528" w:type="dxa"/>
          </w:tcPr>
          <w:p w:rsidR="006551B7" w:rsidRDefault="004627E8">
            <w:pPr>
              <w:pStyle w:val="Text1"/>
              <w:ind w:left="0"/>
              <w:rPr>
                <w:rFonts w:eastAsia="Calibri"/>
                <w:noProof/>
                <w:color w:val="000000"/>
                <w:szCs w:val="24"/>
              </w:rPr>
            </w:pPr>
            <w:r>
              <w:rPr>
                <w:noProof/>
              </w:rPr>
              <w:t>&gt;= 95,00 % incidentov z NAJVIŠJO prednostjo je treba rešiti v dogovorjenem obdobju zakasnitve reševanja (v petih delovnih urah).</w:t>
            </w:r>
          </w:p>
        </w:tc>
      </w:tr>
      <w:tr w:rsidR="006551B7">
        <w:tc>
          <w:tcPr>
            <w:tcW w:w="2693" w:type="dxa"/>
            <w:shd w:val="clear" w:color="auto" w:fill="D9D9D9" w:themeFill="background1" w:themeFillShade="D9"/>
          </w:tcPr>
          <w:p w:rsidR="006551B7" w:rsidRDefault="004627E8">
            <w:pPr>
              <w:pStyle w:val="Text1"/>
              <w:ind w:left="0"/>
              <w:jc w:val="center"/>
              <w:rPr>
                <w:b/>
                <w:noProof/>
              </w:rPr>
            </w:pPr>
            <w:r>
              <w:rPr>
                <w:b/>
                <w:noProof/>
              </w:rPr>
              <w:t>VISOKA</w:t>
            </w:r>
          </w:p>
        </w:tc>
        <w:tc>
          <w:tcPr>
            <w:tcW w:w="5528" w:type="dxa"/>
          </w:tcPr>
          <w:p w:rsidR="006551B7" w:rsidRDefault="004627E8">
            <w:pPr>
              <w:pStyle w:val="Text1"/>
              <w:ind w:left="0"/>
              <w:rPr>
                <w:rFonts w:eastAsia="Calibri"/>
                <w:noProof/>
                <w:color w:val="000000"/>
                <w:szCs w:val="24"/>
              </w:rPr>
            </w:pPr>
            <w:r>
              <w:rPr>
                <w:noProof/>
              </w:rPr>
              <w:t>&gt;= 95,00 % incidentov z VISOKO prednostjo je treba rešiti v dogovorjenem obdobju zakasnitve reševanja (v 13 delovnih urah).</w:t>
            </w:r>
          </w:p>
        </w:tc>
      </w:tr>
      <w:tr w:rsidR="006551B7">
        <w:tc>
          <w:tcPr>
            <w:tcW w:w="2693" w:type="dxa"/>
            <w:shd w:val="clear" w:color="auto" w:fill="D9D9D9" w:themeFill="background1" w:themeFillShade="D9"/>
          </w:tcPr>
          <w:p w:rsidR="006551B7" w:rsidRDefault="004627E8">
            <w:pPr>
              <w:pStyle w:val="Text1"/>
              <w:ind w:left="0"/>
              <w:jc w:val="center"/>
              <w:rPr>
                <w:b/>
                <w:noProof/>
              </w:rPr>
            </w:pPr>
            <w:r>
              <w:rPr>
                <w:b/>
                <w:noProof/>
              </w:rPr>
              <w:t>SREDNJA</w:t>
            </w:r>
          </w:p>
        </w:tc>
        <w:tc>
          <w:tcPr>
            <w:tcW w:w="5528" w:type="dxa"/>
          </w:tcPr>
          <w:p w:rsidR="006551B7" w:rsidRDefault="004627E8">
            <w:pPr>
              <w:pStyle w:val="Text1"/>
              <w:ind w:left="0"/>
              <w:rPr>
                <w:rFonts w:eastAsia="Calibri"/>
                <w:noProof/>
                <w:color w:val="000000"/>
                <w:szCs w:val="24"/>
              </w:rPr>
            </w:pPr>
            <w:r>
              <w:rPr>
                <w:noProof/>
              </w:rPr>
              <w:t>&gt;= 95,00 % incidentov s SREDNJO prednostjo je treba rešiti v dogovorjenem obdobju zakasnitve reševanja (v 39 delovnih urah).</w:t>
            </w:r>
          </w:p>
        </w:tc>
      </w:tr>
    </w:tbl>
    <w:p w:rsidR="006551B7" w:rsidRDefault="004627E8">
      <w:pPr>
        <w:spacing w:before="60"/>
        <w:jc w:val="center"/>
        <w:rPr>
          <w:rFonts w:eastAsia="Times New Roman"/>
          <w:noProof/>
          <w:sz w:val="20"/>
          <w:szCs w:val="20"/>
        </w:rPr>
      </w:pPr>
      <w:r>
        <w:rPr>
          <w:noProof/>
          <w:sz w:val="20"/>
        </w:rPr>
        <w:t>Preglednica 9: Omejitve zakasnitve reševanja incidentov</w:t>
      </w:r>
    </w:p>
    <w:p w:rsidR="006551B7" w:rsidRDefault="004627E8">
      <w:pPr>
        <w:pStyle w:val="ManualHeading1"/>
        <w:rPr>
          <w:noProof/>
        </w:rPr>
      </w:pPr>
      <w:r>
        <w:rPr>
          <w:noProof/>
        </w:rPr>
        <w:t>6.</w:t>
      </w:r>
      <w:r>
        <w:rPr>
          <w:noProof/>
        </w:rPr>
        <w:tab/>
      </w:r>
      <w:r>
        <w:rPr>
          <w:noProof/>
          <w:u w:val="single"/>
        </w:rPr>
        <w:t>ODOBRITEV SPORAZUMA O RAVNI STORITVE</w:t>
      </w:r>
    </w:p>
    <w:p w:rsidR="006551B7" w:rsidRDefault="004627E8">
      <w:pPr>
        <w:pStyle w:val="Text1"/>
        <w:rPr>
          <w:noProof/>
        </w:rPr>
      </w:pPr>
      <w:r>
        <w:rPr>
          <w:noProof/>
        </w:rPr>
        <w:t>Da bi bil sporazum o ravni storitve veljaven, ga mora odobriti skupni odbor.</w:t>
      </w:r>
    </w:p>
    <w:p w:rsidR="006551B7" w:rsidRDefault="004627E8">
      <w:pPr>
        <w:pStyle w:val="ManualHeading1"/>
        <w:rPr>
          <w:noProof/>
        </w:rPr>
      </w:pPr>
      <w:r>
        <w:rPr>
          <w:noProof/>
        </w:rPr>
        <w:t>7.</w:t>
      </w:r>
      <w:r>
        <w:rPr>
          <w:noProof/>
        </w:rPr>
        <w:tab/>
      </w:r>
      <w:r>
        <w:rPr>
          <w:noProof/>
          <w:u w:val="single"/>
        </w:rPr>
        <w:t>SPREMEMBE SPORAZUMA O RAVNI STORITVE</w:t>
      </w:r>
    </w:p>
    <w:p w:rsidR="006551B7" w:rsidRDefault="004627E8">
      <w:pPr>
        <w:pStyle w:val="Text1"/>
        <w:rPr>
          <w:noProof/>
        </w:rPr>
      </w:pPr>
      <w:r>
        <w:rPr>
          <w:noProof/>
        </w:rPr>
        <w:t xml:space="preserve">Sporazum o ravni storitve CCN/CSI bo pregledan na podlagi pisne zahteve, ki jo Komisija ali Norveška predložita skupnemu odboru. </w:t>
      </w:r>
    </w:p>
    <w:p w:rsidR="006551B7" w:rsidRDefault="004627E8">
      <w:pPr>
        <w:pStyle w:val="Text1"/>
        <w:rPr>
          <w:noProof/>
        </w:rPr>
      </w:pPr>
      <w:r>
        <w:rPr>
          <w:noProof/>
        </w:rPr>
        <w:t>Določbe veljavnega sporazuma o ravni storitve CCN/CSI se uporabljajo, dokler skupni odbor ne odloči o predlaganih spremembah.  Skupni odbor deluje kot organ odločanja za obstoječi sporazum o ravni storitve CCN/CSI.</w:t>
      </w:r>
    </w:p>
    <w:p w:rsidR="006551B7" w:rsidRDefault="004627E8">
      <w:pPr>
        <w:pStyle w:val="ManualHeading1"/>
        <w:rPr>
          <w:noProof/>
        </w:rPr>
      </w:pPr>
      <w:r>
        <w:rPr>
          <w:noProof/>
        </w:rPr>
        <w:t>8.</w:t>
      </w:r>
      <w:r>
        <w:rPr>
          <w:noProof/>
        </w:rPr>
        <w:tab/>
      </w:r>
      <w:r>
        <w:rPr>
          <w:noProof/>
          <w:u w:val="single"/>
        </w:rPr>
        <w:t>KONTAKTNA TOČKA</w:t>
      </w:r>
    </w:p>
    <w:p w:rsidR="006551B7" w:rsidRDefault="004627E8">
      <w:pPr>
        <w:pStyle w:val="Text1"/>
        <w:rPr>
          <w:noProof/>
        </w:rPr>
      </w:pPr>
      <w:r>
        <w:rPr>
          <w:noProof/>
        </w:rPr>
        <w:t>Enota ITSM3 Operations deluje kot enotna kontaktna točka za vse operativne storitve. Njeni kontaktni podatki so navedeni v nadaljevanju:</w:t>
      </w:r>
    </w:p>
    <w:tbl>
      <w:tblPr>
        <w:tblStyle w:val="TableGrid"/>
        <w:tblW w:w="8221"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1"/>
      </w:tblGrid>
      <w:tr w:rsidR="006551B7">
        <w:tc>
          <w:tcPr>
            <w:tcW w:w="8221" w:type="dxa"/>
          </w:tcPr>
          <w:p w:rsidR="006551B7" w:rsidRDefault="004627E8">
            <w:pPr>
              <w:pStyle w:val="Text1"/>
              <w:spacing w:before="0"/>
              <w:ind w:left="0"/>
              <w:rPr>
                <w:noProof/>
              </w:rPr>
            </w:pPr>
            <w:r>
              <w:rPr>
                <w:noProof/>
              </w:rPr>
              <w:t>ITSM3 Operations – IBM</w:t>
            </w:r>
          </w:p>
        </w:tc>
      </w:tr>
      <w:tr w:rsidR="006551B7">
        <w:tc>
          <w:tcPr>
            <w:tcW w:w="8221" w:type="dxa"/>
          </w:tcPr>
          <w:p w:rsidR="006551B7" w:rsidRDefault="004627E8">
            <w:pPr>
              <w:pStyle w:val="Text1"/>
              <w:spacing w:before="0"/>
              <w:ind w:left="0"/>
              <w:rPr>
                <w:noProof/>
              </w:rPr>
            </w:pPr>
            <w:r>
              <w:rPr>
                <w:rFonts w:eastAsia="Calibri"/>
                <w:noProof/>
              </w:rPr>
              <w:sym w:font="Wingdings" w:char="F028"/>
            </w:r>
            <w:r>
              <w:rPr>
                <w:noProof/>
              </w:rPr>
              <w:t xml:space="preserve"> Brezplačna številka: +800 77774477</w:t>
            </w:r>
          </w:p>
        </w:tc>
      </w:tr>
      <w:tr w:rsidR="006551B7">
        <w:tc>
          <w:tcPr>
            <w:tcW w:w="8221" w:type="dxa"/>
          </w:tcPr>
          <w:p w:rsidR="006551B7" w:rsidRDefault="004627E8">
            <w:pPr>
              <w:pStyle w:val="Text1"/>
              <w:spacing w:before="0"/>
              <w:ind w:left="0"/>
              <w:rPr>
                <w:noProof/>
              </w:rPr>
            </w:pPr>
            <w:r>
              <w:rPr>
                <w:rFonts w:eastAsia="Calibri"/>
                <w:noProof/>
              </w:rPr>
              <w:sym w:font="Wingdings" w:char="F029"/>
            </w:r>
            <w:r>
              <w:rPr>
                <w:noProof/>
              </w:rPr>
              <w:t xml:space="preserve"> Plačljiva številka: +40 214058422</w:t>
            </w:r>
          </w:p>
        </w:tc>
      </w:tr>
      <w:tr w:rsidR="006551B7">
        <w:tc>
          <w:tcPr>
            <w:tcW w:w="8221" w:type="dxa"/>
          </w:tcPr>
          <w:p w:rsidR="006551B7" w:rsidRDefault="004627E8">
            <w:pPr>
              <w:pStyle w:val="Text1"/>
              <w:spacing w:before="0"/>
              <w:ind w:left="0"/>
              <w:rPr>
                <w:noProof/>
              </w:rPr>
            </w:pPr>
            <w:r>
              <w:rPr>
                <w:rFonts w:eastAsia="Calibri"/>
                <w:noProof/>
              </w:rPr>
              <w:sym w:font="Wingdings" w:char="F02A"/>
            </w:r>
            <w:r>
              <w:rPr>
                <w:noProof/>
              </w:rPr>
              <w:t xml:space="preserve"> support@itsmtaxud.europa.eu</w:t>
            </w:r>
          </w:p>
        </w:tc>
      </w:tr>
      <w:tr w:rsidR="006551B7">
        <w:tc>
          <w:tcPr>
            <w:tcW w:w="8221" w:type="dxa"/>
          </w:tcPr>
          <w:p w:rsidR="006551B7" w:rsidRDefault="004627E8">
            <w:pPr>
              <w:pStyle w:val="Text1"/>
              <w:spacing w:before="0"/>
              <w:ind w:left="0"/>
              <w:rPr>
                <w:noProof/>
              </w:rPr>
            </w:pPr>
            <w:r>
              <w:rPr>
                <w:rFonts w:eastAsia="Calibri"/>
                <w:noProof/>
              </w:rPr>
              <w:sym w:font="Webdings" w:char="F0FC"/>
            </w:r>
            <w:r>
              <w:rPr>
                <w:noProof/>
              </w:rPr>
              <w:t xml:space="preserve"> http://portal.ccntc.ccncsi.int:8080/portal</w:t>
            </w:r>
            <w:r>
              <w:rPr>
                <w:noProof/>
              </w:rPr>
              <w:tab/>
              <w:t xml:space="preserve"> </w:t>
            </w:r>
            <w:r>
              <w:rPr>
                <w:noProof/>
              </w:rPr>
              <w:br/>
              <w:t>(spletni portal CCN – za registrirane uporabnike CCN)</w:t>
            </w:r>
          </w:p>
        </w:tc>
      </w:tr>
      <w:tr w:rsidR="006551B7">
        <w:tc>
          <w:tcPr>
            <w:tcW w:w="8221" w:type="dxa"/>
          </w:tcPr>
          <w:p w:rsidR="006551B7" w:rsidRDefault="004627E8">
            <w:pPr>
              <w:pStyle w:val="Text1"/>
              <w:spacing w:before="0"/>
              <w:ind w:left="0"/>
              <w:rPr>
                <w:noProof/>
              </w:rPr>
            </w:pPr>
            <w:r>
              <w:rPr>
                <w:rFonts w:eastAsia="Calibri"/>
                <w:noProof/>
              </w:rPr>
              <w:sym w:font="Webdings" w:char="F0FC"/>
            </w:r>
            <w:r>
              <w:rPr>
                <w:noProof/>
              </w:rPr>
              <w:t xml:space="preserve"> https://itsmtaxud.europa.eu/smt/ess.do</w:t>
            </w:r>
            <w:r>
              <w:rPr>
                <w:noProof/>
              </w:rPr>
              <w:tab/>
              <w:t xml:space="preserve"> </w:t>
            </w:r>
            <w:r>
              <w:rPr>
                <w:noProof/>
              </w:rPr>
              <w:br/>
              <w:t>(spletni portal ITSM – za servisne klice)</w:t>
            </w:r>
          </w:p>
        </w:tc>
      </w:tr>
    </w:tbl>
    <w:p w:rsidR="006551B7" w:rsidRDefault="004627E8">
      <w:pPr>
        <w:spacing w:before="360" w:after="60"/>
        <w:jc w:val="left"/>
        <w:rPr>
          <w:rFonts w:eastAsia="Calibri"/>
          <w:i/>
          <w:noProof/>
          <w:szCs w:val="20"/>
        </w:rPr>
      </w:pPr>
      <w:r>
        <w:rPr>
          <w:i/>
          <w:noProof/>
        </w:rPr>
        <w:t xml:space="preserve">Datum </w:t>
      </w:r>
    </w:p>
    <w:p w:rsidR="006551B7" w:rsidRDefault="006551B7">
      <w:pPr>
        <w:rPr>
          <w:noProof/>
        </w:rPr>
        <w:sectPr w:rsidR="006551B7">
          <w:pgSz w:w="11907" w:h="16839"/>
          <w:pgMar w:top="1134" w:right="1417" w:bottom="1134" w:left="1417" w:header="709" w:footer="709" w:gutter="0"/>
          <w:cols w:space="720"/>
          <w:docGrid w:linePitch="360"/>
        </w:sectPr>
      </w:pPr>
    </w:p>
    <w:p w:rsidR="006551B7" w:rsidRDefault="004627E8">
      <w:pPr>
        <w:pStyle w:val="Annexetitre"/>
        <w:rPr>
          <w:noProof/>
        </w:rPr>
      </w:pPr>
      <w:r>
        <w:rPr>
          <w:noProof/>
        </w:rPr>
        <w:t>PRILOGA 6</w:t>
      </w:r>
    </w:p>
    <w:p w:rsidR="006551B7" w:rsidRDefault="004627E8">
      <w:pPr>
        <w:pStyle w:val="NormalCentered"/>
        <w:rPr>
          <w:b/>
          <w:noProof/>
        </w:rPr>
      </w:pPr>
      <w:r>
        <w:rPr>
          <w:b/>
          <w:noProof/>
        </w:rPr>
        <w:t xml:space="preserve">Osnutek </w:t>
      </w:r>
      <w:r>
        <w:rPr>
          <w:b/>
          <w:noProof/>
        </w:rPr>
        <w:br/>
        <w:t xml:space="preserve">ODLOČITEV št. 6/[datum] skupnega odbora z dne [datum] </w:t>
      </w:r>
      <w:r>
        <w:rPr>
          <w:b/>
          <w:noProof/>
        </w:rPr>
        <w:br/>
        <w:t>o sprejetju zneska in podrobnosti finančnega prispevka Norveške v splošni proračun Unije v zvezi s stroški, nastalimi zaradi njenega sodelovanja v evropskih informacijskih sistemih</w:t>
      </w:r>
    </w:p>
    <w:p w:rsidR="006551B7" w:rsidRDefault="004627E8">
      <w:pPr>
        <w:keepNext/>
        <w:spacing w:before="360"/>
        <w:rPr>
          <w:noProof/>
        </w:rPr>
      </w:pPr>
      <w:r>
        <w:rPr>
          <w:noProof/>
        </w:rPr>
        <w:t>SKUPNI ODBOR, ustanovljen v skladu s členom 41(1) Sporazuma med Evropsko unijo in Kraljevino Norveško o upravnem sodelovanju, boju proti goljufijam in izterjavi terjatev na področju davka na dodano vrednost (v nadaljnjem besedilu: Sporazum), JE –</w:t>
      </w:r>
    </w:p>
    <w:p w:rsidR="006551B7" w:rsidRDefault="004627E8">
      <w:pPr>
        <w:rPr>
          <w:noProof/>
        </w:rPr>
      </w:pPr>
      <w:r>
        <w:rPr>
          <w:noProof/>
        </w:rPr>
        <w:t>ob upoštevanju naslednjega:</w:t>
      </w:r>
    </w:p>
    <w:p w:rsidR="006551B7" w:rsidRDefault="004627E8">
      <w:pPr>
        <w:pStyle w:val="Point0letter"/>
        <w:numPr>
          <w:ilvl w:val="1"/>
          <w:numId w:val="33"/>
        </w:numPr>
        <w:rPr>
          <w:noProof/>
          <w:szCs w:val="24"/>
        </w:rPr>
      </w:pPr>
      <w:r>
        <w:rPr>
          <w:noProof/>
        </w:rPr>
        <w:t xml:space="preserve">Uredba (EU) št. 1286/2013 Evropskega Parlamenta in Sveta z dne 11. decembra 2013 o vzpostavitvi akcijskega programa za izboljšanje delovanja sistemov obdavčitve v Evropski uniji za obdobje 2014–2020 (Fiscalis 2020) določa pravila za razvoj, delovanje in vzdrževanje evropskih informacijskih sistemov. </w:t>
      </w:r>
    </w:p>
    <w:p w:rsidR="006551B7" w:rsidRDefault="004627E8">
      <w:pPr>
        <w:pStyle w:val="Point0letter"/>
        <w:numPr>
          <w:ilvl w:val="1"/>
          <w:numId w:val="33"/>
        </w:numPr>
        <w:rPr>
          <w:noProof/>
        </w:rPr>
      </w:pPr>
      <w:r>
        <w:rPr>
          <w:noProof/>
        </w:rPr>
        <w:t>Skupno komunikacijsko omrežje/skupni sistemski vmesnik in elektronski obrazci, ki jih je treba sprejeti v skladu s členom 41(2)(d) Sporazuma, so komponente evropskih informacijskih sistemov, ki so komponente Unije, iz točke A Priloge k Uredbi (EU) št. 1286/2013.</w:t>
      </w:r>
    </w:p>
    <w:p w:rsidR="006551B7" w:rsidRDefault="004627E8">
      <w:pPr>
        <w:pStyle w:val="Point0letter"/>
        <w:numPr>
          <w:ilvl w:val="1"/>
          <w:numId w:val="33"/>
        </w:numPr>
        <w:rPr>
          <w:noProof/>
          <w:szCs w:val="24"/>
        </w:rPr>
      </w:pPr>
      <w:r>
        <w:rPr>
          <w:noProof/>
        </w:rPr>
        <w:t>Nesodelujoče države lahko v skladu s členom 9(3) Uredbe (EU) št. 1286/2013 komponente evropskih informacijskih sistemov, ki so komponente Unije, uporabljajo na podlagi sporazumov, ki se s temi državami sklenejo v skladu s členom 218 Pogodbe o delovanju Evropske unije.</w:t>
      </w:r>
    </w:p>
    <w:p w:rsidR="006551B7" w:rsidRDefault="004627E8">
      <w:pPr>
        <w:pStyle w:val="Point0letter"/>
        <w:numPr>
          <w:ilvl w:val="1"/>
          <w:numId w:val="33"/>
        </w:numPr>
        <w:rPr>
          <w:noProof/>
          <w:szCs w:val="24"/>
        </w:rPr>
      </w:pPr>
      <w:r>
        <w:rPr>
          <w:noProof/>
        </w:rPr>
        <w:t>Sprejeti je treba praktične ureditve za izvajanje člena 41(2)(f) Sporazuma –</w:t>
      </w:r>
    </w:p>
    <w:p w:rsidR="006551B7" w:rsidRDefault="004627E8">
      <w:pPr>
        <w:pStyle w:val="Formuledadoption"/>
        <w:rPr>
          <w:noProof/>
        </w:rPr>
      </w:pPr>
      <w:r>
        <w:rPr>
          <w:noProof/>
        </w:rPr>
        <w:t>SPREJEL NASLEDNJO ODLOČITEV:</w:t>
      </w:r>
    </w:p>
    <w:p w:rsidR="006551B7" w:rsidRDefault="004627E8">
      <w:pPr>
        <w:pStyle w:val="Titrearticle"/>
        <w:rPr>
          <w:noProof/>
        </w:rPr>
      </w:pPr>
      <w:r>
        <w:rPr>
          <w:noProof/>
        </w:rPr>
        <w:t>Člen 1</w:t>
      </w:r>
    </w:p>
    <w:p w:rsidR="006551B7" w:rsidRDefault="004627E8">
      <w:pPr>
        <w:pStyle w:val="Titrearticle"/>
        <w:rPr>
          <w:b/>
          <w:i w:val="0"/>
          <w:noProof/>
        </w:rPr>
      </w:pPr>
      <w:r>
        <w:rPr>
          <w:b/>
          <w:i w:val="0"/>
          <w:noProof/>
        </w:rPr>
        <w:t xml:space="preserve">Stroški namestitve </w:t>
      </w:r>
    </w:p>
    <w:p w:rsidR="006551B7" w:rsidRDefault="004627E8">
      <w:pPr>
        <w:spacing w:before="0" w:after="0"/>
        <w:rPr>
          <w:noProof/>
        </w:rPr>
      </w:pPr>
      <w:r>
        <w:rPr>
          <w:noProof/>
        </w:rPr>
        <w:t>Začetni stroški, ki jih Kraljevina Norveška plača za vzpostavitev dostopa do navideznega zasebnega omrežja, znašajo 20 000 EUR.</w:t>
      </w:r>
    </w:p>
    <w:p w:rsidR="006551B7" w:rsidRDefault="004627E8">
      <w:pPr>
        <w:spacing w:before="0" w:after="0"/>
        <w:rPr>
          <w:noProof/>
        </w:rPr>
      </w:pPr>
      <w:r>
        <w:rPr>
          <w:noProof/>
        </w:rPr>
        <w:t>Ta znesek se plača v 60 dneh po sprejetju te odločitve.</w:t>
      </w:r>
    </w:p>
    <w:p w:rsidR="006551B7" w:rsidRDefault="004627E8">
      <w:pPr>
        <w:pStyle w:val="Titrearticle"/>
        <w:rPr>
          <w:noProof/>
        </w:rPr>
      </w:pPr>
      <w:r>
        <w:rPr>
          <w:noProof/>
        </w:rPr>
        <w:t>Člen 2</w:t>
      </w:r>
    </w:p>
    <w:p w:rsidR="006551B7" w:rsidRDefault="004627E8">
      <w:pPr>
        <w:pStyle w:val="Titrearticle"/>
        <w:rPr>
          <w:b/>
          <w:i w:val="0"/>
          <w:noProof/>
        </w:rPr>
      </w:pPr>
      <w:r>
        <w:rPr>
          <w:b/>
          <w:i w:val="0"/>
          <w:noProof/>
        </w:rPr>
        <w:t>Letni finančni prispevek</w:t>
      </w:r>
    </w:p>
    <w:p w:rsidR="006551B7" w:rsidRDefault="004627E8">
      <w:pPr>
        <w:rPr>
          <w:noProof/>
        </w:rPr>
      </w:pPr>
      <w:r>
        <w:rPr>
          <w:noProof/>
        </w:rPr>
        <w:t>Letni finančni prispevek, ki ga Kraljevina Norveška plača v splošni proračun Unije, znaša 20 000 EUR. Ta znesek se plača vsako leto do 1. septembra.</w:t>
      </w:r>
    </w:p>
    <w:p w:rsidR="006551B7" w:rsidRDefault="004627E8">
      <w:pPr>
        <w:rPr>
          <w:noProof/>
        </w:rPr>
      </w:pPr>
      <w:r>
        <w:rPr>
          <w:noProof/>
        </w:rPr>
        <w:t xml:space="preserve">S prispevkom se krijejo izdatki, povezani z razvojem, vzdrževanjem in nadgradnjo rešitev IT (skupnega komunikacijskega omrežja/skupnega sistemskega vmesnika, e-obrazcev). </w:t>
      </w:r>
    </w:p>
    <w:p w:rsidR="006551B7" w:rsidRDefault="004627E8">
      <w:pPr>
        <w:pStyle w:val="Titrearticle"/>
        <w:rPr>
          <w:noProof/>
        </w:rPr>
      </w:pPr>
      <w:r>
        <w:rPr>
          <w:noProof/>
        </w:rPr>
        <w:t>Člen 3</w:t>
      </w:r>
    </w:p>
    <w:p w:rsidR="006551B7" w:rsidRDefault="004627E8">
      <w:pPr>
        <w:pStyle w:val="Titrearticle"/>
        <w:rPr>
          <w:b/>
          <w:i w:val="0"/>
          <w:noProof/>
        </w:rPr>
      </w:pPr>
      <w:r>
        <w:rPr>
          <w:b/>
          <w:i w:val="0"/>
          <w:noProof/>
        </w:rPr>
        <w:t xml:space="preserve">Način plačila </w:t>
      </w:r>
    </w:p>
    <w:p w:rsidR="006551B7" w:rsidRDefault="004627E8">
      <w:pPr>
        <w:rPr>
          <w:noProof/>
        </w:rPr>
      </w:pPr>
      <w:r>
        <w:rPr>
          <w:noProof/>
        </w:rPr>
        <w:t>Prispevki iz členov 1 in 2 se plačajo v eurih na bančni račun Komisije, ki je denominiran v eurih in bo naveden na bremepisu.</w:t>
      </w:r>
    </w:p>
    <w:p w:rsidR="006551B7" w:rsidRDefault="004627E8">
      <w:pPr>
        <w:pStyle w:val="Date"/>
        <w:rPr>
          <w:noProof/>
        </w:rPr>
      </w:pPr>
      <w:r>
        <w:rPr>
          <w:i/>
          <w:noProof/>
        </w:rPr>
        <w:t>Datum</w:t>
      </w:r>
    </w:p>
    <w:sectPr w:rsidR="006551B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1B7" w:rsidRDefault="004627E8">
      <w:pPr>
        <w:spacing w:before="0" w:after="0"/>
      </w:pPr>
      <w:r>
        <w:separator/>
      </w:r>
    </w:p>
  </w:endnote>
  <w:endnote w:type="continuationSeparator" w:id="0">
    <w:p w:rsidR="006551B7" w:rsidRDefault="004627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1B7" w:rsidRPr="004627E8" w:rsidRDefault="006551B7" w:rsidP="00462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627E8" w:rsidRPr="00D94637" w:rsidTr="004627E8">
      <w:trPr>
        <w:jc w:val="center"/>
      </w:trPr>
      <w:tc>
        <w:tcPr>
          <w:tcW w:w="5000" w:type="pct"/>
          <w:gridSpan w:val="7"/>
          <w:shd w:val="clear" w:color="auto" w:fill="auto"/>
          <w:tcMar>
            <w:top w:w="57" w:type="dxa"/>
          </w:tcMar>
        </w:tcPr>
        <w:p w:rsidR="004627E8" w:rsidRPr="00D94637" w:rsidRDefault="004627E8" w:rsidP="00D94637">
          <w:pPr>
            <w:pStyle w:val="FooterText"/>
            <w:pBdr>
              <w:top w:val="single" w:sz="4" w:space="1" w:color="auto"/>
            </w:pBdr>
            <w:spacing w:before="200"/>
            <w:rPr>
              <w:sz w:val="2"/>
              <w:szCs w:val="2"/>
            </w:rPr>
          </w:pPr>
          <w:bookmarkStart w:id="2" w:name="FOOTER_STANDARD"/>
        </w:p>
      </w:tc>
    </w:tr>
    <w:tr w:rsidR="004627E8" w:rsidRPr="00B310DC" w:rsidTr="004627E8">
      <w:trPr>
        <w:jc w:val="center"/>
      </w:trPr>
      <w:tc>
        <w:tcPr>
          <w:tcW w:w="2500" w:type="pct"/>
          <w:gridSpan w:val="2"/>
          <w:shd w:val="clear" w:color="auto" w:fill="auto"/>
          <w:tcMar>
            <w:top w:w="0" w:type="dxa"/>
          </w:tcMar>
        </w:tcPr>
        <w:p w:rsidR="004627E8" w:rsidRPr="00AD7BF2" w:rsidRDefault="004627E8" w:rsidP="004F54B2">
          <w:pPr>
            <w:pStyle w:val="FooterText"/>
          </w:pPr>
          <w:r>
            <w:t>15503/18</w:t>
          </w:r>
          <w:r w:rsidRPr="002511D8">
            <w:t xml:space="preserve"> </w:t>
          </w:r>
          <w:r>
            <w:t>ADD 1</w:t>
          </w:r>
        </w:p>
      </w:tc>
      <w:tc>
        <w:tcPr>
          <w:tcW w:w="625" w:type="pct"/>
          <w:shd w:val="clear" w:color="auto" w:fill="auto"/>
          <w:tcMar>
            <w:top w:w="0" w:type="dxa"/>
          </w:tcMar>
        </w:tcPr>
        <w:p w:rsidR="004627E8" w:rsidRPr="00AD7BF2" w:rsidRDefault="004627E8" w:rsidP="00D94637">
          <w:pPr>
            <w:pStyle w:val="FooterText"/>
            <w:jc w:val="center"/>
          </w:pPr>
        </w:p>
      </w:tc>
      <w:tc>
        <w:tcPr>
          <w:tcW w:w="1286" w:type="pct"/>
          <w:gridSpan w:val="3"/>
          <w:shd w:val="clear" w:color="auto" w:fill="auto"/>
          <w:tcMar>
            <w:top w:w="0" w:type="dxa"/>
          </w:tcMar>
        </w:tcPr>
        <w:p w:rsidR="004627E8" w:rsidRPr="002511D8" w:rsidRDefault="004627E8" w:rsidP="00D94637">
          <w:pPr>
            <w:pStyle w:val="FooterText"/>
            <w:jc w:val="center"/>
          </w:pPr>
          <w:r>
            <w:t>nr</w:t>
          </w:r>
        </w:p>
      </w:tc>
      <w:tc>
        <w:tcPr>
          <w:tcW w:w="589" w:type="pct"/>
          <w:shd w:val="clear" w:color="auto" w:fill="auto"/>
          <w:tcMar>
            <w:top w:w="0" w:type="dxa"/>
          </w:tcMar>
        </w:tcPr>
        <w:p w:rsidR="004627E8" w:rsidRPr="00B310DC" w:rsidRDefault="004627E8" w:rsidP="004627E8">
          <w:pPr>
            <w:pStyle w:val="FooterText"/>
            <w:jc w:val="right"/>
          </w:pPr>
          <w:r>
            <w:fldChar w:fldCharType="begin"/>
          </w:r>
          <w:r>
            <w:instrText xml:space="preserve"> PAGE  \* MERGEFORMAT </w:instrText>
          </w:r>
          <w:r>
            <w:fldChar w:fldCharType="separate"/>
          </w:r>
          <w:r w:rsidR="00E059EE">
            <w:rPr>
              <w:noProof/>
            </w:rPr>
            <w:t>0</w:t>
          </w:r>
          <w:r>
            <w:fldChar w:fldCharType="end"/>
          </w:r>
        </w:p>
      </w:tc>
    </w:tr>
    <w:tr w:rsidR="004627E8" w:rsidRPr="00D94637" w:rsidTr="004627E8">
      <w:trPr>
        <w:jc w:val="center"/>
      </w:trPr>
      <w:tc>
        <w:tcPr>
          <w:tcW w:w="1774" w:type="pct"/>
          <w:shd w:val="clear" w:color="auto" w:fill="auto"/>
        </w:tcPr>
        <w:p w:rsidR="004627E8" w:rsidRPr="00AD7BF2" w:rsidRDefault="004627E8" w:rsidP="00D94637">
          <w:pPr>
            <w:pStyle w:val="FooterText"/>
            <w:spacing w:before="40"/>
          </w:pPr>
        </w:p>
      </w:tc>
      <w:tc>
        <w:tcPr>
          <w:tcW w:w="1455" w:type="pct"/>
          <w:gridSpan w:val="3"/>
          <w:shd w:val="clear" w:color="auto" w:fill="auto"/>
        </w:tcPr>
        <w:p w:rsidR="004627E8" w:rsidRPr="00AD7BF2" w:rsidRDefault="004627E8" w:rsidP="00D204D6">
          <w:pPr>
            <w:pStyle w:val="FooterText"/>
            <w:spacing w:before="40"/>
            <w:jc w:val="center"/>
          </w:pPr>
          <w:r>
            <w:t>ECOMP 2B</w:t>
          </w:r>
        </w:p>
      </w:tc>
      <w:tc>
        <w:tcPr>
          <w:tcW w:w="742" w:type="pct"/>
          <w:shd w:val="clear" w:color="auto" w:fill="auto"/>
        </w:tcPr>
        <w:p w:rsidR="004627E8" w:rsidRPr="00D94637" w:rsidRDefault="004627E8" w:rsidP="002F0099">
          <w:pPr>
            <w:pStyle w:val="FooterText"/>
            <w:jc w:val="center"/>
            <w:rPr>
              <w:b/>
              <w:position w:val="-4"/>
              <w:sz w:val="36"/>
            </w:rPr>
          </w:pPr>
        </w:p>
      </w:tc>
      <w:tc>
        <w:tcPr>
          <w:tcW w:w="1029" w:type="pct"/>
          <w:gridSpan w:val="2"/>
          <w:shd w:val="clear" w:color="auto" w:fill="auto"/>
        </w:tcPr>
        <w:p w:rsidR="004627E8" w:rsidRPr="000310C2" w:rsidRDefault="004627E8" w:rsidP="00D94637">
          <w:pPr>
            <w:pStyle w:val="FooterText"/>
            <w:jc w:val="right"/>
            <w:rPr>
              <w:spacing w:val="-20"/>
              <w:sz w:val="16"/>
            </w:rPr>
          </w:pPr>
          <w:r>
            <w:rPr>
              <w:b/>
              <w:spacing w:val="-20"/>
              <w:position w:val="-4"/>
              <w:sz w:val="36"/>
            </w:rPr>
            <w:t>SL</w:t>
          </w:r>
        </w:p>
      </w:tc>
    </w:tr>
    <w:bookmarkEnd w:id="2"/>
  </w:tbl>
  <w:p w:rsidR="006551B7" w:rsidRPr="004627E8" w:rsidRDefault="006551B7" w:rsidP="004627E8">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627E8" w:rsidRPr="00D94637" w:rsidTr="004627E8">
      <w:trPr>
        <w:jc w:val="center"/>
      </w:trPr>
      <w:tc>
        <w:tcPr>
          <w:tcW w:w="5000" w:type="pct"/>
          <w:gridSpan w:val="7"/>
          <w:shd w:val="clear" w:color="auto" w:fill="auto"/>
          <w:tcMar>
            <w:top w:w="57" w:type="dxa"/>
          </w:tcMar>
        </w:tcPr>
        <w:p w:rsidR="004627E8" w:rsidRPr="00D94637" w:rsidRDefault="004627E8" w:rsidP="00D94637">
          <w:pPr>
            <w:pStyle w:val="FooterText"/>
            <w:pBdr>
              <w:top w:val="single" w:sz="4" w:space="1" w:color="auto"/>
            </w:pBdr>
            <w:spacing w:before="200"/>
            <w:rPr>
              <w:sz w:val="2"/>
              <w:szCs w:val="2"/>
            </w:rPr>
          </w:pPr>
        </w:p>
      </w:tc>
    </w:tr>
    <w:tr w:rsidR="004627E8" w:rsidRPr="00B310DC" w:rsidTr="004627E8">
      <w:trPr>
        <w:jc w:val="center"/>
      </w:trPr>
      <w:tc>
        <w:tcPr>
          <w:tcW w:w="2500" w:type="pct"/>
          <w:gridSpan w:val="2"/>
          <w:shd w:val="clear" w:color="auto" w:fill="auto"/>
          <w:tcMar>
            <w:top w:w="0" w:type="dxa"/>
          </w:tcMar>
        </w:tcPr>
        <w:p w:rsidR="004627E8" w:rsidRPr="00AD7BF2" w:rsidRDefault="004627E8" w:rsidP="004F54B2">
          <w:pPr>
            <w:pStyle w:val="FooterText"/>
          </w:pPr>
          <w:r>
            <w:t>15503/18</w:t>
          </w:r>
          <w:r w:rsidRPr="002511D8">
            <w:t xml:space="preserve"> </w:t>
          </w:r>
          <w:r>
            <w:t>ADD 1</w:t>
          </w:r>
        </w:p>
      </w:tc>
      <w:tc>
        <w:tcPr>
          <w:tcW w:w="625" w:type="pct"/>
          <w:shd w:val="clear" w:color="auto" w:fill="auto"/>
          <w:tcMar>
            <w:top w:w="0" w:type="dxa"/>
          </w:tcMar>
        </w:tcPr>
        <w:p w:rsidR="004627E8" w:rsidRPr="00AD7BF2" w:rsidRDefault="004627E8" w:rsidP="00D94637">
          <w:pPr>
            <w:pStyle w:val="FooterText"/>
            <w:jc w:val="center"/>
          </w:pPr>
        </w:p>
      </w:tc>
      <w:tc>
        <w:tcPr>
          <w:tcW w:w="1286" w:type="pct"/>
          <w:gridSpan w:val="3"/>
          <w:shd w:val="clear" w:color="auto" w:fill="auto"/>
          <w:tcMar>
            <w:top w:w="0" w:type="dxa"/>
          </w:tcMar>
        </w:tcPr>
        <w:p w:rsidR="004627E8" w:rsidRPr="002511D8" w:rsidRDefault="004627E8" w:rsidP="00D94637">
          <w:pPr>
            <w:pStyle w:val="FooterText"/>
            <w:jc w:val="center"/>
          </w:pPr>
          <w:r>
            <w:t>nr</w:t>
          </w:r>
        </w:p>
      </w:tc>
      <w:tc>
        <w:tcPr>
          <w:tcW w:w="589" w:type="pct"/>
          <w:shd w:val="clear" w:color="auto" w:fill="auto"/>
          <w:tcMar>
            <w:top w:w="0" w:type="dxa"/>
          </w:tcMar>
        </w:tcPr>
        <w:p w:rsidR="004627E8" w:rsidRPr="00B310DC" w:rsidRDefault="004627E8" w:rsidP="00D94637">
          <w:pPr>
            <w:pStyle w:val="FooterText"/>
            <w:jc w:val="right"/>
          </w:pPr>
        </w:p>
      </w:tc>
    </w:tr>
    <w:tr w:rsidR="004627E8" w:rsidRPr="00D94637" w:rsidTr="004627E8">
      <w:trPr>
        <w:jc w:val="center"/>
      </w:trPr>
      <w:tc>
        <w:tcPr>
          <w:tcW w:w="1774" w:type="pct"/>
          <w:shd w:val="clear" w:color="auto" w:fill="auto"/>
        </w:tcPr>
        <w:p w:rsidR="004627E8" w:rsidRPr="00AD7BF2" w:rsidRDefault="004627E8" w:rsidP="00D94637">
          <w:pPr>
            <w:pStyle w:val="FooterText"/>
            <w:spacing w:before="40"/>
          </w:pPr>
        </w:p>
      </w:tc>
      <w:tc>
        <w:tcPr>
          <w:tcW w:w="1455" w:type="pct"/>
          <w:gridSpan w:val="3"/>
          <w:shd w:val="clear" w:color="auto" w:fill="auto"/>
        </w:tcPr>
        <w:p w:rsidR="004627E8" w:rsidRPr="00AD7BF2" w:rsidRDefault="004627E8" w:rsidP="00D204D6">
          <w:pPr>
            <w:pStyle w:val="FooterText"/>
            <w:spacing w:before="40"/>
            <w:jc w:val="center"/>
          </w:pPr>
          <w:r>
            <w:t>ECOMP 2B</w:t>
          </w:r>
        </w:p>
      </w:tc>
      <w:tc>
        <w:tcPr>
          <w:tcW w:w="742" w:type="pct"/>
          <w:shd w:val="clear" w:color="auto" w:fill="auto"/>
        </w:tcPr>
        <w:p w:rsidR="004627E8" w:rsidRPr="00D94637" w:rsidRDefault="004627E8" w:rsidP="002F0099">
          <w:pPr>
            <w:pStyle w:val="FooterText"/>
            <w:jc w:val="center"/>
            <w:rPr>
              <w:b/>
              <w:position w:val="-4"/>
              <w:sz w:val="36"/>
            </w:rPr>
          </w:pPr>
        </w:p>
      </w:tc>
      <w:tc>
        <w:tcPr>
          <w:tcW w:w="1029" w:type="pct"/>
          <w:gridSpan w:val="2"/>
          <w:shd w:val="clear" w:color="auto" w:fill="auto"/>
        </w:tcPr>
        <w:p w:rsidR="004627E8" w:rsidRPr="000310C2" w:rsidRDefault="004627E8" w:rsidP="00D94637">
          <w:pPr>
            <w:pStyle w:val="FooterText"/>
            <w:jc w:val="right"/>
            <w:rPr>
              <w:spacing w:val="-20"/>
              <w:sz w:val="16"/>
            </w:rPr>
          </w:pPr>
          <w:r>
            <w:rPr>
              <w:b/>
              <w:spacing w:val="-20"/>
              <w:position w:val="-4"/>
              <w:sz w:val="36"/>
            </w:rPr>
            <w:t>SL</w:t>
          </w:r>
        </w:p>
      </w:tc>
    </w:tr>
  </w:tbl>
  <w:p w:rsidR="006551B7" w:rsidRPr="004627E8" w:rsidRDefault="006551B7" w:rsidP="004627E8">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7E8" w:rsidRDefault="004627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7E8" w:rsidRDefault="004627E8">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7E8" w:rsidRDefault="004627E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1B7" w:rsidRDefault="004627E8">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E059EE">
      <w:rPr>
        <w:noProof/>
      </w:rPr>
      <w:t>1</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1B7" w:rsidRDefault="00655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1B7" w:rsidRDefault="004627E8">
      <w:pPr>
        <w:spacing w:before="0" w:after="0"/>
      </w:pPr>
      <w:r>
        <w:separator/>
      </w:r>
    </w:p>
  </w:footnote>
  <w:footnote w:type="continuationSeparator" w:id="0">
    <w:p w:rsidR="006551B7" w:rsidRDefault="004627E8">
      <w:pPr>
        <w:spacing w:before="0" w:after="0"/>
      </w:pPr>
      <w:r>
        <w:continuationSeparator/>
      </w:r>
    </w:p>
  </w:footnote>
  <w:footnote w:id="1">
    <w:p w:rsidR="006551B7" w:rsidRDefault="004627E8">
      <w:pPr>
        <w:pStyle w:val="FootnoteText"/>
        <w:rPr>
          <w:lang w:val="en"/>
        </w:rPr>
      </w:pPr>
      <w:r>
        <w:rPr>
          <w:rStyle w:val="FootnoteReference"/>
        </w:rPr>
        <w:footnoteRef/>
      </w:r>
      <w:r>
        <w:tab/>
        <w:t>Uredba Sveta (EU) št. 904/2010 z dne 7. oktobra 2010 o upravnem sodelovanju in boju proti goljufijam na področju davka na dodano vrednost (UL L 268, 12.10.2010, str. 1).</w:t>
      </w:r>
    </w:p>
  </w:footnote>
  <w:footnote w:id="2">
    <w:p w:rsidR="006551B7" w:rsidRDefault="004627E8">
      <w:pPr>
        <w:pStyle w:val="FootnoteText"/>
      </w:pPr>
      <w:r>
        <w:rPr>
          <w:rStyle w:val="FootnoteReference"/>
        </w:rPr>
        <w:footnoteRef/>
      </w:r>
      <w:r>
        <w:tab/>
        <w:t>Direktiva Sveta 2010/24/EU z dne 16. marca 2010 o vzajemni pomoči pri izterjavi terjatev v zvezi z davki, carinami in drugimi ukrepi (UL L 84, 31.3.2010, str. 1).</w:t>
      </w:r>
    </w:p>
  </w:footnote>
  <w:footnote w:id="3">
    <w:p w:rsidR="006551B7" w:rsidRDefault="004627E8">
      <w:pPr>
        <w:pStyle w:val="FootnoteText"/>
        <w:rPr>
          <w:sz w:val="16"/>
          <w:szCs w:val="16"/>
        </w:rPr>
      </w:pPr>
      <w:r>
        <w:rPr>
          <w:rStyle w:val="FootnoteReference"/>
        </w:rPr>
        <w:footnoteRef/>
      </w:r>
      <w:r>
        <w:tab/>
      </w:r>
      <w:r>
        <w:rPr>
          <w:b/>
          <w:sz w:val="16"/>
        </w:rPr>
        <w:t>ITIL</w:t>
      </w:r>
      <w:r>
        <w:rPr>
          <w:sz w:val="16"/>
        </w:rPr>
        <w:t>:</w:t>
      </w:r>
    </w:p>
    <w:p w:rsidR="006551B7" w:rsidRDefault="00E059EE">
      <w:pPr>
        <w:pStyle w:val="FootnoteText"/>
        <w:numPr>
          <w:ilvl w:val="0"/>
          <w:numId w:val="7"/>
        </w:numPr>
        <w:spacing w:before="60"/>
        <w:rPr>
          <w:sz w:val="16"/>
          <w:szCs w:val="16"/>
        </w:rPr>
      </w:pPr>
      <w:hyperlink r:id="rId1">
        <w:r w:rsidR="004627E8">
          <w:rPr>
            <w:rStyle w:val="Hyperlink"/>
          </w:rPr>
          <w:t>http://www.itil-officialsite.com</w:t>
        </w:r>
        <w:r w:rsidR="004627E8">
          <w:rPr>
            <w:rStyle w:val="Hyperlink"/>
            <w:u w:val="none"/>
          </w:rPr>
          <w:t>.</w:t>
        </w:r>
      </w:hyperlink>
    </w:p>
    <w:p w:rsidR="006551B7" w:rsidRDefault="00E059EE">
      <w:pPr>
        <w:pStyle w:val="FootnoteText"/>
        <w:numPr>
          <w:ilvl w:val="0"/>
          <w:numId w:val="7"/>
        </w:numPr>
        <w:spacing w:before="60"/>
      </w:pPr>
      <w:hyperlink r:id="rId2">
        <w:r w:rsidR="004627E8">
          <w:rPr>
            <w:rStyle w:val="Hyperlink"/>
          </w:rPr>
          <w:t>http://www.best-management-practice.com/gempdf/itSMF_An_Introductory_Overview_of_ITIL_V3.pdf</w:t>
        </w:r>
        <w:r w:rsidR="004627E8">
          <w:rPr>
            <w:rStyle w:val="Hyperlink"/>
            <w:u w:val="none"/>
          </w:rPr>
          <w:t>.</w:t>
        </w:r>
      </w:hyperlink>
    </w:p>
  </w:footnote>
  <w:footnote w:id="4">
    <w:p w:rsidR="006551B7" w:rsidRDefault="004627E8">
      <w:pPr>
        <w:pStyle w:val="FootnoteText"/>
        <w:rPr>
          <w:sz w:val="18"/>
        </w:rPr>
      </w:pPr>
      <w:r>
        <w:rPr>
          <w:rStyle w:val="FootnoteReference"/>
        </w:rPr>
        <w:footnoteRef/>
      </w:r>
      <w:r>
        <w:tab/>
      </w:r>
      <w:r>
        <w:rPr>
          <w:sz w:val="18"/>
        </w:rPr>
        <w:t>Povezan s procesi odpravljanja težav in upravljanja sprememb ITIL.</w:t>
      </w:r>
    </w:p>
  </w:footnote>
  <w:footnote w:id="5">
    <w:p w:rsidR="006551B7" w:rsidRDefault="004627E8">
      <w:pPr>
        <w:pStyle w:val="FootnoteText"/>
        <w:jc w:val="left"/>
        <w:rPr>
          <w:sz w:val="18"/>
        </w:rPr>
      </w:pPr>
      <w:r>
        <w:rPr>
          <w:rStyle w:val="FootnoteReference"/>
        </w:rPr>
        <w:footnoteRef/>
      </w:r>
      <w:r>
        <w:tab/>
      </w:r>
      <w:r>
        <w:rPr>
          <w:sz w:val="18"/>
        </w:rPr>
        <w:t>To so različice dokumentov, ki so bile na voljo v času priprave tega sporazuma o ravni storitve. Bralec je pozvan, naj na portalu CCN/CSI (</w:t>
      </w:r>
      <w:hyperlink r:id="rId3">
        <w:r>
          <w:rPr>
            <w:rStyle w:val="Hyperlink"/>
            <w:sz w:val="18"/>
          </w:rPr>
          <w:t>http://portal.ccntc.ccncsi.int:8080/portal/DesktopDefault.aspx?tabid=1</w:t>
        </w:r>
      </w:hyperlink>
      <w:r>
        <w:rPr>
          <w:sz w:val="18"/>
        </w:rPr>
        <w:t>) preveri morebitne poznejše posodobitve.</w:t>
      </w:r>
    </w:p>
  </w:footnote>
  <w:footnote w:id="6">
    <w:p w:rsidR="006551B7" w:rsidRDefault="004627E8">
      <w:pPr>
        <w:pStyle w:val="FootnoteText"/>
        <w:rPr>
          <w:sz w:val="18"/>
        </w:rPr>
      </w:pPr>
      <w:r>
        <w:rPr>
          <w:rStyle w:val="FootnoteReference"/>
        </w:rPr>
        <w:footnoteRef/>
      </w:r>
      <w:r>
        <w:tab/>
      </w:r>
      <w:r>
        <w:rPr>
          <w:sz w:val="18"/>
        </w:rPr>
        <w:t>Priporoča se uporaba načel, opisanih v navodilih za upravljanje incidentov v ITIL.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1B7" w:rsidRPr="004627E8" w:rsidRDefault="006551B7" w:rsidP="00462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1B7" w:rsidRPr="004627E8" w:rsidRDefault="004627E8" w:rsidP="004627E8">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1B7" w:rsidRPr="004627E8" w:rsidRDefault="004627E8" w:rsidP="004627E8">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7E8" w:rsidRDefault="004627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7E8" w:rsidRDefault="004627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7E8" w:rsidRDefault="00462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5C2EECE"/>
    <w:lvl w:ilvl="0">
      <w:start w:val="1"/>
      <w:numFmt w:val="decimal"/>
      <w:pStyle w:val="ListNumber3"/>
      <w:lvlText w:val="%1."/>
      <w:lvlJc w:val="left"/>
      <w:pPr>
        <w:tabs>
          <w:tab w:val="num" w:pos="926"/>
        </w:tabs>
        <w:ind w:left="926" w:hanging="360"/>
      </w:pPr>
    </w:lvl>
  </w:abstractNum>
  <w:abstractNum w:abstractNumId="1" w15:restartNumberingAfterBreak="0">
    <w:nsid w:val="FFFFFF81"/>
    <w:multiLevelType w:val="singleLevel"/>
    <w:tmpl w:val="D468448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FE4E2EA"/>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E4EF15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110E3A6"/>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FCF2569E"/>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pStyle w:val="AppendixHeading1"/>
      <w:lvlText w:val="*"/>
      <w:lvlJc w:val="left"/>
      <w:rPr>
        <w:rFonts w:cs="Times New Roman"/>
      </w:rPr>
    </w:lvl>
  </w:abstractNum>
  <w:abstractNum w:abstractNumId="7" w15:restartNumberingAfterBreak="0">
    <w:nsid w:val="060F2DD4"/>
    <w:multiLevelType w:val="hybridMultilevel"/>
    <w:tmpl w:val="C1A42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02AB5"/>
    <w:multiLevelType w:val="hybridMultilevel"/>
    <w:tmpl w:val="3CC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1BA77B6B"/>
    <w:multiLevelType w:val="hybridMultilevel"/>
    <w:tmpl w:val="0150C4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22CE3"/>
    <w:multiLevelType w:val="hybridMultilevel"/>
    <w:tmpl w:val="774647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200DD"/>
    <w:multiLevelType w:val="hybridMultilevel"/>
    <w:tmpl w:val="B6124C82"/>
    <w:lvl w:ilvl="0" w:tplc="37D2FCB6">
      <w:start w:val="1"/>
      <w:numFmt w:val="decimal"/>
      <w:lvlText w:val="[RD.%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323E24B7"/>
    <w:multiLevelType w:val="hybridMultilevel"/>
    <w:tmpl w:val="0C2435EA"/>
    <w:lvl w:ilvl="0" w:tplc="B2FCED5C">
      <w:start w:val="1"/>
      <w:numFmt w:val="decimal"/>
      <w:lvlText w:val="[AD.%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2D71031"/>
    <w:multiLevelType w:val="multilevel"/>
    <w:tmpl w:val="31226798"/>
    <w:lvl w:ilvl="0">
      <w:start w:val="1"/>
      <w:numFmt w:val="decimal"/>
      <w:pStyle w:val="annex1"/>
      <w:lvlText w:val="A.%1"/>
      <w:lvlJc w:val="left"/>
      <w:pPr>
        <w:tabs>
          <w:tab w:val="num" w:pos="432"/>
        </w:tabs>
        <w:ind w:left="432" w:hanging="432"/>
      </w:pPr>
      <w:rPr>
        <w:rFonts w:hint="default"/>
      </w:rPr>
    </w:lvl>
    <w:lvl w:ilvl="1">
      <w:start w:val="1"/>
      <w:numFmt w:val="decimal"/>
      <w:pStyle w:val="annex2"/>
      <w:lvlText w:val="A.%1.%2"/>
      <w:lvlJc w:val="left"/>
      <w:pPr>
        <w:tabs>
          <w:tab w:val="num" w:pos="576"/>
        </w:tabs>
        <w:ind w:left="576" w:hanging="576"/>
      </w:pPr>
      <w:rPr>
        <w:rFonts w:hint="default"/>
      </w:rPr>
    </w:lvl>
    <w:lvl w:ilvl="2">
      <w:start w:val="1"/>
      <w:numFmt w:val="decimal"/>
      <w:lvlText w:val="A.%1.%2.%3"/>
      <w:lvlJc w:val="left"/>
      <w:pPr>
        <w:tabs>
          <w:tab w:val="num" w:pos="1080"/>
        </w:tabs>
        <w:ind w:left="720" w:hanging="720"/>
      </w:pPr>
      <w:rPr>
        <w:rFonts w:hint="default"/>
      </w:rPr>
    </w:lvl>
    <w:lvl w:ilvl="3">
      <w:start w:val="1"/>
      <w:numFmt w:val="decimal"/>
      <w:lvlText w:val="A.%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CCC3146"/>
    <w:multiLevelType w:val="multilevel"/>
    <w:tmpl w:val="27185194"/>
    <w:lvl w:ilvl="0">
      <w:start w:val="1"/>
      <w:numFmt w:val="decimal"/>
      <w:pStyle w:val="BodyTextIndent"/>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717"/>
        </w:tabs>
        <w:ind w:left="1717"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1" w15:restartNumberingAfterBreak="0">
    <w:nsid w:val="44CD3C66"/>
    <w:multiLevelType w:val="singleLevel"/>
    <w:tmpl w:val="86DC3E04"/>
    <w:lvl w:ilvl="0">
      <w:start w:val="1"/>
      <w:numFmt w:val="bullet"/>
      <w:pStyle w:val="List2bullet"/>
      <w:lvlText w:val=""/>
      <w:lvlJc w:val="left"/>
      <w:pPr>
        <w:tabs>
          <w:tab w:val="num" w:pos="360"/>
        </w:tabs>
        <w:ind w:left="360" w:hanging="360"/>
      </w:pPr>
      <w:rPr>
        <w:rFonts w:ascii="Symbol" w:hAnsi="Symbol" w:hint="default"/>
      </w:rPr>
    </w:lvl>
  </w:abstractNum>
  <w:abstractNum w:abstractNumId="2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15:restartNumberingAfterBreak="0">
    <w:nsid w:val="4D433F64"/>
    <w:multiLevelType w:val="multilevel"/>
    <w:tmpl w:val="5746A71E"/>
    <w:lvl w:ilvl="0">
      <w:start w:val="1"/>
      <w:numFmt w:val="upperLetter"/>
      <w:pStyle w:val="Happ1"/>
      <w:lvlText w:val="%1"/>
      <w:lvlJc w:val="left"/>
      <w:pPr>
        <w:tabs>
          <w:tab w:val="num" w:pos="851"/>
        </w:tabs>
        <w:ind w:left="851" w:hanging="851"/>
      </w:pPr>
      <w:rPr>
        <w:rFonts w:cs="Times New Roman"/>
      </w:rPr>
    </w:lvl>
    <w:lvl w:ilvl="1">
      <w:start w:val="1"/>
      <w:numFmt w:val="decimal"/>
      <w:lvlText w:val="%1.%2"/>
      <w:lvlJc w:val="left"/>
      <w:pPr>
        <w:tabs>
          <w:tab w:val="num" w:pos="1440"/>
        </w:tabs>
        <w:ind w:left="1440" w:hanging="1440"/>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5"/>
      <w:lvlJc w:val="left"/>
      <w:pPr>
        <w:tabs>
          <w:tab w:val="num" w:pos="720"/>
        </w:tabs>
        <w:ind w:left="720" w:hanging="720"/>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15:restartNumberingAfterBreak="0">
    <w:nsid w:val="59A976DA"/>
    <w:multiLevelType w:val="hybridMultilevel"/>
    <w:tmpl w:val="AF00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1169B3"/>
    <w:multiLevelType w:val="multilevel"/>
    <w:tmpl w:val="9ABA77FC"/>
    <w:lvl w:ilvl="0">
      <w:start w:val="1"/>
      <w:numFmt w:val="decimal"/>
      <w:lvlText w:val="ANNEX – %1"/>
      <w:lvlJc w:val="left"/>
      <w:pPr>
        <w:tabs>
          <w:tab w:val="num" w:pos="1440"/>
        </w:tabs>
        <w:ind w:left="432" w:hanging="432"/>
      </w:pPr>
      <w:rPr>
        <w:rFonts w:cs="Times New Roman"/>
      </w:rPr>
    </w:lvl>
    <w:lvl w:ilvl="1">
      <w:start w:val="1"/>
      <w:numFmt w:val="decimal"/>
      <w:pStyle w:val="AnnexHeading2"/>
      <w:suff w:val="space"/>
      <w:lvlText w:val="A.%2"/>
      <w:lvlJc w:val="left"/>
      <w:pPr>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15:restartNumberingAfterBreak="0">
    <w:nsid w:val="6DF35871"/>
    <w:multiLevelType w:val="hybridMultilevel"/>
    <w:tmpl w:val="80FCBD30"/>
    <w:lvl w:ilvl="0" w:tplc="04090005">
      <w:start w:val="1"/>
      <w:numFmt w:val="bullet"/>
      <w:lvlText w:val=""/>
      <w:lvlJc w:val="left"/>
      <w:pPr>
        <w:ind w:left="720" w:hanging="360"/>
      </w:pPr>
      <w:rPr>
        <w:rFonts w:ascii="Wingdings" w:hAnsi="Wingdings" w:hint="default"/>
      </w:rPr>
    </w:lvl>
    <w:lvl w:ilvl="1" w:tplc="78525EC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A6FD8"/>
    <w:multiLevelType w:val="hybridMultilevel"/>
    <w:tmpl w:val="F49C8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1365C"/>
    <w:multiLevelType w:val="hybridMultilevel"/>
    <w:tmpl w:val="51743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25"/>
  </w:num>
  <w:num w:numId="8">
    <w:abstractNumId w:val="6"/>
    <w:lvlOverride w:ilvl="0">
      <w:lvl w:ilvl="0">
        <w:start w:val="1"/>
        <w:numFmt w:val="bullet"/>
        <w:pStyle w:val="AppendixHeading1"/>
        <w:lvlText w:val=""/>
        <w:legacy w:legacy="1" w:legacySpace="0" w:legacyIndent="283"/>
        <w:lvlJc w:val="left"/>
        <w:pPr>
          <w:ind w:left="283" w:hanging="283"/>
        </w:pPr>
        <w:rPr>
          <w:rFonts w:ascii="Symbol" w:hAnsi="Symbol" w:hint="default"/>
        </w:rPr>
      </w:lvl>
    </w:lvlOverride>
  </w:num>
  <w:num w:numId="9">
    <w:abstractNumId w:val="18"/>
  </w:num>
  <w:num w:numId="10">
    <w:abstractNumId w:val="23"/>
  </w:num>
  <w:num w:numId="11">
    <w:abstractNumId w:val="26"/>
  </w:num>
  <w:num w:numId="12">
    <w:abstractNumId w:val="21"/>
  </w:num>
  <w:num w:numId="13">
    <w:abstractNumId w:val="34"/>
  </w:num>
  <w:num w:numId="14">
    <w:abstractNumId w:val="33"/>
  </w:num>
  <w:num w:numId="15">
    <w:abstractNumId w:val="10"/>
  </w:num>
  <w:num w:numId="16">
    <w:abstractNumId w:val="8"/>
  </w:num>
  <w:num w:numId="17">
    <w:abstractNumId w:val="32"/>
  </w:num>
  <w:num w:numId="18">
    <w:abstractNumId w:val="17"/>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num>
  <w:num w:numId="29">
    <w:abstractNumId w:val="31"/>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num>
  <w:num w:numId="32">
    <w:abstractNumId w:val="16"/>
  </w:num>
  <w:num w:numId="3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9"/>
  </w:num>
  <w:num w:numId="41">
    <w:abstractNumId w:val="31"/>
  </w:num>
  <w:num w:numId="42">
    <w:abstractNumId w:val="15"/>
  </w:num>
  <w:num w:numId="43">
    <w:abstractNumId w:val="20"/>
  </w:num>
  <w:num w:numId="44">
    <w:abstractNumId w:val="13"/>
  </w:num>
  <w:num w:numId="45">
    <w:abstractNumId w:val="30"/>
  </w:num>
  <w:num w:numId="46">
    <w:abstractNumId w:val="9"/>
  </w:num>
  <w:num w:numId="47">
    <w:abstractNumId w:val="22"/>
  </w:num>
  <w:num w:numId="48">
    <w:abstractNumId w:val="27"/>
  </w:num>
  <w:num w:numId="49">
    <w:abstractNumId w:val="28"/>
  </w:num>
  <w:num w:numId="50">
    <w:abstractNumId w:val="14"/>
  </w:num>
  <w:num w:numId="51">
    <w:abstractNumId w:val="24"/>
  </w:num>
  <w:num w:numId="5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2.4&quot; technicalblockguid=&quot;5607725421850841507&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8-12-12&lt;/text&gt;_x000d__x000a_  &lt;/metadata&gt;_x000d__x000a_  &lt;metadata key=&quot;md_Prefix&quot;&gt;_x000d__x000a_    &lt;text&gt;&lt;/text&gt;_x000d__x000a_  &lt;/metadata&gt;_x000d__x000a_  &lt;metadata key=&quot;md_DocumentNumber&quot;&gt;_x000d__x000a_    &lt;text&gt;15503&lt;/text&gt;_x000d__x000a_  &lt;/metadata&gt;_x000d__x000a_  &lt;metadata key=&quot;md_YearDocumentNumber&quot;&gt;_x000d__x000a_    &lt;text&gt;2018&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ISC 558&lt;/text&gt;_x000d__x000a_      &lt;text&gt;N 67&lt;/text&gt;_x000d__x000a_      &lt;text&gt;ECOFIN 119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422(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8-12-12&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832 final - Annex 1 to 6&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ILOGE k predlogu Sklepa Sveta o stali&amp;#353;&amp;#269;u, ki se v imenu Evropske unije zastopa v skupnem odboru, ustanovljenem na podlagi &amp;#269;lena 41(1) Sporazuma med Evropsko unijo in Kraljevino Norve&amp;#353;ko o upravnem sodelovanju, boju proti goljufijam in izterjavi terjatev na podro&amp;#269;ju davka na dodano vrednost&quot;&gt;&amp;lt;FlowDocument FontFamily=&quot;Arial Unicode MS&quot; FontSize=&quot;12&quot; PagePadding=&quot;5,0,5,0&quot; AllowDrop=&quot;False&quot; xmlns=&quot;http://schemas.microsoft.com/winfx/2006/xaml/presentation&quot;&amp;gt;&amp;lt;Paragraph&amp;gt;PRILOGE k predlogu Sklepa Sveta o stali&amp;#353;&amp;#269;u, ki se v imenu Evropske unije zastopa v skupnem odboru, ustanovljenem na podlagi &amp;#269;lena 41(1) Sporazuma med Evropsko unijo in Kraljevino Norve&amp;#353;ko o upravnem sodelovanju, boju proti goljufijam in izterjavi terjatev na podro&amp;#269;ju davka na dodano vrednost&amp;lt;/Paragraph&amp;gt;&amp;lt;/FlowDocument&amp;gt;&lt;/xaml&gt;_x000d__x000a_  &lt;/metadata&gt;_x000d__x000a_  &lt;metadata key=&quot;md_SubjectFootnote&quot; /&gt;_x000d__x000a_  &lt;metadata key=&quot;md_DG&quot;&gt;_x000d__x000a_    &lt;text&gt;ECOMP 2B&lt;/text&gt;_x000d__x000a_  &lt;/metadata&gt;_x000d__x000a_  &lt;metadata key=&quot;md_Initials&quot;&gt;_x000d__x000a_    &lt;text&gt;n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ILOGE&lt;/text&gt;_x000d__x000a_  &lt;/metadata&gt;_x000d__x000a_  &lt;metadata key=&quot;md_SourceDocTitle&quot;&gt;_x000d__x000a_    &lt;text&gt;k predlogu _x000d__x000a_Sklepa Sveta _x000d__x000a_o stali&amp;#353;&amp;#269;u, ki se v imenu Evropske unije zastopa v skupnem odboru, ustanovljenem na podlagi &amp;#269;lena 41(1) Sporazuma med Evropsko unijo in Kraljevino Norve&amp;#353;ko o upravnem sodelovanju, boju proti goljufijam in izterjavi terjatev na podro&amp;#269;ju davka na dodano vrednost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Caveat&quot;&gt;_x000d__x000a_    &lt;text&gt;&lt;/text&gt;_x000d__x000a_  &lt;/metadata&gt;_x000d__x000a_&lt;/metadataset&gt;"/>
    <w:docVar w:name="DQCDateTime" w:val="2018-12-10 15:52: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3"/>
    <w:docVar w:name="DQCStatus" w:val="Green"/>
    <w:docVar w:name="DQCVersion" w:val="3"/>
    <w:docVar w:name="DQCWithWarnings" w:val="0"/>
    <w:docVar w:name="LW_ACCOMPAGNANT" w:val="k predlogu"/>
    <w:docVar w:name="LW_ACCOMPAGNANT.CP" w:val="k predlogu"/>
    <w:docVar w:name="LW_ANNEX_NBR_FIRST" w:val="1"/>
    <w:docVar w:name="LW_ANNEX_NBR_LAST" w:val="6"/>
    <w:docVar w:name="LW_ANNEX_UNIQUE" w:val="0"/>
    <w:docVar w:name="LW_CORRIGENDUM" w:val="&lt;UNUSED&gt;"/>
    <w:docVar w:name="LW_COVERPAGE_EXISTS" w:val="True"/>
    <w:docVar w:name="LW_COVERPAGE_GUID" w:val="12AB1299-8E5C-4134-91ED-067F8602AA17"/>
    <w:docVar w:name="LW_COVERPAGE_TYPE" w:val="1"/>
    <w:docVar w:name="LW_CROSSREFERENCE" w:val="&lt;UNUSED&gt;"/>
    <w:docVar w:name="LW_DocType" w:val="ANNEX"/>
    <w:docVar w:name="LW_EMISSION" w:val="12.12.2018"/>
    <w:docVar w:name="LW_EMISSION_ISODATE" w:val="2018-12-12"/>
    <w:docVar w:name="LW_EMISSION_LOCATION" w:val="BRX"/>
    <w:docVar w:name="LW_EMISSION_PREFIX" w:val="Bruselj, "/>
    <w:docVar w:name="LW_EMISSION_SUFFIX" w:val=" "/>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stali\u353?\u269?u, ki se v imenu Evropske unije zastopa v skupnem odboru, ustanovljenem na podlagi \u269?lena 41(1) Sporazuma med Evropsko unijo in Kraljevino Norve\u353?ko o upravnem sodelovanju, boju proti goljufijam in izterjavi terjatev na podro\u269?ju davka na dodano vrednost_x000b_"/>
    <w:docVar w:name="LW_OBJETACTEPRINCIPAL.CP" w:val="o stali\u353?\u269?u, ki se v imenu Evropske unije zastopa v skupnem odboru, ustanovljenem na podlagi \u269?lena 41(1) Sporazuma med Evropsko unijo in Kraljevino Norve\u353?ko o upravnem sodelovanju, boju proti goljufijam in izterjavi terjatev na podro\u269?ju davka na dodano vrednost_x000b_"/>
    <w:docVar w:name="LW_PART_NBR" w:val="&lt;UNUSED&gt;"/>
    <w:docVar w:name="LW_PART_NBR_TOTAL" w:val="&lt;UNUSED&gt;"/>
    <w:docVar w:name="LW_REF.INST.NEW" w:val="COM"/>
    <w:docVar w:name="LW_REF.INST.NEW_ADOPTED" w:val="final"/>
    <w:docVar w:name="LW_REF.INST.NEW_TEXT" w:val="(2018) 8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E"/>
    <w:docVar w:name="LW_TYPE.DOC.CP" w:val="PRILOGE"/>
    <w:docVar w:name="LW_TYPEACTEPRINCIPAL" w:val="Sklepa Sveta"/>
    <w:docVar w:name="LW_TYPEACTEPRINCIPAL.CP" w:val="Sklepa Sveta"/>
  </w:docVars>
  <w:rsids>
    <w:rsidRoot w:val="006551B7"/>
    <w:rsid w:val="004627E8"/>
    <w:rsid w:val="006551B7"/>
    <w:rsid w:val="00E05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4B7BB48-47AA-4BF5-8FBC-B624D949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aliases w:val="Heading 5 CFMU,Para 5,h5,t5.T5,T5,Roman list,Bloc,Bloc1,Bloc2,Bloc3,Bloc4,PARA5,Punt 5,Tempo Heading 5,heading5,H5"/>
    <w:basedOn w:val="Normal"/>
    <w:next w:val="Normal"/>
    <w:link w:val="Heading5Char"/>
    <w:qFormat/>
    <w:pPr>
      <w:tabs>
        <w:tab w:val="num" w:pos="0"/>
      </w:tabs>
      <w:spacing w:before="240" w:after="60"/>
      <w:outlineLvl w:val="4"/>
    </w:pPr>
    <w:rPr>
      <w:rFonts w:ascii="Calibri" w:eastAsia="Times New Roman" w:hAnsi="Calibri"/>
      <w:b/>
      <w:bCs/>
      <w:i/>
      <w:iCs/>
      <w:sz w:val="26"/>
      <w:szCs w:val="26"/>
    </w:rPr>
  </w:style>
  <w:style w:type="paragraph" w:styleId="Heading6">
    <w:name w:val="heading 6"/>
    <w:aliases w:val="Heading 6 CFMU,h6,Para 6,t6.T6,Bullet list,Annexe,Annexe1,T6,Title Page,H6"/>
    <w:basedOn w:val="Normal"/>
    <w:next w:val="Normal"/>
    <w:link w:val="Heading6Char"/>
    <w:qFormat/>
    <w:pPr>
      <w:tabs>
        <w:tab w:val="num" w:pos="0"/>
      </w:tabs>
      <w:spacing w:before="240" w:after="60"/>
      <w:outlineLvl w:val="5"/>
    </w:pPr>
    <w:rPr>
      <w:rFonts w:ascii="Calibri" w:eastAsia="Times New Roman" w:hAnsi="Calibri"/>
      <w:b/>
      <w:bCs/>
      <w:sz w:val="22"/>
    </w:rPr>
  </w:style>
  <w:style w:type="paragraph" w:styleId="Heading7">
    <w:name w:val="heading 7"/>
    <w:aliases w:val="Heading 7 CFMU,h7,Para 7,t7.T7,letter list,Annexe 1,H7,lettered list,Annexe2,T7,Heading 7 (do not use)"/>
    <w:basedOn w:val="Normal"/>
    <w:next w:val="Normal"/>
    <w:link w:val="Heading7Char"/>
    <w:qFormat/>
    <w:pPr>
      <w:tabs>
        <w:tab w:val="num" w:pos="0"/>
      </w:tabs>
      <w:spacing w:before="240" w:after="60"/>
      <w:outlineLvl w:val="6"/>
    </w:pPr>
    <w:rPr>
      <w:rFonts w:ascii="Calibri" w:eastAsia="Times New Roman" w:hAnsi="Calibri"/>
      <w:szCs w:val="24"/>
    </w:rPr>
  </w:style>
  <w:style w:type="paragraph" w:styleId="Heading8">
    <w:name w:val="heading 8"/>
    <w:aliases w:val="Heading 8 CFMU,h8,action,bijlkop,Annexe 2,Annexe3,T8,Heading 8 (do not use)"/>
    <w:basedOn w:val="Normal"/>
    <w:next w:val="Normal"/>
    <w:link w:val="Heading8Char"/>
    <w:qFormat/>
    <w:pPr>
      <w:tabs>
        <w:tab w:val="num" w:pos="0"/>
      </w:tabs>
      <w:spacing w:before="240" w:after="60"/>
      <w:outlineLvl w:val="7"/>
    </w:pPr>
    <w:rPr>
      <w:rFonts w:ascii="Calibri" w:eastAsia="Times New Roman" w:hAnsi="Calibri"/>
      <w:i/>
      <w:iCs/>
      <w:szCs w:val="24"/>
    </w:rPr>
  </w:style>
  <w:style w:type="paragraph" w:styleId="Heading9">
    <w:name w:val="heading 9"/>
    <w:aliases w:val="Heading 9 CFMU,h9,App Heading,App Heading1,App Heading2,App Heading3,App Heading4,App Heading5,appendix,Blank 5,9,Bijlagen,progress,Annexe 3,Titre 10,Annexe4,T9,Heading 9 (do not use)"/>
    <w:basedOn w:val="Normal"/>
    <w:next w:val="Normal"/>
    <w:link w:val="Heading9Char"/>
    <w:qFormat/>
    <w:pPr>
      <w:tabs>
        <w:tab w:val="num" w:pos="0"/>
      </w:tabs>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Date">
    <w:name w:val="Date"/>
    <w:basedOn w:val="Normal"/>
    <w:next w:val="Normal"/>
    <w:link w:val="DateChar"/>
    <w:uiPriority w:val="99"/>
    <w:unhideWhenUsed/>
  </w:style>
  <w:style w:type="character" w:customStyle="1" w:styleId="DateChar">
    <w:name w:val="Date Char"/>
    <w:basedOn w:val="DefaultParagraphFont"/>
    <w:link w:val="Date"/>
    <w:uiPriority w:val="99"/>
    <w:rPr>
      <w:rFonts w:ascii="Times New Roman" w:hAnsi="Times New Roman" w:cs="Times New Roman"/>
      <w:sz w:val="24"/>
      <w:lang w:val="sl-SI"/>
    </w:rPr>
  </w:style>
  <w:style w:type="paragraph" w:styleId="ListNumber">
    <w:name w:val="List Number"/>
    <w:basedOn w:val="Normal"/>
    <w:unhideWhenUsed/>
    <w:pPr>
      <w:numPr>
        <w:numId w:val="5"/>
      </w:numPr>
      <w:contextualSpacing/>
    </w:pPr>
  </w:style>
  <w:style w:type="paragraph" w:styleId="ListNumber3">
    <w:name w:val="List Number 3"/>
    <w:basedOn w:val="Normal"/>
    <w:unhideWhenUsed/>
    <w:pPr>
      <w:numPr>
        <w:numId w:val="6"/>
      </w:numPr>
      <w:contextualSpacing/>
    </w:pPr>
  </w:style>
  <w:style w:type="character" w:styleId="Hyperlink">
    <w:name w:val="Hyperlink"/>
    <w:uiPriority w:val="99"/>
    <w:rPr>
      <w:rFonts w:cs="Times New Roman"/>
      <w:color w:val="0000FF"/>
      <w:u w:val="single"/>
    </w:rPr>
  </w:style>
  <w:style w:type="character" w:customStyle="1" w:styleId="Heading5Char">
    <w:name w:val="Heading 5 Char"/>
    <w:aliases w:val="Heading 5 CFMU Char,Para 5 Char,h5 Char,t5.T5 Char,T5 Char,Roman list Char,Bloc Char,Bloc1 Char,Bloc2 Char,Bloc3 Char,Bloc4 Char,PARA5 Char,Punt 5 Char,Tempo Heading 5 Char,heading5 Char,H5 Char"/>
    <w:basedOn w:val="DefaultParagraphFont"/>
    <w:link w:val="Heading5"/>
    <w:rPr>
      <w:rFonts w:ascii="Calibri" w:eastAsia="Times New Roman" w:hAnsi="Calibri" w:cs="Times New Roman"/>
      <w:b/>
      <w:bCs/>
      <w:i/>
      <w:iCs/>
      <w:sz w:val="26"/>
      <w:szCs w:val="26"/>
      <w:lang w:val="sl-SI"/>
    </w:rPr>
  </w:style>
  <w:style w:type="character" w:customStyle="1" w:styleId="Heading6Char">
    <w:name w:val="Heading 6 Char"/>
    <w:aliases w:val="Heading 6 CFMU Char,h6 Char,Para 6 Char,t6.T6 Char,Bullet list Char,Annexe Char,Annexe1 Char,T6 Char,Title Page Char,H6 Char"/>
    <w:basedOn w:val="DefaultParagraphFont"/>
    <w:link w:val="Heading6"/>
    <w:rPr>
      <w:rFonts w:ascii="Calibri" w:eastAsia="Times New Roman" w:hAnsi="Calibri" w:cs="Times New Roman"/>
      <w:b/>
      <w:bCs/>
      <w:lang w:val="sl-SI"/>
    </w:rPr>
  </w:style>
  <w:style w:type="character" w:customStyle="1" w:styleId="Heading7Char">
    <w:name w:val="Heading 7 Char"/>
    <w:aliases w:val="Heading 7 CFMU Char,h7 Char,Para 7 Char,t7.T7 Char,letter list Char,Annexe 1 Char,H7 Char,lettered list Char,Annexe2 Char,T7 Char,Heading 7 (do not use) Char"/>
    <w:basedOn w:val="DefaultParagraphFont"/>
    <w:link w:val="Heading7"/>
    <w:rPr>
      <w:rFonts w:ascii="Calibri" w:eastAsia="Times New Roman" w:hAnsi="Calibri" w:cs="Times New Roman"/>
      <w:sz w:val="24"/>
      <w:szCs w:val="24"/>
      <w:lang w:val="sl-SI"/>
    </w:rPr>
  </w:style>
  <w:style w:type="character" w:customStyle="1" w:styleId="Heading8Char">
    <w:name w:val="Heading 8 Char"/>
    <w:aliases w:val="Heading 8 CFMU Char,h8 Char,action Char,bijlkop Char,Annexe 2 Char,Annexe3 Char,T8 Char,Heading 8 (do not use) Char"/>
    <w:basedOn w:val="DefaultParagraphFont"/>
    <w:link w:val="Heading8"/>
    <w:rPr>
      <w:rFonts w:ascii="Calibri" w:eastAsia="Times New Roman" w:hAnsi="Calibri" w:cs="Times New Roman"/>
      <w:i/>
      <w:iCs/>
      <w:sz w:val="24"/>
      <w:szCs w:val="24"/>
      <w:lang w:val="sl-SI"/>
    </w:rPr>
  </w:style>
  <w:style w:type="character" w:customStyle="1" w:styleId="Heading9Char">
    <w:name w:val="Heading 9 Char"/>
    <w:aliases w:val="Heading 9 CFMU Char,h9 Char,App Heading Char,App Heading1 Char,App Heading2 Char,App Heading3 Char,App Heading4 Char,App Heading5 Char,appendix Char,Blank 5 Char,9 Char,Bijlagen Char,progress Char,Annexe 3 Char,Titre 10 Char,Annexe4 Char"/>
    <w:basedOn w:val="DefaultParagraphFont"/>
    <w:link w:val="Heading9"/>
    <w:rPr>
      <w:rFonts w:ascii="Cambria" w:eastAsia="Times New Roman" w:hAnsi="Cambria" w:cs="Times New Roman"/>
      <w:lang w:val="sl-SI"/>
    </w:rPr>
  </w:style>
  <w:style w:type="numbering" w:customStyle="1" w:styleId="NoList1">
    <w:name w:val="No List1"/>
    <w:next w:val="NoList"/>
    <w:uiPriority w:val="99"/>
    <w:semiHidden/>
    <w:unhideWhenUsed/>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NoSpacing">
    <w:name w:val="No Spacing"/>
    <w:uiPriority w:val="1"/>
    <w:qFormat/>
    <w:pPr>
      <w:spacing w:after="0" w:line="240" w:lineRule="auto"/>
      <w:jc w:val="both"/>
    </w:pPr>
    <w:rPr>
      <w:rFonts w:ascii="Times New Roman" w:hAnsi="Times New Roman" w:cs="Times New Roman"/>
      <w:sz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sl-SI"/>
    </w:rPr>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NoList11">
    <w:name w:val="No List11"/>
    <w:next w:val="NoList"/>
    <w:uiPriority w:val="99"/>
    <w:semiHidden/>
    <w:unhideWhenUsed/>
  </w:style>
  <w:style w:type="paragraph" w:styleId="BodyText">
    <w:name w:val="Body Text"/>
    <w:basedOn w:val="Normal"/>
    <w:link w:val="BodyTextChar"/>
    <w:pPr>
      <w:spacing w:before="60"/>
      <w:jc w:val="left"/>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sl-SI"/>
    </w:rPr>
  </w:style>
  <w:style w:type="paragraph" w:styleId="Caption">
    <w:name w:val="caption"/>
    <w:aliases w:val="CaptionCFMU,CaptionTLS"/>
    <w:basedOn w:val="Normal"/>
    <w:next w:val="Normal"/>
    <w:link w:val="CaptionChar"/>
    <w:qFormat/>
    <w:pPr>
      <w:spacing w:before="60"/>
      <w:jc w:val="center"/>
    </w:pPr>
    <w:rPr>
      <w:rFonts w:ascii="CG Times (W1)" w:eastAsia="Times New Roman" w:hAnsi="CG Times (W1)"/>
      <w:sz w:val="20"/>
      <w:szCs w:val="20"/>
    </w:rPr>
  </w:style>
  <w:style w:type="paragraph" w:customStyle="1" w:styleId="Opmaakprofiel">
    <w:name w:val="Opmaakprofiel"/>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customStyle="1" w:styleId="Base">
    <w:name w:val="Base"/>
    <w:pPr>
      <w:spacing w:before="60" w:after="60" w:line="240" w:lineRule="auto"/>
    </w:pPr>
    <w:rPr>
      <w:rFonts w:ascii="Times New Roman" w:eastAsia="Times New Roman" w:hAnsi="Times New Roman" w:cs="Times New Roman"/>
      <w:sz w:val="24"/>
      <w:szCs w:val="20"/>
    </w:rPr>
  </w:style>
  <w:style w:type="paragraph" w:styleId="NormalIndent">
    <w:name w:val="Normal Indent"/>
    <w:basedOn w:val="Base"/>
    <w:pPr>
      <w:ind w:left="1134"/>
    </w:pPr>
  </w:style>
  <w:style w:type="paragraph" w:styleId="Index7">
    <w:name w:val="index 7"/>
    <w:basedOn w:val="Index6"/>
    <w:next w:val="Normal"/>
    <w:pPr>
      <w:ind w:left="1698"/>
    </w:pPr>
  </w:style>
  <w:style w:type="paragraph" w:styleId="Index6">
    <w:name w:val="index 6"/>
    <w:basedOn w:val="Index5"/>
    <w:next w:val="Normal"/>
    <w:pPr>
      <w:ind w:left="1415"/>
    </w:pPr>
  </w:style>
  <w:style w:type="paragraph" w:styleId="Index5">
    <w:name w:val="index 5"/>
    <w:basedOn w:val="Index4"/>
    <w:next w:val="Normal"/>
    <w:pPr>
      <w:ind w:left="1132"/>
    </w:pPr>
  </w:style>
  <w:style w:type="paragraph" w:styleId="Index4">
    <w:name w:val="index 4"/>
    <w:basedOn w:val="Index3"/>
    <w:next w:val="Normal"/>
    <w:pPr>
      <w:ind w:left="849"/>
    </w:pPr>
  </w:style>
  <w:style w:type="paragraph" w:styleId="Index3">
    <w:name w:val="index 3"/>
    <w:basedOn w:val="Index2"/>
    <w:next w:val="Normal"/>
    <w:pPr>
      <w:ind w:left="566"/>
    </w:pPr>
  </w:style>
  <w:style w:type="paragraph" w:styleId="Index2">
    <w:name w:val="index 2"/>
    <w:basedOn w:val="Index1"/>
    <w:next w:val="Normal"/>
    <w:pPr>
      <w:ind w:left="283"/>
    </w:pPr>
  </w:style>
  <w:style w:type="paragraph" w:styleId="Index1">
    <w:name w:val="index 1"/>
    <w:basedOn w:val="Base"/>
    <w:next w:val="Normal"/>
  </w:style>
  <w:style w:type="paragraph" w:styleId="IndexHeading">
    <w:name w:val="index heading"/>
    <w:basedOn w:val="Base"/>
    <w:next w:val="Index1"/>
  </w:style>
  <w:style w:type="paragraph" w:customStyle="1" w:styleId="NormalItem">
    <w:name w:val="Normal Item"/>
    <w:basedOn w:val="Base"/>
    <w:pPr>
      <w:ind w:left="1134" w:hanging="284"/>
    </w:pPr>
  </w:style>
  <w:style w:type="paragraph" w:customStyle="1" w:styleId="NormalSubitem">
    <w:name w:val="Normal Subitem"/>
    <w:basedOn w:val="Base"/>
    <w:pPr>
      <w:ind w:left="1418" w:hanging="284"/>
    </w:pPr>
  </w:style>
  <w:style w:type="paragraph" w:customStyle="1" w:styleId="HangingIndent">
    <w:name w:val="Hanging Indent"/>
    <w:basedOn w:val="NormalIndent"/>
    <w:pPr>
      <w:ind w:hanging="567"/>
    </w:pPr>
  </w:style>
  <w:style w:type="paragraph" w:customStyle="1" w:styleId="Itembody">
    <w:name w:val="Item body"/>
    <w:basedOn w:val="NormalItem"/>
    <w:pPr>
      <w:ind w:firstLine="0"/>
    </w:pPr>
  </w:style>
  <w:style w:type="paragraph" w:customStyle="1" w:styleId="Pages">
    <w:name w:val="Pages"/>
    <w:basedOn w:val="Base"/>
    <w:pPr>
      <w:spacing w:before="0"/>
    </w:pPr>
    <w:rPr>
      <w:rFonts w:ascii="Arial" w:hAnsi="Arial"/>
      <w:sz w:val="28"/>
    </w:rPr>
  </w:style>
  <w:style w:type="paragraph" w:customStyle="1" w:styleId="Comments">
    <w:name w:val="Comments"/>
    <w:basedOn w:val="Base"/>
    <w:next w:val="Normal"/>
    <w:pPr>
      <w:spacing w:after="120"/>
    </w:pPr>
    <w:rPr>
      <w:rFonts w:ascii="Arial" w:hAnsi="Arial"/>
      <w:b/>
      <w:sz w:val="28"/>
    </w:rPr>
  </w:style>
  <w:style w:type="paragraph" w:customStyle="1" w:styleId="Italic">
    <w:name w:val="Italic"/>
    <w:basedOn w:val="Base"/>
    <w:pPr>
      <w:spacing w:before="0"/>
    </w:pPr>
    <w:rPr>
      <w:rFonts w:ascii="CG Times" w:hAnsi="CG Times"/>
      <w:b/>
      <w:i/>
      <w:sz w:val="20"/>
      <w:u w:val="single"/>
    </w:rPr>
  </w:style>
  <w:style w:type="paragraph" w:customStyle="1" w:styleId="DoubleIndent">
    <w:name w:val="Double Indent"/>
    <w:basedOn w:val="NormalIndent"/>
    <w:pPr>
      <w:tabs>
        <w:tab w:val="left" w:pos="2835"/>
      </w:tabs>
      <w:spacing w:before="0"/>
      <w:ind w:left="2268"/>
    </w:pPr>
  </w:style>
  <w:style w:type="paragraph" w:customStyle="1" w:styleId="NormalSubSubitem">
    <w:name w:val="Normal SubSubitem"/>
    <w:basedOn w:val="NormalSubitem"/>
    <w:pPr>
      <w:ind w:left="1985"/>
    </w:pPr>
  </w:style>
  <w:style w:type="paragraph" w:customStyle="1" w:styleId="DoubleHangingIndent">
    <w:name w:val="Double Hanging Indent"/>
    <w:basedOn w:val="DoubleIndent"/>
    <w:pPr>
      <w:ind w:hanging="567"/>
    </w:pPr>
    <w:rPr>
      <w:sz w:val="20"/>
    </w:rPr>
  </w:style>
  <w:style w:type="paragraph" w:customStyle="1" w:styleId="LongHangingIndent">
    <w:name w:val="Long Hanging Indent"/>
    <w:basedOn w:val="HangingIndent"/>
    <w:next w:val="Normal"/>
    <w:pPr>
      <w:ind w:left="3402" w:hanging="2268"/>
    </w:pPr>
    <w:rPr>
      <w:sz w:val="20"/>
    </w:rPr>
  </w:style>
  <w:style w:type="paragraph" w:customStyle="1" w:styleId="Verse">
    <w:name w:val="Verse"/>
    <w:basedOn w:val="Base"/>
    <w:pPr>
      <w:keepLines/>
      <w:tabs>
        <w:tab w:val="left" w:pos="2835"/>
      </w:tabs>
      <w:spacing w:after="240"/>
      <w:ind w:left="1701" w:right="851"/>
      <w:jc w:val="center"/>
    </w:pPr>
    <w:rPr>
      <w:b/>
      <w:i/>
      <w:sz w:val="20"/>
    </w:rPr>
  </w:style>
  <w:style w:type="paragraph" w:customStyle="1" w:styleId="NormSubitemBody">
    <w:name w:val="Norm Subitem Body"/>
    <w:basedOn w:val="NormalSubitem"/>
    <w:pPr>
      <w:spacing w:before="0"/>
      <w:ind w:left="1531" w:firstLine="0"/>
    </w:pPr>
  </w:style>
  <w:style w:type="paragraph" w:customStyle="1" w:styleId="Heading2TOC">
    <w:name w:val="Heading 2 TOC"/>
    <w:basedOn w:val="Heading2"/>
    <w:pPr>
      <w:keepLines/>
      <w:numPr>
        <w:ilvl w:val="0"/>
        <w:numId w:val="0"/>
      </w:numPr>
      <w:spacing w:before="0" w:after="480"/>
      <w:jc w:val="center"/>
      <w:outlineLvl w:val="9"/>
    </w:pPr>
    <w:rPr>
      <w:rFonts w:eastAsia="Times New Roman"/>
      <w:bCs w:val="0"/>
      <w:szCs w:val="24"/>
    </w:rPr>
  </w:style>
  <w:style w:type="paragraph" w:customStyle="1" w:styleId="NormalNItem">
    <w:name w:val="Normal N Item"/>
    <w:basedOn w:val="NormalItem"/>
    <w:next w:val="Itembody"/>
    <w:pPr>
      <w:keepNext/>
      <w:ind w:left="1135"/>
    </w:pPr>
  </w:style>
  <w:style w:type="paragraph" w:customStyle="1" w:styleId="SubitemBody">
    <w:name w:val="Subitem Body"/>
    <w:basedOn w:val="NormalSubitem"/>
  </w:style>
  <w:style w:type="paragraph" w:customStyle="1" w:styleId="t">
    <w:name w:val="t"/>
    <w:basedOn w:val="Heading1"/>
    <w:pPr>
      <w:numPr>
        <w:numId w:val="0"/>
      </w:numPr>
      <w:spacing w:before="240" w:after="240"/>
      <w:jc w:val="center"/>
      <w:outlineLvl w:val="9"/>
    </w:pPr>
    <w:rPr>
      <w:rFonts w:eastAsia="Times New Roman"/>
      <w:bCs w:val="0"/>
      <w:caps/>
      <w:smallCaps w:val="0"/>
      <w:spacing w:val="40"/>
      <w:sz w:val="36"/>
      <w:szCs w:val="20"/>
    </w:rPr>
  </w:style>
  <w:style w:type="paragraph" w:customStyle="1" w:styleId="Ital">
    <w:name w:val="Ital"/>
    <w:basedOn w:val="Base"/>
    <w:pPr>
      <w:pBdr>
        <w:top w:val="single" w:sz="6" w:space="3" w:color="auto"/>
        <w:left w:val="single" w:sz="6" w:space="3" w:color="auto"/>
        <w:bottom w:val="single" w:sz="6" w:space="3" w:color="auto"/>
        <w:right w:val="single" w:sz="6" w:space="3" w:color="auto"/>
      </w:pBdr>
      <w:ind w:right="113"/>
    </w:pPr>
    <w:rPr>
      <w:i/>
    </w:rPr>
  </w:style>
  <w:style w:type="paragraph" w:customStyle="1" w:styleId="ItalIndent">
    <w:name w:val="Ital Indent"/>
    <w:basedOn w:val="NormalIndent"/>
    <w:rPr>
      <w:i/>
    </w:rPr>
  </w:style>
  <w:style w:type="paragraph" w:customStyle="1" w:styleId="ItalItem">
    <w:name w:val="Ital Item"/>
    <w:basedOn w:val="Ital"/>
    <w:pPr>
      <w:ind w:left="851" w:hanging="284"/>
    </w:pPr>
    <w:rPr>
      <w:i w:val="0"/>
    </w:rPr>
  </w:style>
  <w:style w:type="paragraph" w:customStyle="1" w:styleId="indent2">
    <w:name w:val="indent 2"/>
    <w:basedOn w:val="indent1"/>
    <w:pPr>
      <w:ind w:left="1800"/>
    </w:pPr>
  </w:style>
  <w:style w:type="paragraph" w:customStyle="1" w:styleId="indent1">
    <w:name w:val="indent 1"/>
    <w:basedOn w:val="Base"/>
    <w:pPr>
      <w:keepLines/>
      <w:spacing w:before="0" w:after="240"/>
      <w:ind w:left="907"/>
    </w:pPr>
    <w:rPr>
      <w:sz w:val="20"/>
    </w:rPr>
  </w:style>
  <w:style w:type="character" w:styleId="EndnoteReference">
    <w:name w:val="endnote reference"/>
    <w:rPr>
      <w:rFonts w:cs="Times New Roman"/>
      <w:vertAlign w:val="superscript"/>
    </w:rPr>
  </w:style>
  <w:style w:type="paragraph" w:customStyle="1" w:styleId="Happ1">
    <w:name w:val="Happ1"/>
    <w:basedOn w:val="Base"/>
    <w:pPr>
      <w:keepNext/>
      <w:pageBreakBefore/>
      <w:numPr>
        <w:numId w:val="10"/>
      </w:numPr>
      <w:spacing w:before="240"/>
    </w:pPr>
    <w:rPr>
      <w:b/>
      <w:caps/>
      <w:sz w:val="32"/>
    </w:rPr>
  </w:style>
  <w:style w:type="character" w:styleId="FollowedHyperlink">
    <w:name w:val="FollowedHyperlink"/>
    <w:rPr>
      <w:rFonts w:cs="Times New Roman"/>
      <w:color w:val="800080"/>
      <w:u w:val="single"/>
    </w:rPr>
  </w:style>
  <w:style w:type="paragraph" w:customStyle="1" w:styleId="AnnexHeading2">
    <w:name w:val="Annex Heading 2"/>
    <w:basedOn w:val="Heading4"/>
    <w:pPr>
      <w:numPr>
        <w:ilvl w:val="1"/>
        <w:numId w:val="11"/>
      </w:numPr>
      <w:spacing w:before="240" w:after="240"/>
    </w:pPr>
    <w:rPr>
      <w:rFonts w:ascii="Courier New" w:eastAsia="Times New Roman" w:hAnsi="Courier New" w:cs="Courier New"/>
      <w:bCs w:val="0"/>
      <w:iCs w:val="0"/>
      <w:smallCaps/>
      <w:color w:val="0000FF"/>
      <w:w w:val="122"/>
      <w:szCs w:val="20"/>
    </w:rPr>
  </w:style>
  <w:style w:type="character" w:customStyle="1" w:styleId="BaseChar">
    <w:name w:val="Base Char"/>
    <w:rPr>
      <w:rFonts w:cs="Times New Roman"/>
      <w:sz w:val="24"/>
      <w:lang w:val="sl-SI" w:eastAsia="sl-SI" w:bidi="sl-SI"/>
    </w:rPr>
  </w:style>
  <w:style w:type="paragraph" w:customStyle="1" w:styleId="TableCell">
    <w:name w:val="TableCell"/>
    <w:basedOn w:val="Normal"/>
    <w:pPr>
      <w:spacing w:before="60" w:after="0"/>
      <w:jc w:val="left"/>
    </w:pPr>
    <w:rPr>
      <w:rFonts w:ascii="Arial" w:eastAsia="Times New Roman" w:hAnsi="Arial"/>
      <w:bCs/>
      <w:sz w:val="20"/>
      <w:szCs w:val="24"/>
    </w:rPr>
  </w:style>
  <w:style w:type="paragraph" w:styleId="BodyTextIndent2">
    <w:name w:val="Body Text Indent 2"/>
    <w:basedOn w:val="Normal"/>
    <w:link w:val="BodyTextIndent2Char"/>
    <w:pPr>
      <w:spacing w:before="0"/>
      <w:ind w:left="720"/>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sl-SI"/>
    </w:rPr>
  </w:style>
  <w:style w:type="paragraph" w:customStyle="1" w:styleId="AppendixHeading1">
    <w:name w:val="Appendix Heading 1"/>
    <w:basedOn w:val="Normal"/>
    <w:next w:val="Normal"/>
    <w:pPr>
      <w:numPr>
        <w:numId w:val="8"/>
      </w:numPr>
      <w:spacing w:before="240" w:after="0"/>
      <w:ind w:left="851"/>
      <w:outlineLvl w:val="1"/>
    </w:pPr>
    <w:rPr>
      <w:rFonts w:ascii="Arial" w:eastAsia="Times New Roman" w:hAnsi="Arial"/>
      <w:b/>
      <w:smallCaps/>
      <w:color w:val="0000FF"/>
      <w:kern w:val="28"/>
      <w:sz w:val="32"/>
      <w:szCs w:val="20"/>
    </w:rPr>
  </w:style>
  <w:style w:type="character" w:customStyle="1" w:styleId="Text1Char">
    <w:name w:val="Text 1 Char"/>
    <w:rPr>
      <w:rFonts w:cs="Times New Roman"/>
      <w:sz w:val="22"/>
      <w:lang w:val="sl-SI" w:eastAsia="sl-SI" w:bidi="sl-SI"/>
    </w:rPr>
  </w:style>
  <w:style w:type="paragraph" w:styleId="BodyTextIndent">
    <w:name w:val="Body Text Indent"/>
    <w:basedOn w:val="Normal"/>
    <w:link w:val="BodyTextIndentChar"/>
    <w:pPr>
      <w:numPr>
        <w:numId w:val="9"/>
      </w:numPr>
      <w:spacing w:before="60"/>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en-GB"/>
    </w:rPr>
  </w:style>
  <w:style w:type="paragraph" w:styleId="BlockText">
    <w:name w:val="Block Text"/>
    <w:basedOn w:val="Normal"/>
    <w:pPr>
      <w:widowControl w:val="0"/>
      <w:autoSpaceDE w:val="0"/>
      <w:autoSpaceDN w:val="0"/>
      <w:adjustRightInd w:val="0"/>
      <w:spacing w:before="0" w:after="0" w:line="244" w:lineRule="exact"/>
      <w:ind w:left="720" w:right="221"/>
    </w:pPr>
    <w:rPr>
      <w:rFonts w:ascii="Courier New" w:eastAsia="Times New Roman" w:hAnsi="Courier New" w:cs="Courier New"/>
      <w:sz w:val="22"/>
    </w:rPr>
  </w:style>
  <w:style w:type="paragraph" w:styleId="BodyTextIndent3">
    <w:name w:val="Body Text Indent 3"/>
    <w:basedOn w:val="Normal"/>
    <w:link w:val="BodyTextIndent3Char"/>
    <w:pPr>
      <w:spacing w:before="60"/>
      <w:ind w:left="720"/>
    </w:pPr>
    <w:rPr>
      <w:rFonts w:eastAsia="Times New Roman"/>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lang w:val="sl-SI"/>
    </w:rPr>
  </w:style>
  <w:style w:type="paragraph" w:customStyle="1" w:styleId="Heading0">
    <w:name w:val="Heading 0"/>
    <w:basedOn w:val="Normal"/>
    <w:pPr>
      <w:pageBreakBefore/>
      <w:spacing w:before="240" w:after="240"/>
      <w:ind w:left="142" w:right="284"/>
      <w:jc w:val="center"/>
    </w:pPr>
    <w:rPr>
      <w:rFonts w:eastAsia="Times New Roman"/>
      <w:b/>
      <w:caps/>
      <w:sz w:val="28"/>
      <w:szCs w:val="20"/>
    </w:rPr>
  </w:style>
  <w:style w:type="paragraph" w:styleId="BodyText2">
    <w:name w:val="Body Text 2"/>
    <w:basedOn w:val="Normal"/>
    <w:link w:val="BodyText2Char"/>
    <w:pPr>
      <w:autoSpaceDE w:val="0"/>
      <w:autoSpaceDN w:val="0"/>
      <w:adjustRightInd w:val="0"/>
      <w:spacing w:after="0"/>
      <w:jc w:val="left"/>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sl-SI"/>
    </w:rPr>
  </w:style>
  <w:style w:type="paragraph" w:styleId="TableofFigures">
    <w:name w:val="table of figures"/>
    <w:basedOn w:val="Normal"/>
    <w:next w:val="Normal"/>
    <w:uiPriority w:val="99"/>
    <w:pPr>
      <w:spacing w:after="0"/>
      <w:jc w:val="left"/>
    </w:pPr>
    <w:rPr>
      <w:rFonts w:eastAsia="Times New Roman"/>
      <w:szCs w:val="20"/>
    </w:rPr>
  </w:style>
  <w:style w:type="paragraph" w:styleId="BodyText3">
    <w:name w:val="Body Text 3"/>
    <w:basedOn w:val="Normal"/>
    <w:link w:val="BodyText3Char"/>
    <w:pPr>
      <w:spacing w:after="0"/>
      <w:jc w:val="left"/>
    </w:pPr>
    <w:rPr>
      <w:rFonts w:eastAsia="Times New Roman"/>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lang w:val="sl-SI"/>
    </w:rPr>
  </w:style>
  <w:style w:type="paragraph" w:customStyle="1" w:styleId="List2bullet">
    <w:name w:val="List_2_bullet"/>
    <w:basedOn w:val="Normal"/>
    <w:pPr>
      <w:numPr>
        <w:numId w:val="12"/>
      </w:numPr>
      <w:jc w:val="left"/>
    </w:pPr>
    <w:rPr>
      <w:rFonts w:eastAsia="Times New Roman"/>
      <w:szCs w:val="24"/>
    </w:rPr>
  </w:style>
  <w:style w:type="paragraph" w:customStyle="1" w:styleId="StyleTableofFigures20ptAllcaps">
    <w:name w:val="Style Table of Figures + 20 pt All caps"/>
    <w:basedOn w:val="TableofFigures"/>
    <w:autoRedefine/>
    <w:rPr>
      <w:caps/>
      <w:sz w:val="32"/>
    </w:rPr>
  </w:style>
  <w:style w:type="paragraph" w:styleId="DocumentMap">
    <w:name w:val="Document Map"/>
    <w:basedOn w:val="Normal"/>
    <w:link w:val="DocumentMapChar"/>
    <w:pPr>
      <w:shd w:val="clear" w:color="auto" w:fill="000080"/>
      <w:spacing w:after="0"/>
      <w:jc w:val="left"/>
    </w:pPr>
    <w:rPr>
      <w:rFonts w:eastAsia="Times New Roman"/>
      <w:sz w:val="2"/>
      <w:szCs w:val="20"/>
    </w:rPr>
  </w:style>
  <w:style w:type="character" w:customStyle="1" w:styleId="DocumentMapChar">
    <w:name w:val="Document Map Char"/>
    <w:basedOn w:val="DefaultParagraphFont"/>
    <w:link w:val="DocumentMap"/>
    <w:rPr>
      <w:rFonts w:ascii="Times New Roman" w:eastAsia="Times New Roman" w:hAnsi="Times New Roman" w:cs="Times New Roman"/>
      <w:sz w:val="2"/>
      <w:szCs w:val="20"/>
      <w:shd w:val="clear" w:color="auto" w:fill="000080"/>
      <w:lang w:val="sl-SI"/>
    </w:rPr>
  </w:style>
  <w:style w:type="character" w:styleId="Emphasis">
    <w:name w:val="Emphasis"/>
    <w:uiPriority w:val="20"/>
    <w:qFormat/>
    <w:rPr>
      <w:rFonts w:cs="Times New Roman"/>
      <w:i/>
      <w:iCs/>
    </w:rPr>
  </w:style>
  <w:style w:type="paragraph" w:customStyle="1" w:styleId="ZCom">
    <w:name w:val="Z_Com"/>
    <w:basedOn w:val="Normal"/>
    <w:next w:val="ZDGName"/>
    <w:pPr>
      <w:spacing w:before="0" w:after="0"/>
      <w:ind w:right="85"/>
    </w:pPr>
    <w:rPr>
      <w:rFonts w:ascii="Arial" w:eastAsia="Times New Roman" w:hAnsi="Arial"/>
      <w:sz w:val="22"/>
      <w:szCs w:val="20"/>
    </w:rPr>
  </w:style>
  <w:style w:type="paragraph" w:customStyle="1" w:styleId="ZDGName">
    <w:name w:val="Z_DGName"/>
    <w:basedOn w:val="Normal"/>
    <w:pPr>
      <w:spacing w:before="0" w:after="0"/>
      <w:ind w:right="85"/>
    </w:pPr>
    <w:rPr>
      <w:rFonts w:ascii="Arial" w:eastAsia="Times New Roman" w:hAnsi="Arial"/>
      <w:sz w:val="16"/>
      <w:szCs w:val="20"/>
    </w:rPr>
  </w:style>
  <w:style w:type="character" w:styleId="PageNumber">
    <w:name w:val="page number"/>
    <w:rPr>
      <w:rFonts w:cs="Times New Roman"/>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szCs w:val="20"/>
    </w:rPr>
  </w:style>
  <w:style w:type="character" w:customStyle="1" w:styleId="FooterCoverPageChar">
    <w:name w:val="Footer Cover Page Char"/>
    <w:basedOn w:val="BodyTextChar"/>
    <w:link w:val="FooterCoverPage"/>
    <w:rPr>
      <w:rFonts w:ascii="Times New Roman" w:eastAsia="Times New Roman" w:hAnsi="Times New Roman" w:cs="Times New Roman"/>
      <w:sz w:val="24"/>
      <w:szCs w:val="20"/>
      <w:lang w:val="sl-SI"/>
    </w:rPr>
  </w:style>
  <w:style w:type="paragraph" w:customStyle="1" w:styleId="HeaderCoverPage">
    <w:name w:val="Header Cover Page"/>
    <w:basedOn w:val="Normal"/>
    <w:link w:val="HeaderCoverPageChar"/>
    <w:pPr>
      <w:tabs>
        <w:tab w:val="center" w:pos="4535"/>
        <w:tab w:val="right" w:pos="9071"/>
      </w:tabs>
      <w:spacing w:before="0"/>
    </w:pPr>
    <w:rPr>
      <w:rFonts w:eastAsia="Times New Roman"/>
      <w:szCs w:val="20"/>
    </w:rPr>
  </w:style>
  <w:style w:type="character" w:customStyle="1" w:styleId="HeaderCoverPageChar">
    <w:name w:val="Header Cover Page Char"/>
    <w:basedOn w:val="BodyTextChar"/>
    <w:link w:val="HeaderCoverPage"/>
    <w:rPr>
      <w:rFonts w:ascii="Times New Roman" w:eastAsia="Times New Roman" w:hAnsi="Times New Roman" w:cs="Times New Roman"/>
      <w:sz w:val="24"/>
      <w:szCs w:val="20"/>
      <w:lang w:val="sl-SI"/>
    </w:rPr>
  </w:style>
  <w:style w:type="paragraph" w:customStyle="1" w:styleId="HeadingTOC">
    <w:name w:val="Heading TOC"/>
    <w:basedOn w:val="Base"/>
    <w:rPr>
      <w:b/>
      <w:sz w:val="40"/>
    </w:rPr>
  </w:style>
  <w:style w:type="paragraph" w:customStyle="1" w:styleId="App1">
    <w:name w:val="App1"/>
    <w:basedOn w:val="Base"/>
    <w:next w:val="App2"/>
    <w:pPr>
      <w:pageBreakBefore/>
      <w:spacing w:before="120" w:after="240"/>
    </w:pPr>
    <w:rPr>
      <w:b/>
      <w:caps/>
      <w:sz w:val="32"/>
    </w:rPr>
  </w:style>
  <w:style w:type="paragraph" w:customStyle="1" w:styleId="App2">
    <w:name w:val="App2"/>
    <w:basedOn w:val="App1"/>
    <w:pPr>
      <w:pageBreakBefore w:val="0"/>
      <w:spacing w:after="120"/>
    </w:pPr>
    <w:rPr>
      <w:caps w:val="0"/>
      <w:smallCaps/>
      <w:sz w:val="28"/>
    </w:rPr>
  </w:style>
  <w:style w:type="paragraph" w:customStyle="1" w:styleId="App3">
    <w:name w:val="App3"/>
    <w:basedOn w:val="App2"/>
    <w:rPr>
      <w:sz w:val="24"/>
    </w:rPr>
  </w:style>
  <w:style w:type="paragraph" w:customStyle="1" w:styleId="App4">
    <w:name w:val="App4"/>
    <w:basedOn w:val="App3"/>
    <w:rPr>
      <w:b w:val="0"/>
      <w:sz w:val="22"/>
    </w:rPr>
  </w:style>
  <w:style w:type="paragraph" w:customStyle="1" w:styleId="ListNumber1">
    <w:name w:val="List Number 1"/>
    <w:basedOn w:val="Normal"/>
    <w:pPr>
      <w:tabs>
        <w:tab w:val="num" w:pos="1191"/>
      </w:tabs>
      <w:spacing w:before="0" w:after="240"/>
      <w:ind w:left="1191" w:hanging="709"/>
    </w:pPr>
    <w:rPr>
      <w:rFonts w:eastAsia="Times New Roman"/>
      <w:sz w:val="22"/>
      <w:szCs w:val="20"/>
    </w:rPr>
  </w:style>
  <w:style w:type="paragraph" w:customStyle="1" w:styleId="ListNumber1Level2">
    <w:name w:val="List Number 1 (Level 2)"/>
    <w:basedOn w:val="Normal"/>
    <w:pPr>
      <w:tabs>
        <w:tab w:val="num" w:pos="1899"/>
      </w:tabs>
      <w:spacing w:before="0" w:after="240"/>
      <w:ind w:left="1899" w:hanging="708"/>
    </w:pPr>
    <w:rPr>
      <w:rFonts w:eastAsia="Times New Roman"/>
      <w:sz w:val="22"/>
      <w:szCs w:val="20"/>
    </w:rPr>
  </w:style>
  <w:style w:type="paragraph" w:customStyle="1" w:styleId="ListNumber1Level3">
    <w:name w:val="List Number 1 (Level 3)"/>
    <w:basedOn w:val="Normal"/>
    <w:pPr>
      <w:tabs>
        <w:tab w:val="num" w:pos="2608"/>
      </w:tabs>
      <w:spacing w:before="0" w:after="240"/>
      <w:ind w:left="2608" w:hanging="709"/>
    </w:pPr>
    <w:rPr>
      <w:rFonts w:eastAsia="Times New Roman"/>
      <w:sz w:val="22"/>
      <w:szCs w:val="20"/>
    </w:rPr>
  </w:style>
  <w:style w:type="paragraph" w:customStyle="1" w:styleId="ListNumber1Level4">
    <w:name w:val="List Number 1 (Level 4)"/>
    <w:basedOn w:val="Normal"/>
    <w:pPr>
      <w:tabs>
        <w:tab w:val="num" w:pos="3317"/>
      </w:tabs>
      <w:spacing w:before="0" w:after="240"/>
      <w:ind w:left="3317" w:hanging="709"/>
    </w:pPr>
    <w:rPr>
      <w:rFonts w:eastAsia="Times New Roman"/>
      <w:sz w:val="22"/>
      <w:szCs w:val="20"/>
    </w:rPr>
  </w:style>
  <w:style w:type="paragraph" w:customStyle="1" w:styleId="Participants">
    <w:name w:val="Participants"/>
    <w:basedOn w:val="Normal"/>
    <w:next w:val="Normal"/>
    <w:pPr>
      <w:tabs>
        <w:tab w:val="left" w:pos="2552"/>
        <w:tab w:val="left" w:pos="2835"/>
        <w:tab w:val="left" w:pos="5670"/>
        <w:tab w:val="left" w:pos="6379"/>
        <w:tab w:val="left" w:pos="6804"/>
      </w:tabs>
      <w:spacing w:before="480" w:after="60"/>
      <w:ind w:left="1985" w:hanging="1985"/>
      <w:jc w:val="left"/>
    </w:pPr>
    <w:rPr>
      <w:rFonts w:eastAsia="Times New Roman"/>
      <w:sz w:val="22"/>
      <w:szCs w:val="20"/>
    </w:rPr>
  </w:style>
  <w:style w:type="paragraph" w:customStyle="1" w:styleId="Keypointbold">
    <w:name w:val="Key point bold"/>
    <w:basedOn w:val="Normal"/>
    <w:pPr>
      <w:pBdr>
        <w:top w:val="single" w:sz="4" w:space="1" w:color="FF0000" w:shadow="1"/>
        <w:left w:val="single" w:sz="4" w:space="4" w:color="FF0000" w:shadow="1"/>
        <w:bottom w:val="single" w:sz="4" w:space="1" w:color="FF0000" w:shadow="1"/>
        <w:right w:val="single" w:sz="4" w:space="4" w:color="FF0000" w:shadow="1"/>
      </w:pBdr>
      <w:spacing w:before="0" w:after="60"/>
    </w:pPr>
    <w:rPr>
      <w:rFonts w:ascii="Arial Narrow" w:eastAsia="Times New Roman" w:hAnsi="Arial Narrow"/>
      <w:b/>
      <w:i/>
      <w:sz w:val="22"/>
      <w:szCs w:val="20"/>
    </w:rPr>
  </w:style>
  <w:style w:type="paragraph" w:styleId="PlainText">
    <w:name w:val="Plain Text"/>
    <w:basedOn w:val="Normal"/>
    <w:link w:val="PlainTextChar"/>
    <w:pPr>
      <w:spacing w:before="0" w:after="60"/>
      <w:jc w:val="left"/>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sl-SI" w:eastAsia="sl-SI"/>
    </w:rPr>
  </w:style>
  <w:style w:type="paragraph" w:customStyle="1" w:styleId="DefinitionList">
    <w:name w:val="Definition List"/>
    <w:basedOn w:val="Normal"/>
    <w:next w:val="Normal"/>
    <w:pPr>
      <w:spacing w:before="0" w:after="60"/>
      <w:ind w:left="360"/>
      <w:jc w:val="left"/>
    </w:pPr>
    <w:rPr>
      <w:rFonts w:eastAsia="Times New Roman"/>
      <w:snapToGrid w:val="0"/>
      <w:sz w:val="22"/>
      <w:szCs w:val="20"/>
    </w:rPr>
  </w:style>
  <w:style w:type="paragraph" w:customStyle="1" w:styleId="Figure">
    <w:name w:val="Figure"/>
    <w:basedOn w:val="Normal"/>
    <w:pPr>
      <w:widowControl w:val="0"/>
      <w:overflowPunct w:val="0"/>
      <w:autoSpaceDE w:val="0"/>
      <w:autoSpaceDN w:val="0"/>
      <w:adjustRightInd w:val="0"/>
      <w:spacing w:before="60"/>
      <w:jc w:val="center"/>
      <w:textAlignment w:val="baseline"/>
    </w:pPr>
    <w:rPr>
      <w:rFonts w:eastAsia="Times New Roman"/>
      <w:sz w:val="22"/>
      <w:szCs w:val="20"/>
    </w:rPr>
  </w:style>
  <w:style w:type="paragraph" w:customStyle="1" w:styleId="COVERTITLE">
    <w:name w:val="COVER TITLE"/>
    <w:basedOn w:val="Normal"/>
    <w:pPr>
      <w:tabs>
        <w:tab w:val="left" w:pos="1134"/>
        <w:tab w:val="left" w:pos="1701"/>
        <w:tab w:val="left" w:pos="2268"/>
      </w:tabs>
      <w:overflowPunct w:val="0"/>
      <w:autoSpaceDE w:val="0"/>
      <w:autoSpaceDN w:val="0"/>
      <w:adjustRightInd w:val="0"/>
      <w:spacing w:before="240" w:after="60"/>
      <w:ind w:left="567"/>
      <w:jc w:val="center"/>
      <w:textAlignment w:val="baseline"/>
    </w:pPr>
    <w:rPr>
      <w:rFonts w:eastAsia="Times New Roman"/>
      <w:b/>
      <w:smallCaps/>
      <w:sz w:val="32"/>
      <w:szCs w:val="20"/>
    </w:rPr>
  </w:style>
  <w:style w:type="paragraph" w:customStyle="1" w:styleId="Heading1Heading1CFMUPara1h1OS114pt">
    <w:name w:val="Heading 1Heading 1 CFMUPara 1h1OS1 + 14 pt"/>
    <w:basedOn w:val="Heading1"/>
    <w:pPr>
      <w:keepNext w:val="0"/>
      <w:keepLines/>
      <w:pageBreakBefore/>
      <w:numPr>
        <w:numId w:val="0"/>
      </w:numPr>
      <w:tabs>
        <w:tab w:val="num" w:pos="432"/>
      </w:tabs>
      <w:spacing w:before="120" w:after="240"/>
      <w:ind w:left="431" w:hanging="431"/>
      <w:jc w:val="left"/>
    </w:pPr>
    <w:rPr>
      <w:rFonts w:eastAsia="Times New Roman"/>
      <w:caps/>
      <w:smallCaps w:val="0"/>
      <w:sz w:val="28"/>
    </w:rPr>
  </w:style>
  <w:style w:type="paragraph" w:customStyle="1" w:styleId="bullet10">
    <w:name w:val="bullet1"/>
    <w:basedOn w:val="Normal"/>
    <w:pPr>
      <w:tabs>
        <w:tab w:val="num" w:pos="1080"/>
      </w:tabs>
      <w:spacing w:before="60" w:after="60"/>
      <w:ind w:left="1080" w:hanging="360"/>
      <w:jc w:val="left"/>
    </w:pPr>
    <w:rPr>
      <w:rFonts w:eastAsia="Times New Roman"/>
      <w:sz w:val="22"/>
      <w:szCs w:val="20"/>
    </w:rPr>
  </w:style>
  <w:style w:type="character" w:customStyle="1" w:styleId="normal1">
    <w:name w:val="normal1"/>
    <w:rPr>
      <w:rFonts w:ascii="Verdana" w:hAnsi="Verdana" w:hint="default"/>
      <w:b w:val="0"/>
      <w:bCs w:val="0"/>
      <w:sz w:val="17"/>
      <w:szCs w:val="17"/>
    </w:rPr>
  </w:style>
  <w:style w:type="paragraph" w:customStyle="1" w:styleId="Style1">
    <w:name w:val="Style1"/>
    <w:basedOn w:val="TOC1"/>
    <w:pPr>
      <w:tabs>
        <w:tab w:val="clear" w:pos="9071"/>
        <w:tab w:val="left" w:pos="960"/>
        <w:tab w:val="right" w:leader="dot" w:pos="9526"/>
      </w:tabs>
      <w:ind w:left="567" w:hanging="567"/>
    </w:pPr>
    <w:rPr>
      <w:rFonts w:eastAsia="Times New Roman"/>
      <w:b/>
      <w:smallCaps/>
      <w:noProof/>
      <w:sz w:val="28"/>
      <w:szCs w:val="28"/>
    </w:rPr>
  </w:style>
  <w:style w:type="paragraph" w:customStyle="1" w:styleId="NormalItemLast">
    <w:name w:val="Normal Item Last"/>
    <w:basedOn w:val="NormalItem"/>
    <w:next w:val="Normal"/>
    <w:pPr>
      <w:keepNext/>
      <w:keepLines/>
      <w:tabs>
        <w:tab w:val="num" w:pos="360"/>
      </w:tabs>
      <w:spacing w:before="0" w:after="120"/>
      <w:ind w:left="360" w:hanging="360"/>
      <w:jc w:val="both"/>
    </w:pPr>
    <w:rPr>
      <w:szCs w:val="24"/>
    </w:rPr>
  </w:style>
  <w:style w:type="paragraph" w:customStyle="1" w:styleId="NormalTitle">
    <w:name w:val="Normal Title"/>
    <w:basedOn w:val="Normal"/>
    <w:pPr>
      <w:spacing w:before="240" w:after="60"/>
      <w:ind w:left="2269" w:hanging="1702"/>
    </w:pPr>
    <w:rPr>
      <w:rFonts w:eastAsia="Times New Roman"/>
      <w:b/>
      <w:bCs/>
      <w:sz w:val="28"/>
      <w:szCs w:val="28"/>
    </w:rPr>
  </w:style>
  <w:style w:type="paragraph" w:customStyle="1" w:styleId="NormalCR">
    <w:name w:val="NormalCR"/>
    <w:basedOn w:val="Normal"/>
    <w:pPr>
      <w:spacing w:before="0" w:after="60"/>
      <w:jc w:val="left"/>
    </w:pPr>
    <w:rPr>
      <w:rFonts w:eastAsia="Times New Roman"/>
      <w:sz w:val="22"/>
    </w:rPr>
  </w:style>
  <w:style w:type="paragraph" w:customStyle="1" w:styleId="TableL01">
    <w:name w:val="Table L0.1"/>
    <w:basedOn w:val="Normal"/>
    <w:pPr>
      <w:spacing w:before="0" w:after="60"/>
      <w:ind w:left="113"/>
      <w:jc w:val="left"/>
    </w:pPr>
    <w:rPr>
      <w:rFonts w:eastAsia="Times New Roman"/>
      <w:iCs/>
      <w:sz w:val="22"/>
      <w:szCs w:val="18"/>
    </w:rPr>
  </w:style>
  <w:style w:type="paragraph" w:customStyle="1" w:styleId="TextTableCent">
    <w:name w:val="Text Table Cent"/>
    <w:basedOn w:val="Normal"/>
    <w:pPr>
      <w:keepNext/>
      <w:keepLines/>
      <w:spacing w:before="40" w:after="40" w:line="240" w:lineRule="exact"/>
      <w:jc w:val="center"/>
    </w:pPr>
    <w:rPr>
      <w:rFonts w:ascii="Arial" w:eastAsia="Times New Roman" w:hAnsi="Arial" w:cs="Arial"/>
      <w:sz w:val="18"/>
      <w:szCs w:val="18"/>
    </w:rPr>
  </w:style>
  <w:style w:type="paragraph" w:customStyle="1" w:styleId="TableCell0">
    <w:name w:val="Table Cell"/>
    <w:basedOn w:val="Normal"/>
    <w:pPr>
      <w:widowControl w:val="0"/>
      <w:spacing w:before="0" w:after="60"/>
    </w:pPr>
    <w:rPr>
      <w:rFonts w:eastAsia="Times New Roman"/>
      <w:sz w:val="22"/>
      <w:szCs w:val="20"/>
    </w:rPr>
  </w:style>
  <w:style w:type="paragraph" w:customStyle="1" w:styleId="Requirement">
    <w:name w:val="Requirement"/>
    <w:basedOn w:val="Normal"/>
    <w:pPr>
      <w:widowControl w:val="0"/>
      <w:tabs>
        <w:tab w:val="left" w:pos="840"/>
      </w:tabs>
      <w:spacing w:before="240" w:after="60"/>
      <w:ind w:right="80"/>
    </w:pPr>
    <w:rPr>
      <w:rFonts w:eastAsia="Times New Roman"/>
      <w:sz w:val="20"/>
      <w:szCs w:val="20"/>
    </w:rPr>
  </w:style>
  <w:style w:type="paragraph" w:customStyle="1" w:styleId="DGXXI">
    <w:name w:val="DGXXI"/>
    <w:basedOn w:val="Normal"/>
    <w:pPr>
      <w:widowControl w:val="0"/>
      <w:pBdr>
        <w:top w:val="double" w:sz="6" w:space="3" w:color="auto"/>
        <w:left w:val="double" w:sz="6" w:space="3" w:color="auto"/>
        <w:bottom w:val="double" w:sz="6" w:space="3" w:color="auto"/>
        <w:right w:val="double" w:sz="6" w:space="3" w:color="auto"/>
      </w:pBdr>
      <w:tabs>
        <w:tab w:val="left" w:pos="1134"/>
        <w:tab w:val="left" w:pos="1701"/>
        <w:tab w:val="left" w:pos="2268"/>
      </w:tabs>
      <w:spacing w:before="60" w:after="60"/>
      <w:ind w:left="1134"/>
    </w:pPr>
    <w:rPr>
      <w:rFonts w:eastAsia="Times New Roman"/>
      <w:color w:val="FF0000"/>
      <w:sz w:val="22"/>
      <w:szCs w:val="20"/>
    </w:rPr>
  </w:style>
  <w:style w:type="paragraph" w:customStyle="1" w:styleId="Tablespace">
    <w:name w:val="Table space"/>
    <w:basedOn w:val="Normal"/>
    <w:next w:val="Normal"/>
    <w:pPr>
      <w:keepLines/>
      <w:spacing w:before="0" w:after="60"/>
      <w:jc w:val="center"/>
    </w:pPr>
    <w:rPr>
      <w:rFonts w:ascii="Arial Narrow" w:eastAsia="Times New Roman" w:hAnsi="Arial Narrow"/>
      <w:sz w:val="22"/>
      <w:szCs w:val="20"/>
    </w:rPr>
  </w:style>
  <w:style w:type="paragraph" w:customStyle="1" w:styleId="TableHeaderStyleCFMU">
    <w:name w:val="TableHeaderStyle CFMU"/>
    <w:basedOn w:val="Normal"/>
    <w:pPr>
      <w:tabs>
        <w:tab w:val="left" w:pos="567"/>
        <w:tab w:val="left" w:pos="1134"/>
        <w:tab w:val="left" w:pos="1701"/>
        <w:tab w:val="left" w:pos="2268"/>
        <w:tab w:val="left" w:pos="2835"/>
      </w:tabs>
      <w:spacing w:before="240" w:after="240"/>
      <w:jc w:val="center"/>
    </w:pPr>
    <w:rPr>
      <w:rFonts w:ascii="Arial" w:eastAsia="Times New Roman" w:hAnsi="Arial"/>
      <w:b/>
      <w:sz w:val="20"/>
      <w:szCs w:val="20"/>
    </w:rPr>
  </w:style>
  <w:style w:type="paragraph" w:customStyle="1" w:styleId="TableColomnTitle">
    <w:name w:val="Table Colomn Title"/>
    <w:basedOn w:val="TableCell0"/>
    <w:pPr>
      <w:widowControl/>
      <w:spacing w:before="120" w:after="0"/>
    </w:pPr>
    <w:rPr>
      <w:b/>
    </w:rPr>
  </w:style>
  <w:style w:type="paragraph" w:customStyle="1" w:styleId="TableRowTitle">
    <w:name w:val="Table Row Title"/>
    <w:basedOn w:val="Normal"/>
    <w:pPr>
      <w:spacing w:before="60" w:after="60"/>
    </w:pPr>
    <w:rPr>
      <w:rFonts w:eastAsia="Times New Roman"/>
      <w:b/>
      <w:sz w:val="22"/>
      <w:szCs w:val="20"/>
    </w:rPr>
  </w:style>
  <w:style w:type="paragraph" w:customStyle="1" w:styleId="Normalcach">
    <w:name w:val="Normal caché"/>
    <w:basedOn w:val="Normal"/>
    <w:pPr>
      <w:spacing w:before="60" w:after="60"/>
    </w:pPr>
    <w:rPr>
      <w:rFonts w:eastAsia="Times New Roman"/>
      <w:vanish/>
      <w:sz w:val="22"/>
      <w:szCs w:val="20"/>
    </w:rPr>
  </w:style>
  <w:style w:type="paragraph" w:customStyle="1" w:styleId="FRSAbstract">
    <w:name w:val="FRS Abstract"/>
    <w:basedOn w:val="FRSDescription"/>
    <w:next w:val="FRSDescription"/>
    <w:rPr>
      <w:vanish/>
    </w:rPr>
  </w:style>
  <w:style w:type="paragraph" w:customStyle="1" w:styleId="FRSDescription">
    <w:name w:val="FRS Description"/>
    <w:basedOn w:val="Normal"/>
    <w:next w:val="Normal"/>
    <w:pPr>
      <w:spacing w:before="60" w:after="60"/>
      <w:ind w:left="1418" w:hanging="1418"/>
    </w:pPr>
    <w:rPr>
      <w:rFonts w:eastAsia="Times New Roman"/>
      <w:sz w:val="22"/>
      <w:szCs w:val="20"/>
    </w:rPr>
  </w:style>
  <w:style w:type="paragraph" w:customStyle="1" w:styleId="Code">
    <w:name w:val="Code"/>
    <w:basedOn w:val="Normal"/>
    <w:pPr>
      <w:tabs>
        <w:tab w:val="left" w:pos="426"/>
        <w:tab w:val="left" w:pos="851"/>
        <w:tab w:val="left" w:pos="1276"/>
        <w:tab w:val="left" w:pos="1701"/>
        <w:tab w:val="left" w:pos="2127"/>
        <w:tab w:val="left" w:pos="2410"/>
        <w:tab w:val="left" w:pos="2835"/>
      </w:tabs>
      <w:spacing w:before="60" w:after="60"/>
      <w:ind w:left="340"/>
    </w:pPr>
    <w:rPr>
      <w:rFonts w:ascii="Courier New" w:eastAsia="Times New Roman" w:hAnsi="Courier New"/>
      <w:noProof/>
      <w:sz w:val="18"/>
      <w:szCs w:val="20"/>
    </w:rPr>
  </w:style>
  <w:style w:type="paragraph" w:customStyle="1" w:styleId="indent3">
    <w:name w:val="indent 3"/>
    <w:basedOn w:val="indent2"/>
    <w:pPr>
      <w:keepLines w:val="0"/>
      <w:tabs>
        <w:tab w:val="left" w:pos="5954"/>
      </w:tabs>
      <w:spacing w:before="60" w:after="60"/>
      <w:ind w:left="1276" w:hanging="425"/>
      <w:jc w:val="both"/>
    </w:pPr>
    <w:rPr>
      <w:sz w:val="22"/>
    </w:rPr>
  </w:style>
  <w:style w:type="paragraph" w:customStyle="1" w:styleId="FRSReference">
    <w:name w:val="FRS Reference"/>
    <w:basedOn w:val="Normal"/>
    <w:next w:val="FRSAbstract"/>
    <w:pPr>
      <w:tabs>
        <w:tab w:val="left" w:pos="4111"/>
        <w:tab w:val="left" w:pos="6237"/>
      </w:tabs>
      <w:spacing w:before="60" w:after="60"/>
      <w:ind w:left="1418" w:hanging="1418"/>
    </w:pPr>
    <w:rPr>
      <w:rFonts w:eastAsia="Times New Roman"/>
      <w:sz w:val="22"/>
      <w:szCs w:val="20"/>
    </w:rPr>
  </w:style>
  <w:style w:type="paragraph" w:customStyle="1" w:styleId="normalbold14">
    <w:name w:val="normalbold14"/>
    <w:basedOn w:val="Normal"/>
    <w:pPr>
      <w:keepNext/>
      <w:tabs>
        <w:tab w:val="left" w:pos="1134"/>
        <w:tab w:val="left" w:pos="1701"/>
        <w:tab w:val="left" w:pos="2268"/>
      </w:tabs>
      <w:spacing w:before="240" w:after="60"/>
      <w:ind w:left="1134" w:hanging="1134"/>
    </w:pPr>
    <w:rPr>
      <w:rFonts w:eastAsia="Times New Roman"/>
      <w:b/>
      <w:sz w:val="28"/>
      <w:szCs w:val="20"/>
    </w:rPr>
  </w:style>
  <w:style w:type="paragraph" w:customStyle="1" w:styleId="NormalBold">
    <w:name w:val="NormalBold"/>
    <w:basedOn w:val="Normal"/>
    <w:pPr>
      <w:keepNext/>
      <w:tabs>
        <w:tab w:val="left" w:pos="1134"/>
        <w:tab w:val="left" w:pos="1701"/>
        <w:tab w:val="left" w:pos="2268"/>
      </w:tabs>
      <w:spacing w:before="240" w:after="60"/>
      <w:ind w:left="567"/>
    </w:pPr>
    <w:rPr>
      <w:rFonts w:eastAsia="Times New Roman"/>
      <w:b/>
      <w:sz w:val="22"/>
      <w:szCs w:val="20"/>
    </w:rPr>
  </w:style>
  <w:style w:type="paragraph" w:customStyle="1" w:styleId="NormalIndent1">
    <w:name w:val="Normal Indent 1"/>
    <w:basedOn w:val="Normal"/>
    <w:pPr>
      <w:spacing w:before="60" w:after="60"/>
      <w:ind w:left="284"/>
      <w:jc w:val="left"/>
    </w:pPr>
    <w:rPr>
      <w:rFonts w:eastAsia="Times New Roman"/>
      <w:sz w:val="22"/>
      <w:szCs w:val="20"/>
    </w:rPr>
  </w:style>
  <w:style w:type="paragraph" w:customStyle="1" w:styleId="Normalar">
    <w:name w:val="Normal_aéré"/>
    <w:basedOn w:val="Normal"/>
    <w:pPr>
      <w:spacing w:before="60"/>
    </w:pPr>
    <w:rPr>
      <w:rFonts w:eastAsia="Times New Roman"/>
      <w:sz w:val="22"/>
      <w:szCs w:val="20"/>
    </w:rPr>
  </w:style>
  <w:style w:type="paragraph" w:customStyle="1" w:styleId="indent10">
    <w:name w:val="indent1"/>
    <w:basedOn w:val="Normal"/>
    <w:pPr>
      <w:spacing w:before="72" w:after="60"/>
      <w:ind w:left="851" w:right="-2" w:hanging="284"/>
    </w:pPr>
    <w:rPr>
      <w:rFonts w:eastAsia="Times New Roman"/>
      <w:sz w:val="22"/>
      <w:szCs w:val="20"/>
    </w:rPr>
  </w:style>
  <w:style w:type="paragraph" w:customStyle="1" w:styleId="TitTabl1">
    <w:name w:val="Tit Tabl1"/>
    <w:basedOn w:val="Normal"/>
    <w:pPr>
      <w:keepNext/>
      <w:keepLines/>
      <w:spacing w:before="40" w:after="40" w:line="240" w:lineRule="exact"/>
      <w:jc w:val="center"/>
    </w:pPr>
    <w:rPr>
      <w:rFonts w:ascii="Arial" w:eastAsia="Times New Roman" w:hAnsi="Arial"/>
      <w:b/>
      <w:caps/>
      <w:color w:val="000080"/>
      <w:sz w:val="18"/>
      <w:szCs w:val="20"/>
    </w:rPr>
  </w:style>
  <w:style w:type="paragraph" w:customStyle="1" w:styleId="HeadingTemplate">
    <w:name w:val="HeadingTemplate"/>
    <w:basedOn w:val="Normal"/>
    <w:pPr>
      <w:keepNext/>
      <w:keepLines/>
      <w:spacing w:before="60"/>
      <w:jc w:val="left"/>
    </w:pPr>
    <w:rPr>
      <w:rFonts w:ascii="Arial" w:eastAsia="Times New Roman" w:hAnsi="Arial"/>
      <w:b/>
      <w:i/>
      <w:smallCaps/>
      <w:sz w:val="22"/>
      <w:szCs w:val="20"/>
    </w:rPr>
  </w:style>
  <w:style w:type="paragraph" w:customStyle="1" w:styleId="Retrait">
    <w:name w:val="Retrait"/>
    <w:basedOn w:val="Normal"/>
    <w:pPr>
      <w:tabs>
        <w:tab w:val="left" w:pos="1985"/>
      </w:tabs>
      <w:spacing w:before="72" w:after="60"/>
      <w:ind w:left="611" w:right="-2" w:hanging="283"/>
    </w:pPr>
    <w:rPr>
      <w:rFonts w:eastAsia="Times New Roman"/>
      <w:sz w:val="22"/>
      <w:szCs w:val="20"/>
    </w:rPr>
  </w:style>
  <w:style w:type="paragraph" w:customStyle="1" w:styleId="P1">
    <w:name w:val="P1"/>
    <w:basedOn w:val="Normal"/>
    <w:pPr>
      <w:keepLines/>
      <w:spacing w:before="80" w:after="80"/>
    </w:pPr>
    <w:rPr>
      <w:rFonts w:eastAsia="Times New Roman"/>
      <w:sz w:val="22"/>
      <w:szCs w:val="20"/>
    </w:rPr>
  </w:style>
  <w:style w:type="paragraph" w:customStyle="1" w:styleId="indent14">
    <w:name w:val="indent 14"/>
    <w:basedOn w:val="Normal"/>
    <w:pPr>
      <w:spacing w:before="0" w:after="60"/>
      <w:ind w:left="426" w:hanging="426"/>
    </w:pPr>
    <w:rPr>
      <w:rFonts w:eastAsia="Times New Roman"/>
      <w:sz w:val="22"/>
      <w:szCs w:val="20"/>
    </w:rPr>
  </w:style>
  <w:style w:type="paragraph" w:customStyle="1" w:styleId="entte">
    <w:name w:val="en tête"/>
    <w:basedOn w:val="Normal"/>
    <w:pPr>
      <w:tabs>
        <w:tab w:val="left" w:pos="5380"/>
        <w:tab w:val="left" w:pos="6280"/>
      </w:tabs>
      <w:spacing w:before="0" w:after="60"/>
      <w:ind w:right="-582"/>
    </w:pPr>
    <w:rPr>
      <w:rFonts w:ascii="Times" w:eastAsia="Times New Roman" w:hAnsi="Times"/>
      <w:sz w:val="20"/>
      <w:szCs w:val="20"/>
    </w:rPr>
  </w:style>
  <w:style w:type="character" w:customStyle="1" w:styleId="Normalit">
    <w:name w:val="Normal it"/>
  </w:style>
  <w:style w:type="paragraph" w:customStyle="1" w:styleId="case">
    <w:name w:val="case"/>
    <w:basedOn w:val="Normal"/>
    <w:pPr>
      <w:tabs>
        <w:tab w:val="left" w:pos="5120"/>
        <w:tab w:val="right" w:pos="9200"/>
      </w:tabs>
      <w:spacing w:before="0" w:after="60"/>
      <w:ind w:right="55"/>
      <w:jc w:val="center"/>
    </w:pPr>
    <w:rPr>
      <w:rFonts w:ascii="Times" w:eastAsia="Times New Roman" w:hAnsi="Times"/>
      <w:noProof/>
      <w:sz w:val="20"/>
      <w:szCs w:val="20"/>
    </w:rPr>
  </w:style>
  <w:style w:type="paragraph" w:customStyle="1" w:styleId="casetitre">
    <w:name w:val="case titre"/>
    <w:basedOn w:val="Normal"/>
    <w:pPr>
      <w:tabs>
        <w:tab w:val="left" w:pos="5120"/>
        <w:tab w:val="right" w:pos="9200"/>
      </w:tabs>
      <w:spacing w:before="60" w:after="60"/>
      <w:ind w:right="55"/>
      <w:jc w:val="left"/>
    </w:pPr>
    <w:rPr>
      <w:rFonts w:ascii="Times" w:eastAsia="Times New Roman" w:hAnsi="Times"/>
      <w:b/>
      <w:noProof/>
      <w:sz w:val="20"/>
      <w:szCs w:val="20"/>
      <w:u w:val="single"/>
    </w:rPr>
  </w:style>
  <w:style w:type="paragraph" w:customStyle="1" w:styleId="indent15">
    <w:name w:val="indent 15"/>
    <w:basedOn w:val="Normal"/>
    <w:pPr>
      <w:spacing w:before="0" w:after="60"/>
      <w:ind w:left="426" w:hanging="426"/>
    </w:pPr>
    <w:rPr>
      <w:rFonts w:eastAsia="Times New Roman"/>
      <w:sz w:val="22"/>
      <w:szCs w:val="20"/>
    </w:rPr>
  </w:style>
  <w:style w:type="paragraph" w:customStyle="1" w:styleId="ident-1">
    <w:name w:val="ident-1"/>
    <w:basedOn w:val="indent15"/>
    <w:pPr>
      <w:ind w:left="2835" w:hanging="2835"/>
    </w:pPr>
  </w:style>
  <w:style w:type="paragraph" w:customStyle="1" w:styleId="figure1">
    <w:name w:val="figure1"/>
    <w:basedOn w:val="Sous-retrait"/>
    <w:pPr>
      <w:spacing w:after="120"/>
      <w:ind w:left="0" w:hanging="8"/>
      <w:jc w:val="center"/>
    </w:pPr>
    <w:rPr>
      <w:b/>
      <w:sz w:val="28"/>
    </w:rPr>
  </w:style>
  <w:style w:type="paragraph" w:customStyle="1" w:styleId="Sous-retrait">
    <w:name w:val="Sous-retrait"/>
    <w:basedOn w:val="Normal"/>
    <w:pPr>
      <w:tabs>
        <w:tab w:val="left" w:pos="4253"/>
        <w:tab w:val="left" w:pos="5671"/>
      </w:tabs>
      <w:spacing w:before="72" w:after="60"/>
      <w:ind w:left="840" w:hanging="227"/>
    </w:pPr>
    <w:rPr>
      <w:rFonts w:eastAsia="Times New Roman"/>
      <w:sz w:val="22"/>
      <w:szCs w:val="20"/>
    </w:rPr>
  </w:style>
  <w:style w:type="paragraph" w:customStyle="1" w:styleId="indent26">
    <w:name w:val="indent 26"/>
    <w:basedOn w:val="Normal"/>
    <w:pPr>
      <w:tabs>
        <w:tab w:val="left" w:pos="5954"/>
      </w:tabs>
      <w:spacing w:before="0" w:after="60"/>
      <w:ind w:left="851" w:hanging="425"/>
    </w:pPr>
    <w:rPr>
      <w:rFonts w:eastAsia="Times New Roman"/>
      <w:sz w:val="22"/>
      <w:szCs w:val="20"/>
    </w:rPr>
  </w:style>
  <w:style w:type="paragraph" w:customStyle="1" w:styleId="Puce2">
    <w:name w:val="Puce 2"/>
    <w:basedOn w:val="Normal"/>
    <w:pPr>
      <w:tabs>
        <w:tab w:val="num" w:pos="426"/>
        <w:tab w:val="num" w:pos="1134"/>
      </w:tabs>
      <w:spacing w:before="240" w:after="60"/>
      <w:ind w:left="426" w:hanging="567"/>
      <w:jc w:val="left"/>
    </w:pPr>
    <w:rPr>
      <w:rFonts w:ascii="Arial" w:eastAsia="Times New Roman" w:hAnsi="Arial"/>
      <w:sz w:val="22"/>
      <w:szCs w:val="20"/>
    </w:rPr>
  </w:style>
  <w:style w:type="paragraph" w:customStyle="1" w:styleId="ControlPageTable">
    <w:name w:val="ControlPageTable"/>
    <w:basedOn w:val="Normal"/>
    <w:pPr>
      <w:tabs>
        <w:tab w:val="left" w:pos="567"/>
      </w:tabs>
      <w:spacing w:before="0" w:after="60"/>
      <w:jc w:val="left"/>
    </w:pPr>
    <w:rPr>
      <w:rFonts w:ascii="Arial" w:eastAsia="Times New Roman" w:hAnsi="Arial"/>
      <w:sz w:val="22"/>
      <w:szCs w:val="20"/>
    </w:rPr>
  </w:style>
  <w:style w:type="paragraph" w:customStyle="1" w:styleId="titre">
    <w:name w:val="titre"/>
    <w:basedOn w:val="Normal"/>
    <w:pPr>
      <w:spacing w:before="0"/>
      <w:ind w:right="284"/>
    </w:pPr>
    <w:rPr>
      <w:rFonts w:ascii="CG Times (W1)" w:eastAsia="Times New Roman" w:hAnsi="CG Times (W1)"/>
      <w:i/>
      <w:sz w:val="22"/>
      <w:szCs w:val="20"/>
    </w:rPr>
  </w:style>
  <w:style w:type="paragraph" w:customStyle="1" w:styleId="Normalgras">
    <w:name w:val="Normal gras"/>
    <w:basedOn w:val="Normal"/>
    <w:pPr>
      <w:spacing w:before="60" w:after="60"/>
    </w:pPr>
    <w:rPr>
      <w:rFonts w:ascii="CG Times (W1)" w:eastAsia="Times New Roman" w:hAnsi="CG Times (W1)"/>
      <w:b/>
      <w:sz w:val="22"/>
      <w:szCs w:val="20"/>
    </w:rPr>
  </w:style>
  <w:style w:type="paragraph" w:customStyle="1" w:styleId="ListBullet11">
    <w:name w:val="List Bullet 1.1"/>
    <w:basedOn w:val="Normal"/>
    <w:pPr>
      <w:keepLines/>
      <w:tabs>
        <w:tab w:val="num" w:pos="720"/>
      </w:tabs>
      <w:spacing w:before="60" w:after="60"/>
      <w:ind w:left="720" w:hanging="720"/>
    </w:pPr>
    <w:rPr>
      <w:rFonts w:eastAsia="Times New Roman"/>
      <w:sz w:val="22"/>
      <w:szCs w:val="20"/>
    </w:rPr>
  </w:style>
  <w:style w:type="paragraph" w:customStyle="1" w:styleId="Heading4Heading4CFMUPara4h41">
    <w:name w:val="Heading 4.Heading 4 CFMU.Para 4.h41"/>
    <w:basedOn w:val="Normal"/>
    <w:pPr>
      <w:spacing w:before="60" w:after="60"/>
    </w:pPr>
    <w:rPr>
      <w:rFonts w:eastAsia="Times New Roman"/>
      <w:sz w:val="22"/>
      <w:szCs w:val="20"/>
    </w:rPr>
  </w:style>
  <w:style w:type="paragraph" w:customStyle="1" w:styleId="HistoryLine1">
    <w:name w:val="History Line 1"/>
    <w:basedOn w:val="Normal"/>
    <w:next w:val="Normal"/>
    <w:pPr>
      <w:keepNext/>
      <w:keepLines/>
      <w:spacing w:before="60" w:after="60"/>
      <w:jc w:val="left"/>
    </w:pPr>
    <w:rPr>
      <w:rFonts w:ascii="Century Gothic" w:eastAsia="Times New Roman" w:hAnsi="Century Gothic"/>
      <w:b/>
      <w:i/>
      <w:caps/>
      <w:sz w:val="18"/>
      <w:szCs w:val="20"/>
    </w:rPr>
  </w:style>
  <w:style w:type="paragraph" w:customStyle="1" w:styleId="HistoryLine2">
    <w:name w:val="History Line 2"/>
    <w:basedOn w:val="HistoryLine1"/>
    <w:next w:val="Normal"/>
    <w:pPr>
      <w:spacing w:after="20"/>
    </w:pPr>
    <w:rPr>
      <w:b w:val="0"/>
      <w:caps w:val="0"/>
    </w:rPr>
  </w:style>
  <w:style w:type="paragraph" w:customStyle="1" w:styleId="HistoryLinen">
    <w:name w:val="History Line n"/>
    <w:basedOn w:val="HistoryLine2"/>
    <w:pPr>
      <w:spacing w:before="20"/>
    </w:pPr>
  </w:style>
  <w:style w:type="paragraph" w:customStyle="1" w:styleId="TextTableLeft">
    <w:name w:val="Text Table Left"/>
    <w:basedOn w:val="Normal"/>
    <w:pPr>
      <w:keepLines/>
      <w:spacing w:before="40" w:after="40"/>
      <w:jc w:val="left"/>
    </w:pPr>
    <w:rPr>
      <w:rFonts w:ascii="Arial" w:eastAsia="Times New Roman" w:hAnsi="Arial"/>
      <w:sz w:val="18"/>
      <w:szCs w:val="20"/>
    </w:rPr>
  </w:style>
  <w:style w:type="paragraph" w:customStyle="1" w:styleId="xl22">
    <w:name w:val="xl22"/>
    <w:basedOn w:val="Normal"/>
    <w:pPr>
      <w:pBdr>
        <w:left w:val="single" w:sz="4" w:space="0" w:color="000000"/>
      </w:pBdr>
      <w:spacing w:before="100" w:beforeAutospacing="1" w:after="100" w:afterAutospacing="1"/>
      <w:jc w:val="left"/>
    </w:pPr>
    <w:rPr>
      <w:rFonts w:ascii="Arial Unicode MS" w:eastAsia="Arial Unicode MS" w:hAnsi="Arial Unicode MS" w:cs="Arial Unicode MS"/>
      <w:sz w:val="22"/>
      <w:szCs w:val="24"/>
    </w:rPr>
  </w:style>
  <w:style w:type="paragraph" w:customStyle="1" w:styleId="xl23">
    <w:name w:val="xl23"/>
    <w:basedOn w:val="Normal"/>
    <w:pPr>
      <w:spacing w:before="100" w:beforeAutospacing="1" w:after="100" w:afterAutospacing="1"/>
      <w:jc w:val="left"/>
    </w:pPr>
    <w:rPr>
      <w:rFonts w:ascii="Arial Unicode MS" w:eastAsia="Arial Unicode MS" w:hAnsi="Arial Unicode MS" w:cs="Arial Unicode MS"/>
      <w:sz w:val="22"/>
      <w:szCs w:val="24"/>
    </w:rPr>
  </w:style>
  <w:style w:type="paragraph" w:customStyle="1" w:styleId="xl24">
    <w:name w:val="xl24"/>
    <w:basedOn w:val="Normal"/>
    <w:pPr>
      <w:spacing w:before="100" w:beforeAutospacing="1" w:after="100" w:afterAutospacing="1"/>
      <w:jc w:val="left"/>
    </w:pPr>
    <w:rPr>
      <w:rFonts w:ascii="Arial Unicode MS" w:eastAsia="Arial Unicode MS" w:hAnsi="Arial Unicode MS" w:cs="Arial Unicode MS"/>
      <w:sz w:val="22"/>
      <w:szCs w:val="24"/>
    </w:rPr>
  </w:style>
  <w:style w:type="paragraph" w:customStyle="1" w:styleId="xl25">
    <w:name w:val="xl25"/>
    <w:basedOn w:val="Normal"/>
    <w:pPr>
      <w:pBdr>
        <w:left w:val="single" w:sz="4" w:space="0" w:color="000000"/>
      </w:pBdr>
      <w:spacing w:before="100" w:beforeAutospacing="1" w:after="100" w:afterAutospacing="1"/>
      <w:jc w:val="left"/>
    </w:pPr>
    <w:rPr>
      <w:rFonts w:ascii="Arial Unicode MS" w:eastAsia="Arial Unicode MS" w:hAnsi="Arial Unicode MS" w:cs="Arial Unicode MS"/>
      <w:sz w:val="22"/>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16"/>
      <w:szCs w:val="16"/>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sz w:val="16"/>
      <w:szCs w:val="16"/>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center"/>
      <w:textAlignment w:val="center"/>
    </w:pPr>
    <w:rPr>
      <w:rFonts w:ascii="Arial" w:eastAsia="Arial Unicode MS" w:hAnsi="Arial" w:cs="Arial"/>
      <w:sz w:val="16"/>
      <w:szCs w:val="16"/>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32">
    <w:name w:val="xl32"/>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33">
    <w:name w:val="xl33"/>
    <w:basedOn w:val="Normal"/>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34">
    <w:name w:val="xl34"/>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35">
    <w:name w:val="xl35"/>
    <w:basedOn w:val="Normal"/>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Arial Unicode MS" w:hAnsi="Arial" w:cs="Arial"/>
      <w:sz w:val="16"/>
      <w:szCs w:val="16"/>
    </w:rPr>
  </w:style>
  <w:style w:type="paragraph" w:customStyle="1" w:styleId="xl36">
    <w:name w:val="xl36"/>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37">
    <w:name w:val="xl37"/>
    <w:basedOn w:val="Normal"/>
    <w:pPr>
      <w:pBdr>
        <w:top w:val="single" w:sz="4" w:space="0" w:color="auto"/>
        <w:left w:val="single" w:sz="4" w:space="0" w:color="auto"/>
        <w:right w:val="single" w:sz="4" w:space="0" w:color="auto"/>
      </w:pBdr>
      <w:shd w:val="clear" w:color="auto" w:fill="33CCCC"/>
      <w:spacing w:before="100" w:beforeAutospacing="1" w:after="100" w:afterAutospacing="1"/>
      <w:jc w:val="center"/>
      <w:textAlignment w:val="center"/>
    </w:pPr>
    <w:rPr>
      <w:rFonts w:ascii="Arial" w:eastAsia="Arial Unicode MS" w:hAnsi="Arial" w:cs="Arial"/>
      <w:sz w:val="16"/>
      <w:szCs w:val="16"/>
    </w:rPr>
  </w:style>
  <w:style w:type="paragraph" w:customStyle="1" w:styleId="xl38">
    <w:name w:val="xl38"/>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39">
    <w:name w:val="xl39"/>
    <w:basedOn w:val="Normal"/>
    <w:pPr>
      <w:pBdr>
        <w:left w:val="single" w:sz="4" w:space="0" w:color="auto"/>
        <w:right w:val="single" w:sz="4" w:space="0" w:color="auto"/>
      </w:pBdr>
      <w:spacing w:before="100" w:beforeAutospacing="1" w:after="100" w:afterAutospacing="1"/>
      <w:jc w:val="left"/>
      <w:textAlignment w:val="center"/>
    </w:pPr>
    <w:rPr>
      <w:rFonts w:ascii="Arial" w:eastAsia="Arial Unicode MS" w:hAnsi="Arial" w:cs="Arial"/>
      <w:sz w:val="16"/>
      <w:szCs w:val="16"/>
    </w:rPr>
  </w:style>
  <w:style w:type="paragraph" w:customStyle="1" w:styleId="xl40">
    <w:name w:val="xl40"/>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1">
    <w:name w:val="xl41"/>
    <w:basedOn w:val="Normal"/>
    <w:pPr>
      <w:pBdr>
        <w:left w:val="single" w:sz="4" w:space="0" w:color="auto"/>
        <w:right w:val="single" w:sz="4" w:space="0" w:color="auto"/>
      </w:pBdr>
      <w:shd w:val="clear" w:color="auto" w:fill="33CCCC"/>
      <w:spacing w:before="100" w:beforeAutospacing="1" w:after="100" w:afterAutospacing="1"/>
      <w:jc w:val="center"/>
      <w:textAlignment w:val="center"/>
    </w:pPr>
    <w:rPr>
      <w:rFonts w:ascii="Arial" w:eastAsia="Arial Unicode MS" w:hAnsi="Arial" w:cs="Arial"/>
      <w:sz w:val="16"/>
      <w:szCs w:val="16"/>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16"/>
      <w:szCs w:val="16"/>
    </w:rPr>
  </w:style>
  <w:style w:type="paragraph" w:customStyle="1" w:styleId="xl44">
    <w:name w:val="xl44"/>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5">
    <w:name w:val="xl45"/>
    <w:basedOn w:val="Normal"/>
    <w:pPr>
      <w:pBdr>
        <w:left w:val="single" w:sz="4" w:space="0" w:color="auto"/>
        <w:bottom w:val="single" w:sz="4" w:space="0" w:color="auto"/>
        <w:right w:val="single" w:sz="4" w:space="0" w:color="auto"/>
      </w:pBdr>
      <w:shd w:val="clear" w:color="auto" w:fill="33CCCC"/>
      <w:spacing w:before="100" w:beforeAutospacing="1" w:after="100" w:afterAutospacing="1"/>
      <w:jc w:val="center"/>
      <w:textAlignment w:val="center"/>
    </w:pPr>
    <w:rPr>
      <w:rFonts w:ascii="Arial" w:eastAsia="Arial Unicode MS" w:hAnsi="Arial" w:cs="Arial"/>
      <w:sz w:val="16"/>
      <w:szCs w:val="16"/>
    </w:rPr>
  </w:style>
  <w:style w:type="paragraph" w:customStyle="1" w:styleId="xl46">
    <w:name w:val="xl46"/>
    <w:basedOn w:val="Normal"/>
    <w:pPr>
      <w:pBdr>
        <w:top w:val="single" w:sz="4" w:space="0" w:color="auto"/>
        <w:left w:val="single" w:sz="4" w:space="0" w:color="auto"/>
        <w:bottom w:val="single" w:sz="4" w:space="0" w:color="auto"/>
      </w:pBdr>
      <w:shd w:val="clear" w:color="auto" w:fill="E6E6E6"/>
      <w:spacing w:before="100" w:beforeAutospacing="1" w:after="100" w:afterAutospacing="1"/>
      <w:jc w:val="left"/>
      <w:textAlignment w:val="center"/>
    </w:pPr>
    <w:rPr>
      <w:rFonts w:ascii="Arial" w:eastAsia="Arial Unicode MS" w:hAnsi="Arial" w:cs="Arial"/>
      <w:sz w:val="16"/>
      <w:szCs w:val="16"/>
    </w:rPr>
  </w:style>
  <w:style w:type="paragraph" w:customStyle="1" w:styleId="xl47">
    <w:name w:val="xl47"/>
    <w:basedOn w:val="Normal"/>
    <w:pPr>
      <w:pBdr>
        <w:top w:val="single" w:sz="4" w:space="0" w:color="auto"/>
        <w:bottom w:val="single" w:sz="4" w:space="0" w:color="auto"/>
      </w:pBdr>
      <w:shd w:val="clear" w:color="auto" w:fill="E6E6E6"/>
      <w:spacing w:before="100" w:beforeAutospacing="1" w:after="100" w:afterAutospacing="1"/>
      <w:jc w:val="left"/>
      <w:textAlignment w:val="center"/>
    </w:pPr>
    <w:rPr>
      <w:rFonts w:ascii="Arial" w:eastAsia="Arial Unicode MS" w:hAnsi="Arial" w:cs="Arial"/>
      <w:sz w:val="16"/>
      <w:szCs w:val="16"/>
    </w:rPr>
  </w:style>
  <w:style w:type="paragraph" w:customStyle="1" w:styleId="xl48">
    <w:name w:val="xl48"/>
    <w:basedOn w:val="Normal"/>
    <w:pPr>
      <w:pBdr>
        <w:top w:val="single" w:sz="4" w:space="0" w:color="auto"/>
        <w:bottom w:val="single" w:sz="4" w:space="0" w:color="auto"/>
        <w:right w:val="single" w:sz="4" w:space="0" w:color="auto"/>
      </w:pBdr>
      <w:shd w:val="clear" w:color="auto" w:fill="E6E6E6"/>
      <w:spacing w:before="100" w:beforeAutospacing="1" w:after="100" w:afterAutospacing="1"/>
      <w:jc w:val="left"/>
      <w:textAlignment w:val="center"/>
    </w:pPr>
    <w:rPr>
      <w:rFonts w:ascii="Arial" w:eastAsia="Arial Unicode MS" w:hAnsi="Arial" w:cs="Arial"/>
      <w:sz w:val="16"/>
      <w:szCs w:val="16"/>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eastAsia="Arial Unicode MS" w:hAnsi="Arial" w:cs="Arial"/>
      <w:sz w:val="16"/>
      <w:szCs w:val="16"/>
    </w:rPr>
  </w:style>
  <w:style w:type="paragraph" w:customStyle="1" w:styleId="xl50">
    <w:name w:val="xl50"/>
    <w:basedOn w:val="Normal"/>
    <w:pPr>
      <w:pBdr>
        <w:top w:val="single" w:sz="4" w:space="0" w:color="auto"/>
        <w:left w:val="single" w:sz="4" w:space="0" w:color="auto"/>
        <w:right w:val="single" w:sz="4" w:space="0" w:color="auto"/>
      </w:pBdr>
      <w:shd w:val="clear" w:color="auto" w:fill="3DEB3D"/>
      <w:spacing w:before="100" w:beforeAutospacing="1" w:after="100" w:afterAutospacing="1"/>
      <w:jc w:val="center"/>
      <w:textAlignment w:val="center"/>
    </w:pPr>
    <w:rPr>
      <w:rFonts w:ascii="Arial" w:eastAsia="Arial Unicode MS" w:hAnsi="Arial" w:cs="Arial"/>
      <w:sz w:val="16"/>
      <w:szCs w:val="16"/>
    </w:rPr>
  </w:style>
  <w:style w:type="paragraph" w:customStyle="1" w:styleId="xl51">
    <w:name w:val="xl51"/>
    <w:basedOn w:val="Normal"/>
    <w:pPr>
      <w:pBdr>
        <w:left w:val="single" w:sz="4" w:space="0" w:color="auto"/>
        <w:bottom w:val="single" w:sz="4" w:space="0" w:color="auto"/>
        <w:right w:val="single" w:sz="4" w:space="0" w:color="auto"/>
      </w:pBdr>
      <w:shd w:val="clear" w:color="auto" w:fill="3DEB3D"/>
      <w:spacing w:before="100" w:beforeAutospacing="1" w:after="100" w:afterAutospacing="1"/>
      <w:jc w:val="center"/>
      <w:textAlignment w:val="center"/>
    </w:pPr>
    <w:rPr>
      <w:rFonts w:ascii="Arial" w:eastAsia="Arial Unicode MS" w:hAnsi="Arial" w:cs="Arial"/>
      <w:sz w:val="16"/>
      <w:szCs w:val="16"/>
    </w:rPr>
  </w:style>
  <w:style w:type="paragraph" w:customStyle="1" w:styleId="xl52">
    <w:name w:val="xl52"/>
    <w:basedOn w:val="Normal"/>
    <w:pPr>
      <w:pBdr>
        <w:left w:val="single" w:sz="4" w:space="0" w:color="auto"/>
        <w:right w:val="single" w:sz="4" w:space="0" w:color="auto"/>
      </w:pBdr>
      <w:shd w:val="clear" w:color="auto" w:fill="3DEB3D"/>
      <w:spacing w:before="100" w:beforeAutospacing="1" w:after="100" w:afterAutospacing="1"/>
      <w:jc w:val="center"/>
      <w:textAlignment w:val="center"/>
    </w:pPr>
    <w:rPr>
      <w:rFonts w:ascii="Arial" w:eastAsia="Arial Unicode MS" w:hAnsi="Arial" w:cs="Arial"/>
      <w:sz w:val="16"/>
      <w:szCs w:val="16"/>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hd w:val="clear" w:color="auto" w:fill="3DEB3D"/>
      <w:spacing w:before="100" w:beforeAutospacing="1" w:after="100" w:afterAutospacing="1"/>
      <w:jc w:val="center"/>
      <w:textAlignment w:val="center"/>
    </w:pPr>
    <w:rPr>
      <w:rFonts w:ascii="Arial" w:eastAsia="Arial Unicode MS" w:hAnsi="Arial" w:cs="Arial"/>
      <w:sz w:val="16"/>
      <w:szCs w:val="16"/>
    </w:rPr>
  </w:style>
  <w:style w:type="paragraph" w:customStyle="1" w:styleId="xl54">
    <w:name w:val="xl54"/>
    <w:basedOn w:val="Normal"/>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sz w:val="16"/>
      <w:szCs w:val="16"/>
    </w:rPr>
  </w:style>
  <w:style w:type="paragraph" w:customStyle="1" w:styleId="xl55">
    <w:name w:val="xl5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6">
    <w:name w:val="xl56"/>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base0">
    <w:name w:val="base"/>
    <w:basedOn w:val="Normal"/>
    <w:pPr>
      <w:spacing w:before="100" w:beforeAutospacing="1" w:after="100" w:afterAutospacing="1"/>
      <w:jc w:val="left"/>
    </w:pPr>
    <w:rPr>
      <w:rFonts w:ascii="Arial Unicode MS" w:eastAsia="Arial Unicode MS" w:hAnsi="Arial Unicode MS" w:cs="Arial Unicode MS"/>
      <w:sz w:val="22"/>
      <w:szCs w:val="24"/>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 w:val="22"/>
      <w:szCs w:val="24"/>
    </w:rPr>
  </w:style>
  <w:style w:type="character" w:styleId="Strong">
    <w:name w:val="Strong"/>
    <w:qFormat/>
    <w:rPr>
      <w:b/>
      <w:bCs/>
    </w:rPr>
  </w:style>
  <w:style w:type="paragraph" w:customStyle="1" w:styleId="Normal10">
    <w:name w:val="Normal1"/>
    <w:basedOn w:val="Normal"/>
    <w:pPr>
      <w:spacing w:before="0" w:after="60"/>
    </w:pPr>
    <w:rPr>
      <w:rFonts w:eastAsia="Times New Roman"/>
      <w:sz w:val="22"/>
      <w:szCs w:val="20"/>
    </w:rPr>
  </w:style>
  <w:style w:type="paragraph" w:styleId="z-TopofForm">
    <w:name w:val="HTML Top of Form"/>
    <w:basedOn w:val="Normal"/>
    <w:next w:val="Normal"/>
    <w:hidden/>
    <w:pPr>
      <w:pBdr>
        <w:bottom w:val="single" w:sz="6" w:space="1" w:color="auto"/>
      </w:pBdr>
      <w:spacing w:before="0" w:after="60"/>
      <w:jc w:val="center"/>
    </w:pPr>
    <w:rPr>
      <w:rFonts w:ascii="Arial" w:eastAsia="Arial Unicode MS" w:hAnsi="Arial" w:cs="Arial"/>
      <w:vanish/>
      <w:sz w:val="16"/>
      <w:szCs w:val="16"/>
    </w:rPr>
  </w:style>
  <w:style w:type="character" w:customStyle="1" w:styleId="z-TopofFormChar">
    <w:name w:val="z-Top of Form Char"/>
    <w:basedOn w:val="DefaultParagraphFont"/>
    <w:rPr>
      <w:rFonts w:ascii="Arial" w:eastAsia="Arial Unicode MS" w:hAnsi="Arial" w:cs="Arial"/>
      <w:vanish/>
      <w:sz w:val="16"/>
      <w:szCs w:val="16"/>
      <w:lang w:val="sl-SI"/>
    </w:rPr>
  </w:style>
  <w:style w:type="paragraph" w:customStyle="1" w:styleId="xl58">
    <w:name w:val="xl58"/>
    <w:basedOn w:val="Normal"/>
    <w:pPr>
      <w:pBdr>
        <w:left w:val="single" w:sz="4" w:space="0" w:color="000000"/>
        <w:right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59">
    <w:name w:val="xl59"/>
    <w:basedOn w:val="Normal"/>
    <w:pPr>
      <w:shd w:val="clear" w:color="auto" w:fill="33CCCC"/>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60">
    <w:name w:val="xl60"/>
    <w:basedOn w:val="Normal"/>
    <w:pPr>
      <w:pBdr>
        <w:left w:val="single" w:sz="4" w:space="0" w:color="000000"/>
        <w:right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61">
    <w:name w:val="xl61"/>
    <w:basedOn w:val="Normal"/>
    <w:pPr>
      <w:pBdr>
        <w:left w:val="single" w:sz="4" w:space="0" w:color="000000"/>
        <w:right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62">
    <w:name w:val="xl62"/>
    <w:basedOn w:val="Normal"/>
    <w:pPr>
      <w:pBdr>
        <w:bottom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63">
    <w:name w:val="xl63"/>
    <w:basedOn w:val="Normal"/>
    <w:pPr>
      <w:pBdr>
        <w:left w:val="single" w:sz="4" w:space="0" w:color="000000"/>
        <w:bottom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64">
    <w:name w:val="xl64"/>
    <w:basedOn w:val="Normal"/>
    <w:pPr>
      <w:pBdr>
        <w:left w:val="single" w:sz="4" w:space="0" w:color="000000"/>
        <w:bottom w:val="single" w:sz="4" w:space="0" w:color="000000"/>
        <w:right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65">
    <w:name w:val="xl65"/>
    <w:basedOn w:val="Normal"/>
    <w:pPr>
      <w:pBdr>
        <w:bottom w:val="single" w:sz="4" w:space="0" w:color="000000"/>
      </w:pBdr>
      <w:shd w:val="clear" w:color="auto" w:fill="33CCCC"/>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66">
    <w:name w:val="xl66"/>
    <w:basedOn w:val="Normal"/>
    <w:pPr>
      <w:pBdr>
        <w:left w:val="single" w:sz="4" w:space="0" w:color="000000"/>
        <w:bottom w:val="single" w:sz="4" w:space="0" w:color="000000"/>
        <w:right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67">
    <w:name w:val="xl67"/>
    <w:basedOn w:val="Normal"/>
    <w:pPr>
      <w:pBdr>
        <w:left w:val="single" w:sz="4" w:space="0" w:color="000000"/>
        <w:bottom w:val="single" w:sz="4" w:space="0" w:color="000000"/>
        <w:right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68">
    <w:name w:val="xl68"/>
    <w:basedOn w:val="Normal"/>
    <w:pPr>
      <w:pBdr>
        <w:top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69">
    <w:name w:val="xl69"/>
    <w:basedOn w:val="Normal"/>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71">
    <w:name w:val="xl71"/>
    <w:basedOn w:val="Normal"/>
    <w:pPr>
      <w:pBdr>
        <w:top w:val="single" w:sz="4" w:space="0" w:color="000000"/>
        <w:bottom w:val="single" w:sz="4" w:space="0" w:color="000000"/>
      </w:pBdr>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73">
    <w:name w:val="xl73"/>
    <w:basedOn w:val="Normal"/>
    <w:pPr>
      <w:pBdr>
        <w:top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74">
    <w:name w:val="xl74"/>
    <w:basedOn w:val="Normal"/>
    <w:pPr>
      <w:pBdr>
        <w:top w:val="single" w:sz="4" w:space="0" w:color="000000"/>
        <w:bottom w:val="single" w:sz="4" w:space="0" w:color="000000"/>
      </w:pBdr>
      <w:shd w:val="clear" w:color="auto" w:fill="33CCCC"/>
      <w:spacing w:before="100" w:beforeAutospacing="1" w:after="100" w:afterAutospacing="1"/>
      <w:jc w:val="center"/>
      <w:textAlignment w:val="center"/>
    </w:pPr>
    <w:rPr>
      <w:rFonts w:ascii="Arial" w:eastAsia="Arial Unicode MS" w:hAnsi="Arial" w:cs="Arial"/>
      <w:sz w:val="18"/>
      <w:szCs w:val="18"/>
    </w:rPr>
  </w:style>
  <w:style w:type="paragraph" w:customStyle="1" w:styleId="xl75">
    <w:name w:val="xl75"/>
    <w:basedOn w:val="Normal"/>
    <w:pPr>
      <w:pBdr>
        <w:top w:val="single" w:sz="4" w:space="0" w:color="000000"/>
        <w:left w:val="single" w:sz="4" w:space="0" w:color="000000"/>
        <w:bottom w:val="single" w:sz="4" w:space="0" w:color="000000"/>
      </w:pBdr>
      <w:shd w:val="clear" w:color="auto" w:fill="33CCCC"/>
      <w:spacing w:before="100" w:beforeAutospacing="1" w:after="100" w:afterAutospacing="1"/>
      <w:jc w:val="center"/>
      <w:textAlignment w:val="center"/>
    </w:pPr>
    <w:rPr>
      <w:rFonts w:ascii="Arial" w:eastAsia="Arial Unicode MS" w:hAnsi="Arial" w:cs="Arial"/>
      <w:sz w:val="18"/>
      <w:szCs w:val="18"/>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hd w:val="clear" w:color="auto" w:fill="33CCCC"/>
      <w:spacing w:before="100" w:beforeAutospacing="1" w:after="100" w:afterAutospacing="1"/>
      <w:jc w:val="center"/>
      <w:textAlignment w:val="center"/>
    </w:pPr>
    <w:rPr>
      <w:rFonts w:ascii="Arial" w:eastAsia="Arial Unicode MS" w:hAnsi="Arial" w:cs="Arial"/>
      <w:sz w:val="18"/>
      <w:szCs w:val="18"/>
    </w:rPr>
  </w:style>
  <w:style w:type="paragraph" w:customStyle="1" w:styleId="xl77">
    <w:name w:val="xl77"/>
    <w:basedOn w:val="Normal"/>
    <w:pPr>
      <w:pBdr>
        <w:top w:val="single" w:sz="4" w:space="0" w:color="000000"/>
        <w:bottom w:val="single" w:sz="4" w:space="0" w:color="000000"/>
      </w:pBdr>
      <w:shd w:val="clear" w:color="auto" w:fill="33CCCC"/>
      <w:spacing w:before="100" w:beforeAutospacing="1" w:after="100" w:afterAutospacing="1"/>
      <w:jc w:val="left"/>
      <w:textAlignment w:val="center"/>
    </w:pPr>
    <w:rPr>
      <w:rFonts w:ascii="Arial" w:eastAsia="Arial Unicode MS" w:hAnsi="Arial" w:cs="Arial"/>
      <w:sz w:val="18"/>
      <w:szCs w:val="18"/>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hd w:val="clear" w:color="auto" w:fill="33CCCC"/>
      <w:spacing w:before="100" w:beforeAutospacing="1" w:after="100" w:afterAutospacing="1"/>
      <w:jc w:val="center"/>
      <w:textAlignment w:val="center"/>
    </w:pPr>
    <w:rPr>
      <w:rFonts w:ascii="Arial" w:eastAsia="Arial Unicode MS" w:hAnsi="Arial" w:cs="Arial"/>
      <w:sz w:val="18"/>
      <w:szCs w:val="18"/>
    </w:rPr>
  </w:style>
  <w:style w:type="paragraph" w:customStyle="1" w:styleId="xl79">
    <w:name w:val="xl79"/>
    <w:basedOn w:val="Normal"/>
    <w:pPr>
      <w:pBdr>
        <w:top w:val="single" w:sz="4" w:space="0" w:color="000000"/>
        <w:left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80">
    <w:name w:val="xl80"/>
    <w:basedOn w:val="Normal"/>
    <w:pPr>
      <w:pBdr>
        <w:top w:val="single" w:sz="4" w:space="0" w:color="000000"/>
      </w:pBdr>
      <w:shd w:val="clear" w:color="auto" w:fill="33CCCC"/>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81">
    <w:name w:val="xl81"/>
    <w:basedOn w:val="Normal"/>
    <w:pPr>
      <w:pBdr>
        <w:left w:val="single" w:sz="4" w:space="0" w:color="000000"/>
        <w:right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hd w:val="clear" w:color="auto" w:fill="33CCCC"/>
      <w:spacing w:before="100" w:beforeAutospacing="1" w:after="100" w:afterAutospacing="1"/>
      <w:jc w:val="center"/>
      <w:textAlignment w:val="center"/>
    </w:pPr>
    <w:rPr>
      <w:rFonts w:ascii="Arial" w:eastAsia="Arial Unicode MS" w:hAnsi="Arial" w:cs="Arial"/>
      <w:color w:val="333333"/>
      <w:sz w:val="18"/>
      <w:szCs w:val="18"/>
    </w:rPr>
  </w:style>
  <w:style w:type="paragraph" w:customStyle="1" w:styleId="xl83">
    <w:name w:val="xl83"/>
    <w:basedOn w:val="Normal"/>
    <w:pPr>
      <w:pBdr>
        <w:top w:val="single" w:sz="4" w:space="0" w:color="000000"/>
        <w:left w:val="single" w:sz="4" w:space="0" w:color="000000"/>
        <w:bottom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84">
    <w:name w:val="xl84"/>
    <w:basedOn w:val="Normal"/>
    <w:pPr>
      <w:pBdr>
        <w:top w:val="single" w:sz="4" w:space="0" w:color="000000"/>
        <w:bottom w:val="single" w:sz="4" w:space="0" w:color="000000"/>
      </w:pBdr>
      <w:shd w:val="clear" w:color="auto" w:fill="33CCCC"/>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85">
    <w:name w:val="xl85"/>
    <w:basedOn w:val="Normal"/>
    <w:pPr>
      <w:pBdr>
        <w:top w:val="single" w:sz="4" w:space="0" w:color="000000"/>
        <w:bottom w:val="single" w:sz="4" w:space="0" w:color="000000"/>
      </w:pBdr>
      <w:shd w:val="clear" w:color="auto" w:fill="CCCCCC"/>
      <w:spacing w:before="100" w:beforeAutospacing="1" w:after="100" w:afterAutospacing="1"/>
      <w:jc w:val="center"/>
      <w:textAlignment w:val="center"/>
    </w:pPr>
    <w:rPr>
      <w:rFonts w:ascii="Arial" w:eastAsia="Arial Unicode MS" w:hAnsi="Arial" w:cs="Arial"/>
      <w:color w:val="000000"/>
      <w:sz w:val="18"/>
      <w:szCs w:val="18"/>
    </w:rPr>
  </w:style>
  <w:style w:type="paragraph" w:customStyle="1" w:styleId="xl86">
    <w:name w:val="xl86"/>
    <w:basedOn w:val="Normal"/>
    <w:pPr>
      <w:pBdr>
        <w:top w:val="single" w:sz="4" w:space="0" w:color="000000"/>
        <w:left w:val="single" w:sz="4" w:space="0" w:color="000000"/>
        <w:bottom w:val="single" w:sz="4" w:space="0" w:color="000000"/>
      </w:pBdr>
      <w:shd w:val="clear" w:color="auto" w:fill="CCCCCC"/>
      <w:spacing w:before="100" w:beforeAutospacing="1" w:after="100" w:afterAutospacing="1"/>
      <w:jc w:val="center"/>
      <w:textAlignment w:val="center"/>
    </w:pPr>
    <w:rPr>
      <w:rFonts w:ascii="Arial" w:eastAsia="Arial Unicode MS" w:hAnsi="Arial" w:cs="Arial"/>
      <w:color w:val="000000"/>
      <w:sz w:val="18"/>
      <w:szCs w:val="18"/>
    </w:rPr>
  </w:style>
  <w:style w:type="paragraph" w:customStyle="1" w:styleId="xl87">
    <w:name w:val="xl87"/>
    <w:basedOn w:val="Normal"/>
    <w:pPr>
      <w:shd w:val="clear" w:color="auto" w:fill="CCCCCC"/>
      <w:spacing w:before="100" w:beforeAutospacing="1" w:after="100" w:afterAutospacing="1"/>
      <w:jc w:val="center"/>
    </w:pPr>
    <w:rPr>
      <w:rFonts w:ascii="Arial" w:eastAsia="Arial Unicode MS" w:hAnsi="Arial" w:cs="Arial"/>
      <w:color w:val="000000"/>
      <w:sz w:val="18"/>
      <w:szCs w:val="18"/>
    </w:rPr>
  </w:style>
  <w:style w:type="paragraph" w:customStyle="1" w:styleId="xl88">
    <w:name w:val="xl88"/>
    <w:basedOn w:val="Normal"/>
    <w:pPr>
      <w:pBdr>
        <w:top w:val="single" w:sz="4" w:space="0" w:color="000000"/>
        <w:bottom w:val="single" w:sz="4" w:space="0" w:color="000000"/>
      </w:pBdr>
      <w:shd w:val="clear" w:color="auto" w:fill="CCCCCC"/>
      <w:spacing w:before="100" w:beforeAutospacing="1" w:after="100" w:afterAutospacing="1"/>
      <w:jc w:val="left"/>
      <w:textAlignment w:val="center"/>
    </w:pPr>
    <w:rPr>
      <w:rFonts w:ascii="Arial" w:eastAsia="Arial Unicode MS" w:hAnsi="Arial" w:cs="Arial"/>
      <w:color w:val="000000"/>
      <w:sz w:val="18"/>
      <w:szCs w:val="18"/>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hd w:val="clear" w:color="auto" w:fill="CCCCCC"/>
      <w:spacing w:before="100" w:beforeAutospacing="1" w:after="100" w:afterAutospacing="1"/>
      <w:jc w:val="center"/>
      <w:textAlignment w:val="center"/>
    </w:pPr>
    <w:rPr>
      <w:rFonts w:ascii="Arial" w:eastAsia="Arial Unicode MS" w:hAnsi="Arial" w:cs="Arial"/>
      <w:color w:val="000000"/>
      <w:sz w:val="18"/>
      <w:szCs w:val="18"/>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hd w:val="clear" w:color="auto" w:fill="CCCCCC"/>
      <w:spacing w:before="100" w:beforeAutospacing="1" w:after="100" w:afterAutospacing="1"/>
      <w:jc w:val="center"/>
      <w:textAlignment w:val="center"/>
    </w:pPr>
    <w:rPr>
      <w:rFonts w:ascii="Arial" w:eastAsia="Arial Unicode MS" w:hAnsi="Arial" w:cs="Arial"/>
      <w:b/>
      <w:bCs/>
      <w:color w:val="FF0000"/>
      <w:sz w:val="18"/>
      <w:szCs w:val="18"/>
    </w:rPr>
  </w:style>
  <w:style w:type="paragraph" w:customStyle="1" w:styleId="xl91">
    <w:name w:val="xl91"/>
    <w:basedOn w:val="Normal"/>
    <w:pPr>
      <w:pBdr>
        <w:top w:val="single" w:sz="4" w:space="0" w:color="000000"/>
        <w:left w:val="single" w:sz="4" w:space="0" w:color="000000"/>
        <w:bottom w:val="single" w:sz="4" w:space="0" w:color="000000"/>
        <w:right w:val="single" w:sz="4" w:space="0" w:color="000000"/>
      </w:pBdr>
      <w:shd w:val="clear" w:color="auto" w:fill="CCCCCC"/>
      <w:spacing w:before="100" w:beforeAutospacing="1" w:after="100" w:afterAutospacing="1"/>
      <w:jc w:val="center"/>
      <w:textAlignment w:val="center"/>
    </w:pPr>
    <w:rPr>
      <w:rFonts w:ascii="Arial" w:eastAsia="Arial Unicode MS" w:hAnsi="Arial" w:cs="Arial"/>
      <w:b/>
      <w:bCs/>
      <w:color w:val="000000"/>
      <w:sz w:val="18"/>
      <w:szCs w:val="18"/>
    </w:rPr>
  </w:style>
  <w:style w:type="paragraph" w:customStyle="1" w:styleId="xl92">
    <w:name w:val="xl92"/>
    <w:basedOn w:val="Normal"/>
    <w:pPr>
      <w:pBdr>
        <w:top w:val="single" w:sz="4" w:space="0" w:color="000000"/>
        <w:bottom w:val="single" w:sz="4" w:space="0" w:color="000000"/>
      </w:pBdr>
      <w:shd w:val="clear" w:color="auto" w:fill="CC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93">
    <w:name w:val="xl93"/>
    <w:basedOn w:val="Normal"/>
    <w:pPr>
      <w:pBdr>
        <w:top w:val="single" w:sz="4" w:space="0" w:color="000000"/>
        <w:left w:val="single" w:sz="4" w:space="0" w:color="000000"/>
        <w:bottom w:val="single" w:sz="4" w:space="0" w:color="000000"/>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94">
    <w:name w:val="xl94"/>
    <w:basedOn w:val="Normal"/>
    <w:pPr>
      <w:pBdr>
        <w:top w:val="single" w:sz="4" w:space="0" w:color="000000"/>
        <w:bottom w:val="single" w:sz="4" w:space="0" w:color="000000"/>
      </w:pBdr>
      <w:shd w:val="clear" w:color="auto" w:fill="FF0000"/>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95">
    <w:name w:val="xl95"/>
    <w:basedOn w:val="Normal"/>
    <w:pPr>
      <w:pBdr>
        <w:left w:val="single" w:sz="4" w:space="0" w:color="000000"/>
        <w:right w:val="single" w:sz="4" w:space="0" w:color="000000"/>
      </w:pBdr>
      <w:shd w:val="clear" w:color="auto" w:fill="33CCCC"/>
      <w:spacing w:before="100" w:beforeAutospacing="1" w:after="100" w:afterAutospacing="1"/>
      <w:jc w:val="center"/>
      <w:textAlignment w:val="center"/>
    </w:pPr>
    <w:rPr>
      <w:rFonts w:ascii="Arial" w:eastAsia="Arial Unicode MS" w:hAnsi="Arial" w:cs="Arial"/>
      <w:sz w:val="18"/>
      <w:szCs w:val="18"/>
    </w:rPr>
  </w:style>
  <w:style w:type="paragraph" w:customStyle="1" w:styleId="xl96">
    <w:name w:val="xl96"/>
    <w:basedOn w:val="Normal"/>
    <w:pPr>
      <w:pBdr>
        <w:top w:val="single" w:sz="4" w:space="0" w:color="000000"/>
        <w:left w:val="single" w:sz="4" w:space="0" w:color="000000"/>
        <w:right w:val="single" w:sz="4" w:space="0" w:color="000000"/>
      </w:pBdr>
      <w:shd w:val="clear" w:color="auto" w:fill="33CCCC"/>
      <w:spacing w:before="100" w:beforeAutospacing="1" w:after="100" w:afterAutospacing="1"/>
      <w:jc w:val="center"/>
      <w:textAlignment w:val="center"/>
    </w:pPr>
    <w:rPr>
      <w:rFonts w:ascii="Arial" w:eastAsia="Arial Unicode MS" w:hAnsi="Arial" w:cs="Arial"/>
      <w:color w:val="333333"/>
      <w:sz w:val="18"/>
      <w:szCs w:val="18"/>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hd w:val="clear" w:color="auto" w:fill="CCCCCC"/>
      <w:spacing w:before="100" w:beforeAutospacing="1" w:after="100" w:afterAutospacing="1"/>
      <w:jc w:val="center"/>
      <w:textAlignment w:val="center"/>
    </w:pPr>
    <w:rPr>
      <w:rFonts w:ascii="Arial" w:eastAsia="Arial Unicode MS" w:hAnsi="Arial" w:cs="Arial"/>
      <w:i/>
      <w:iCs/>
      <w:color w:val="000000"/>
      <w:sz w:val="18"/>
      <w:szCs w:val="18"/>
    </w:rPr>
  </w:style>
  <w:style w:type="paragraph" w:customStyle="1" w:styleId="xl98">
    <w:name w:val="xl98"/>
    <w:basedOn w:val="Normal"/>
    <w:pPr>
      <w:pBdr>
        <w:top w:val="single" w:sz="4" w:space="0" w:color="000000"/>
        <w:left w:val="single" w:sz="4" w:space="0" w:color="000000"/>
        <w:right w:val="single" w:sz="4" w:space="0" w:color="000000"/>
      </w:pBdr>
      <w:shd w:val="clear" w:color="auto" w:fill="33CCCC"/>
      <w:spacing w:before="100" w:beforeAutospacing="1" w:after="100" w:afterAutospacing="1"/>
      <w:jc w:val="center"/>
      <w:textAlignment w:val="center"/>
    </w:pPr>
    <w:rPr>
      <w:rFonts w:ascii="Arial" w:eastAsia="Arial Unicode MS" w:hAnsi="Arial" w:cs="Arial"/>
      <w:sz w:val="18"/>
      <w:szCs w:val="18"/>
    </w:rPr>
  </w:style>
  <w:style w:type="paragraph" w:customStyle="1" w:styleId="xl99">
    <w:name w:val="xl99"/>
    <w:basedOn w:val="Normal"/>
    <w:pPr>
      <w:pBdr>
        <w:top w:val="single" w:sz="4" w:space="0" w:color="000000"/>
      </w:pBdr>
      <w:shd w:val="clear" w:color="auto" w:fill="33CCCC"/>
      <w:spacing w:before="100" w:beforeAutospacing="1" w:after="100" w:afterAutospacing="1"/>
      <w:jc w:val="center"/>
      <w:textAlignment w:val="center"/>
    </w:pPr>
    <w:rPr>
      <w:rFonts w:ascii="Arial" w:eastAsia="Arial Unicode MS" w:hAnsi="Arial" w:cs="Arial"/>
      <w:sz w:val="18"/>
      <w:szCs w:val="18"/>
    </w:rPr>
  </w:style>
  <w:style w:type="paragraph" w:customStyle="1" w:styleId="xl100">
    <w:name w:val="xl100"/>
    <w:basedOn w:val="Normal"/>
    <w:pPr>
      <w:pBdr>
        <w:bottom w:val="single" w:sz="4" w:space="0" w:color="000000"/>
      </w:pBdr>
      <w:shd w:val="clear" w:color="auto" w:fill="33CCCC"/>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101">
    <w:name w:val="xl101"/>
    <w:basedOn w:val="Normal"/>
    <w:pPr>
      <w:pBdr>
        <w:left w:val="single" w:sz="4" w:space="0" w:color="000000"/>
        <w:bottom w:val="single" w:sz="4" w:space="0" w:color="000000"/>
        <w:right w:val="single" w:sz="4" w:space="0" w:color="000000"/>
      </w:pBdr>
      <w:shd w:val="clear" w:color="auto" w:fill="33CCCC"/>
      <w:spacing w:before="100" w:beforeAutospacing="1" w:after="100" w:afterAutospacing="1"/>
      <w:jc w:val="center"/>
      <w:textAlignment w:val="center"/>
    </w:pPr>
    <w:rPr>
      <w:rFonts w:ascii="Arial" w:eastAsia="Arial Unicode MS" w:hAnsi="Arial" w:cs="Arial"/>
      <w:sz w:val="18"/>
      <w:szCs w:val="18"/>
    </w:rPr>
  </w:style>
  <w:style w:type="paragraph" w:customStyle="1" w:styleId="xl102">
    <w:name w:val="xl102"/>
    <w:basedOn w:val="Normal"/>
    <w:pPr>
      <w:pBdr>
        <w:top w:val="single" w:sz="4" w:space="0" w:color="000000"/>
        <w:bottom w:val="single" w:sz="4" w:space="0" w:color="000000"/>
      </w:pBdr>
      <w:shd w:val="clear" w:color="auto" w:fill="33CCCC"/>
      <w:spacing w:before="100" w:beforeAutospacing="1" w:after="100" w:afterAutospacing="1"/>
      <w:jc w:val="center"/>
      <w:textAlignment w:val="center"/>
    </w:pPr>
    <w:rPr>
      <w:rFonts w:ascii="Arial" w:eastAsia="Arial Unicode MS" w:hAnsi="Arial" w:cs="Arial"/>
      <w:color w:val="000000"/>
      <w:sz w:val="18"/>
      <w:szCs w:val="18"/>
    </w:rPr>
  </w:style>
  <w:style w:type="paragraph" w:customStyle="1" w:styleId="xl103">
    <w:name w:val="xl103"/>
    <w:basedOn w:val="Normal"/>
    <w:pPr>
      <w:pBdr>
        <w:top w:val="single" w:sz="4" w:space="0" w:color="000000"/>
        <w:left w:val="single" w:sz="4" w:space="0" w:color="000000"/>
        <w:bottom w:val="single" w:sz="4" w:space="0" w:color="000000"/>
      </w:pBdr>
      <w:shd w:val="clear" w:color="auto" w:fill="33CCCC"/>
      <w:spacing w:before="100" w:beforeAutospacing="1" w:after="100" w:afterAutospacing="1"/>
      <w:jc w:val="center"/>
      <w:textAlignment w:val="center"/>
    </w:pPr>
    <w:rPr>
      <w:rFonts w:ascii="Arial" w:eastAsia="Arial Unicode MS" w:hAnsi="Arial" w:cs="Arial"/>
      <w:color w:val="000000"/>
      <w:sz w:val="18"/>
      <w:szCs w:val="18"/>
    </w:rPr>
  </w:style>
  <w:style w:type="paragraph" w:customStyle="1" w:styleId="xl104">
    <w:name w:val="xl104"/>
    <w:basedOn w:val="Normal"/>
    <w:pPr>
      <w:pBdr>
        <w:top w:val="single" w:sz="4" w:space="0" w:color="000000"/>
        <w:left w:val="single" w:sz="4" w:space="0" w:color="000000"/>
        <w:bottom w:val="single" w:sz="4" w:space="0" w:color="000000"/>
        <w:right w:val="single" w:sz="4" w:space="0" w:color="000000"/>
      </w:pBdr>
      <w:shd w:val="clear" w:color="auto" w:fill="33CCCC"/>
      <w:spacing w:before="100" w:beforeAutospacing="1" w:after="100" w:afterAutospacing="1"/>
      <w:jc w:val="center"/>
      <w:textAlignment w:val="center"/>
    </w:pPr>
    <w:rPr>
      <w:rFonts w:ascii="Arial" w:eastAsia="Arial Unicode MS" w:hAnsi="Arial" w:cs="Arial"/>
      <w:color w:val="000000"/>
      <w:sz w:val="18"/>
      <w:szCs w:val="18"/>
    </w:rPr>
  </w:style>
  <w:style w:type="paragraph" w:customStyle="1" w:styleId="xl105">
    <w:name w:val="xl105"/>
    <w:basedOn w:val="Normal"/>
    <w:pPr>
      <w:pBdr>
        <w:top w:val="single" w:sz="4" w:space="0" w:color="000000"/>
        <w:bottom w:val="single" w:sz="4" w:space="0" w:color="000000"/>
      </w:pBdr>
      <w:shd w:val="clear" w:color="auto" w:fill="33CCCC"/>
      <w:spacing w:before="100" w:beforeAutospacing="1" w:after="100" w:afterAutospacing="1"/>
      <w:jc w:val="left"/>
      <w:textAlignment w:val="center"/>
    </w:pPr>
    <w:rPr>
      <w:rFonts w:ascii="Arial" w:eastAsia="Arial Unicode MS" w:hAnsi="Arial" w:cs="Arial"/>
      <w:color w:val="000000"/>
      <w:sz w:val="18"/>
      <w:szCs w:val="18"/>
    </w:rPr>
  </w:style>
  <w:style w:type="paragraph" w:customStyle="1" w:styleId="xl106">
    <w:name w:val="xl106"/>
    <w:basedOn w:val="Normal"/>
    <w:pPr>
      <w:pBdr>
        <w:top w:val="single" w:sz="4" w:space="0" w:color="000000"/>
        <w:left w:val="single" w:sz="4" w:space="0" w:color="000000"/>
        <w:bottom w:val="single" w:sz="4" w:space="0" w:color="000000"/>
        <w:right w:val="single" w:sz="4" w:space="0" w:color="000000"/>
      </w:pBdr>
      <w:shd w:val="clear" w:color="auto" w:fill="33CCCC"/>
      <w:spacing w:before="100" w:beforeAutospacing="1" w:after="100" w:afterAutospacing="1"/>
      <w:jc w:val="center"/>
      <w:textAlignment w:val="center"/>
    </w:pPr>
    <w:rPr>
      <w:rFonts w:ascii="Arial" w:eastAsia="Arial Unicode MS" w:hAnsi="Arial" w:cs="Arial"/>
      <w:color w:val="000000"/>
      <w:sz w:val="18"/>
      <w:szCs w:val="18"/>
    </w:rPr>
  </w:style>
  <w:style w:type="paragraph" w:customStyle="1" w:styleId="xl107">
    <w:name w:val="xl107"/>
    <w:basedOn w:val="Normal"/>
    <w:pPr>
      <w:pBdr>
        <w:top w:val="single" w:sz="4" w:space="0" w:color="000000"/>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color w:val="000000"/>
      <w:sz w:val="18"/>
      <w:szCs w:val="18"/>
    </w:rPr>
  </w:style>
  <w:style w:type="paragraph" w:customStyle="1" w:styleId="xl108">
    <w:name w:val="xl108"/>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Arial Unicode MS" w:hAnsi="Arial" w:cs="Arial"/>
      <w:color w:val="000000"/>
      <w:sz w:val="18"/>
      <w:szCs w:val="18"/>
    </w:rPr>
  </w:style>
  <w:style w:type="paragraph" w:customStyle="1" w:styleId="xl109">
    <w:name w:val="xl109"/>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Arial Unicode MS" w:hAnsi="Arial" w:cs="Arial"/>
      <w:color w:val="000000"/>
      <w:sz w:val="18"/>
      <w:szCs w:val="18"/>
    </w:rPr>
  </w:style>
  <w:style w:type="paragraph" w:customStyle="1" w:styleId="xl110">
    <w:name w:val="xl110"/>
    <w:basedOn w:val="Normal"/>
    <w:pPr>
      <w:pBdr>
        <w:top w:val="single" w:sz="4" w:space="0" w:color="000000"/>
        <w:bottom w:val="single" w:sz="4" w:space="0" w:color="000000"/>
      </w:pBdr>
      <w:shd w:val="clear" w:color="auto" w:fill="CC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11">
    <w:name w:val="xl111"/>
    <w:basedOn w:val="Normal"/>
    <w:pPr>
      <w:pBdr>
        <w:top w:val="single" w:sz="4" w:space="0" w:color="000000"/>
        <w:left w:val="single" w:sz="4" w:space="0" w:color="000000"/>
        <w:bottom w:val="single" w:sz="4" w:space="0" w:color="000000"/>
      </w:pBdr>
      <w:shd w:val="clear" w:color="auto" w:fill="CC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12">
    <w:name w:val="xl112"/>
    <w:basedOn w:val="Normal"/>
    <w:pPr>
      <w:pBdr>
        <w:top w:val="single" w:sz="4" w:space="0" w:color="000000"/>
        <w:left w:val="single" w:sz="4" w:space="0" w:color="000000"/>
        <w:bottom w:val="single" w:sz="4" w:space="0" w:color="000000"/>
        <w:right w:val="single" w:sz="4" w:space="0" w:color="000000"/>
      </w:pBdr>
      <w:shd w:val="clear" w:color="auto" w:fill="CC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13">
    <w:name w:val="xl113"/>
    <w:basedOn w:val="Normal"/>
    <w:pPr>
      <w:pBdr>
        <w:top w:val="single" w:sz="4" w:space="0" w:color="000000"/>
        <w:bottom w:val="single" w:sz="4" w:space="0" w:color="000000"/>
      </w:pBdr>
      <w:shd w:val="clear" w:color="auto" w:fill="CCCCCC"/>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114">
    <w:name w:val="xl114"/>
    <w:basedOn w:val="Normal"/>
    <w:pPr>
      <w:pBdr>
        <w:top w:val="single" w:sz="4" w:space="0" w:color="000000"/>
        <w:left w:val="single" w:sz="4" w:space="0" w:color="000000"/>
        <w:bottom w:val="single" w:sz="4" w:space="0" w:color="000000"/>
        <w:right w:val="single" w:sz="4" w:space="0" w:color="000000"/>
      </w:pBdr>
      <w:shd w:val="clear" w:color="auto" w:fill="CC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15">
    <w:name w:val="xl115"/>
    <w:basedOn w:val="Normal"/>
    <w:pPr>
      <w:pBdr>
        <w:top w:val="single" w:sz="4" w:space="0" w:color="000000"/>
        <w:bottom w:val="single" w:sz="4" w:space="0" w:color="000000"/>
      </w:pBdr>
      <w:spacing w:before="100" w:beforeAutospacing="1" w:after="100" w:afterAutospacing="1"/>
      <w:jc w:val="center"/>
      <w:textAlignment w:val="center"/>
    </w:pPr>
    <w:rPr>
      <w:rFonts w:ascii="Arial" w:eastAsia="Arial Unicode MS" w:hAnsi="Arial" w:cs="Arial"/>
      <w:sz w:val="18"/>
      <w:szCs w:val="18"/>
    </w:rPr>
  </w:style>
  <w:style w:type="paragraph" w:customStyle="1" w:styleId="xl116">
    <w:name w:val="xl116"/>
    <w:basedOn w:val="Normal"/>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Arial Unicode MS" w:hAnsi="Arial" w:cs="Arial"/>
      <w:sz w:val="18"/>
      <w:szCs w:val="18"/>
    </w:rPr>
  </w:style>
  <w:style w:type="paragraph" w:customStyle="1" w:styleId="xl117">
    <w:name w:val="xl117"/>
    <w:basedOn w:val="Normal"/>
    <w:pPr>
      <w:pBdr>
        <w:top w:val="single" w:sz="4" w:space="0" w:color="000000"/>
        <w:bottom w:val="single" w:sz="4" w:space="0" w:color="000000"/>
      </w:pBdr>
      <w:spacing w:before="100" w:beforeAutospacing="1" w:after="100" w:afterAutospacing="1"/>
      <w:jc w:val="left"/>
      <w:textAlignment w:val="center"/>
    </w:pPr>
    <w:rPr>
      <w:rFonts w:ascii="Arial" w:eastAsia="Arial Unicode MS" w:hAnsi="Arial" w:cs="Arial"/>
      <w:sz w:val="18"/>
      <w:szCs w:val="18"/>
    </w:rPr>
  </w:style>
  <w:style w:type="paragraph" w:customStyle="1" w:styleId="xl118">
    <w:name w:val="xl118"/>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Arial Unicode MS" w:hAnsi="Arial" w:cs="Arial"/>
      <w:sz w:val="18"/>
      <w:szCs w:val="18"/>
    </w:rPr>
  </w:style>
  <w:style w:type="paragraph" w:customStyle="1" w:styleId="xl119">
    <w:name w:val="xl119"/>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Arial Unicode MS" w:hAnsi="Arial" w:cs="Arial"/>
      <w:color w:val="333333"/>
      <w:sz w:val="18"/>
      <w:szCs w:val="18"/>
    </w:rPr>
  </w:style>
  <w:style w:type="paragraph" w:customStyle="1" w:styleId="xl120">
    <w:name w:val="xl120"/>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Arial Unicode MS" w:hAnsi="Arial" w:cs="Arial"/>
      <w:sz w:val="18"/>
      <w:szCs w:val="18"/>
    </w:rPr>
  </w:style>
  <w:style w:type="paragraph" w:customStyle="1" w:styleId="xl121">
    <w:name w:val="xl121"/>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Arial Unicode MS" w:hAnsi="Arial" w:cs="Arial"/>
      <w:b/>
      <w:bCs/>
      <w:color w:val="FF0000"/>
      <w:sz w:val="18"/>
      <w:szCs w:val="18"/>
    </w:rPr>
  </w:style>
  <w:style w:type="paragraph" w:customStyle="1" w:styleId="xl122">
    <w:name w:val="xl122"/>
    <w:basedOn w:val="Normal"/>
    <w:pPr>
      <w:pBdr>
        <w:top w:val="single" w:sz="4" w:space="0" w:color="000000"/>
        <w:left w:val="single" w:sz="4" w:space="0" w:color="000000"/>
        <w:bottom w:val="single" w:sz="4" w:space="0" w:color="000000"/>
        <w:right w:val="single" w:sz="4" w:space="0" w:color="000000"/>
      </w:pBdr>
      <w:shd w:val="clear" w:color="auto" w:fill="FF0000"/>
      <w:spacing w:before="100" w:beforeAutospacing="1" w:after="100" w:afterAutospacing="1"/>
      <w:jc w:val="center"/>
      <w:textAlignment w:val="center"/>
    </w:pPr>
    <w:rPr>
      <w:rFonts w:ascii="Arial" w:eastAsia="Arial Unicode MS" w:hAnsi="Arial" w:cs="Arial"/>
      <w:sz w:val="18"/>
      <w:szCs w:val="18"/>
    </w:rPr>
  </w:style>
  <w:style w:type="paragraph" w:customStyle="1" w:styleId="xl123">
    <w:name w:val="xl123"/>
    <w:basedOn w:val="Normal"/>
    <w:pPr>
      <w:pBdr>
        <w:top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24">
    <w:name w:val="xl124"/>
    <w:basedOn w:val="Normal"/>
    <w:pPr>
      <w:pBdr>
        <w:top w:val="single" w:sz="4" w:space="0" w:color="000000"/>
        <w:left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25">
    <w:name w:val="xl125"/>
    <w:basedOn w:val="Normal"/>
    <w:pPr>
      <w:pBdr>
        <w:top w:val="single" w:sz="4" w:space="0" w:color="000000"/>
      </w:pBdr>
      <w:shd w:val="clear" w:color="auto" w:fill="33CCCC"/>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126">
    <w:name w:val="xl126"/>
    <w:basedOn w:val="Normal"/>
    <w:pPr>
      <w:pBdr>
        <w:top w:val="single" w:sz="4" w:space="0" w:color="auto"/>
        <w:left w:val="single" w:sz="4" w:space="0" w:color="auto"/>
      </w:pBdr>
      <w:shd w:val="clear" w:color="auto" w:fill="FF0000"/>
      <w:spacing w:before="100" w:beforeAutospacing="1" w:after="100" w:afterAutospacing="1"/>
      <w:jc w:val="center"/>
      <w:textAlignment w:val="center"/>
    </w:pPr>
    <w:rPr>
      <w:rFonts w:ascii="Arial" w:eastAsia="Arial Unicode MS" w:hAnsi="Arial" w:cs="Arial"/>
      <w:sz w:val="18"/>
      <w:szCs w:val="18"/>
    </w:rPr>
  </w:style>
  <w:style w:type="paragraph" w:customStyle="1" w:styleId="xl127">
    <w:name w:val="xl127"/>
    <w:basedOn w:val="Normal"/>
    <w:pPr>
      <w:pBdr>
        <w:top w:val="single" w:sz="4" w:space="0" w:color="auto"/>
        <w:left w:val="single" w:sz="4" w:space="0" w:color="000000"/>
        <w:right w:val="single" w:sz="4" w:space="0" w:color="auto"/>
      </w:pBdr>
      <w:shd w:val="clear" w:color="auto" w:fill="FF0000"/>
      <w:spacing w:before="100" w:beforeAutospacing="1" w:after="100" w:afterAutospacing="1"/>
      <w:jc w:val="center"/>
      <w:textAlignment w:val="center"/>
    </w:pPr>
    <w:rPr>
      <w:rFonts w:ascii="Arial" w:eastAsia="Arial Unicode MS" w:hAnsi="Arial" w:cs="Arial"/>
      <w:sz w:val="18"/>
      <w:szCs w:val="18"/>
    </w:rPr>
  </w:style>
  <w:style w:type="paragraph" w:customStyle="1" w:styleId="xl128">
    <w:name w:val="xl128"/>
    <w:basedOn w:val="Normal"/>
    <w:pPr>
      <w:pBdr>
        <w:top w:val="single" w:sz="4" w:space="0" w:color="000000"/>
        <w:right w:val="single" w:sz="4" w:space="0" w:color="000000"/>
      </w:pBdr>
      <w:shd w:val="clear" w:color="auto" w:fill="FF0000"/>
      <w:spacing w:before="100" w:beforeAutospacing="1" w:after="100" w:afterAutospacing="1"/>
      <w:jc w:val="center"/>
      <w:textAlignment w:val="center"/>
    </w:pPr>
    <w:rPr>
      <w:rFonts w:ascii="Arial" w:eastAsia="Arial Unicode MS" w:hAnsi="Arial" w:cs="Arial"/>
      <w:sz w:val="18"/>
      <w:szCs w:val="18"/>
    </w:rPr>
  </w:style>
  <w:style w:type="paragraph" w:customStyle="1" w:styleId="xl129">
    <w:name w:val="xl129"/>
    <w:basedOn w:val="Normal"/>
    <w:pPr>
      <w:pBdr>
        <w:top w:val="single" w:sz="4" w:space="0" w:color="auto"/>
        <w:right w:val="single" w:sz="4" w:space="0" w:color="auto"/>
      </w:pBdr>
      <w:shd w:val="clear" w:color="auto" w:fill="FF0000"/>
      <w:spacing w:before="100" w:beforeAutospacing="1" w:after="100" w:afterAutospacing="1"/>
      <w:jc w:val="left"/>
      <w:textAlignment w:val="center"/>
    </w:pPr>
    <w:rPr>
      <w:rFonts w:ascii="Arial" w:eastAsia="Arial Unicode MS" w:hAnsi="Arial" w:cs="Arial"/>
      <w:sz w:val="18"/>
      <w:szCs w:val="18"/>
    </w:rPr>
  </w:style>
  <w:style w:type="paragraph" w:customStyle="1" w:styleId="xl130">
    <w:name w:val="xl130"/>
    <w:basedOn w:val="Normal"/>
    <w:pPr>
      <w:pBdr>
        <w:top w:val="single" w:sz="4" w:space="0" w:color="000000"/>
        <w:left w:val="single" w:sz="4" w:space="0" w:color="000000"/>
        <w:right w:val="single" w:sz="4" w:space="0" w:color="000000"/>
      </w:pBdr>
      <w:shd w:val="clear" w:color="auto" w:fill="FF0000"/>
      <w:spacing w:before="100" w:beforeAutospacing="1" w:after="100" w:afterAutospacing="1"/>
      <w:jc w:val="center"/>
      <w:textAlignment w:val="center"/>
    </w:pPr>
    <w:rPr>
      <w:rFonts w:ascii="Arial" w:eastAsia="Arial Unicode MS" w:hAnsi="Arial" w:cs="Arial"/>
      <w:sz w:val="18"/>
      <w:szCs w:val="18"/>
    </w:rPr>
  </w:style>
  <w:style w:type="paragraph" w:customStyle="1" w:styleId="xl131">
    <w:name w:val="xl131"/>
    <w:basedOn w:val="Normal"/>
    <w:pPr>
      <w:pBdr>
        <w:top w:val="single" w:sz="4" w:space="0" w:color="000000"/>
        <w:left w:val="single" w:sz="4" w:space="0" w:color="000000"/>
        <w:right w:val="single" w:sz="4" w:space="0" w:color="000000"/>
      </w:pBdr>
      <w:shd w:val="clear" w:color="auto" w:fill="FF0000"/>
      <w:spacing w:before="100" w:beforeAutospacing="1" w:after="100" w:afterAutospacing="1"/>
      <w:jc w:val="center"/>
      <w:textAlignment w:val="center"/>
    </w:pPr>
    <w:rPr>
      <w:rFonts w:ascii="Arial" w:eastAsia="Arial Unicode MS" w:hAnsi="Arial" w:cs="Arial"/>
      <w:sz w:val="18"/>
      <w:szCs w:val="18"/>
    </w:rPr>
  </w:style>
  <w:style w:type="paragraph" w:customStyle="1" w:styleId="xl132">
    <w:name w:val="xl132"/>
    <w:basedOn w:val="Normal"/>
    <w:pPr>
      <w:pBdr>
        <w:top w:val="single" w:sz="4" w:space="0" w:color="000000"/>
        <w:left w:val="single" w:sz="4" w:space="0" w:color="000000"/>
        <w:right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33">
    <w:name w:val="xl133"/>
    <w:basedOn w:val="Normal"/>
    <w:pPr>
      <w:pBdr>
        <w:top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34">
    <w:name w:val="xl134"/>
    <w:basedOn w:val="Normal"/>
    <w:pPr>
      <w:pBdr>
        <w:bottom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35">
    <w:name w:val="xl135"/>
    <w:basedOn w:val="Normal"/>
    <w:pPr>
      <w:pBdr>
        <w:left w:val="single" w:sz="4" w:space="0" w:color="000000"/>
        <w:bottom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36">
    <w:name w:val="xl136"/>
    <w:basedOn w:val="Normal"/>
    <w:pPr>
      <w:pBdr>
        <w:bottom w:val="single" w:sz="4" w:space="0" w:color="000000"/>
      </w:pBdr>
      <w:shd w:val="clear" w:color="auto" w:fill="33CCCC"/>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137">
    <w:name w:val="xl137"/>
    <w:basedOn w:val="Normal"/>
    <w:pPr>
      <w:pBdr>
        <w:left w:val="single" w:sz="4" w:space="0" w:color="000000"/>
        <w:bottom w:val="single" w:sz="4" w:space="0" w:color="000000"/>
        <w:right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38">
    <w:name w:val="xl138"/>
    <w:basedOn w:val="Normal"/>
    <w:pPr>
      <w:pBdr>
        <w:top w:val="single" w:sz="4" w:space="0" w:color="000000"/>
        <w:left w:val="single" w:sz="4" w:space="0" w:color="000000"/>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39">
    <w:name w:val="xl139"/>
    <w:basedOn w:val="Normal"/>
    <w:pPr>
      <w:pBdr>
        <w:top w:val="single" w:sz="4" w:space="0" w:color="000000"/>
        <w:left w:val="single" w:sz="4" w:space="0" w:color="000000"/>
        <w:right w:val="single" w:sz="4" w:space="0" w:color="000000"/>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40">
    <w:name w:val="xl140"/>
    <w:basedOn w:val="Normal"/>
    <w:pPr>
      <w:pBdr>
        <w:top w:val="single" w:sz="4" w:space="0" w:color="000000"/>
      </w:pBdr>
      <w:shd w:val="clear" w:color="auto" w:fill="FF0000"/>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141">
    <w:name w:val="xl141"/>
    <w:basedOn w:val="Normal"/>
    <w:pPr>
      <w:pBdr>
        <w:top w:val="single" w:sz="4" w:space="0" w:color="000000"/>
        <w:left w:val="single" w:sz="4" w:space="0" w:color="000000"/>
        <w:right w:val="single" w:sz="4" w:space="0" w:color="000000"/>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42">
    <w:name w:val="xl142"/>
    <w:basedOn w:val="Normal"/>
    <w:pP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43">
    <w:name w:val="xl143"/>
    <w:basedOn w:val="Normal"/>
    <w:pPr>
      <w:pBdr>
        <w:top w:val="single" w:sz="4" w:space="0" w:color="auto"/>
        <w:left w:val="single" w:sz="4" w:space="0" w:color="000000"/>
        <w:bottom w:val="single" w:sz="4" w:space="0" w:color="auto"/>
        <w:right w:val="single" w:sz="4" w:space="0" w:color="auto"/>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44">
    <w:name w:val="xl144"/>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45">
    <w:name w:val="xl145"/>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146">
    <w:name w:val="xl146"/>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47">
    <w:name w:val="xl147"/>
    <w:basedOn w:val="Normal"/>
    <w:pPr>
      <w:pBdr>
        <w:left w:val="single" w:sz="4" w:space="0" w:color="000000"/>
        <w:bottom w:val="single" w:sz="4" w:space="0" w:color="000000"/>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48">
    <w:name w:val="xl148"/>
    <w:basedOn w:val="Normal"/>
    <w:pPr>
      <w:pBdr>
        <w:left w:val="single" w:sz="4" w:space="0" w:color="000000"/>
        <w:bottom w:val="single" w:sz="4" w:space="0" w:color="000000"/>
        <w:right w:val="single" w:sz="4" w:space="0" w:color="000000"/>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49">
    <w:name w:val="xl149"/>
    <w:basedOn w:val="Normal"/>
    <w:pPr>
      <w:pBdr>
        <w:bottom w:val="single" w:sz="4" w:space="0" w:color="000000"/>
      </w:pBdr>
      <w:shd w:val="clear" w:color="auto" w:fill="FF0000"/>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150">
    <w:name w:val="xl150"/>
    <w:basedOn w:val="Normal"/>
    <w:pPr>
      <w:pBdr>
        <w:left w:val="single" w:sz="4" w:space="0" w:color="000000"/>
        <w:bottom w:val="single" w:sz="4" w:space="0" w:color="000000"/>
        <w:right w:val="single" w:sz="4" w:space="0" w:color="000000"/>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51">
    <w:name w:val="xl151"/>
    <w:basedOn w:val="Normal"/>
    <w:pPr>
      <w:pBdr>
        <w:top w:val="single" w:sz="4" w:space="0" w:color="000000"/>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52">
    <w:name w:val="xl152"/>
    <w:basedOn w:val="Normal"/>
    <w:pPr>
      <w:pBdr>
        <w:top w:val="single" w:sz="4" w:space="0" w:color="auto"/>
        <w:left w:val="single" w:sz="4" w:space="0" w:color="auto"/>
        <w:bottom w:val="single" w:sz="4" w:space="0" w:color="auto"/>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53">
    <w:name w:val="xl153"/>
    <w:basedOn w:val="Normal"/>
    <w:pPr>
      <w:pBdr>
        <w:top w:val="single" w:sz="4" w:space="0" w:color="auto"/>
        <w:left w:val="single" w:sz="4" w:space="0" w:color="auto"/>
        <w:bottom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54">
    <w:name w:val="xl154"/>
    <w:basedOn w:val="Normal"/>
    <w:pPr>
      <w:pBdr>
        <w:top w:val="single" w:sz="4" w:space="0" w:color="auto"/>
        <w:left w:val="single" w:sz="4" w:space="0" w:color="000000"/>
        <w:bottom w:val="single" w:sz="4"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55">
    <w:name w:val="xl155"/>
    <w:basedOn w:val="Normal"/>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56">
    <w:name w:val="xl156"/>
    <w:basedOn w:val="Normal"/>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157">
    <w:name w:val="xl157"/>
    <w:basedOn w:val="Normal"/>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58">
    <w:name w:val="xl158"/>
    <w:basedOn w:val="Normal"/>
    <w:pPr>
      <w:shd w:val="clear" w:color="auto" w:fill="33CCCC"/>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159">
    <w:name w:val="xl159"/>
    <w:basedOn w:val="Normal"/>
    <w:pPr>
      <w:pBdr>
        <w:top w:val="single" w:sz="4" w:space="0" w:color="000000"/>
      </w:pBdr>
      <w:shd w:val="clear" w:color="auto" w:fill="33CCCC"/>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160">
    <w:name w:val="xl160"/>
    <w:basedOn w:val="Normal"/>
    <w:pPr>
      <w:pBdr>
        <w:top w:val="single" w:sz="4" w:space="0" w:color="000000"/>
        <w:left w:val="single" w:sz="4" w:space="0" w:color="auto"/>
        <w:bottom w:val="single" w:sz="4" w:space="0" w:color="auto"/>
        <w:right w:val="single" w:sz="4" w:space="0" w:color="000000"/>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61">
    <w:name w:val="xl161"/>
    <w:basedOn w:val="Normal"/>
    <w:pPr>
      <w:pBdr>
        <w:top w:val="single" w:sz="4" w:space="0" w:color="000000"/>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62">
    <w:name w:val="xl162"/>
    <w:basedOn w:val="Normal"/>
    <w:pPr>
      <w:pBdr>
        <w:left w:val="single" w:sz="4" w:space="0" w:color="auto"/>
        <w:bottom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63">
    <w:name w:val="xl163"/>
    <w:basedOn w:val="Normal"/>
    <w:pPr>
      <w:pBdr>
        <w:left w:val="single" w:sz="4" w:space="0" w:color="000000"/>
        <w:bottom w:val="single" w:sz="4"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64">
    <w:name w:val="xl164"/>
    <w:basedOn w:val="Normal"/>
    <w:pPr>
      <w:pBdr>
        <w:left w:val="single" w:sz="4" w:space="0" w:color="auto"/>
        <w:bottom w:val="single" w:sz="4"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65">
    <w:name w:val="xl165"/>
    <w:basedOn w:val="Normal"/>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left"/>
    </w:pPr>
    <w:rPr>
      <w:rFonts w:ascii="Arial" w:eastAsia="Arial Unicode MS" w:hAnsi="Arial" w:cs="Arial"/>
      <w:sz w:val="18"/>
      <w:szCs w:val="18"/>
    </w:rPr>
  </w:style>
  <w:style w:type="paragraph" w:customStyle="1" w:styleId="xl166">
    <w:name w:val="xl166"/>
    <w:basedOn w:val="Normal"/>
    <w:pPr>
      <w:pBdr>
        <w:left w:val="single" w:sz="4" w:space="0" w:color="auto"/>
        <w:bottom w:val="single" w:sz="4"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67">
    <w:name w:val="xl167"/>
    <w:basedOn w:val="Normal"/>
    <w:pPr>
      <w:pBdr>
        <w:left w:val="single" w:sz="4" w:space="0" w:color="auto"/>
        <w:bottom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68">
    <w:name w:val="xl168"/>
    <w:basedOn w:val="Normal"/>
    <w:pPr>
      <w:pBdr>
        <w:top w:val="single" w:sz="4" w:space="0" w:color="000000"/>
        <w:left w:val="single" w:sz="4" w:space="0" w:color="000000"/>
        <w:bottom w:val="single" w:sz="4" w:space="0" w:color="000000"/>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69">
    <w:name w:val="xl169"/>
    <w:basedOn w:val="Normal"/>
    <w:pPr>
      <w:pBdr>
        <w:top w:val="single" w:sz="4" w:space="0" w:color="auto"/>
        <w:left w:val="single" w:sz="4" w:space="0" w:color="000000"/>
        <w:bottom w:val="single" w:sz="4" w:space="0" w:color="000000"/>
        <w:right w:val="single" w:sz="4" w:space="0" w:color="000000"/>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70">
    <w:name w:val="xl170"/>
    <w:basedOn w:val="Normal"/>
    <w:pPr>
      <w:pBdr>
        <w:left w:val="single" w:sz="4"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171">
    <w:name w:val="xl171"/>
    <w:basedOn w:val="Normal"/>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72">
    <w:name w:val="xl172"/>
    <w:basedOn w:val="Normal"/>
    <w:pPr>
      <w:pBdr>
        <w:left w:val="single" w:sz="4" w:space="0" w:color="000000"/>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73">
    <w:name w:val="xl17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74">
    <w:name w:val="xl174"/>
    <w:basedOn w:val="Normal"/>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175">
    <w:name w:val="xl17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76">
    <w:name w:val="xl1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77">
    <w:name w:val="xl177"/>
    <w:basedOn w:val="Normal"/>
    <w:pPr>
      <w:pBdr>
        <w:top w:val="single" w:sz="4" w:space="0" w:color="auto"/>
        <w:left w:val="single" w:sz="4"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78">
    <w:name w:val="xl178"/>
    <w:basedOn w:val="Normal"/>
    <w:pPr>
      <w:pBdr>
        <w:left w:val="single" w:sz="4"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79">
    <w:name w:val="xl179"/>
    <w:basedOn w:val="Normal"/>
    <w:pPr>
      <w:pBdr>
        <w:top w:val="single" w:sz="4" w:space="0" w:color="000000"/>
        <w:left w:val="single" w:sz="4"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80">
    <w:name w:val="xl180"/>
    <w:basedOn w:val="Normal"/>
    <w:pPr>
      <w:pBdr>
        <w:lef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81">
    <w:name w:val="xl181"/>
    <w:basedOn w:val="Normal"/>
    <w:pPr>
      <w:pBdr>
        <w:left w:val="single" w:sz="4" w:space="0" w:color="000000"/>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82">
    <w:name w:val="xl182"/>
    <w:basedOn w:val="Normal"/>
    <w:pPr>
      <w:pBdr>
        <w:left w:val="single" w:sz="4"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83">
    <w:name w:val="xl183"/>
    <w:basedOn w:val="Normal"/>
    <w:pPr>
      <w:pBdr>
        <w:left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184">
    <w:name w:val="xl184"/>
    <w:basedOn w:val="Normal"/>
    <w:pPr>
      <w:pBdr>
        <w:left w:val="single" w:sz="4" w:space="0" w:color="auto"/>
        <w:bottom w:val="single" w:sz="4" w:space="0" w:color="000000"/>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85">
    <w:name w:val="xl185"/>
    <w:basedOn w:val="Normal"/>
    <w:pPr>
      <w:pBdr>
        <w:left w:val="single" w:sz="4" w:space="0" w:color="auto"/>
        <w:bottom w:val="single" w:sz="4" w:space="0" w:color="auto"/>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86">
    <w:name w:val="xl186"/>
    <w:basedOn w:val="Normal"/>
    <w:pPr>
      <w:pBdr>
        <w:left w:val="single" w:sz="4" w:space="0" w:color="000000"/>
        <w:bottom w:val="single" w:sz="4" w:space="0" w:color="auto"/>
        <w:right w:val="single" w:sz="4" w:space="0" w:color="auto"/>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87">
    <w:name w:val="xl187"/>
    <w:basedOn w:val="Normal"/>
    <w:pPr>
      <w:pBdr>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88">
    <w:name w:val="xl188"/>
    <w:basedOn w:val="Normal"/>
    <w:pPr>
      <w:pBdr>
        <w:left w:val="single" w:sz="4" w:space="0" w:color="auto"/>
        <w:bottom w:val="single" w:sz="4" w:space="0" w:color="auto"/>
        <w:right w:val="single" w:sz="4" w:space="0" w:color="auto"/>
      </w:pBdr>
      <w:shd w:val="clear" w:color="auto" w:fill="FF0000"/>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xl189">
    <w:name w:val="xl189"/>
    <w:basedOn w:val="Normal"/>
    <w:pPr>
      <w:pBdr>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90">
    <w:name w:val="xl190"/>
    <w:basedOn w:val="Normal"/>
    <w:pPr>
      <w:pBdr>
        <w:top w:val="single" w:sz="4" w:space="0" w:color="auto"/>
        <w:left w:val="single" w:sz="4" w:space="0" w:color="auto"/>
        <w:right w:val="single" w:sz="4" w:space="0" w:color="auto"/>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91">
    <w:name w:val="xl191"/>
    <w:basedOn w:val="Normal"/>
    <w:pPr>
      <w:pBdr>
        <w:left w:val="single" w:sz="4" w:space="0" w:color="auto"/>
        <w:right w:val="single" w:sz="4" w:space="0" w:color="auto"/>
      </w:pBdr>
      <w:shd w:val="clear" w:color="auto" w:fill="FF0000"/>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92">
    <w:name w:val="xl192"/>
    <w:basedOn w:val="Normal"/>
    <w:pPr>
      <w:pBdr>
        <w:top w:val="single" w:sz="4" w:space="0" w:color="auto"/>
        <w:left w:val="single" w:sz="4" w:space="0" w:color="auto"/>
        <w:right w:val="single" w:sz="4" w:space="0" w:color="auto"/>
      </w:pBdr>
      <w:shd w:val="clear" w:color="auto" w:fill="33CCCC"/>
      <w:spacing w:before="100" w:beforeAutospacing="1" w:after="100" w:afterAutospacing="1"/>
      <w:jc w:val="center"/>
      <w:textAlignment w:val="center"/>
    </w:pPr>
    <w:rPr>
      <w:rFonts w:ascii="Arial" w:eastAsia="Arial Unicode MS" w:hAnsi="Arial" w:cs="Arial"/>
      <w:color w:val="000000"/>
      <w:sz w:val="18"/>
      <w:szCs w:val="18"/>
    </w:rPr>
  </w:style>
  <w:style w:type="paragraph" w:customStyle="1" w:styleId="xl193">
    <w:name w:val="xl193"/>
    <w:basedOn w:val="Normal"/>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94">
    <w:name w:val="xl194"/>
    <w:basedOn w:val="Normal"/>
    <w:pPr>
      <w:pBdr>
        <w:top w:val="single" w:sz="4" w:space="0" w:color="auto"/>
        <w:left w:val="single" w:sz="4"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95">
    <w:name w:val="xl195"/>
    <w:basedOn w:val="Normal"/>
    <w:pPr>
      <w:pBdr>
        <w:top w:val="single" w:sz="4" w:space="0" w:color="auto"/>
        <w:left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color w:val="000000"/>
      <w:sz w:val="18"/>
      <w:szCs w:val="18"/>
    </w:rPr>
  </w:style>
  <w:style w:type="paragraph" w:customStyle="1" w:styleId="RD">
    <w:name w:val="RD"/>
    <w:basedOn w:val="Caption"/>
    <w:pPr>
      <w:keepNext/>
      <w:keepLines/>
      <w:spacing w:before="0" w:after="240"/>
      <w:jc w:val="left"/>
    </w:pPr>
    <w:rPr>
      <w:rFonts w:ascii="Times New Roman" w:hAnsi="Times New Roman"/>
      <w:smallCaps/>
    </w:rPr>
  </w:style>
  <w:style w:type="character" w:customStyle="1" w:styleId="fldtext">
    <w:name w:val="fldtext"/>
  </w:style>
  <w:style w:type="paragraph" w:customStyle="1" w:styleId="font5">
    <w:name w:val="font5"/>
    <w:basedOn w:val="Normal"/>
    <w:pPr>
      <w:spacing w:before="100" w:beforeAutospacing="1" w:after="100" w:afterAutospacing="1"/>
      <w:jc w:val="left"/>
    </w:pPr>
    <w:rPr>
      <w:rFonts w:ascii="Tahoma" w:eastAsia="Arial Unicode MS" w:hAnsi="Tahoma" w:cs="Tahoma"/>
      <w:color w:val="000000"/>
      <w:sz w:val="16"/>
      <w:szCs w:val="16"/>
    </w:rPr>
  </w:style>
  <w:style w:type="paragraph" w:customStyle="1" w:styleId="font6">
    <w:name w:val="font6"/>
    <w:basedOn w:val="Normal"/>
    <w:pPr>
      <w:spacing w:before="100" w:beforeAutospacing="1" w:after="100" w:afterAutospacing="1"/>
      <w:jc w:val="left"/>
    </w:pPr>
    <w:rPr>
      <w:rFonts w:ascii="Tahoma" w:eastAsia="Arial Unicode MS" w:hAnsi="Tahoma" w:cs="Tahoma"/>
      <w:b/>
      <w:bCs/>
      <w:color w:val="000000"/>
      <w:sz w:val="16"/>
      <w:szCs w:val="16"/>
    </w:rPr>
  </w:style>
  <w:style w:type="paragraph" w:styleId="BodyTextFirstIndent">
    <w:name w:val="Body Text First Indent"/>
    <w:basedOn w:val="BodyText"/>
    <w:link w:val="BodyTextFirstIndentChar"/>
    <w:pPr>
      <w:spacing w:before="0"/>
      <w:ind w:firstLine="210"/>
    </w:pPr>
    <w:rPr>
      <w:szCs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4"/>
      <w:lang w:val="sl-SI"/>
    </w:rPr>
  </w:style>
  <w:style w:type="paragraph" w:styleId="BodyTextFirstIndent2">
    <w:name w:val="Body Text First Indent 2"/>
    <w:basedOn w:val="BodyTextIndent"/>
    <w:link w:val="BodyTextFirstIndent2Char"/>
    <w:pPr>
      <w:numPr>
        <w:numId w:val="0"/>
      </w:numPr>
      <w:spacing w:before="0"/>
      <w:ind w:left="283" w:firstLine="210"/>
      <w:jc w:val="left"/>
    </w:pPr>
    <w:rPr>
      <w:sz w:val="22"/>
      <w:szCs w:val="24"/>
    </w:r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4"/>
      <w:lang w:val="sl-SI"/>
    </w:rPr>
  </w:style>
  <w:style w:type="paragraph" w:styleId="Closing">
    <w:name w:val="Closing"/>
    <w:basedOn w:val="Normal"/>
    <w:link w:val="ClosingChar"/>
    <w:pPr>
      <w:spacing w:before="0" w:after="60"/>
      <w:ind w:left="4252"/>
      <w:jc w:val="left"/>
    </w:pPr>
    <w:rPr>
      <w:rFonts w:eastAsia="Times New Roman"/>
      <w:sz w:val="22"/>
      <w:szCs w:val="24"/>
    </w:rPr>
  </w:style>
  <w:style w:type="character" w:customStyle="1" w:styleId="ClosingChar">
    <w:name w:val="Closing Char"/>
    <w:basedOn w:val="DefaultParagraphFont"/>
    <w:link w:val="Closing"/>
    <w:rPr>
      <w:rFonts w:ascii="Times New Roman" w:eastAsia="Times New Roman" w:hAnsi="Times New Roman" w:cs="Times New Roman"/>
      <w:szCs w:val="24"/>
      <w:lang w:val="sl-SI"/>
    </w:rPr>
  </w:style>
  <w:style w:type="paragraph" w:styleId="E-mailSignature">
    <w:name w:val="E-mail Signature"/>
    <w:basedOn w:val="Normal"/>
    <w:link w:val="E-mailSignatureChar"/>
    <w:pPr>
      <w:spacing w:before="0" w:after="60"/>
      <w:jc w:val="left"/>
    </w:pPr>
    <w:rPr>
      <w:rFonts w:eastAsia="Times New Roman"/>
      <w:sz w:val="22"/>
      <w:szCs w:val="24"/>
    </w:rPr>
  </w:style>
  <w:style w:type="character" w:customStyle="1" w:styleId="E-mailSignatureChar">
    <w:name w:val="E-mail Signature Char"/>
    <w:basedOn w:val="DefaultParagraphFont"/>
    <w:link w:val="E-mailSignature"/>
    <w:rPr>
      <w:rFonts w:ascii="Times New Roman" w:eastAsia="Times New Roman" w:hAnsi="Times New Roman" w:cs="Times New Roman"/>
      <w:szCs w:val="24"/>
      <w:lang w:val="sl-SI"/>
    </w:rPr>
  </w:style>
  <w:style w:type="paragraph" w:styleId="EnvelopeAddress">
    <w:name w:val="envelope address"/>
    <w:basedOn w:val="Normal"/>
    <w:pPr>
      <w:framePr w:w="7920" w:h="1980" w:hRule="exact" w:hSpace="180" w:wrap="auto" w:hAnchor="page" w:xAlign="center" w:yAlign="bottom"/>
      <w:spacing w:before="0" w:after="60"/>
      <w:ind w:left="2880"/>
      <w:jc w:val="left"/>
    </w:pPr>
    <w:rPr>
      <w:rFonts w:ascii="Arial" w:eastAsia="Times New Roman" w:hAnsi="Arial" w:cs="Arial"/>
      <w:sz w:val="22"/>
      <w:szCs w:val="24"/>
    </w:rPr>
  </w:style>
  <w:style w:type="paragraph" w:styleId="EnvelopeReturn">
    <w:name w:val="envelope return"/>
    <w:basedOn w:val="Normal"/>
    <w:pPr>
      <w:spacing w:before="0" w:after="60"/>
      <w:jc w:val="left"/>
    </w:pPr>
    <w:rPr>
      <w:rFonts w:ascii="Arial" w:eastAsia="Times New Roman" w:hAnsi="Arial" w:cs="Arial"/>
      <w:sz w:val="20"/>
      <w:szCs w:val="20"/>
    </w:rPr>
  </w:style>
  <w:style w:type="paragraph" w:styleId="HTMLAddress">
    <w:name w:val="HTML Address"/>
    <w:basedOn w:val="Normal"/>
    <w:link w:val="HTMLAddressChar"/>
    <w:pPr>
      <w:spacing w:before="0" w:after="60"/>
      <w:jc w:val="left"/>
    </w:pPr>
    <w:rPr>
      <w:rFonts w:eastAsia="Times New Roman"/>
      <w:i/>
      <w:iCs/>
      <w:sz w:val="22"/>
      <w:szCs w:val="24"/>
    </w:rPr>
  </w:style>
  <w:style w:type="character" w:customStyle="1" w:styleId="HTMLAddressChar">
    <w:name w:val="HTML Address Char"/>
    <w:basedOn w:val="DefaultParagraphFont"/>
    <w:link w:val="HTMLAddress"/>
    <w:rPr>
      <w:rFonts w:ascii="Times New Roman" w:eastAsia="Times New Roman" w:hAnsi="Times New Roman" w:cs="Times New Roman"/>
      <w:i/>
      <w:iCs/>
      <w:szCs w:val="24"/>
      <w:lang w:val="sl-SI"/>
    </w:rPr>
  </w:style>
  <w:style w:type="paragraph" w:styleId="HTMLPreformatted">
    <w:name w:val="HTML Preformatted"/>
    <w:basedOn w:val="Normal"/>
    <w:link w:val="HTMLPreformattedChar"/>
    <w:pPr>
      <w:spacing w:before="0" w:after="6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lang w:val="sl-SI"/>
    </w:rPr>
  </w:style>
  <w:style w:type="paragraph" w:styleId="List">
    <w:name w:val="List"/>
    <w:basedOn w:val="Normal"/>
    <w:pPr>
      <w:spacing w:before="0" w:after="60"/>
      <w:ind w:left="283" w:hanging="283"/>
      <w:jc w:val="left"/>
    </w:pPr>
    <w:rPr>
      <w:rFonts w:eastAsia="Times New Roman"/>
      <w:sz w:val="22"/>
      <w:szCs w:val="24"/>
    </w:rPr>
  </w:style>
  <w:style w:type="paragraph" w:styleId="List2">
    <w:name w:val="List 2"/>
    <w:basedOn w:val="Normal"/>
    <w:pPr>
      <w:spacing w:before="0" w:after="60"/>
      <w:ind w:left="566" w:hanging="283"/>
      <w:jc w:val="left"/>
    </w:pPr>
    <w:rPr>
      <w:rFonts w:eastAsia="Times New Roman"/>
      <w:sz w:val="22"/>
      <w:szCs w:val="24"/>
    </w:rPr>
  </w:style>
  <w:style w:type="paragraph" w:styleId="List3">
    <w:name w:val="List 3"/>
    <w:basedOn w:val="Normal"/>
    <w:pPr>
      <w:spacing w:before="0" w:after="60"/>
      <w:ind w:left="849" w:hanging="283"/>
      <w:jc w:val="left"/>
    </w:pPr>
    <w:rPr>
      <w:rFonts w:eastAsia="Times New Roman"/>
      <w:sz w:val="22"/>
      <w:szCs w:val="24"/>
    </w:rPr>
  </w:style>
  <w:style w:type="paragraph" w:styleId="List4">
    <w:name w:val="List 4"/>
    <w:basedOn w:val="Normal"/>
    <w:pPr>
      <w:spacing w:before="0" w:after="60"/>
      <w:ind w:left="1132" w:hanging="283"/>
      <w:jc w:val="left"/>
    </w:pPr>
    <w:rPr>
      <w:rFonts w:eastAsia="Times New Roman"/>
      <w:sz w:val="22"/>
      <w:szCs w:val="24"/>
    </w:rPr>
  </w:style>
  <w:style w:type="paragraph" w:styleId="List5">
    <w:name w:val="List 5"/>
    <w:basedOn w:val="Normal"/>
    <w:pPr>
      <w:spacing w:before="0" w:after="60"/>
      <w:ind w:left="1415" w:hanging="283"/>
      <w:jc w:val="left"/>
    </w:pPr>
    <w:rPr>
      <w:rFonts w:eastAsia="Times New Roman"/>
      <w:sz w:val="22"/>
      <w:szCs w:val="24"/>
    </w:rPr>
  </w:style>
  <w:style w:type="paragraph" w:styleId="ListBullet5">
    <w:name w:val="List Bullet 5"/>
    <w:basedOn w:val="Normal"/>
    <w:autoRedefine/>
    <w:pPr>
      <w:tabs>
        <w:tab w:val="num" w:pos="1492"/>
      </w:tabs>
      <w:spacing w:before="0" w:after="60"/>
      <w:ind w:left="1492" w:hanging="360"/>
      <w:jc w:val="left"/>
    </w:pPr>
    <w:rPr>
      <w:rFonts w:eastAsia="Times New Roman"/>
      <w:sz w:val="22"/>
      <w:szCs w:val="24"/>
    </w:rPr>
  </w:style>
  <w:style w:type="paragraph" w:styleId="ListContinue">
    <w:name w:val="List Continue"/>
    <w:basedOn w:val="Normal"/>
    <w:pPr>
      <w:spacing w:before="0"/>
      <w:ind w:left="283"/>
      <w:jc w:val="left"/>
    </w:pPr>
    <w:rPr>
      <w:rFonts w:eastAsia="Times New Roman"/>
      <w:sz w:val="22"/>
      <w:szCs w:val="24"/>
    </w:rPr>
  </w:style>
  <w:style w:type="paragraph" w:styleId="ListContinue2">
    <w:name w:val="List Continue 2"/>
    <w:basedOn w:val="Normal"/>
    <w:pPr>
      <w:spacing w:before="0"/>
      <w:ind w:left="566"/>
      <w:jc w:val="left"/>
    </w:pPr>
    <w:rPr>
      <w:rFonts w:eastAsia="Times New Roman"/>
      <w:sz w:val="22"/>
      <w:szCs w:val="24"/>
    </w:rPr>
  </w:style>
  <w:style w:type="paragraph" w:styleId="ListContinue3">
    <w:name w:val="List Continue 3"/>
    <w:basedOn w:val="Normal"/>
    <w:pPr>
      <w:spacing w:before="0"/>
      <w:ind w:left="849"/>
      <w:jc w:val="left"/>
    </w:pPr>
    <w:rPr>
      <w:rFonts w:eastAsia="Times New Roman"/>
      <w:sz w:val="22"/>
      <w:szCs w:val="24"/>
    </w:rPr>
  </w:style>
  <w:style w:type="paragraph" w:styleId="ListContinue4">
    <w:name w:val="List Continue 4"/>
    <w:basedOn w:val="Normal"/>
    <w:pPr>
      <w:spacing w:before="0"/>
      <w:ind w:left="1132"/>
      <w:jc w:val="left"/>
    </w:pPr>
    <w:rPr>
      <w:rFonts w:eastAsia="Times New Roman"/>
      <w:sz w:val="22"/>
      <w:szCs w:val="24"/>
    </w:rPr>
  </w:style>
  <w:style w:type="paragraph" w:styleId="ListContinue5">
    <w:name w:val="List Continue 5"/>
    <w:basedOn w:val="Normal"/>
    <w:pPr>
      <w:spacing w:before="0"/>
      <w:ind w:left="1415"/>
      <w:jc w:val="left"/>
    </w:pPr>
    <w:rPr>
      <w:rFonts w:eastAsia="Times New Roman"/>
      <w:sz w:val="22"/>
      <w:szCs w:val="24"/>
    </w:rPr>
  </w:style>
  <w:style w:type="paragraph" w:styleId="ListNumber2">
    <w:name w:val="List Number 2"/>
    <w:basedOn w:val="Normal"/>
    <w:pPr>
      <w:tabs>
        <w:tab w:val="num" w:pos="643"/>
      </w:tabs>
      <w:spacing w:before="0" w:after="60"/>
      <w:ind w:left="643" w:hanging="360"/>
      <w:jc w:val="left"/>
    </w:pPr>
    <w:rPr>
      <w:rFonts w:eastAsia="Times New Roman"/>
      <w:sz w:val="22"/>
      <w:szCs w:val="24"/>
    </w:rPr>
  </w:style>
  <w:style w:type="paragraph" w:styleId="ListNumber4">
    <w:name w:val="List Number 4"/>
    <w:basedOn w:val="Normal"/>
    <w:pPr>
      <w:tabs>
        <w:tab w:val="num" w:pos="1209"/>
      </w:tabs>
      <w:spacing w:before="0" w:after="60"/>
      <w:ind w:left="1209" w:hanging="360"/>
      <w:jc w:val="left"/>
    </w:pPr>
    <w:rPr>
      <w:rFonts w:eastAsia="Times New Roman"/>
      <w:sz w:val="22"/>
      <w:szCs w:val="24"/>
    </w:rPr>
  </w:style>
  <w:style w:type="paragraph" w:styleId="ListNumber5">
    <w:name w:val="List Number 5"/>
    <w:basedOn w:val="Normal"/>
    <w:pPr>
      <w:tabs>
        <w:tab w:val="num" w:pos="1492"/>
      </w:tabs>
      <w:spacing w:before="0" w:after="60"/>
      <w:ind w:left="1492" w:hanging="360"/>
      <w:jc w:val="left"/>
    </w:pPr>
    <w:rPr>
      <w:rFonts w:eastAsia="Times New Roman"/>
      <w:sz w:val="22"/>
      <w:szCs w:val="24"/>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60"/>
      <w:ind w:left="1134" w:hanging="1134"/>
      <w:jc w:val="left"/>
    </w:pPr>
    <w:rPr>
      <w:rFonts w:ascii="Arial" w:eastAsia="Times New Roman" w:hAnsi="Arial" w:cs="Arial"/>
      <w:sz w:val="22"/>
      <w:szCs w:val="24"/>
    </w:rPr>
  </w:style>
  <w:style w:type="character" w:customStyle="1" w:styleId="MessageHeaderChar">
    <w:name w:val="Message Header Char"/>
    <w:basedOn w:val="DefaultParagraphFont"/>
    <w:link w:val="MessageHeader"/>
    <w:rPr>
      <w:rFonts w:ascii="Arial" w:eastAsia="Times New Roman" w:hAnsi="Arial" w:cs="Arial"/>
      <w:szCs w:val="24"/>
      <w:shd w:val="pct20" w:color="auto" w:fill="auto"/>
      <w:lang w:val="sl-SI"/>
    </w:rPr>
  </w:style>
  <w:style w:type="paragraph" w:styleId="NoteHeading">
    <w:name w:val="Note Heading"/>
    <w:basedOn w:val="Normal"/>
    <w:next w:val="Normal"/>
    <w:link w:val="NoteHeadingChar"/>
    <w:pPr>
      <w:spacing w:before="0" w:after="60"/>
      <w:jc w:val="left"/>
    </w:pPr>
    <w:rPr>
      <w:rFonts w:eastAsia="Times New Roman"/>
      <w:sz w:val="22"/>
      <w:szCs w:val="24"/>
    </w:rPr>
  </w:style>
  <w:style w:type="character" w:customStyle="1" w:styleId="NoteHeadingChar">
    <w:name w:val="Note Heading Char"/>
    <w:basedOn w:val="DefaultParagraphFont"/>
    <w:link w:val="NoteHeading"/>
    <w:rPr>
      <w:rFonts w:ascii="Times New Roman" w:eastAsia="Times New Roman" w:hAnsi="Times New Roman" w:cs="Times New Roman"/>
      <w:szCs w:val="24"/>
      <w:lang w:val="sl-SI"/>
    </w:rPr>
  </w:style>
  <w:style w:type="paragraph" w:styleId="Salutation">
    <w:name w:val="Salutation"/>
    <w:basedOn w:val="Normal"/>
    <w:next w:val="Normal"/>
    <w:link w:val="SalutationChar"/>
    <w:pPr>
      <w:spacing w:before="0" w:after="60"/>
      <w:jc w:val="left"/>
    </w:pPr>
    <w:rPr>
      <w:rFonts w:eastAsia="Times New Roman"/>
      <w:sz w:val="22"/>
      <w:szCs w:val="24"/>
    </w:rPr>
  </w:style>
  <w:style w:type="character" w:customStyle="1" w:styleId="SalutationChar">
    <w:name w:val="Salutation Char"/>
    <w:basedOn w:val="DefaultParagraphFont"/>
    <w:link w:val="Salutation"/>
    <w:rPr>
      <w:rFonts w:ascii="Times New Roman" w:eastAsia="Times New Roman" w:hAnsi="Times New Roman" w:cs="Times New Roman"/>
      <w:szCs w:val="24"/>
      <w:lang w:val="sl-SI"/>
    </w:rPr>
  </w:style>
  <w:style w:type="paragraph" w:styleId="Signature">
    <w:name w:val="Signature"/>
    <w:basedOn w:val="Normal"/>
    <w:link w:val="SignatureChar"/>
    <w:pPr>
      <w:spacing w:before="0" w:after="60"/>
      <w:ind w:left="4252"/>
      <w:jc w:val="left"/>
    </w:pPr>
    <w:rPr>
      <w:rFonts w:eastAsia="Times New Roman"/>
      <w:sz w:val="22"/>
      <w:szCs w:val="24"/>
    </w:rPr>
  </w:style>
  <w:style w:type="character" w:customStyle="1" w:styleId="SignatureChar">
    <w:name w:val="Signature Char"/>
    <w:basedOn w:val="DefaultParagraphFont"/>
    <w:link w:val="Signature"/>
    <w:rPr>
      <w:rFonts w:ascii="Times New Roman" w:eastAsia="Times New Roman" w:hAnsi="Times New Roman" w:cs="Times New Roman"/>
      <w:szCs w:val="24"/>
      <w:lang w:val="sl-SI"/>
    </w:rPr>
  </w:style>
  <w:style w:type="paragraph" w:styleId="Subtitle">
    <w:name w:val="Subtitle"/>
    <w:basedOn w:val="Normal"/>
    <w:link w:val="SubtitleChar"/>
    <w:qFormat/>
    <w:pPr>
      <w:spacing w:before="0" w:after="60"/>
      <w:jc w:val="center"/>
      <w:outlineLvl w:val="1"/>
    </w:pPr>
    <w:rPr>
      <w:rFonts w:ascii="Arial" w:eastAsia="Times New Roman" w:hAnsi="Arial" w:cs="Arial"/>
      <w:sz w:val="22"/>
      <w:szCs w:val="24"/>
    </w:rPr>
  </w:style>
  <w:style w:type="character" w:customStyle="1" w:styleId="SubtitleChar">
    <w:name w:val="Subtitle Char"/>
    <w:basedOn w:val="DefaultParagraphFont"/>
    <w:link w:val="Subtitle"/>
    <w:rPr>
      <w:rFonts w:ascii="Arial" w:eastAsia="Times New Roman" w:hAnsi="Arial" w:cs="Arial"/>
      <w:szCs w:val="24"/>
      <w:lang w:val="sl-SI"/>
    </w:rPr>
  </w:style>
  <w:style w:type="paragraph" w:styleId="Title">
    <w:name w:val="Title"/>
    <w:basedOn w:val="Normal"/>
    <w:link w:val="TitleChar"/>
    <w:qFormat/>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Pr>
      <w:rFonts w:ascii="Arial" w:eastAsia="Times New Roman" w:hAnsi="Arial" w:cs="Arial"/>
      <w:b/>
      <w:bCs/>
      <w:kern w:val="28"/>
      <w:sz w:val="32"/>
      <w:szCs w:val="32"/>
      <w:lang w:val="sl-SI"/>
    </w:rPr>
  </w:style>
  <w:style w:type="table" w:styleId="TableGrid7">
    <w:name w:val="Table Grid 7"/>
    <w:basedOn w:val="TableNormal"/>
    <w:pPr>
      <w:spacing w:after="0" w:line="240" w:lineRule="auto"/>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5Heading5CFMUPara5h5t5T5JustifiedBefore">
    <w:name w:val="Heading 5Heading 5 CFMUPara 5h5t5.T5 + Justified Before:..."/>
    <w:basedOn w:val="Heading5"/>
    <w:pPr>
      <w:keepNext/>
      <w:widowControl w:val="0"/>
      <w:tabs>
        <w:tab w:val="clear" w:pos="0"/>
        <w:tab w:val="num" w:pos="1008"/>
        <w:tab w:val="left" w:pos="1134"/>
      </w:tabs>
      <w:spacing w:before="360" w:after="240"/>
      <w:ind w:left="1008" w:hanging="1008"/>
      <w:jc w:val="left"/>
    </w:pPr>
    <w:rPr>
      <w:rFonts w:ascii="Times New Roman" w:hAnsi="Times New Roman"/>
      <w:bCs w:val="0"/>
      <w:i w:val="0"/>
      <w:iCs w:val="0"/>
      <w:sz w:val="24"/>
      <w:szCs w:val="22"/>
    </w:rPr>
  </w:style>
  <w:style w:type="paragraph" w:customStyle="1" w:styleId="TableauJVI">
    <w:name w:val="TableauJVI"/>
    <w:basedOn w:val="Normal"/>
    <w:pPr>
      <w:spacing w:before="0" w:after="60"/>
      <w:jc w:val="center"/>
    </w:pPr>
    <w:rPr>
      <w:rFonts w:eastAsia="Times New Roman"/>
      <w:sz w:val="22"/>
      <w:szCs w:val="24"/>
    </w:rPr>
  </w:style>
  <w:style w:type="paragraph" w:customStyle="1" w:styleId="Arial">
    <w:name w:val="Arial"/>
    <w:basedOn w:val="Normal"/>
    <w:pPr>
      <w:spacing w:before="60" w:after="60"/>
      <w:ind w:left="-142" w:right="-111"/>
      <w:jc w:val="left"/>
    </w:pPr>
    <w:rPr>
      <w:rFonts w:eastAsia="Times New Roman"/>
      <w:sz w:val="22"/>
      <w:szCs w:val="20"/>
    </w:rPr>
  </w:style>
  <w:style w:type="paragraph" w:customStyle="1" w:styleId="Tahoma">
    <w:name w:val="Tahoma"/>
    <w:basedOn w:val="Arial"/>
  </w:style>
  <w:style w:type="paragraph" w:customStyle="1" w:styleId="annex1">
    <w:name w:val="annex1"/>
    <w:basedOn w:val="Normal"/>
    <w:next w:val="Normal"/>
    <w:pPr>
      <w:numPr>
        <w:numId w:val="18"/>
      </w:numPr>
      <w:spacing w:before="160" w:after="0"/>
      <w:outlineLvl w:val="1"/>
    </w:pPr>
    <w:rPr>
      <w:rFonts w:eastAsia="Times New Roman"/>
      <w:b/>
      <w:smallCaps/>
      <w:szCs w:val="20"/>
    </w:rPr>
  </w:style>
  <w:style w:type="paragraph" w:customStyle="1" w:styleId="Annex">
    <w:name w:val="Annex"/>
    <w:basedOn w:val="Heading1"/>
    <w:pPr>
      <w:pageBreakBefore/>
      <w:widowControl w:val="0"/>
      <w:numPr>
        <w:numId w:val="0"/>
      </w:numPr>
      <w:spacing w:before="120" w:after="60"/>
    </w:pPr>
    <w:rPr>
      <w:rFonts w:eastAsia="Times New Roman"/>
      <w:bCs w:val="0"/>
      <w:sz w:val="28"/>
      <w:szCs w:val="20"/>
    </w:rPr>
  </w:style>
  <w:style w:type="paragraph" w:customStyle="1" w:styleId="annex2">
    <w:name w:val="annex2"/>
    <w:basedOn w:val="annex1"/>
    <w:pPr>
      <w:numPr>
        <w:ilvl w:val="1"/>
      </w:numPr>
      <w:tabs>
        <w:tab w:val="clear" w:pos="576"/>
        <w:tab w:val="num" w:pos="993"/>
      </w:tabs>
    </w:pPr>
  </w:style>
  <w:style w:type="character" w:customStyle="1" w:styleId="CaptionChar">
    <w:name w:val="Caption Char"/>
    <w:aliases w:val="CaptionCFMU Char,CaptionTLS Char"/>
    <w:link w:val="Caption"/>
    <w:rPr>
      <w:rFonts w:ascii="CG Times (W1)" w:eastAsia="Times New Roman" w:hAnsi="CG Times (W1)" w:cs="Times New Roman"/>
      <w:sz w:val="20"/>
      <w:szCs w:val="20"/>
      <w:lang w:val="sl-SI"/>
    </w:rPr>
  </w:style>
  <w:style w:type="character" w:styleId="PlaceholderText">
    <w:name w:val="Placeholder Text"/>
    <w:uiPriority w:val="99"/>
    <w:semiHidden/>
    <w:rPr>
      <w:color w:val="808080"/>
    </w:rPr>
  </w:style>
  <w:style w:type="character" w:customStyle="1" w:styleId="st">
    <w:name w:val="st"/>
  </w:style>
  <w:style w:type="character" w:customStyle="1" w:styleId="WW8Num1z0">
    <w:name w:val="WW8Num1z0"/>
    <w:rPr>
      <w:rFonts w:ascii="Symbol" w:hAnsi="Symbol" w:cs="Symbol"/>
    </w:rPr>
  </w:style>
  <w:style w:type="character" w:customStyle="1" w:styleId="UnresolvedMention1">
    <w:name w:val="Unresolved Mention1"/>
    <w:uiPriority w:val="99"/>
    <w:semiHidden/>
    <w:unhideWhenUsed/>
    <w:rPr>
      <w:color w:val="808080"/>
      <w:shd w:val="clear" w:color="auto" w:fill="E6E6E6"/>
    </w:rPr>
  </w:style>
  <w:style w:type="numbering" w:customStyle="1" w:styleId="NoList2">
    <w:name w:val="No List2"/>
    <w:next w:val="NoList"/>
    <w:uiPriority w:val="99"/>
    <w:semiHidden/>
    <w:unhideWhenUsed/>
  </w:style>
  <w:style w:type="numbering" w:customStyle="1" w:styleId="NoList111">
    <w:name w:val="No List111"/>
    <w:next w:val="NoList"/>
    <w:uiPriority w:val="99"/>
    <w:semiHidden/>
    <w:unhideWhenUsed/>
  </w:style>
  <w:style w:type="numbering" w:customStyle="1" w:styleId="NoList1111">
    <w:name w:val="No List1111"/>
    <w:next w:val="NoList"/>
    <w:uiPriority w:val="99"/>
    <w:semiHidden/>
    <w:unhideWhenUsed/>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 71"/>
    <w:basedOn w:val="TableNormal"/>
    <w:next w:val="TableGrid7"/>
    <w:pPr>
      <w:spacing w:after="0" w:line="240" w:lineRule="auto"/>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4627E8"/>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4627E8"/>
    <w:pPr>
      <w:spacing w:before="0" w:after="240"/>
      <w:jc w:val="center"/>
    </w:pPr>
  </w:style>
  <w:style w:type="character" w:customStyle="1" w:styleId="TechnicalBlockChar">
    <w:name w:val="Technical Block Char"/>
    <w:basedOn w:val="DefaultParagraphFont"/>
    <w:link w:val="TechnicalBlock"/>
    <w:rsid w:val="004627E8"/>
    <w:rPr>
      <w:rFonts w:ascii="Times New Roman" w:hAnsi="Times New Roman" w:cs="Times New Roman"/>
      <w:sz w:val="24"/>
      <w:lang w:val="sl-SI"/>
    </w:rPr>
  </w:style>
  <w:style w:type="paragraph" w:customStyle="1" w:styleId="Lignefinal">
    <w:name w:val="Ligne final"/>
    <w:basedOn w:val="Normal"/>
    <w:next w:val="Normal"/>
    <w:rsid w:val="004627E8"/>
    <w:pPr>
      <w:pBdr>
        <w:bottom w:val="single" w:sz="4" w:space="0" w:color="000000"/>
      </w:pBdr>
      <w:spacing w:before="360" w:line="360" w:lineRule="auto"/>
      <w:ind w:left="3400" w:right="3400"/>
      <w:jc w:val="center"/>
    </w:pPr>
    <w:rPr>
      <w:b/>
    </w:rPr>
  </w:style>
  <w:style w:type="paragraph" w:customStyle="1" w:styleId="EntText">
    <w:name w:val="EntText"/>
    <w:basedOn w:val="Normal"/>
    <w:rsid w:val="004627E8"/>
    <w:pPr>
      <w:spacing w:line="360" w:lineRule="auto"/>
      <w:jc w:val="left"/>
    </w:pPr>
  </w:style>
  <w:style w:type="paragraph" w:customStyle="1" w:styleId="pj">
    <w:name w:val="p.j."/>
    <w:basedOn w:val="Normal"/>
    <w:link w:val="pjChar"/>
    <w:rsid w:val="004627E8"/>
    <w:pPr>
      <w:spacing w:before="1200"/>
      <w:ind w:left="1440" w:hanging="1440"/>
      <w:jc w:val="left"/>
    </w:pPr>
  </w:style>
  <w:style w:type="character" w:customStyle="1" w:styleId="pjChar">
    <w:name w:val="p.j. Char"/>
    <w:basedOn w:val="TechnicalBlockChar"/>
    <w:link w:val="pj"/>
    <w:rsid w:val="004627E8"/>
    <w:rPr>
      <w:rFonts w:ascii="Times New Roman" w:hAnsi="Times New Roman" w:cs="Times New Roman"/>
      <w:sz w:val="24"/>
      <w:lang w:val="sl-SI"/>
    </w:rPr>
  </w:style>
  <w:style w:type="paragraph" w:customStyle="1" w:styleId="nbbordered">
    <w:name w:val="nb bordered"/>
    <w:basedOn w:val="Normal"/>
    <w:link w:val="nbborderedChar"/>
    <w:rsid w:val="004627E8"/>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4627E8"/>
    <w:rPr>
      <w:rFonts w:ascii="Times New Roman" w:hAnsi="Times New Roman" w:cs="Times New Roman"/>
      <w:b/>
      <w:sz w:val="24"/>
      <w:lang w:val="sl-SI"/>
    </w:rPr>
  </w:style>
  <w:style w:type="paragraph" w:customStyle="1" w:styleId="HeaderCouncil">
    <w:name w:val="Header Council"/>
    <w:basedOn w:val="Normal"/>
    <w:link w:val="HeaderCouncilChar"/>
    <w:rsid w:val="004627E8"/>
    <w:pPr>
      <w:spacing w:before="0" w:after="0"/>
    </w:pPr>
    <w:rPr>
      <w:sz w:val="2"/>
    </w:rPr>
  </w:style>
  <w:style w:type="character" w:customStyle="1" w:styleId="HeaderCouncilChar">
    <w:name w:val="Header Council Char"/>
    <w:basedOn w:val="DefaultParagraphFont"/>
    <w:link w:val="HeaderCouncil"/>
    <w:rsid w:val="004627E8"/>
    <w:rPr>
      <w:rFonts w:ascii="Times New Roman" w:hAnsi="Times New Roman" w:cs="Times New Roman"/>
      <w:sz w:val="2"/>
      <w:lang w:val="sl-SI"/>
    </w:rPr>
  </w:style>
  <w:style w:type="paragraph" w:customStyle="1" w:styleId="HeaderCouncilLarge">
    <w:name w:val="Header Council Large"/>
    <w:basedOn w:val="Normal"/>
    <w:link w:val="HeaderCouncilLargeChar"/>
    <w:rsid w:val="004627E8"/>
    <w:pPr>
      <w:spacing w:before="0" w:after="440"/>
    </w:pPr>
    <w:rPr>
      <w:sz w:val="2"/>
    </w:rPr>
  </w:style>
  <w:style w:type="character" w:customStyle="1" w:styleId="HeaderCouncilLargeChar">
    <w:name w:val="Header Council Large Char"/>
    <w:basedOn w:val="DefaultParagraphFont"/>
    <w:link w:val="HeaderCouncilLarge"/>
    <w:rsid w:val="004627E8"/>
    <w:rPr>
      <w:rFonts w:ascii="Times New Roman" w:hAnsi="Times New Roman" w:cs="Times New Roman"/>
      <w:sz w:val="2"/>
      <w:lang w:val="sl-SI"/>
    </w:rPr>
  </w:style>
  <w:style w:type="paragraph" w:customStyle="1" w:styleId="FooterCouncil">
    <w:name w:val="Footer Council"/>
    <w:basedOn w:val="Normal"/>
    <w:link w:val="FooterCouncilChar"/>
    <w:rsid w:val="004627E8"/>
    <w:pPr>
      <w:spacing w:before="0" w:after="0"/>
    </w:pPr>
    <w:rPr>
      <w:sz w:val="2"/>
    </w:rPr>
  </w:style>
  <w:style w:type="character" w:customStyle="1" w:styleId="FooterCouncilChar">
    <w:name w:val="Footer Council Char"/>
    <w:basedOn w:val="DefaultParagraphFont"/>
    <w:link w:val="FooterCouncil"/>
    <w:rsid w:val="004627E8"/>
    <w:rPr>
      <w:rFonts w:ascii="Times New Roman" w:hAnsi="Times New Roman" w:cs="Times New Roman"/>
      <w:sz w:val="2"/>
      <w:lang w:val="sl-SI"/>
    </w:rPr>
  </w:style>
  <w:style w:type="paragraph" w:customStyle="1" w:styleId="FooterText">
    <w:name w:val="Footer Text"/>
    <w:basedOn w:val="Normal"/>
    <w:rsid w:val="004627E8"/>
    <w:pPr>
      <w:spacing w:before="0" w:after="0"/>
      <w:jc w:val="left"/>
    </w:pPr>
    <w:rPr>
      <w:rFonts w:eastAsia="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55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portal.ccntc.ccncsi.int:8080/portal/DesktopDefault.aspx?tabid=1" TargetMode="External"/><Relationship Id="rId2" Type="http://schemas.openxmlformats.org/officeDocument/2006/relationships/hyperlink" Target="http://www.best-management-practice.com/gempdf/itSMF_An_Introductory_Overview_of_ITIL_V3.pdf" TargetMode="External"/><Relationship Id="rId1" Type="http://schemas.openxmlformats.org/officeDocument/2006/relationships/hyperlink" Target="http://www.itil-officialsi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637456A-0F7A-43F8-BAA3-21FE3F5B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6</Pages>
  <Words>9087</Words>
  <Characters>51801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DQC</dc:creator>
  <cp:lastModifiedBy>NOVAK Roman</cp:lastModifiedBy>
  <cp:revision>3</cp:revision>
  <cp:lastPrinted>2018-10-29T14:56:00Z</cp:lastPrinted>
  <dcterms:created xsi:type="dcterms:W3CDTF">2018-12-12T12:07:00Z</dcterms:created>
  <dcterms:modified xsi:type="dcterms:W3CDTF">2018-12-12T12:07:00Z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DocuWrite 4.2.4, Build 20181108</vt:lpwstr>
  </property>
  <property fmtid="{D5CDD505-2E9C-101B-9397-08002B2CF9AE}" pid="5" name="Created using">
    <vt:lpwstr>DocuWrite 4.2.4, Build 20181108</vt:lpwstr>
  </property>
  <property fmtid="{D5CDD505-2E9C-101B-9397-08002B2CF9AE}" pid="6" name="First annex">
    <vt:lpwstr>1</vt:lpwstr>
  </property>
  <property fmtid="{D5CDD505-2E9C-101B-9397-08002B2CF9AE}" pid="7" name="Last annex">
    <vt:lpwstr>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