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66" w:rsidRDefault="005B7AF2" w:rsidP="00684566">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5503/18.&#10;Subject Codes: FISC 558 N 67 ECOFIN 1197.&#10;Heading: PREDLOG.&#10;Originator: za generalnega sekretarja Evropske komisije: direktor Jordi AYET PUIGARNAU.&#10;Recipient: generalni sekretar Sveta Evropske unije Jeppe TRANHOLM-MIKKELSEN.&#10;Subject: Predlog SKLEPA SVETA o stališču, ki se v imenu Evropske unije zastopa v skupnem odboru, ustanovljenem na podlagi člena 41(1) Sporazuma med Evropsko unijo in Kraljevino Norveško o upravnem sodelovanju, boju proti goljufijam in izterjavi terjatev na področju davka na dodano vrednost.&#10;Commission Document Number: COM(2018) 832 final.&#10;Preceeding Document Number: Not Set.&#10;Location: Bruselj.&#10;Date: 12. december 2018.&#10;Interinstitutional Files: 2018/0422 (NLE).&#10;Institutional Framework: Svet Evropske unije.&#10;Language: SL.&#10;Distribution Code: PUBLIC.&#10;GUID: 5078778620231536171_0" style="width:568.5pt;height:395.25pt">
            <v:imagedata r:id="rId8" o:title=""/>
          </v:shape>
        </w:pict>
      </w:r>
      <w:bookmarkEnd w:id="0"/>
    </w:p>
    <w:p w:rsidR="00684566" w:rsidRDefault="00684566" w:rsidP="00684566">
      <w:pPr>
        <w:pStyle w:val="EntText"/>
        <w:spacing w:before="480"/>
      </w:pPr>
      <w:bookmarkStart w:id="1" w:name="_GoBack"/>
      <w:bookmarkEnd w:id="1"/>
      <w:r w:rsidRPr="00684566">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684566">
        <w:instrText>COM(2018) 832 final</w:instrText>
      </w:r>
      <w:r>
        <w:instrText xml:space="preserve">" </w:instrText>
      </w:r>
      <w:r>
        <w:fldChar w:fldCharType="separate"/>
      </w:r>
      <w:r w:rsidRPr="00684566">
        <w:t>COM(2018) 832 final</w:t>
      </w:r>
      <w:r>
        <w:fldChar w:fldCharType="end"/>
      </w:r>
      <w:r w:rsidRPr="00684566">
        <w:t>.</w:t>
      </w:r>
    </w:p>
    <w:p w:rsidR="00684566" w:rsidRDefault="00684566" w:rsidP="00684566">
      <w:pPr>
        <w:pStyle w:val="Lignefinal"/>
      </w:pPr>
    </w:p>
    <w:p w:rsidR="00684566" w:rsidRDefault="00684566" w:rsidP="00684566">
      <w:pPr>
        <w:pStyle w:val="pj"/>
        <w:spacing w:before="120"/>
      </w:pPr>
      <w:r w:rsidRPr="00684566">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684566">
        <w:instrText>COM(2018) 832 final</w:instrText>
      </w:r>
      <w:r>
        <w:instrText xml:space="preserve">" </w:instrText>
      </w:r>
      <w:r>
        <w:fldChar w:fldCharType="separate"/>
      </w:r>
      <w:r w:rsidRPr="00684566">
        <w:t>COM(2018) 832 final</w:t>
      </w:r>
      <w:r>
        <w:fldChar w:fldCharType="end"/>
      </w:r>
    </w:p>
    <w:p w:rsidR="00684566" w:rsidRPr="00684566" w:rsidRDefault="00684566" w:rsidP="00684566"/>
    <w:p w:rsidR="00684566" w:rsidRDefault="00684566" w:rsidP="00684566">
      <w:pPr>
        <w:rPr>
          <w:noProof/>
        </w:rPr>
        <w:sectPr w:rsidR="00684566" w:rsidSect="00684566">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1B16CE" w:rsidRDefault="005B7AF2">
      <w:pPr>
        <w:pStyle w:val="Pagedecouverture"/>
        <w:rPr>
          <w:noProof/>
        </w:rPr>
      </w:pPr>
      <w:r>
        <w:rPr>
          <w:noProof/>
        </w:rPr>
        <w:lastRenderedPageBreak/>
        <w:pict>
          <v:shape id="_x0000_i1026" type="#_x0000_t75" alt="A7BD9A6D-C278-4BA2-B6D1-B88808C56707" style="width:450.75pt;height:379.5pt">
            <v:imagedata r:id="rId15" o:title=""/>
          </v:shape>
        </w:pict>
      </w:r>
    </w:p>
    <w:p w:rsidR="001B16CE" w:rsidRDefault="001B16CE">
      <w:pPr>
        <w:rPr>
          <w:noProof/>
        </w:rPr>
        <w:sectPr w:rsidR="001B16CE">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1B16CE" w:rsidRDefault="00684566">
      <w:pPr>
        <w:pStyle w:val="Exposdesmotifstitre"/>
        <w:rPr>
          <w:noProof/>
        </w:rPr>
      </w:pPr>
      <w:r>
        <w:rPr>
          <w:noProof/>
        </w:rPr>
        <w:lastRenderedPageBreak/>
        <w:t>OBRAZLOŽITVENI MEMORANDUM</w:t>
      </w:r>
    </w:p>
    <w:p w:rsidR="001B16CE" w:rsidRDefault="00684566">
      <w:pPr>
        <w:pStyle w:val="ManualHeading1"/>
        <w:rPr>
          <w:rFonts w:eastAsia="Arial Unicode MS"/>
          <w:noProof/>
        </w:rPr>
      </w:pPr>
      <w:r>
        <w:t>1.</w:t>
      </w:r>
      <w:r>
        <w:tab/>
      </w:r>
      <w:r>
        <w:rPr>
          <w:noProof/>
        </w:rPr>
        <w:t>Predmet urejanja predloga</w:t>
      </w:r>
    </w:p>
    <w:p w:rsidR="001B16CE" w:rsidRDefault="00684566">
      <w:pPr>
        <w:rPr>
          <w:rFonts w:eastAsia="Arial Unicode MS"/>
          <w:noProof/>
        </w:rPr>
      </w:pPr>
      <w:r>
        <w:rPr>
          <w:noProof/>
        </w:rPr>
        <w:t xml:space="preserve">Ta predlog se nanaša na sklep o določitvi stališča, ki se v imenu Unije zastopa v skupnem odboru, ustanovljenem na podlagi člena 41 </w:t>
      </w:r>
      <w:r>
        <w:t xml:space="preserve"> </w:t>
      </w:r>
      <w:r>
        <w:rPr>
          <w:noProof/>
        </w:rPr>
        <w:t xml:space="preserve">Sporazuma med </w:t>
      </w:r>
      <w:r>
        <w:t xml:space="preserve"> </w:t>
      </w:r>
      <w:r>
        <w:rPr>
          <w:noProof/>
        </w:rPr>
        <w:t xml:space="preserve">Evropsko unijo in Kraljevino Norveško o upravnem sodelovanju, boju proti goljufijam in izterjavi terjatev na področju davka na dodano vrednost (v nadaljnjem besedilu: Sporazum), v skladu s členom 5 in členom 41(2)(d), (e), (f), (g) in (h) ter členom 41(3) Sporazuma. </w:t>
      </w:r>
    </w:p>
    <w:p w:rsidR="001B16CE" w:rsidRDefault="00684566">
      <w:pPr>
        <w:pStyle w:val="ManualHeading1"/>
        <w:rPr>
          <w:noProof/>
        </w:rPr>
      </w:pPr>
      <w:r>
        <w:t>2.</w:t>
      </w:r>
      <w:r>
        <w:tab/>
      </w:r>
      <w:r>
        <w:rPr>
          <w:noProof/>
        </w:rPr>
        <w:t>Ozadje predloga</w:t>
      </w:r>
    </w:p>
    <w:p w:rsidR="001B16CE" w:rsidRDefault="00684566">
      <w:pPr>
        <w:pStyle w:val="ManualHeading2"/>
        <w:rPr>
          <w:noProof/>
        </w:rPr>
      </w:pPr>
      <w:r>
        <w:t>2.1.</w:t>
      </w:r>
      <w:r>
        <w:tab/>
      </w:r>
      <w:r>
        <w:rPr>
          <w:noProof/>
        </w:rPr>
        <w:t xml:space="preserve">Sporazum med Evropsko unijo in Kraljevino Norveško o upravnem sodelovanju, boju proti goljufijam in izterjavi terjatev na področju davka na dodano vrednost </w:t>
      </w:r>
    </w:p>
    <w:p w:rsidR="001B16CE" w:rsidRDefault="00684566">
      <w:pPr>
        <w:rPr>
          <w:rFonts w:eastAsia="Arial Unicode MS"/>
          <w:noProof/>
        </w:rPr>
      </w:pPr>
      <w:r>
        <w:rPr>
          <w:noProof/>
        </w:rPr>
        <w:t>Cilj Sporazuma je zagotoviti pravilno določitev, odmero in pobiranje davka na dodano vrednost (DDV) ter izterjavo terjatev na področju DDV z namenom preprečitve dvojne obdavčitve ali neobdavčitve ter boja proti goljufijam na področju DDV. Datum začetka veljavnosti sporazuma je 1. september 2018</w:t>
      </w:r>
      <w:r>
        <w:t>.</w:t>
      </w:r>
    </w:p>
    <w:p w:rsidR="001B16CE" w:rsidRDefault="00684566">
      <w:pPr>
        <w:pStyle w:val="ManualHeading2"/>
        <w:rPr>
          <w:noProof/>
        </w:rPr>
      </w:pPr>
      <w:r>
        <w:t>2.2.</w:t>
      </w:r>
      <w:r>
        <w:tab/>
      </w:r>
      <w:r>
        <w:rPr>
          <w:noProof/>
        </w:rPr>
        <w:t>Skupni odbor</w:t>
      </w:r>
    </w:p>
    <w:p w:rsidR="001B16CE" w:rsidRDefault="00684566">
      <w:r>
        <w:rPr>
          <w:noProof/>
        </w:rPr>
        <w:t>Skupni odbor, ki ga sestavljajo predstavniki Evropske unije in Kraljevine Norveške (v nadaljnjem besedilu: pogodbenici), zagotavlja pravilno delovanje in izvajanje Sporazuma. Pripravlja priporočila za spodbujanje ciljev Sporazuma in soglasno sprejema odločitve. Skupnemu odboru pogodbenici predsedujeta izmenično. Evropsko unijo zastopa Komisija v skladu s členom 17(1) Pogodbe o Evropski uniji (PEU), njeno stališče pa je predmet predhodnega sklepa Sveta na podlagi predloga Komisije. Na sejah lahko kot opazovalci sodelujejo tudi predstavniki držav članic Evropske unije.</w:t>
      </w:r>
    </w:p>
    <w:p w:rsidR="001B16CE" w:rsidRDefault="00684566">
      <w:pPr>
        <w:pStyle w:val="ManualHeading2"/>
        <w:rPr>
          <w:noProof/>
        </w:rPr>
      </w:pPr>
      <w:r>
        <w:t>2.3.</w:t>
      </w:r>
      <w:r>
        <w:tab/>
      </w:r>
      <w:r>
        <w:rPr>
          <w:noProof/>
        </w:rPr>
        <w:t xml:space="preserve">Predvideni akti </w:t>
      </w:r>
      <w:r>
        <w:t xml:space="preserve"> </w:t>
      </w:r>
      <w:r>
        <w:rPr>
          <w:noProof/>
        </w:rPr>
        <w:t>skupnega odbora</w:t>
      </w:r>
    </w:p>
    <w:p w:rsidR="001B16CE" w:rsidRDefault="00684566">
      <w:pPr>
        <w:rPr>
          <w:rFonts w:eastAsia="Arial Unicode MS"/>
          <w:noProof/>
        </w:rPr>
      </w:pPr>
      <w:r>
        <w:rPr>
          <w:noProof/>
        </w:rPr>
        <w:t xml:space="preserve">Skupni odbor bi moral na svoji </w:t>
      </w:r>
      <w:r>
        <w:t xml:space="preserve"> </w:t>
      </w:r>
      <w:r>
        <w:rPr>
          <w:noProof/>
        </w:rPr>
        <w:t>prvi seji:</w:t>
      </w:r>
    </w:p>
    <w:p w:rsidR="001B16CE" w:rsidRDefault="00684566">
      <w:pPr>
        <w:pStyle w:val="Tiret0"/>
        <w:numPr>
          <w:ilvl w:val="0"/>
          <w:numId w:val="5"/>
        </w:numPr>
        <w:rPr>
          <w:noProof/>
        </w:rPr>
      </w:pPr>
      <w:r>
        <w:rPr>
          <w:noProof/>
        </w:rPr>
        <w:t>sprejeti svoj poslovnik v skladu s členom 41(3) – odločitev 1 skupnega odbora;</w:t>
      </w:r>
    </w:p>
    <w:p w:rsidR="001B16CE" w:rsidRDefault="00684566">
      <w:pPr>
        <w:pStyle w:val="Tiret0"/>
        <w:numPr>
          <w:ilvl w:val="0"/>
          <w:numId w:val="5"/>
        </w:numPr>
        <w:rPr>
          <w:noProof/>
        </w:rPr>
      </w:pPr>
      <w:r>
        <w:rPr>
          <w:noProof/>
        </w:rPr>
        <w:t xml:space="preserve">sprejeti standardne obrazce, ki so načini za prenos sporočil, in izvajati praktične ureditve za organizacijo stikov med centralnimi uradi za zvezo v skladu s členom 41(2)(d), (e), (g) in (h) – odločitev 2 skupnega odbora; </w:t>
      </w:r>
    </w:p>
    <w:p w:rsidR="001B16CE" w:rsidRDefault="00684566">
      <w:pPr>
        <w:pStyle w:val="Tiret0"/>
        <w:numPr>
          <w:ilvl w:val="0"/>
          <w:numId w:val="5"/>
        </w:numPr>
        <w:rPr>
          <w:noProof/>
        </w:rPr>
      </w:pPr>
      <w:r>
        <w:rPr>
          <w:noProof/>
        </w:rPr>
        <w:t xml:space="preserve">sprejeti postopek za sklenitev sporazuma o ravni storitve v skladu s členom 41(2)(j) Sporazuma – odločitev 3 skupnega odbora; </w:t>
      </w:r>
    </w:p>
    <w:p w:rsidR="001B16CE" w:rsidRDefault="00684566">
      <w:pPr>
        <w:pStyle w:val="Tiret0"/>
        <w:numPr>
          <w:ilvl w:val="0"/>
          <w:numId w:val="5"/>
        </w:numPr>
        <w:rPr>
          <w:noProof/>
        </w:rPr>
      </w:pPr>
      <w:r>
        <w:rPr>
          <w:noProof/>
        </w:rPr>
        <w:t>sprejeti sporazum o ravni storitve v skladu s členom 5 Sporazuma – odločitvi 4 in 5 skupnega odbora;</w:t>
      </w:r>
    </w:p>
    <w:p w:rsidR="001B16CE" w:rsidRDefault="00684566">
      <w:pPr>
        <w:pStyle w:val="Tiret0"/>
        <w:numPr>
          <w:ilvl w:val="0"/>
          <w:numId w:val="5"/>
        </w:numPr>
        <w:rPr>
          <w:noProof/>
        </w:rPr>
      </w:pPr>
      <w:r>
        <w:rPr>
          <w:noProof/>
        </w:rPr>
        <w:t xml:space="preserve">določiti znesek in podrobnosti finančnega prispevka Norveške v splošni proračun Evropske unije v zvezi s stroški, nastalimi z njenim sodelovanjem v evropskih informacijskih sistemih v skladu s členom 41(2)(f) Sporazuma – odločitev 6 skupnega odbora. </w:t>
      </w:r>
    </w:p>
    <w:p w:rsidR="001B16CE" w:rsidRDefault="00684566">
      <w:pPr>
        <w:rPr>
          <w:rFonts w:eastAsia="Arial Unicode MS"/>
          <w:noProof/>
        </w:rPr>
      </w:pPr>
      <w:r>
        <w:rPr>
          <w:noProof/>
        </w:rPr>
        <w:t>Namen predvidenih aktov je zagotoviti pravilno izvajanje Sporazuma.</w:t>
      </w:r>
      <w:r>
        <w:t xml:space="preserve"> </w:t>
      </w:r>
    </w:p>
    <w:p w:rsidR="001B16CE" w:rsidRDefault="00684566">
      <w:pPr>
        <w:pStyle w:val="ManualHeading1"/>
        <w:rPr>
          <w:rFonts w:eastAsia="Arial Unicode MS"/>
          <w:noProof/>
        </w:rPr>
      </w:pPr>
      <w:r>
        <w:t>3.</w:t>
      </w:r>
      <w:r>
        <w:tab/>
      </w:r>
      <w:r>
        <w:rPr>
          <w:noProof/>
        </w:rPr>
        <w:t xml:space="preserve">Stališče, ki se zastopa v imenu Unije </w:t>
      </w:r>
    </w:p>
    <w:p w:rsidR="001B16CE" w:rsidRDefault="00684566">
      <w:pPr>
        <w:rPr>
          <w:noProof/>
        </w:rPr>
      </w:pPr>
      <w:r>
        <w:rPr>
          <w:noProof/>
        </w:rPr>
        <w:t xml:space="preserve">Prva odločitev skupnega odbora bo o poslovniku. Poslovnik določa pravila o sestavi in predsedovanju, opazovalcih in strokovnjakih, sklicevanju sej, dnevnem redu, administrativni </w:t>
      </w:r>
      <w:r>
        <w:rPr>
          <w:noProof/>
        </w:rPr>
        <w:lastRenderedPageBreak/>
        <w:t xml:space="preserve">podpori, pripravi in sprejetju zapisnikov, postopku za sprejemanje odločitev in priporočil ter o odhodkih. </w:t>
      </w:r>
    </w:p>
    <w:p w:rsidR="001B16CE" w:rsidRDefault="00684566">
      <w:pPr>
        <w:rPr>
          <w:noProof/>
        </w:rPr>
      </w:pPr>
      <w:r>
        <w:rPr>
          <w:noProof/>
        </w:rPr>
        <w:t xml:space="preserve">Zlasti je pomembno, da je sporazum v izključni pristojnosti Unije. Zato bo Unijo zastopala Komisija. Države članice pa se lahko odločijo, da bodo sodelovale kot opazovalke. </w:t>
      </w:r>
    </w:p>
    <w:p w:rsidR="001B16CE" w:rsidRDefault="00684566">
      <w:pPr>
        <w:rPr>
          <w:noProof/>
        </w:rPr>
      </w:pPr>
      <w:r>
        <w:rPr>
          <w:noProof/>
        </w:rPr>
        <w:t xml:space="preserve">Druga odločitev skupnega odbora je o sprejetju standardnih obrazcev, s katerimi se določijo načini za prenos sporočil in izvajanje praktičnih ureditev za organizacijo stikov med centralnimi uradi za zvezo. Pravni okvir Unije že zagotavlja zanesljiv sistem izvajanja v okviru Uredbe Sveta (EU) št. 904/2010 o upravnem sodelovanju in boju proti goljufijam na področju davka na dodano vrednost in Direktive Sveta 2010/24/EU o vzajemni pomoči pri izterjavi terjatev v zvezi z davki, carinami in drugimi ukrepi. Z odločitvijo skupnega odbora bi moralo biti določeno, da se za sodelovanje z Norveško uporabljajo orodja, uvedena za zgoraj navedeno zakonodajo Unije. </w:t>
      </w:r>
    </w:p>
    <w:p w:rsidR="001B16CE" w:rsidRDefault="00684566">
      <w:pPr>
        <w:rPr>
          <w:noProof/>
        </w:rPr>
      </w:pPr>
      <w:r>
        <w:rPr>
          <w:noProof/>
        </w:rPr>
        <w:t xml:space="preserve">S tretjo odločitvijo skupnega odbora bodo določeni </w:t>
      </w:r>
      <w:r>
        <w:rPr>
          <w:b/>
          <w:noProof/>
        </w:rPr>
        <w:t>postopek za sklenitev sporazuma o ravni storitve</w:t>
      </w:r>
      <w:r>
        <w:rPr>
          <w:noProof/>
        </w:rPr>
        <w:t xml:space="preserve"> in morebitne prihodnje spremembe. Četrta odločitev bo o </w:t>
      </w:r>
      <w:r>
        <w:rPr>
          <w:b/>
          <w:noProof/>
        </w:rPr>
        <w:t>sklenitvi sporazuma o ravni storitve</w:t>
      </w:r>
      <w:r>
        <w:rPr>
          <w:noProof/>
        </w:rPr>
        <w:t xml:space="preserve"> kot takega. </w:t>
      </w:r>
    </w:p>
    <w:p w:rsidR="001B16CE" w:rsidRDefault="00684566">
      <w:r>
        <w:rPr>
          <w:noProof/>
        </w:rPr>
        <w:t xml:space="preserve">Peta odločitev skupnega odbora bo o </w:t>
      </w:r>
      <w:r>
        <w:rPr>
          <w:b/>
          <w:noProof/>
        </w:rPr>
        <w:t>finančnem prispevku</w:t>
      </w:r>
      <w:r>
        <w:rPr>
          <w:noProof/>
        </w:rPr>
        <w:t xml:space="preserve"> Norveške v splošni proračun Unije v zvezi s stroški, ki nastanejo zaradi njenega sodelovanja v evropskih informacijskih sistemih. Zneski, ki jih mora plačati Norveška, so bili izračunani kot pavšalni znesek za udeležbo/priključitev Norveške na sistem CCN/CSI v predlagani konfiguraciji ter odhodki, povezani z razvojem, vzdrževanjem in nadgradnjo rešitev IT.</w:t>
      </w:r>
    </w:p>
    <w:p w:rsidR="001B16CE" w:rsidRDefault="00684566">
      <w:pPr>
        <w:pStyle w:val="Tiret0"/>
        <w:rPr>
          <w:rFonts w:eastAsia="Arial Unicode MS"/>
          <w:noProof/>
        </w:rPr>
      </w:pPr>
      <w:r>
        <w:rPr>
          <w:noProof/>
        </w:rPr>
        <w:t>V tej fazi ni potrebe po odločitvah skupnega odbora na podlagi:</w:t>
      </w:r>
    </w:p>
    <w:p w:rsidR="001B16CE" w:rsidRDefault="00684566">
      <w:pPr>
        <w:pStyle w:val="Tiret0"/>
        <w:numPr>
          <w:ilvl w:val="0"/>
          <w:numId w:val="4"/>
        </w:numPr>
        <w:ind w:left="720" w:hanging="720"/>
        <w:rPr>
          <w:rFonts w:eastAsia="Arial Unicode MS"/>
          <w:noProof/>
        </w:rPr>
      </w:pPr>
      <w:r>
        <w:rPr>
          <w:noProof/>
        </w:rPr>
        <w:t>člena 41(2)(a), (b) in (c) o avtomatični izmenjavi podatkov; pogodbenici se bosta odločili, ali bo takšna potreba obstajala po začetku veljavnosti Sporazuma in po oceni učinkovitosti drugih načinov sodelovanja, ki jih predvideva Sporazum;</w:t>
      </w:r>
    </w:p>
    <w:p w:rsidR="001B16CE" w:rsidRDefault="00684566">
      <w:pPr>
        <w:pStyle w:val="Tiret0"/>
        <w:numPr>
          <w:ilvl w:val="0"/>
          <w:numId w:val="4"/>
        </w:numPr>
        <w:ind w:left="720" w:hanging="720"/>
        <w:rPr>
          <w:rFonts w:eastAsia="Arial Unicode MS"/>
          <w:noProof/>
        </w:rPr>
      </w:pPr>
      <w:r>
        <w:rPr>
          <w:noProof/>
        </w:rPr>
        <w:t>člena 41(2)(i) o pravilih za izvajanje v zvezi s preračunavanjem zneskov, ki se bodo izterjali, in prenosom izterjanih zneskov, ker v skladu s členom 40(5) Sporazuma v primeru, „če skupni odbor za izvajanje tega naslova ne določi podrobnih pravil, ali dokler tega ne stori, pristojni organi uporabljajo pravila, vključno s standardnimi obrazci, ki so že sprejeta za izvajanje Direktive Sveta 2010/24/EU, pri čemer se bo pojem „država članica“ razlagal tako, da bo vključeval tudi Norveško“;</w:t>
      </w:r>
    </w:p>
    <w:p w:rsidR="001B16CE" w:rsidRDefault="00684566">
      <w:pPr>
        <w:pStyle w:val="Tiret0"/>
        <w:numPr>
          <w:ilvl w:val="0"/>
          <w:numId w:val="4"/>
        </w:numPr>
        <w:ind w:hanging="720"/>
        <w:rPr>
          <w:noProof/>
        </w:rPr>
      </w:pPr>
      <w:r>
        <w:rPr>
          <w:noProof/>
        </w:rPr>
        <w:t>člena 41(2)(k) o spremembi sklicev na pravne akte Unije ali Norveške, ki so vključeni v Sporazum, ker se ta potreba do zdaj še ni pojavila.</w:t>
      </w:r>
    </w:p>
    <w:p w:rsidR="001B16CE" w:rsidRDefault="00684566">
      <w:pPr>
        <w:pStyle w:val="ManualHeading1"/>
        <w:rPr>
          <w:noProof/>
        </w:rPr>
      </w:pPr>
      <w:r>
        <w:t>4.</w:t>
      </w:r>
      <w:r>
        <w:tab/>
      </w:r>
      <w:r>
        <w:rPr>
          <w:noProof/>
        </w:rPr>
        <w:t>Pravna podlaga</w:t>
      </w:r>
    </w:p>
    <w:p w:rsidR="001B16CE" w:rsidRDefault="00684566">
      <w:pPr>
        <w:rPr>
          <w:noProof/>
        </w:rPr>
      </w:pPr>
      <w:r>
        <w:rPr>
          <w:noProof/>
        </w:rPr>
        <w:t xml:space="preserve">V skladu s členom 218(9) Pogodbe o delovanju Evropske unije (PDEU) Svet na predlog Komisije sprejme sklep o določitvi stališču, ki naj se v imenu Unije zastopa v skupnem odboru. </w:t>
      </w:r>
    </w:p>
    <w:p w:rsidR="001B16CE" w:rsidRDefault="00684566">
      <w:pPr>
        <w:rPr>
          <w:noProof/>
        </w:rPr>
      </w:pPr>
      <w:r>
        <w:rPr>
          <w:noProof/>
        </w:rPr>
        <w:t>Predmet mednarodnih sporazumov (vključno s sporazumi o upravnem sodelovanju med Unijo in Norveško na področju DDV) je v izključni pristojnosti Unije v skladu s členom 3(2) PDEU</w:t>
      </w:r>
      <w:r>
        <w:rPr>
          <w:rStyle w:val="FootnoteReference"/>
          <w:noProof/>
        </w:rPr>
        <w:footnoteReference w:id="1"/>
      </w:r>
      <w:r>
        <w:rPr>
          <w:noProof/>
        </w:rPr>
        <w:t>. V skupnem odboru Unijo zastopa Komisija v skladu s členom 17(1) PEU.</w:t>
      </w:r>
    </w:p>
    <w:p w:rsidR="001B16CE" w:rsidRDefault="00684566">
      <w:pPr>
        <w:rPr>
          <w:noProof/>
        </w:rPr>
      </w:pPr>
      <w:r>
        <w:rPr>
          <w:noProof/>
        </w:rPr>
        <w:t xml:space="preserve">Poleg tega je upravno sodelovanje na področju DDV področje, za katerega je za sprejetje akta Unije v skladu s členom 113 PDEU potrebno soglasje. Zato stališče Unije, ki ga zastopa </w:t>
      </w:r>
      <w:r>
        <w:rPr>
          <w:noProof/>
        </w:rPr>
        <w:lastRenderedPageBreak/>
        <w:t xml:space="preserve">Komisija za sprejetje priporočil in odločitev skupnega odbora, predhodno soglasno sprejme Svet. </w:t>
      </w:r>
    </w:p>
    <w:p w:rsidR="001B16CE" w:rsidRDefault="00684566">
      <w:pPr>
        <w:rPr>
          <w:noProof/>
        </w:rPr>
      </w:pPr>
      <w:r>
        <w:rPr>
          <w:noProof/>
        </w:rPr>
        <w:t>Skupni odbor se bo moral dogovoriti tudi o praktičnih ureditvah, kot je priprava začasnega dnevnega reda in odobritev zapisnika sej. Te naloge so potrebne za običajno upravljanje skupnega odbora in niso odločitve ali priporočila skupnega odbora v skladu s členom 41 Sporazuma. Vendar se bo morala, kar zadeva stran Unije, Evropska komisija o vseh zgoraj navedenih nalogah predhodno posvetovati z delovno skupino Sveta za davčna vprašanja.</w:t>
      </w:r>
    </w:p>
    <w:p w:rsidR="001B16CE" w:rsidRDefault="00684566">
      <w:pPr>
        <w:rPr>
          <w:noProof/>
        </w:rPr>
      </w:pPr>
      <w:r>
        <w:rPr>
          <w:noProof/>
        </w:rPr>
        <w:t>Odločitve skupnega odbora v skladu s členoma 5 in 41 Sporazuma so akti s pravnim učinkom in bodo za pogodbenici zavezujoči v skladu z mednarodnim pravom in členom 46</w:t>
      </w:r>
      <w:r>
        <w:t xml:space="preserve"> </w:t>
      </w:r>
      <w:r>
        <w:rPr>
          <w:noProof/>
        </w:rPr>
        <w:t xml:space="preserve"> Sporazuma.</w:t>
      </w:r>
    </w:p>
    <w:p w:rsidR="001B16CE" w:rsidRDefault="001B16CE">
      <w:pPr>
        <w:rPr>
          <w:noProof/>
        </w:rPr>
        <w:sectPr w:rsidR="001B16CE">
          <w:footerReference w:type="default" r:id="rId22"/>
          <w:footerReference w:type="first" r:id="rId23"/>
          <w:pgSz w:w="11907" w:h="16839"/>
          <w:pgMar w:top="1134" w:right="1417" w:bottom="1134" w:left="1417" w:header="709" w:footer="709" w:gutter="0"/>
          <w:cols w:space="708"/>
          <w:docGrid w:linePitch="360"/>
        </w:sectPr>
      </w:pPr>
    </w:p>
    <w:p w:rsidR="001B16CE" w:rsidRDefault="00684566">
      <w:pPr>
        <w:pStyle w:val="Rfrenceinterinstitutionnelle"/>
        <w:rPr>
          <w:noProof/>
        </w:rPr>
      </w:pPr>
      <w:r>
        <w:rPr>
          <w:noProof/>
        </w:rPr>
        <w:lastRenderedPageBreak/>
        <w:t>2018/0422 (NLE)</w:t>
      </w:r>
    </w:p>
    <w:p w:rsidR="001B16CE" w:rsidRDefault="00684566">
      <w:pPr>
        <w:pStyle w:val="Statut"/>
        <w:rPr>
          <w:noProof/>
        </w:rPr>
      </w:pPr>
      <w:r>
        <w:rPr>
          <w:noProof/>
        </w:rPr>
        <w:t>Predlog</w:t>
      </w:r>
    </w:p>
    <w:p w:rsidR="001B16CE" w:rsidRDefault="00684566">
      <w:pPr>
        <w:pStyle w:val="Typedudocument"/>
        <w:rPr>
          <w:noProof/>
        </w:rPr>
      </w:pPr>
      <w:r>
        <w:rPr>
          <w:noProof/>
        </w:rPr>
        <w:t>SKLEP SVETA</w:t>
      </w:r>
    </w:p>
    <w:p w:rsidR="001B16CE" w:rsidRDefault="00684566">
      <w:pPr>
        <w:pStyle w:val="Titreobjet"/>
        <w:rPr>
          <w:noProof/>
        </w:rPr>
      </w:pPr>
      <w:r>
        <w:rPr>
          <w:noProof/>
        </w:rPr>
        <w:t>o stališču, ki se v imenu Evropske unije zastopa v skupnem odboru, ustanovljenem na podlagi člena 41(1) Sporazuma med Evropsko unijo in Kraljevino Norveško o upravnem sodelovanju, boju proti goljufijam in izterjavi terjatev na področju davka na dodano vrednost</w:t>
      </w:r>
    </w:p>
    <w:p w:rsidR="001B16CE" w:rsidRDefault="00684566">
      <w:pPr>
        <w:pStyle w:val="Institutionquiagit"/>
        <w:rPr>
          <w:noProof/>
        </w:rPr>
      </w:pPr>
      <w:r>
        <w:rPr>
          <w:noProof/>
        </w:rPr>
        <w:t>SVET EVROPSKE UNIJE JE –</w:t>
      </w:r>
    </w:p>
    <w:p w:rsidR="001B16CE" w:rsidRDefault="00684566">
      <w:pPr>
        <w:rPr>
          <w:noProof/>
        </w:rPr>
      </w:pPr>
      <w:r>
        <w:rPr>
          <w:noProof/>
        </w:rPr>
        <w:t xml:space="preserve">ob upoštevanju Pogodbe o delovanju Evropske unije in zlasti člena 113 v povezavi s členom 218(9) Pogodbe, </w:t>
      </w:r>
    </w:p>
    <w:p w:rsidR="001B16CE" w:rsidRDefault="00684566">
      <w:pPr>
        <w:rPr>
          <w:noProof/>
        </w:rPr>
      </w:pPr>
      <w:r>
        <w:rPr>
          <w:noProof/>
        </w:rPr>
        <w:t>ob upoštevanju predloga Evropske komisije,</w:t>
      </w:r>
    </w:p>
    <w:p w:rsidR="001B16CE" w:rsidRDefault="00684566">
      <w:pPr>
        <w:rPr>
          <w:noProof/>
        </w:rPr>
      </w:pPr>
      <w:r>
        <w:rPr>
          <w:noProof/>
        </w:rPr>
        <w:t>ob upoštevanju naslednjega:</w:t>
      </w:r>
    </w:p>
    <w:p w:rsidR="001B16CE" w:rsidRDefault="00684566">
      <w:pPr>
        <w:pStyle w:val="ManualConsidrant"/>
        <w:rPr>
          <w:noProof/>
        </w:rPr>
      </w:pPr>
      <w:r>
        <w:t>(1)</w:t>
      </w:r>
      <w:r>
        <w:tab/>
      </w:r>
      <w:r>
        <w:rPr>
          <w:noProof/>
        </w:rPr>
        <w:t>Sporazum med Evropsko unijo in Kraljevino Norveško o upravnem sodelovanju, boju proti goljufijam in izterjavi terjatev na področju davka na dodano vrednost (v nadaljnjem besedilu: Sporazum) je Unija sklenila s Sklepom Sveta (EU) 2018/1089</w:t>
      </w:r>
      <w:r>
        <w:rPr>
          <w:rStyle w:val="FootnoteReference"/>
          <w:noProof/>
        </w:rPr>
        <w:footnoteReference w:customMarkFollows="1" w:id="2"/>
        <w:t>1</w:t>
      </w:r>
      <w:r>
        <w:rPr>
          <w:noProof/>
        </w:rPr>
        <w:t xml:space="preserve"> in je začel veljati 1. septembra 2018. </w:t>
      </w:r>
    </w:p>
    <w:p w:rsidR="001B16CE" w:rsidRDefault="00684566">
      <w:pPr>
        <w:pStyle w:val="ManualConsidrant"/>
        <w:rPr>
          <w:noProof/>
        </w:rPr>
      </w:pPr>
      <w:r>
        <w:t>(2)</w:t>
      </w:r>
      <w:r>
        <w:tab/>
      </w:r>
      <w:r>
        <w:rPr>
          <w:noProof/>
        </w:rPr>
        <w:t xml:space="preserve">Skupni odbor, ustanovljen z navedenim sporazumom, pripravlja priporočila in sprejema odločitve, da bi zagotovil pravilno delovanje in izvajanje Sporazuma. </w:t>
      </w:r>
    </w:p>
    <w:p w:rsidR="001B16CE" w:rsidRDefault="00684566">
      <w:pPr>
        <w:pStyle w:val="ManualConsidrant"/>
        <w:rPr>
          <w:noProof/>
        </w:rPr>
      </w:pPr>
      <w:r>
        <w:t>(3)</w:t>
      </w:r>
      <w:r>
        <w:tab/>
      </w:r>
      <w:r>
        <w:rPr>
          <w:noProof/>
        </w:rPr>
        <w:t xml:space="preserve">Skupni odbor na svoji prvi seji dne </w:t>
      </w:r>
      <w:r>
        <w:t>[datum]</w:t>
      </w:r>
      <w:r>
        <w:rPr>
          <w:noProof/>
        </w:rPr>
        <w:t xml:space="preserve"> sprejme svoj poslovnik, sporazum o ravni storitev in druge odločitve v zvezi z ustreznim izvajanjem in delovanjem Sporazuma</w:t>
      </w:r>
    </w:p>
    <w:p w:rsidR="001B16CE" w:rsidRDefault="00684566">
      <w:pPr>
        <w:pStyle w:val="ManualConsidrant"/>
        <w:rPr>
          <w:noProof/>
        </w:rPr>
      </w:pPr>
      <w:r>
        <w:t>(4)</w:t>
      </w:r>
      <w:r>
        <w:tab/>
      </w:r>
      <w:r>
        <w:rPr>
          <w:noProof/>
        </w:rPr>
        <w:t>Primerno je, da se določi stališče, ki se v imenu Unije zavzame v skupnem odboru</w:t>
      </w:r>
      <w:r>
        <w:t>,</w:t>
      </w:r>
      <w:r>
        <w:rPr>
          <w:noProof/>
        </w:rPr>
        <w:t xml:space="preserve"> saj bodo sporazum o ravni storitev in druge odločitve za Unijo zavezujoči.</w:t>
      </w:r>
    </w:p>
    <w:p w:rsidR="001B16CE" w:rsidRDefault="00684566">
      <w:pPr>
        <w:pStyle w:val="ManualConsidrant"/>
        <w:rPr>
          <w:noProof/>
        </w:rPr>
      </w:pPr>
      <w:r>
        <w:t>(5)</w:t>
      </w:r>
      <w:r>
        <w:tab/>
      </w:r>
      <w:r>
        <w:rPr>
          <w:noProof/>
        </w:rPr>
        <w:t>Dvostranski sporazum med Unijo in Norveško zagotavlja trden pravni okvir za sodelovanje pri boju proti goljufijam in izterjavi terjatev na področju davka na dodano vrednost (DDV). Za to sodelovanje bodo na voljo ista orodja, kot jih države članice trenutno uporabljajo za upravno sodelovanje in izterjavo terjatev, kot so elektronske platforme in e-obrazci.</w:t>
      </w:r>
    </w:p>
    <w:p w:rsidR="001B16CE" w:rsidRDefault="00684566">
      <w:pPr>
        <w:pStyle w:val="ManualConsidrant"/>
        <w:rPr>
          <w:noProof/>
        </w:rPr>
      </w:pPr>
      <w:r>
        <w:t>(6)</w:t>
      </w:r>
      <w:r>
        <w:tab/>
      </w:r>
      <w:r>
        <w:rPr>
          <w:noProof/>
        </w:rPr>
        <w:t>V skupnem odboru Unijo zastopa Komisija v skladu s členom 17(1) Pogodbe o Evropski uniji –</w:t>
      </w:r>
    </w:p>
    <w:p w:rsidR="001B16CE" w:rsidRDefault="00684566">
      <w:pPr>
        <w:pStyle w:val="Formuledadoption"/>
        <w:rPr>
          <w:noProof/>
        </w:rPr>
      </w:pPr>
      <w:r>
        <w:rPr>
          <w:noProof/>
        </w:rPr>
        <w:t>SPREJEL NASLEDNJI SKLEP:</w:t>
      </w:r>
    </w:p>
    <w:p w:rsidR="001B16CE" w:rsidRDefault="00684566">
      <w:pPr>
        <w:pStyle w:val="Titrearticle"/>
        <w:rPr>
          <w:noProof/>
        </w:rPr>
      </w:pPr>
      <w:r>
        <w:rPr>
          <w:noProof/>
        </w:rPr>
        <w:t>Člen 1</w:t>
      </w:r>
    </w:p>
    <w:p w:rsidR="001B16CE" w:rsidRDefault="00684566">
      <w:pPr>
        <w:rPr>
          <w:noProof/>
        </w:rPr>
      </w:pPr>
      <w:r>
        <w:rPr>
          <w:noProof/>
        </w:rPr>
        <w:t>Stališče, ki ga v imenu Unije zastopa Komisija na prvi seji skupnega odbora, ustanovljenega s Sporazumom med Evropsko unijo in Kraljevino Norveško o upravnem sodelovanju, boju proti goljufijam in izterjavi terjatev na področju davka na dodano vrednost, temelji na priloženih osnutkih odločitev, ki se sprejmejo v skladu s členom 5, členom 41(2)(d), (e), (f), (g) in (h) ter členom 41(3) Sporazuma.</w:t>
      </w:r>
    </w:p>
    <w:p w:rsidR="001B16CE" w:rsidRDefault="00684566">
      <w:pPr>
        <w:pStyle w:val="Titrearticle"/>
        <w:rPr>
          <w:noProof/>
        </w:rPr>
      </w:pPr>
      <w:r>
        <w:rPr>
          <w:noProof/>
        </w:rPr>
        <w:t>Člen 2</w:t>
      </w:r>
    </w:p>
    <w:p w:rsidR="001B16CE" w:rsidRDefault="00684566">
      <w:pPr>
        <w:rPr>
          <w:noProof/>
        </w:rPr>
      </w:pPr>
      <w:r>
        <w:rPr>
          <w:noProof/>
        </w:rPr>
        <w:t>Ta sklep je naslovljen na Komisijo.</w:t>
      </w:r>
    </w:p>
    <w:p w:rsidR="001B16CE" w:rsidRDefault="00684566">
      <w:pPr>
        <w:pStyle w:val="Fait"/>
        <w:rPr>
          <w:noProof/>
        </w:rPr>
      </w:pPr>
      <w:r>
        <w:t>V Bruslju,</w:t>
      </w:r>
    </w:p>
    <w:p w:rsidR="001B16CE" w:rsidRDefault="00684566">
      <w:pPr>
        <w:pStyle w:val="Institutionquisigne"/>
        <w:rPr>
          <w:noProof/>
        </w:rPr>
      </w:pPr>
      <w:r>
        <w:rPr>
          <w:noProof/>
        </w:rPr>
        <w:tab/>
        <w:t>Za Svet</w:t>
      </w:r>
    </w:p>
    <w:p w:rsidR="001B16CE" w:rsidRDefault="00684566">
      <w:pPr>
        <w:pStyle w:val="Personnequisigne"/>
        <w:rPr>
          <w:i w:val="0"/>
          <w:noProof/>
        </w:rPr>
      </w:pPr>
      <w:r>
        <w:rPr>
          <w:noProof/>
        </w:rPr>
        <w:tab/>
        <w:t>Predsednik</w:t>
      </w:r>
    </w:p>
    <w:sectPr w:rsidR="001B16C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6CE" w:rsidRDefault="00684566">
      <w:pPr>
        <w:spacing w:before="0" w:after="0"/>
      </w:pPr>
      <w:r>
        <w:separator/>
      </w:r>
    </w:p>
  </w:endnote>
  <w:endnote w:type="continuationSeparator" w:id="0">
    <w:p w:rsidR="001B16CE" w:rsidRDefault="006845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CE" w:rsidRPr="00684566" w:rsidRDefault="001B16CE" w:rsidP="00684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84566" w:rsidRPr="00D94637" w:rsidTr="00684566">
      <w:trPr>
        <w:jc w:val="center"/>
      </w:trPr>
      <w:tc>
        <w:tcPr>
          <w:tcW w:w="5000" w:type="pct"/>
          <w:gridSpan w:val="7"/>
          <w:shd w:val="clear" w:color="auto" w:fill="auto"/>
          <w:tcMar>
            <w:top w:w="57" w:type="dxa"/>
          </w:tcMar>
        </w:tcPr>
        <w:p w:rsidR="00684566" w:rsidRPr="00D94637" w:rsidRDefault="00684566" w:rsidP="00D94637">
          <w:pPr>
            <w:pStyle w:val="FooterText"/>
            <w:pBdr>
              <w:top w:val="single" w:sz="4" w:space="1" w:color="auto"/>
            </w:pBdr>
            <w:spacing w:before="200"/>
            <w:rPr>
              <w:sz w:val="2"/>
              <w:szCs w:val="2"/>
            </w:rPr>
          </w:pPr>
          <w:bookmarkStart w:id="2" w:name="FOOTER_STANDARD"/>
        </w:p>
      </w:tc>
    </w:tr>
    <w:tr w:rsidR="00684566" w:rsidRPr="00B310DC" w:rsidTr="00684566">
      <w:trPr>
        <w:jc w:val="center"/>
      </w:trPr>
      <w:tc>
        <w:tcPr>
          <w:tcW w:w="2500" w:type="pct"/>
          <w:gridSpan w:val="2"/>
          <w:shd w:val="clear" w:color="auto" w:fill="auto"/>
          <w:tcMar>
            <w:top w:w="0" w:type="dxa"/>
          </w:tcMar>
        </w:tcPr>
        <w:p w:rsidR="00684566" w:rsidRPr="00AD7BF2" w:rsidRDefault="00684566" w:rsidP="004F54B2">
          <w:pPr>
            <w:pStyle w:val="FooterText"/>
          </w:pPr>
          <w:r>
            <w:t>15503/18</w:t>
          </w:r>
          <w:r w:rsidRPr="002511D8">
            <w:t xml:space="preserve"> </w:t>
          </w:r>
        </w:p>
      </w:tc>
      <w:tc>
        <w:tcPr>
          <w:tcW w:w="625" w:type="pct"/>
          <w:shd w:val="clear" w:color="auto" w:fill="auto"/>
          <w:tcMar>
            <w:top w:w="0" w:type="dxa"/>
          </w:tcMar>
        </w:tcPr>
        <w:p w:rsidR="00684566" w:rsidRPr="00AD7BF2" w:rsidRDefault="00684566" w:rsidP="00D94637">
          <w:pPr>
            <w:pStyle w:val="FooterText"/>
            <w:jc w:val="center"/>
          </w:pPr>
        </w:p>
      </w:tc>
      <w:tc>
        <w:tcPr>
          <w:tcW w:w="1286" w:type="pct"/>
          <w:gridSpan w:val="3"/>
          <w:shd w:val="clear" w:color="auto" w:fill="auto"/>
          <w:tcMar>
            <w:top w:w="0" w:type="dxa"/>
          </w:tcMar>
        </w:tcPr>
        <w:p w:rsidR="00684566" w:rsidRPr="002511D8" w:rsidRDefault="00684566" w:rsidP="00D94637">
          <w:pPr>
            <w:pStyle w:val="FooterText"/>
            <w:jc w:val="center"/>
          </w:pPr>
          <w:r>
            <w:t>nr</w:t>
          </w:r>
        </w:p>
      </w:tc>
      <w:tc>
        <w:tcPr>
          <w:tcW w:w="589" w:type="pct"/>
          <w:shd w:val="clear" w:color="auto" w:fill="auto"/>
          <w:tcMar>
            <w:top w:w="0" w:type="dxa"/>
          </w:tcMar>
        </w:tcPr>
        <w:p w:rsidR="00684566" w:rsidRPr="00B310DC" w:rsidRDefault="00684566" w:rsidP="00684566">
          <w:pPr>
            <w:pStyle w:val="FooterText"/>
            <w:jc w:val="right"/>
          </w:pPr>
          <w:r>
            <w:fldChar w:fldCharType="begin"/>
          </w:r>
          <w:r>
            <w:instrText xml:space="preserve"> PAGE  \* MERGEFORMAT </w:instrText>
          </w:r>
          <w:r>
            <w:fldChar w:fldCharType="separate"/>
          </w:r>
          <w:r w:rsidR="005B7AF2">
            <w:rPr>
              <w:noProof/>
            </w:rPr>
            <w:t>0</w:t>
          </w:r>
          <w:r>
            <w:fldChar w:fldCharType="end"/>
          </w:r>
        </w:p>
      </w:tc>
    </w:tr>
    <w:tr w:rsidR="00684566" w:rsidRPr="00D94637" w:rsidTr="00684566">
      <w:trPr>
        <w:jc w:val="center"/>
      </w:trPr>
      <w:tc>
        <w:tcPr>
          <w:tcW w:w="1774" w:type="pct"/>
          <w:shd w:val="clear" w:color="auto" w:fill="auto"/>
        </w:tcPr>
        <w:p w:rsidR="00684566" w:rsidRPr="00AD7BF2" w:rsidRDefault="00684566" w:rsidP="00D94637">
          <w:pPr>
            <w:pStyle w:val="FooterText"/>
            <w:spacing w:before="40"/>
          </w:pPr>
        </w:p>
      </w:tc>
      <w:tc>
        <w:tcPr>
          <w:tcW w:w="1455" w:type="pct"/>
          <w:gridSpan w:val="3"/>
          <w:shd w:val="clear" w:color="auto" w:fill="auto"/>
        </w:tcPr>
        <w:p w:rsidR="00684566" w:rsidRPr="00AD7BF2" w:rsidRDefault="00684566" w:rsidP="00D204D6">
          <w:pPr>
            <w:pStyle w:val="FooterText"/>
            <w:spacing w:before="40"/>
            <w:jc w:val="center"/>
          </w:pPr>
          <w:r>
            <w:t>ECOMP 2B</w:t>
          </w:r>
        </w:p>
      </w:tc>
      <w:tc>
        <w:tcPr>
          <w:tcW w:w="742" w:type="pct"/>
          <w:shd w:val="clear" w:color="auto" w:fill="auto"/>
        </w:tcPr>
        <w:p w:rsidR="00684566" w:rsidRPr="00D94637" w:rsidRDefault="00684566" w:rsidP="002F0099">
          <w:pPr>
            <w:pStyle w:val="FooterText"/>
            <w:jc w:val="center"/>
            <w:rPr>
              <w:b/>
              <w:position w:val="-4"/>
              <w:sz w:val="36"/>
            </w:rPr>
          </w:pPr>
        </w:p>
      </w:tc>
      <w:tc>
        <w:tcPr>
          <w:tcW w:w="1029" w:type="pct"/>
          <w:gridSpan w:val="2"/>
          <w:shd w:val="clear" w:color="auto" w:fill="auto"/>
        </w:tcPr>
        <w:p w:rsidR="00684566" w:rsidRPr="000310C2" w:rsidRDefault="00684566" w:rsidP="00D94637">
          <w:pPr>
            <w:pStyle w:val="FooterText"/>
            <w:jc w:val="right"/>
            <w:rPr>
              <w:spacing w:val="-20"/>
              <w:sz w:val="16"/>
            </w:rPr>
          </w:pPr>
          <w:r>
            <w:rPr>
              <w:b/>
              <w:spacing w:val="-20"/>
              <w:position w:val="-4"/>
              <w:sz w:val="36"/>
            </w:rPr>
            <w:t>SL</w:t>
          </w:r>
        </w:p>
      </w:tc>
    </w:tr>
    <w:bookmarkEnd w:id="2"/>
  </w:tbl>
  <w:p w:rsidR="001B16CE" w:rsidRPr="00684566" w:rsidRDefault="001B16CE" w:rsidP="0068456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84566" w:rsidRPr="00D94637" w:rsidTr="00684566">
      <w:trPr>
        <w:jc w:val="center"/>
      </w:trPr>
      <w:tc>
        <w:tcPr>
          <w:tcW w:w="5000" w:type="pct"/>
          <w:gridSpan w:val="7"/>
          <w:shd w:val="clear" w:color="auto" w:fill="auto"/>
          <w:tcMar>
            <w:top w:w="57" w:type="dxa"/>
          </w:tcMar>
        </w:tcPr>
        <w:p w:rsidR="00684566" w:rsidRPr="00D94637" w:rsidRDefault="00684566" w:rsidP="00D94637">
          <w:pPr>
            <w:pStyle w:val="FooterText"/>
            <w:pBdr>
              <w:top w:val="single" w:sz="4" w:space="1" w:color="auto"/>
            </w:pBdr>
            <w:spacing w:before="200"/>
            <w:rPr>
              <w:sz w:val="2"/>
              <w:szCs w:val="2"/>
            </w:rPr>
          </w:pPr>
        </w:p>
      </w:tc>
    </w:tr>
    <w:tr w:rsidR="00684566" w:rsidRPr="00B310DC" w:rsidTr="00684566">
      <w:trPr>
        <w:jc w:val="center"/>
      </w:trPr>
      <w:tc>
        <w:tcPr>
          <w:tcW w:w="2500" w:type="pct"/>
          <w:gridSpan w:val="2"/>
          <w:shd w:val="clear" w:color="auto" w:fill="auto"/>
          <w:tcMar>
            <w:top w:w="0" w:type="dxa"/>
          </w:tcMar>
        </w:tcPr>
        <w:p w:rsidR="00684566" w:rsidRPr="00AD7BF2" w:rsidRDefault="00684566" w:rsidP="004F54B2">
          <w:pPr>
            <w:pStyle w:val="FooterText"/>
          </w:pPr>
          <w:r>
            <w:t>15503/18</w:t>
          </w:r>
          <w:r w:rsidRPr="002511D8">
            <w:t xml:space="preserve"> </w:t>
          </w:r>
        </w:p>
      </w:tc>
      <w:tc>
        <w:tcPr>
          <w:tcW w:w="625" w:type="pct"/>
          <w:shd w:val="clear" w:color="auto" w:fill="auto"/>
          <w:tcMar>
            <w:top w:w="0" w:type="dxa"/>
          </w:tcMar>
        </w:tcPr>
        <w:p w:rsidR="00684566" w:rsidRPr="00AD7BF2" w:rsidRDefault="00684566" w:rsidP="00D94637">
          <w:pPr>
            <w:pStyle w:val="FooterText"/>
            <w:jc w:val="center"/>
          </w:pPr>
        </w:p>
      </w:tc>
      <w:tc>
        <w:tcPr>
          <w:tcW w:w="1286" w:type="pct"/>
          <w:gridSpan w:val="3"/>
          <w:shd w:val="clear" w:color="auto" w:fill="auto"/>
          <w:tcMar>
            <w:top w:w="0" w:type="dxa"/>
          </w:tcMar>
        </w:tcPr>
        <w:p w:rsidR="00684566" w:rsidRPr="002511D8" w:rsidRDefault="00684566" w:rsidP="00D94637">
          <w:pPr>
            <w:pStyle w:val="FooterText"/>
            <w:jc w:val="center"/>
          </w:pPr>
          <w:r>
            <w:t>nr</w:t>
          </w:r>
        </w:p>
      </w:tc>
      <w:tc>
        <w:tcPr>
          <w:tcW w:w="589" w:type="pct"/>
          <w:shd w:val="clear" w:color="auto" w:fill="auto"/>
          <w:tcMar>
            <w:top w:w="0" w:type="dxa"/>
          </w:tcMar>
        </w:tcPr>
        <w:p w:rsidR="00684566" w:rsidRPr="00B310DC" w:rsidRDefault="00684566" w:rsidP="00D94637">
          <w:pPr>
            <w:pStyle w:val="FooterText"/>
            <w:jc w:val="right"/>
          </w:pPr>
        </w:p>
      </w:tc>
    </w:tr>
    <w:tr w:rsidR="00684566" w:rsidRPr="00D94637" w:rsidTr="00684566">
      <w:trPr>
        <w:jc w:val="center"/>
      </w:trPr>
      <w:tc>
        <w:tcPr>
          <w:tcW w:w="1774" w:type="pct"/>
          <w:shd w:val="clear" w:color="auto" w:fill="auto"/>
        </w:tcPr>
        <w:p w:rsidR="00684566" w:rsidRPr="00AD7BF2" w:rsidRDefault="00684566" w:rsidP="00D94637">
          <w:pPr>
            <w:pStyle w:val="FooterText"/>
            <w:spacing w:before="40"/>
          </w:pPr>
        </w:p>
      </w:tc>
      <w:tc>
        <w:tcPr>
          <w:tcW w:w="1455" w:type="pct"/>
          <w:gridSpan w:val="3"/>
          <w:shd w:val="clear" w:color="auto" w:fill="auto"/>
        </w:tcPr>
        <w:p w:rsidR="00684566" w:rsidRPr="00AD7BF2" w:rsidRDefault="00684566" w:rsidP="00D204D6">
          <w:pPr>
            <w:pStyle w:val="FooterText"/>
            <w:spacing w:before="40"/>
            <w:jc w:val="center"/>
          </w:pPr>
          <w:r>
            <w:t>ECOMP 2B</w:t>
          </w:r>
        </w:p>
      </w:tc>
      <w:tc>
        <w:tcPr>
          <w:tcW w:w="742" w:type="pct"/>
          <w:shd w:val="clear" w:color="auto" w:fill="auto"/>
        </w:tcPr>
        <w:p w:rsidR="00684566" w:rsidRPr="00D94637" w:rsidRDefault="00684566" w:rsidP="002F0099">
          <w:pPr>
            <w:pStyle w:val="FooterText"/>
            <w:jc w:val="center"/>
            <w:rPr>
              <w:b/>
              <w:position w:val="-4"/>
              <w:sz w:val="36"/>
            </w:rPr>
          </w:pPr>
        </w:p>
      </w:tc>
      <w:tc>
        <w:tcPr>
          <w:tcW w:w="1029" w:type="pct"/>
          <w:gridSpan w:val="2"/>
          <w:shd w:val="clear" w:color="auto" w:fill="auto"/>
        </w:tcPr>
        <w:p w:rsidR="00684566" w:rsidRPr="000310C2" w:rsidRDefault="00684566" w:rsidP="00D94637">
          <w:pPr>
            <w:pStyle w:val="FooterText"/>
            <w:jc w:val="right"/>
            <w:rPr>
              <w:spacing w:val="-20"/>
              <w:sz w:val="16"/>
            </w:rPr>
          </w:pPr>
          <w:r>
            <w:rPr>
              <w:b/>
              <w:spacing w:val="-20"/>
              <w:position w:val="-4"/>
              <w:sz w:val="36"/>
            </w:rPr>
            <w:t>SL</w:t>
          </w:r>
        </w:p>
      </w:tc>
    </w:tr>
  </w:tbl>
  <w:p w:rsidR="001B16CE" w:rsidRPr="00684566" w:rsidRDefault="001B16CE" w:rsidP="00684566">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6" w:rsidRDefault="006845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6" w:rsidRDefault="00684566">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6" w:rsidRDefault="006845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CE" w:rsidRDefault="00684566">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5B7AF2">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CE" w:rsidRDefault="001B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6CE" w:rsidRDefault="00684566">
      <w:pPr>
        <w:spacing w:before="0" w:after="0"/>
      </w:pPr>
      <w:r>
        <w:separator/>
      </w:r>
    </w:p>
  </w:footnote>
  <w:footnote w:type="continuationSeparator" w:id="0">
    <w:p w:rsidR="001B16CE" w:rsidRDefault="00684566">
      <w:pPr>
        <w:spacing w:before="0" w:after="0"/>
      </w:pPr>
      <w:r>
        <w:continuationSeparator/>
      </w:r>
    </w:p>
  </w:footnote>
  <w:footnote w:id="1">
    <w:p w:rsidR="001B16CE" w:rsidRDefault="00684566">
      <w:pPr>
        <w:pStyle w:val="FootnoteText"/>
      </w:pPr>
      <w:r>
        <w:rPr>
          <w:rStyle w:val="FootnoteReference"/>
        </w:rPr>
        <w:footnoteRef/>
      </w:r>
      <w:r>
        <w:tab/>
        <w:t>Zadeva 22/70, Komisija proti Svetu, Recueil 1971, str. 263, o evropskem sporazumu o cestnem prometu (European Road Transport Agreement (ERTA), v francoščini: Accord européen de transport par route (AETR)).</w:t>
      </w:r>
    </w:p>
  </w:footnote>
  <w:footnote w:id="2">
    <w:p w:rsidR="001B16CE" w:rsidRDefault="00684566">
      <w:pPr>
        <w:pStyle w:val="FootnoteText"/>
      </w:pPr>
      <w:r>
        <w:rPr>
          <w:rStyle w:val="FootnoteReference"/>
        </w:rPr>
        <w:t>1</w:t>
      </w:r>
      <w:r>
        <w:t xml:space="preserve"> </w:t>
      </w:r>
      <w:r>
        <w:tab/>
        <w:t>Sklep Sveta (EU) 2018/1089 z dne 22. junija 2018 o podpisu, v imenu unije, Sporazuma med Evropsko unijo in Kraljevino Norveško o upravnem sodelovanju, boju proti goljufijam in izterjavi terjatev na področju davka na dodano vrednost (UL L 195, 1.8.2018,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CE" w:rsidRPr="00684566" w:rsidRDefault="001B16CE" w:rsidP="00684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CE" w:rsidRPr="00684566" w:rsidRDefault="00684566" w:rsidP="00684566">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CE" w:rsidRPr="00684566" w:rsidRDefault="00684566" w:rsidP="00684566">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6" w:rsidRDefault="006845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6" w:rsidRDefault="006845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6" w:rsidRDefault="00684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E68B4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CE431A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0CEE4D8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A8721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9969A8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4906C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847AD14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18"/>
    <w:lvlOverride w:ilvl="0">
      <w:startOverride w:val="1"/>
    </w:lvlOverride>
  </w:num>
  <w:num w:numId="5">
    <w:abstractNumId w:val="18"/>
    <w:lvlOverride w:ilvl="0">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4&quot; technicalblockguid=&quot;5078778620231536171&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12-12&lt;/text&gt;_x000d__x000a_  &lt;/metadata&gt;_x000d__x000a_  &lt;metadata key=&quot;md_Prefix&quot;&gt;_x000d__x000a_    &lt;text&gt;&lt;/text&gt;_x000d__x000a_  &lt;/metadata&gt;_x000d__x000a_  &lt;metadata key=&quot;md_DocumentNumber&quot;&gt;_x000d__x000a_    &lt;text&gt;15503&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ISC 558&lt;/text&gt;_x000d__x000a_      &lt;text&gt;N 67&lt;/text&gt;_x000d__x000a_      &lt;text&gt;ECOFIN 119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422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12-12&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83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edlog SKLEPA SVETA o stali&amp;#353;&amp;#269;u, ki se v imenu Evropske unije zastopa v skupnem odboru, ustanovljenem na podlagi &amp;#269;lena 41(1) Sporazuma med Evropsko unijo in Kraljevino Norve&amp;#353;ko o upravnem sodelovanju, boju proti goljufijam in izterjavi terjatev na podro&amp;#269;ju davka na dodano vrednost&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en-gb&quot;&amp;gt;A&amp;lt;/Run&amp;gt; SVETA o stali&amp;#353;&amp;#269;u, ki se v imenu Evropske unije zastopa v skupnem odboru, ustanovljenem na podlagi &amp;#269;lena 41(1) Sporazuma med Evropsko unijo in Kraljevino Norve&amp;#353;ko o upravnem sodelovanju, boju proti goljufijam in izterjavi terjatev na podro&amp;#269;ju davka na dodano vrednost&amp;lt;/Paragraph&amp;gt;&amp;lt;/FlowDocument&amp;gt;&lt;/xaml&gt;_x000d__x000a_  &lt;/metadata&gt;_x000d__x000a_  &lt;metadata key=&quot;md_SubjectFootnote&quot; /&gt;_x000d__x000a_  &lt;metadata key=&quot;md_DG&quot;&gt;_x000d__x000a_    &lt;text&gt;ECOMP 2B&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stali&amp;#353;&amp;#269;u, ki se v imenu Evropske unije zastopa v skupnem odboru, ustanovljenem na podlagi &amp;#269;lena 41(1) Sporazuma med Evropsko unijo in Kraljevino Norve&amp;#353;ko o upravnem sodelovanju, boju proti goljufijam in izterjavi terjatev na podro&amp;#269;ju davka na dodano vrednost&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8-12-10 15:46:08"/>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7BD9A6D-C278-4BA2-B6D1-B88808C56707"/>
    <w:docVar w:name="LW_COVERPAGE_TYPE" w:val="1"/>
    <w:docVar w:name="LW_CROSSREFERENCE" w:val="&lt;UNUSED&gt;"/>
    <w:docVar w:name="LW_DocType" w:val="COM"/>
    <w:docVar w:name="LW_EMISSION" w:val="12.12.2018"/>
    <w:docVar w:name="LW_EMISSION_ISODATE" w:val="2018-12-12"/>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422"/>
    <w:docVar w:name="LW_REF.II.NEW.CP_YEAR" w:val="2018"/>
    <w:docVar w:name="LW_REF.INST.NEW" w:val="COM"/>
    <w:docVar w:name="LW_REF.INST.NEW_ADOPTED" w:val="final"/>
    <w:docVar w:name="LW_REF.INST.NEW_TEXT" w:val="(2018) 8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v imenu Evropske unije zastopa v skupnem odboru, ustanovljenem na podlagi \u269?lena 41(1) Sporazuma med Evropsko unijo in Kraljevino Norve\u353?ko o upravnem sodelovanju, boju proti goljufijam in izterjavi terjatev na podro\u269?ju davka na dodano vrednost"/>
    <w:docVar w:name="LW_TYPE.DOC.CP" w:val="SKLEP SVETA"/>
  </w:docVars>
  <w:rsids>
    <w:rsidRoot w:val="001B16CE"/>
    <w:rsid w:val="001B16CE"/>
    <w:rsid w:val="005B7AF2"/>
    <w:rsid w:val="00684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A40FCA-8688-4BD8-877D-C8EC4CB8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sl-SI"/>
    </w:rPr>
  </w:style>
  <w:style w:type="character" w:styleId="Hyperlink">
    <w:name w:val="Hyperlink"/>
    <w:uiPriority w:val="99"/>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684566"/>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684566"/>
    <w:pPr>
      <w:spacing w:before="0" w:after="240"/>
      <w:jc w:val="center"/>
    </w:pPr>
  </w:style>
  <w:style w:type="character" w:customStyle="1" w:styleId="TechnicalBlockChar">
    <w:name w:val="Technical Block Char"/>
    <w:basedOn w:val="DefaultParagraphFont"/>
    <w:link w:val="TechnicalBlock"/>
    <w:rsid w:val="00684566"/>
    <w:rPr>
      <w:rFonts w:ascii="Times New Roman" w:hAnsi="Times New Roman" w:cs="Times New Roman"/>
      <w:sz w:val="24"/>
      <w:lang w:val="sl-SI"/>
    </w:rPr>
  </w:style>
  <w:style w:type="paragraph" w:customStyle="1" w:styleId="Lignefinal">
    <w:name w:val="Ligne final"/>
    <w:basedOn w:val="Normal"/>
    <w:next w:val="Normal"/>
    <w:rsid w:val="00684566"/>
    <w:pPr>
      <w:pBdr>
        <w:bottom w:val="single" w:sz="4" w:space="0" w:color="000000"/>
      </w:pBdr>
      <w:spacing w:before="360" w:line="360" w:lineRule="auto"/>
      <w:ind w:left="3400" w:right="3400"/>
      <w:jc w:val="center"/>
    </w:pPr>
    <w:rPr>
      <w:b/>
    </w:rPr>
  </w:style>
  <w:style w:type="paragraph" w:customStyle="1" w:styleId="EntText">
    <w:name w:val="EntText"/>
    <w:basedOn w:val="Normal"/>
    <w:rsid w:val="00684566"/>
    <w:pPr>
      <w:spacing w:line="360" w:lineRule="auto"/>
      <w:jc w:val="left"/>
    </w:pPr>
  </w:style>
  <w:style w:type="paragraph" w:customStyle="1" w:styleId="pj">
    <w:name w:val="p.j."/>
    <w:basedOn w:val="TechnicalBlock"/>
    <w:link w:val="pjChar"/>
    <w:rsid w:val="00684566"/>
    <w:pPr>
      <w:spacing w:before="1200" w:after="120"/>
      <w:ind w:left="1440" w:hanging="1440"/>
      <w:jc w:val="left"/>
    </w:pPr>
  </w:style>
  <w:style w:type="character" w:customStyle="1" w:styleId="pjChar">
    <w:name w:val="p.j. Char"/>
    <w:basedOn w:val="TechnicalBlockChar"/>
    <w:link w:val="pj"/>
    <w:rsid w:val="00684566"/>
    <w:rPr>
      <w:rFonts w:ascii="Times New Roman" w:hAnsi="Times New Roman" w:cs="Times New Roman"/>
      <w:sz w:val="24"/>
      <w:lang w:val="sl-SI"/>
    </w:rPr>
  </w:style>
  <w:style w:type="paragraph" w:customStyle="1" w:styleId="nbbordered">
    <w:name w:val="nb bordered"/>
    <w:basedOn w:val="TechnicalBlock"/>
    <w:link w:val="nbborderedChar"/>
    <w:rsid w:val="00684566"/>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684566"/>
    <w:rPr>
      <w:rFonts w:ascii="Times New Roman" w:hAnsi="Times New Roman" w:cs="Times New Roman"/>
      <w:b/>
      <w:sz w:val="24"/>
      <w:lang w:val="sl-SI"/>
    </w:rPr>
  </w:style>
  <w:style w:type="paragraph" w:customStyle="1" w:styleId="HeaderCouncil">
    <w:name w:val="Header Council"/>
    <w:basedOn w:val="Normal"/>
    <w:link w:val="HeaderCouncilChar"/>
    <w:rsid w:val="00684566"/>
    <w:pPr>
      <w:spacing w:before="0" w:after="0"/>
    </w:pPr>
    <w:rPr>
      <w:sz w:val="2"/>
    </w:rPr>
  </w:style>
  <w:style w:type="character" w:customStyle="1" w:styleId="HeaderCouncilChar">
    <w:name w:val="Header Council Char"/>
    <w:basedOn w:val="DefaultParagraphFont"/>
    <w:link w:val="HeaderCouncil"/>
    <w:rsid w:val="00684566"/>
    <w:rPr>
      <w:rFonts w:ascii="Times New Roman" w:hAnsi="Times New Roman" w:cs="Times New Roman"/>
      <w:sz w:val="2"/>
      <w:lang w:val="sl-SI"/>
    </w:rPr>
  </w:style>
  <w:style w:type="paragraph" w:customStyle="1" w:styleId="HeaderCouncilLarge">
    <w:name w:val="Header Council Large"/>
    <w:basedOn w:val="Normal"/>
    <w:link w:val="HeaderCouncilLargeChar"/>
    <w:rsid w:val="00684566"/>
    <w:pPr>
      <w:spacing w:before="0" w:after="440"/>
    </w:pPr>
    <w:rPr>
      <w:sz w:val="2"/>
    </w:rPr>
  </w:style>
  <w:style w:type="character" w:customStyle="1" w:styleId="HeaderCouncilLargeChar">
    <w:name w:val="Header Council Large Char"/>
    <w:basedOn w:val="DefaultParagraphFont"/>
    <w:link w:val="HeaderCouncilLarge"/>
    <w:rsid w:val="00684566"/>
    <w:rPr>
      <w:rFonts w:ascii="Times New Roman" w:hAnsi="Times New Roman" w:cs="Times New Roman"/>
      <w:sz w:val="2"/>
      <w:lang w:val="sl-SI"/>
    </w:rPr>
  </w:style>
  <w:style w:type="paragraph" w:customStyle="1" w:styleId="FooterCouncil">
    <w:name w:val="Footer Council"/>
    <w:basedOn w:val="Normal"/>
    <w:link w:val="FooterCouncilChar"/>
    <w:rsid w:val="00684566"/>
    <w:pPr>
      <w:spacing w:before="0" w:after="0"/>
    </w:pPr>
    <w:rPr>
      <w:sz w:val="2"/>
    </w:rPr>
  </w:style>
  <w:style w:type="character" w:customStyle="1" w:styleId="FooterCouncilChar">
    <w:name w:val="Footer Council Char"/>
    <w:basedOn w:val="DefaultParagraphFont"/>
    <w:link w:val="FooterCouncil"/>
    <w:rsid w:val="00684566"/>
    <w:rPr>
      <w:rFonts w:ascii="Times New Roman" w:hAnsi="Times New Roman" w:cs="Times New Roman"/>
      <w:sz w:val="2"/>
      <w:lang w:val="sl-SI"/>
    </w:rPr>
  </w:style>
  <w:style w:type="paragraph" w:customStyle="1" w:styleId="FooterText">
    <w:name w:val="Footer Text"/>
    <w:basedOn w:val="Normal"/>
    <w:rsid w:val="00684566"/>
    <w:pPr>
      <w:spacing w:before="0" w:after="0"/>
      <w:jc w:val="left"/>
    </w:pPr>
    <w:rPr>
      <w:rFonts w:eastAsia="Times New Roman"/>
      <w:szCs w:val="24"/>
      <w:lang w:val="en-GB"/>
    </w:rPr>
  </w:style>
  <w:style w:type="character" w:styleId="PlaceholderText">
    <w:name w:val="Placeholder Text"/>
    <w:basedOn w:val="DefaultParagraphFont"/>
    <w:uiPriority w:val="99"/>
    <w:semiHidden/>
    <w:rsid w:val="006845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D6648B5-0A8D-485C-906E-9EB0044E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Roman</dc:creator>
  <cp:keywords/>
  <dc:description/>
  <cp:lastModifiedBy>NOVAK Roman</cp:lastModifiedBy>
  <cp:revision>3</cp:revision>
  <dcterms:created xsi:type="dcterms:W3CDTF">2018-12-12T12:02:00Z</dcterms:created>
  <dcterms:modified xsi:type="dcterms:W3CDTF">2018-12-12T12:02:00Z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DocuWrite 4.2.4, Build 20181108</vt:lpwstr>
  </property>
  <property fmtid="{D5CDD505-2E9C-101B-9397-08002B2CF9AE}" pid="5" name="Created using">
    <vt:lpwstr>DocuWrite 4.2.4, Build 20181108</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