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032"/>
        <w:gridCol w:w="522"/>
        <w:gridCol w:w="865"/>
        <w:gridCol w:w="1372"/>
        <w:gridCol w:w="411"/>
        <w:gridCol w:w="1056"/>
        <w:gridCol w:w="485"/>
        <w:gridCol w:w="192"/>
        <w:gridCol w:w="375"/>
        <w:gridCol w:w="213"/>
        <w:gridCol w:w="84"/>
        <w:gridCol w:w="2061"/>
        <w:gridCol w:w="374"/>
      </w:tblGrid>
      <w:tr w:rsidR="00135D00" w:rsidRPr="00135D00" w14:paraId="41AD8FF2" w14:textId="77777777" w:rsidTr="00C23DDC">
        <w:trPr>
          <w:gridAfter w:val="6"/>
          <w:wAfter w:w="3299" w:type="dxa"/>
        </w:trPr>
        <w:tc>
          <w:tcPr>
            <w:tcW w:w="6199" w:type="dxa"/>
            <w:gridSpan w:val="8"/>
          </w:tcPr>
          <w:p w14:paraId="5D813A7C" w14:textId="4AFB8165"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Številka: 007-25</w:t>
            </w:r>
            <w:r w:rsidR="005044E7">
              <w:rPr>
                <w:rFonts w:ascii="Arial" w:eastAsia="Times New Roman" w:hAnsi="Arial" w:cs="Arial"/>
                <w:sz w:val="20"/>
                <w:szCs w:val="20"/>
                <w:lang w:eastAsia="sl-SI"/>
              </w:rPr>
              <w:t>5</w:t>
            </w:r>
            <w:r w:rsidRPr="00135D00">
              <w:rPr>
                <w:rFonts w:ascii="Arial" w:eastAsia="Times New Roman" w:hAnsi="Arial" w:cs="Arial"/>
                <w:sz w:val="20"/>
                <w:szCs w:val="20"/>
                <w:lang w:eastAsia="sl-SI"/>
              </w:rPr>
              <w:t>/2018</w:t>
            </w:r>
          </w:p>
        </w:tc>
      </w:tr>
      <w:tr w:rsidR="00135D00" w:rsidRPr="00135D00" w14:paraId="2CDC7A21" w14:textId="77777777" w:rsidTr="00C23DDC">
        <w:trPr>
          <w:gridAfter w:val="6"/>
          <w:wAfter w:w="3299" w:type="dxa"/>
        </w:trPr>
        <w:tc>
          <w:tcPr>
            <w:tcW w:w="6199" w:type="dxa"/>
            <w:gridSpan w:val="8"/>
          </w:tcPr>
          <w:p w14:paraId="3A781C25" w14:textId="26FDF868"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xml:space="preserve">Ljubljana, </w:t>
            </w:r>
            <w:r w:rsidR="004D3AA1">
              <w:rPr>
                <w:rFonts w:ascii="Arial" w:eastAsia="Times New Roman" w:hAnsi="Arial" w:cs="Arial"/>
                <w:sz w:val="20"/>
                <w:szCs w:val="20"/>
                <w:lang w:eastAsia="sl-SI"/>
              </w:rPr>
              <w:t>1</w:t>
            </w:r>
            <w:r w:rsidR="00856E80">
              <w:rPr>
                <w:rFonts w:ascii="Arial" w:eastAsia="Times New Roman" w:hAnsi="Arial" w:cs="Arial"/>
                <w:sz w:val="20"/>
                <w:szCs w:val="20"/>
                <w:lang w:eastAsia="sl-SI"/>
              </w:rPr>
              <w:t>7</w:t>
            </w:r>
            <w:r w:rsidRPr="00135D00">
              <w:rPr>
                <w:rFonts w:ascii="Arial" w:eastAsia="Times New Roman" w:hAnsi="Arial" w:cs="Arial"/>
                <w:sz w:val="20"/>
                <w:szCs w:val="20"/>
                <w:lang w:eastAsia="sl-SI"/>
              </w:rPr>
              <w:t xml:space="preserve">. </w:t>
            </w:r>
            <w:r w:rsidR="004D3AA1">
              <w:rPr>
                <w:rFonts w:ascii="Arial" w:eastAsia="Times New Roman" w:hAnsi="Arial" w:cs="Arial"/>
                <w:sz w:val="20"/>
                <w:szCs w:val="20"/>
                <w:lang w:eastAsia="sl-SI"/>
              </w:rPr>
              <w:t>6</w:t>
            </w:r>
            <w:r w:rsidRPr="00135D00">
              <w:rPr>
                <w:rFonts w:ascii="Arial" w:eastAsia="Times New Roman" w:hAnsi="Arial" w:cs="Arial"/>
                <w:sz w:val="20"/>
                <w:szCs w:val="20"/>
                <w:lang w:eastAsia="sl-SI"/>
              </w:rPr>
              <w:t>. 2019</w:t>
            </w:r>
          </w:p>
        </w:tc>
      </w:tr>
      <w:tr w:rsidR="00135D00" w:rsidRPr="00135D00" w14:paraId="17FEF631" w14:textId="77777777" w:rsidTr="00C23DDC">
        <w:trPr>
          <w:gridAfter w:val="6"/>
          <w:wAfter w:w="3299" w:type="dxa"/>
        </w:trPr>
        <w:tc>
          <w:tcPr>
            <w:tcW w:w="6199" w:type="dxa"/>
            <w:gridSpan w:val="8"/>
          </w:tcPr>
          <w:p w14:paraId="214610CB" w14:textId="290B4B3F"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EVA 201</w:t>
            </w:r>
            <w:r w:rsidR="005044E7">
              <w:rPr>
                <w:rFonts w:ascii="Arial" w:eastAsia="Times New Roman" w:hAnsi="Arial" w:cs="Arial"/>
                <w:iCs/>
                <w:sz w:val="20"/>
                <w:szCs w:val="20"/>
                <w:lang w:eastAsia="sl-SI"/>
              </w:rPr>
              <w:t>8</w:t>
            </w:r>
            <w:r w:rsidRPr="00135D00">
              <w:rPr>
                <w:rFonts w:ascii="Arial" w:eastAsia="Times New Roman" w:hAnsi="Arial" w:cs="Arial"/>
                <w:iCs/>
                <w:sz w:val="20"/>
                <w:szCs w:val="20"/>
                <w:lang w:eastAsia="sl-SI"/>
              </w:rPr>
              <w:t>-2030-00</w:t>
            </w:r>
            <w:r w:rsidR="005044E7">
              <w:rPr>
                <w:rFonts w:ascii="Arial" w:eastAsia="Times New Roman" w:hAnsi="Arial" w:cs="Arial"/>
                <w:iCs/>
                <w:sz w:val="20"/>
                <w:szCs w:val="20"/>
                <w:lang w:eastAsia="sl-SI"/>
              </w:rPr>
              <w:t>41</w:t>
            </w:r>
          </w:p>
        </w:tc>
      </w:tr>
      <w:tr w:rsidR="00135D00" w:rsidRPr="00135D00" w14:paraId="2AF19713" w14:textId="77777777" w:rsidTr="00C23DDC">
        <w:trPr>
          <w:gridAfter w:val="6"/>
          <w:wAfter w:w="3299" w:type="dxa"/>
        </w:trPr>
        <w:tc>
          <w:tcPr>
            <w:tcW w:w="6199" w:type="dxa"/>
            <w:gridSpan w:val="8"/>
          </w:tcPr>
          <w:p w14:paraId="2B37835A" w14:textId="77777777" w:rsidR="00135D00" w:rsidRPr="00135D00" w:rsidRDefault="00135D00" w:rsidP="00135D00">
            <w:pPr>
              <w:spacing w:after="0" w:line="260" w:lineRule="exact"/>
              <w:rPr>
                <w:rFonts w:ascii="Arial" w:eastAsia="Times New Roman" w:hAnsi="Arial" w:cs="Arial"/>
                <w:sz w:val="20"/>
                <w:szCs w:val="20"/>
              </w:rPr>
            </w:pPr>
          </w:p>
          <w:p w14:paraId="0BB6ED7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GENERALNI SEKRETARIAT VLADE REPUBLIKE SLOVENIJE</w:t>
            </w:r>
          </w:p>
          <w:p w14:paraId="03C09293" w14:textId="5BD61AAA" w:rsidR="00135D00" w:rsidRPr="00135D00" w:rsidRDefault="00D8786B" w:rsidP="00135D00">
            <w:pPr>
              <w:spacing w:after="0" w:line="260" w:lineRule="exact"/>
              <w:rPr>
                <w:rFonts w:ascii="Arial" w:eastAsia="Times New Roman" w:hAnsi="Arial" w:cs="Arial"/>
                <w:sz w:val="20"/>
                <w:szCs w:val="20"/>
              </w:rPr>
            </w:pPr>
            <w:hyperlink r:id="rId8" w:history="1">
              <w:r w:rsidR="00D94D25" w:rsidRPr="00CF3CC6">
                <w:rPr>
                  <w:rStyle w:val="Hiperpovezava"/>
                  <w:rFonts w:ascii="Arial" w:eastAsia="Times New Roman" w:hAnsi="Arial" w:cs="Arial"/>
                  <w:sz w:val="20"/>
                  <w:szCs w:val="20"/>
                </w:rPr>
                <w:t>gp.gs@gov.si</w:t>
              </w:r>
            </w:hyperlink>
          </w:p>
          <w:p w14:paraId="0DC3C88E" w14:textId="77777777" w:rsidR="00135D00" w:rsidRPr="00135D00" w:rsidRDefault="00135D00" w:rsidP="00135D00">
            <w:pPr>
              <w:spacing w:after="0" w:line="260" w:lineRule="exact"/>
              <w:rPr>
                <w:rFonts w:ascii="Arial" w:eastAsia="Times New Roman" w:hAnsi="Arial" w:cs="Arial"/>
                <w:sz w:val="20"/>
                <w:szCs w:val="20"/>
              </w:rPr>
            </w:pPr>
          </w:p>
        </w:tc>
      </w:tr>
      <w:tr w:rsidR="00135D00" w:rsidRPr="00135D00" w14:paraId="7FDE35ED" w14:textId="77777777" w:rsidTr="00135D00">
        <w:tc>
          <w:tcPr>
            <w:tcW w:w="9498" w:type="dxa"/>
            <w:gridSpan w:val="14"/>
          </w:tcPr>
          <w:p w14:paraId="113D832E" w14:textId="495A5FD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 xml:space="preserve">ZADEVA: Predlog Zakona o spremembah in dopolnitvah Zakona o </w:t>
            </w:r>
            <w:r w:rsidR="001830B8">
              <w:rPr>
                <w:rFonts w:ascii="Arial" w:eastAsia="Times New Roman" w:hAnsi="Arial" w:cs="Arial"/>
                <w:b/>
                <w:sz w:val="20"/>
                <w:szCs w:val="20"/>
                <w:lang w:eastAsia="sl-SI"/>
              </w:rPr>
              <w:t>integriteti in preprečevanju korupcije</w:t>
            </w:r>
            <w:r w:rsidRPr="00135D00">
              <w:rPr>
                <w:rFonts w:ascii="Arial" w:eastAsia="Times New Roman" w:hAnsi="Arial" w:cs="Arial"/>
                <w:b/>
                <w:sz w:val="20"/>
                <w:szCs w:val="20"/>
                <w:lang w:eastAsia="sl-SI"/>
              </w:rPr>
              <w:t xml:space="preserve"> – redni postopek</w:t>
            </w:r>
            <w:r w:rsidR="0081342F">
              <w:rPr>
                <w:rFonts w:ascii="Arial" w:eastAsia="Times New Roman" w:hAnsi="Arial" w:cs="Arial"/>
                <w:b/>
                <w:sz w:val="20"/>
                <w:szCs w:val="20"/>
                <w:lang w:eastAsia="sl-SI"/>
              </w:rPr>
              <w:t xml:space="preserve"> – predlog za obravnavo</w:t>
            </w:r>
          </w:p>
        </w:tc>
      </w:tr>
      <w:tr w:rsidR="00135D00" w:rsidRPr="00135D00" w14:paraId="17E60490" w14:textId="77777777" w:rsidTr="00135D00">
        <w:trPr>
          <w:trHeight w:val="5110"/>
        </w:trPr>
        <w:tc>
          <w:tcPr>
            <w:tcW w:w="9498" w:type="dxa"/>
            <w:gridSpan w:val="14"/>
            <w:tcBorders>
              <w:bottom w:val="single" w:sz="4" w:space="0" w:color="000000"/>
            </w:tcBorders>
          </w:tcPr>
          <w:p w14:paraId="0AC7CA7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1. Predlog sklepov vlade:</w:t>
            </w:r>
          </w:p>
          <w:p w14:paraId="2DAF43B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135D00" w:rsidRDefault="00135D00" w:rsidP="00135D00">
            <w:pPr>
              <w:spacing w:after="0" w:line="260" w:lineRule="exact"/>
              <w:ind w:right="-23"/>
              <w:jc w:val="both"/>
              <w:rPr>
                <w:rFonts w:ascii="Arial" w:eastAsia="Times New Roman" w:hAnsi="Arial" w:cs="Arial"/>
                <w:sz w:val="20"/>
                <w:szCs w:val="20"/>
              </w:rPr>
            </w:pPr>
            <w:r w:rsidRPr="00135D00">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135D00" w:rsidRDefault="00135D00" w:rsidP="00135D00">
            <w:pPr>
              <w:spacing w:after="0" w:line="260" w:lineRule="exact"/>
              <w:ind w:right="-23"/>
              <w:jc w:val="both"/>
              <w:rPr>
                <w:rFonts w:ascii="Arial" w:eastAsia="Times New Roman" w:hAnsi="Arial" w:cs="Arial"/>
                <w:sz w:val="20"/>
                <w:szCs w:val="20"/>
              </w:rPr>
            </w:pPr>
          </w:p>
          <w:p w14:paraId="1F486A06" w14:textId="1E9401F8"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Zakona o spremembah in dopolnitvah Zakona o </w:t>
            </w:r>
            <w:r w:rsidR="005044E7">
              <w:rPr>
                <w:rFonts w:ascii="Arial" w:eastAsia="Times New Roman" w:hAnsi="Arial" w:cs="Arial"/>
                <w:sz w:val="20"/>
                <w:szCs w:val="20"/>
              </w:rPr>
              <w:t>integriteti in preprečevanju korupcije</w:t>
            </w:r>
            <w:r w:rsidRPr="00135D00">
              <w:rPr>
                <w:rFonts w:ascii="Arial" w:eastAsia="Times New Roman" w:hAnsi="Arial" w:cs="Arial"/>
                <w:sz w:val="20"/>
                <w:szCs w:val="20"/>
              </w:rPr>
              <w:t xml:space="preserve"> (EVA </w:t>
            </w:r>
            <w:r w:rsidRPr="00135D00">
              <w:rPr>
                <w:rFonts w:ascii="Arial" w:eastAsia="Times New Roman" w:hAnsi="Arial" w:cs="Arial"/>
                <w:iCs/>
                <w:sz w:val="20"/>
                <w:szCs w:val="20"/>
                <w:lang w:eastAsia="sl-SI"/>
              </w:rPr>
              <w:t>201</w:t>
            </w:r>
            <w:r w:rsidR="005044E7">
              <w:rPr>
                <w:rFonts w:ascii="Arial" w:eastAsia="Times New Roman" w:hAnsi="Arial" w:cs="Arial"/>
                <w:iCs/>
                <w:sz w:val="20"/>
                <w:szCs w:val="20"/>
                <w:lang w:eastAsia="sl-SI"/>
              </w:rPr>
              <w:t>8</w:t>
            </w:r>
            <w:r w:rsidRPr="00135D00">
              <w:rPr>
                <w:rFonts w:ascii="Arial" w:eastAsia="Times New Roman" w:hAnsi="Arial" w:cs="Arial"/>
                <w:iCs/>
                <w:sz w:val="20"/>
                <w:szCs w:val="20"/>
                <w:lang w:eastAsia="sl-SI"/>
              </w:rPr>
              <w:t>-2030-00</w:t>
            </w:r>
            <w:r w:rsidR="005044E7">
              <w:rPr>
                <w:rFonts w:ascii="Arial" w:eastAsia="Times New Roman" w:hAnsi="Arial" w:cs="Arial"/>
                <w:iCs/>
                <w:sz w:val="20"/>
                <w:szCs w:val="20"/>
                <w:lang w:eastAsia="sl-SI"/>
              </w:rPr>
              <w:t>41</w:t>
            </w:r>
            <w:r w:rsidRPr="00135D00">
              <w:rPr>
                <w:rFonts w:ascii="Arial" w:eastAsia="Times New Roman" w:hAnsi="Arial" w:cs="Arial"/>
                <w:sz w:val="20"/>
                <w:szCs w:val="20"/>
              </w:rPr>
              <w:t>) in ga predloži Državnemu zboru Republike Slovenije v obravnavo po rednem postopku.</w:t>
            </w:r>
          </w:p>
          <w:p w14:paraId="381831D6" w14:textId="77777777" w:rsidR="00135D00" w:rsidRPr="00135D00" w:rsidRDefault="00135D00" w:rsidP="00135D00">
            <w:pPr>
              <w:spacing w:after="0" w:line="260" w:lineRule="exact"/>
              <w:ind w:right="-21"/>
              <w:rPr>
                <w:rFonts w:ascii="Arial" w:eastAsia="Times New Roman" w:hAnsi="Arial" w:cs="Arial"/>
                <w:sz w:val="20"/>
                <w:szCs w:val="20"/>
              </w:rPr>
            </w:pPr>
          </w:p>
          <w:p w14:paraId="133CA76D" w14:textId="77777777" w:rsidR="00135D00" w:rsidRPr="00135D00" w:rsidRDefault="00135D00" w:rsidP="00135D00">
            <w:pPr>
              <w:spacing w:after="0" w:line="260" w:lineRule="exact"/>
              <w:ind w:right="-21"/>
              <w:rPr>
                <w:rFonts w:ascii="Arial" w:eastAsia="Times New Roman" w:hAnsi="Arial" w:cs="Arial"/>
                <w:sz w:val="20"/>
                <w:szCs w:val="20"/>
              </w:rPr>
            </w:pPr>
          </w:p>
          <w:p w14:paraId="18EFBB6B"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b/>
                <w:sz w:val="20"/>
                <w:szCs w:val="20"/>
                <w:lang w:eastAsia="sl-SI"/>
              </w:rPr>
              <w:t>Stojan TRAMTE</w:t>
            </w:r>
          </w:p>
          <w:p w14:paraId="3FF5C1E7"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b/>
                <w:bCs/>
                <w:sz w:val="20"/>
                <w:szCs w:val="20"/>
                <w:lang w:eastAsia="sl-SI"/>
              </w:rPr>
              <w:t xml:space="preserve">                                                                                                             GENERALNI SEKRETAR</w:t>
            </w:r>
          </w:p>
          <w:p w14:paraId="521C8013" w14:textId="77777777" w:rsidR="00135D00" w:rsidRPr="00135D00" w:rsidRDefault="00135D00" w:rsidP="00135D00">
            <w:pPr>
              <w:spacing w:after="0" w:line="260" w:lineRule="exact"/>
              <w:ind w:right="-21"/>
              <w:rPr>
                <w:rFonts w:ascii="Arial" w:eastAsia="Times New Roman" w:hAnsi="Arial" w:cs="Arial"/>
                <w:sz w:val="20"/>
                <w:szCs w:val="20"/>
              </w:rPr>
            </w:pPr>
          </w:p>
          <w:p w14:paraId="2A6A4BD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Prejmejo:</w:t>
            </w:r>
          </w:p>
          <w:p w14:paraId="4AEC695F" w14:textId="11AEC162"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Državni zbor Republike Slovenije,</w:t>
            </w:r>
          </w:p>
          <w:p w14:paraId="6A933B6C" w14:textId="51CB051B"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Ministrstvo za pravosodje,</w:t>
            </w:r>
          </w:p>
          <w:p w14:paraId="2D5B9D3D" w14:textId="53DA221E"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Ministrstvo za finance,</w:t>
            </w:r>
          </w:p>
          <w:p w14:paraId="2EAC026E" w14:textId="2F61B82E" w:rsidR="00135D00" w:rsidRPr="00135D00" w:rsidRDefault="00135D00" w:rsidP="00BA5D9F">
            <w:pPr>
              <w:pStyle w:val="Odstavekseznama"/>
              <w:numPr>
                <w:ilvl w:val="0"/>
                <w:numId w:val="13"/>
              </w:numPr>
              <w:spacing w:line="260" w:lineRule="exact"/>
              <w:jc w:val="both"/>
              <w:rPr>
                <w:rFonts w:cs="Arial"/>
                <w:szCs w:val="20"/>
              </w:rPr>
            </w:pPr>
            <w:r w:rsidRPr="00BA5D9F">
              <w:rPr>
                <w:rFonts w:cs="Arial"/>
                <w:color w:val="000000"/>
                <w:szCs w:val="20"/>
              </w:rPr>
              <w:t>Služba Vlade Republike Slovenije za zakonodajo.</w:t>
            </w:r>
          </w:p>
        </w:tc>
      </w:tr>
      <w:tr w:rsidR="00135D00" w:rsidRPr="00135D00" w14:paraId="20D2423C" w14:textId="77777777" w:rsidTr="00135D00">
        <w:tc>
          <w:tcPr>
            <w:tcW w:w="9498" w:type="dxa"/>
            <w:gridSpan w:val="14"/>
          </w:tcPr>
          <w:p w14:paraId="6E49D08A"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135D00" w14:paraId="69675E95" w14:textId="77777777" w:rsidTr="00135D00">
        <w:tc>
          <w:tcPr>
            <w:tcW w:w="9498" w:type="dxa"/>
            <w:gridSpan w:val="14"/>
          </w:tcPr>
          <w:p w14:paraId="3D43B44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w:t>
            </w:r>
          </w:p>
        </w:tc>
      </w:tr>
      <w:tr w:rsidR="00135D00" w:rsidRPr="00135D00" w14:paraId="64C5DC4C" w14:textId="77777777" w:rsidTr="00135D00">
        <w:tc>
          <w:tcPr>
            <w:tcW w:w="9498" w:type="dxa"/>
            <w:gridSpan w:val="14"/>
          </w:tcPr>
          <w:p w14:paraId="3DA457B7"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3.a Osebe, odgovorne za strokovno pripravo in usklajenost gradiva:</w:t>
            </w:r>
          </w:p>
        </w:tc>
      </w:tr>
      <w:tr w:rsidR="00135D00" w:rsidRPr="00135D00" w14:paraId="27D2445C" w14:textId="77777777" w:rsidTr="00135D00">
        <w:tc>
          <w:tcPr>
            <w:tcW w:w="9498" w:type="dxa"/>
            <w:gridSpan w:val="14"/>
          </w:tcPr>
          <w:p w14:paraId="15A14121" w14:textId="613CCEDA"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Andreja Katič, ministrica za pravosodje</w:t>
            </w:r>
          </w:p>
          <w:p w14:paraId="664C4995" w14:textId="5A82B97D"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dr. Dominika Švarc Pipan, državna sekretarka, Ministrstvo za pravosodje</w:t>
            </w:r>
          </w:p>
          <w:p w14:paraId="4AB0E2EC" w14:textId="4CDBB4BD"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mag. Nina Koželj, v.d. generalnega direktorja Direktorata za kaznovalno pravo in človekove pravice, Ministrstvo za pravosodje</w:t>
            </w:r>
          </w:p>
          <w:p w14:paraId="7EFE432F" w14:textId="6303EB3C"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mag. Robert Golobinek, vodja Sektorja za kaznovalno pravo in človekove pravice, Ministrstvo za pravosodje</w:t>
            </w:r>
          </w:p>
          <w:p w14:paraId="5499B56F" w14:textId="0261546F" w:rsidR="00135D00" w:rsidRPr="00932FA5" w:rsidRDefault="005044E7" w:rsidP="00BA5D9F">
            <w:pPr>
              <w:pStyle w:val="Odstavekseznama"/>
              <w:numPr>
                <w:ilvl w:val="0"/>
                <w:numId w:val="13"/>
              </w:numPr>
              <w:spacing w:line="260" w:lineRule="exact"/>
              <w:jc w:val="both"/>
              <w:rPr>
                <w:rFonts w:cs="Arial"/>
                <w:szCs w:val="20"/>
              </w:rPr>
            </w:pPr>
            <w:r w:rsidRPr="00BA5D9F">
              <w:rPr>
                <w:rFonts w:cs="Arial"/>
                <w:color w:val="000000"/>
                <w:szCs w:val="20"/>
              </w:rPr>
              <w:t>Matjaž Mešnjak, višji svetovalec</w:t>
            </w:r>
            <w:r w:rsidR="00135D00" w:rsidRPr="00BA5D9F">
              <w:rPr>
                <w:rFonts w:cs="Arial"/>
                <w:color w:val="000000"/>
                <w:szCs w:val="20"/>
              </w:rPr>
              <w:t xml:space="preserve"> v Sektorju za kaznovalno pravo in človekove pravice, Ministrstvo za pravosodje.</w:t>
            </w:r>
          </w:p>
        </w:tc>
      </w:tr>
      <w:tr w:rsidR="00135D00" w:rsidRPr="00135D00" w14:paraId="1FCC4A5B" w14:textId="77777777" w:rsidTr="00135D00">
        <w:tc>
          <w:tcPr>
            <w:tcW w:w="9498" w:type="dxa"/>
            <w:gridSpan w:val="14"/>
          </w:tcPr>
          <w:p w14:paraId="4895398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 xml:space="preserve">3.b Zunanji strokovnjaki, ki so </w:t>
            </w:r>
            <w:r w:rsidRPr="00135D00">
              <w:rPr>
                <w:rFonts w:ascii="Arial" w:eastAsia="Times New Roman" w:hAnsi="Arial" w:cs="Arial"/>
                <w:b/>
                <w:sz w:val="20"/>
                <w:szCs w:val="20"/>
                <w:lang w:eastAsia="sl-SI"/>
              </w:rPr>
              <w:t>sodelovali pri pripravi dela ali celotnega gradiva:</w:t>
            </w:r>
          </w:p>
        </w:tc>
      </w:tr>
      <w:tr w:rsidR="00135D00" w:rsidRPr="00135D00" w14:paraId="02CE83FC" w14:textId="77777777" w:rsidTr="00135D00">
        <w:tc>
          <w:tcPr>
            <w:tcW w:w="9498" w:type="dxa"/>
            <w:gridSpan w:val="14"/>
          </w:tcPr>
          <w:p w14:paraId="6024E769" w14:textId="5E6F7EE4" w:rsidR="00135D00" w:rsidRPr="00135D00" w:rsidRDefault="00135D00" w:rsidP="00B209E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 pripravi dela ali celotnega gradiva zunanji strokovnjaki niso sodelovali.</w:t>
            </w:r>
          </w:p>
        </w:tc>
      </w:tr>
      <w:tr w:rsidR="00135D00" w:rsidRPr="00135D00" w14:paraId="62366A5C" w14:textId="77777777" w:rsidTr="00135D00">
        <w:tc>
          <w:tcPr>
            <w:tcW w:w="9498" w:type="dxa"/>
            <w:gridSpan w:val="14"/>
          </w:tcPr>
          <w:p w14:paraId="47AA100C"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4. Predstavniki vlade, ki bodo sodelovali pri delu državnega zbora:</w:t>
            </w:r>
          </w:p>
        </w:tc>
      </w:tr>
      <w:tr w:rsidR="00135D00" w:rsidRPr="00135D00" w14:paraId="6537ADE8" w14:textId="77777777" w:rsidTr="00135D00">
        <w:tc>
          <w:tcPr>
            <w:tcW w:w="9498" w:type="dxa"/>
            <w:gridSpan w:val="14"/>
          </w:tcPr>
          <w:p w14:paraId="5C9B3FA2" w14:textId="11C8695A"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Andreja Katič, ministrica za pravosodje</w:t>
            </w:r>
          </w:p>
          <w:p w14:paraId="4AE51F7D" w14:textId="63B0D6B2" w:rsidR="00135D00"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dr. Dominika Švarc Pipan, državna sekretarka, Ministrstvo za pravosodje</w:t>
            </w:r>
          </w:p>
          <w:p w14:paraId="1229549E" w14:textId="32C688CA" w:rsidR="00CF755E" w:rsidRPr="00BA5D9F" w:rsidRDefault="00CF755E" w:rsidP="00BA5D9F">
            <w:pPr>
              <w:pStyle w:val="Odstavekseznama"/>
              <w:numPr>
                <w:ilvl w:val="0"/>
                <w:numId w:val="13"/>
              </w:numPr>
              <w:spacing w:line="260" w:lineRule="exact"/>
              <w:jc w:val="both"/>
              <w:rPr>
                <w:rFonts w:cs="Arial"/>
                <w:color w:val="000000"/>
                <w:szCs w:val="20"/>
              </w:rPr>
            </w:pPr>
            <w:r>
              <w:rPr>
                <w:rFonts w:cs="Arial"/>
                <w:color w:val="000000"/>
                <w:szCs w:val="20"/>
              </w:rPr>
              <w:t>Gregor Strojin, državni sekretar, Ministrstvo za pravosodje</w:t>
            </w:r>
          </w:p>
          <w:p w14:paraId="3D789548" w14:textId="28C1EB54"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t>mag. Nina Koželj, v.d. generalnega direktorja Direktorata za kaznovalno pravo in človekove pravice, Ministrstvo za pravosodje</w:t>
            </w:r>
          </w:p>
          <w:p w14:paraId="5603D148" w14:textId="11B1370C" w:rsidR="00135D00" w:rsidRPr="00BA5D9F" w:rsidRDefault="00135D00" w:rsidP="00BA5D9F">
            <w:pPr>
              <w:pStyle w:val="Odstavekseznama"/>
              <w:numPr>
                <w:ilvl w:val="0"/>
                <w:numId w:val="13"/>
              </w:numPr>
              <w:spacing w:line="260" w:lineRule="exact"/>
              <w:jc w:val="both"/>
              <w:rPr>
                <w:rFonts w:cs="Arial"/>
                <w:color w:val="000000"/>
                <w:szCs w:val="20"/>
              </w:rPr>
            </w:pPr>
            <w:r w:rsidRPr="00BA5D9F">
              <w:rPr>
                <w:rFonts w:cs="Arial"/>
                <w:color w:val="000000"/>
                <w:szCs w:val="20"/>
              </w:rPr>
              <w:lastRenderedPageBreak/>
              <w:t>mag. Robert Golobinek, vodja Sektorja za kaznovalno pravo in človekove pravice, Ministrstvo za pravosodje</w:t>
            </w:r>
          </w:p>
          <w:p w14:paraId="41975228" w14:textId="1BBC8967" w:rsidR="00135D00" w:rsidRPr="00BA5D9F" w:rsidRDefault="00D94D25" w:rsidP="00BA5D9F">
            <w:pPr>
              <w:pStyle w:val="Odstavekseznama"/>
              <w:numPr>
                <w:ilvl w:val="0"/>
                <w:numId w:val="13"/>
              </w:numPr>
              <w:spacing w:line="260" w:lineRule="exact"/>
              <w:jc w:val="both"/>
              <w:rPr>
                <w:rFonts w:cs="Arial"/>
                <w:color w:val="000000"/>
                <w:szCs w:val="20"/>
              </w:rPr>
            </w:pPr>
            <w:r w:rsidRPr="00BA5D9F">
              <w:rPr>
                <w:rFonts w:cs="Arial"/>
                <w:color w:val="000000"/>
                <w:szCs w:val="20"/>
              </w:rPr>
              <w:t>M</w:t>
            </w:r>
            <w:r w:rsidR="005044E7" w:rsidRPr="00BA5D9F">
              <w:rPr>
                <w:rFonts w:cs="Arial"/>
                <w:color w:val="000000"/>
                <w:szCs w:val="20"/>
              </w:rPr>
              <w:t>atjaž Mešnjak, višji svetovalec</w:t>
            </w:r>
            <w:r w:rsidR="00135D00" w:rsidRPr="00BA5D9F">
              <w:rPr>
                <w:rFonts w:cs="Arial"/>
                <w:color w:val="000000"/>
                <w:szCs w:val="20"/>
              </w:rPr>
              <w:t xml:space="preserve"> v Sektorju za kaznovalno pravo in človekove pravice, Ministrstvo za pravosodje</w:t>
            </w:r>
            <w:r w:rsidR="009B05CE" w:rsidRPr="00BA5D9F">
              <w:rPr>
                <w:rFonts w:cs="Arial"/>
                <w:color w:val="000000"/>
                <w:szCs w:val="20"/>
              </w:rPr>
              <w:t>.</w:t>
            </w:r>
          </w:p>
        </w:tc>
      </w:tr>
      <w:tr w:rsidR="00135D00" w:rsidRPr="00135D00" w14:paraId="379FDFA0" w14:textId="77777777" w:rsidTr="00135D00">
        <w:tc>
          <w:tcPr>
            <w:tcW w:w="9498" w:type="dxa"/>
            <w:gridSpan w:val="14"/>
          </w:tcPr>
          <w:p w14:paraId="24179445"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5. Kratek povzetek gradiva:</w:t>
            </w:r>
          </w:p>
        </w:tc>
      </w:tr>
      <w:tr w:rsidR="00135D00" w:rsidRPr="00135D00" w14:paraId="0FE67B29" w14:textId="77777777" w:rsidTr="00135D00">
        <w:tc>
          <w:tcPr>
            <w:tcW w:w="9498" w:type="dxa"/>
            <w:gridSpan w:val="14"/>
          </w:tcPr>
          <w:p w14:paraId="18E60AA8" w14:textId="1D1BD536" w:rsidR="005044E7" w:rsidRPr="005044E7" w:rsidRDefault="005044E7" w:rsidP="005044E7">
            <w:pPr>
              <w:spacing w:after="0" w:line="260" w:lineRule="exact"/>
              <w:jc w:val="both"/>
              <w:rPr>
                <w:rFonts w:ascii="Arial" w:eastAsia="Times New Roman" w:hAnsi="Arial" w:cs="Arial"/>
                <w:color w:val="000000"/>
                <w:sz w:val="20"/>
                <w:szCs w:val="20"/>
              </w:rPr>
            </w:pPr>
            <w:r w:rsidRPr="005044E7">
              <w:rPr>
                <w:rFonts w:ascii="Arial" w:eastAsia="Times New Roman" w:hAnsi="Arial" w:cs="Arial"/>
                <w:color w:val="000000"/>
                <w:sz w:val="20"/>
                <w:szCs w:val="20"/>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w:t>
            </w:r>
            <w:r w:rsidR="00D94D25">
              <w:rPr>
                <w:rFonts w:ascii="Arial" w:eastAsia="Times New Roman" w:hAnsi="Arial" w:cs="Arial"/>
                <w:color w:val="000000"/>
                <w:sz w:val="20"/>
                <w:szCs w:val="20"/>
              </w:rPr>
              <w:t>. S predlogom se zasleduje tudi odprava</w:t>
            </w:r>
            <w:r w:rsidRPr="005044E7">
              <w:rPr>
                <w:rFonts w:ascii="Arial" w:eastAsia="Times New Roman" w:hAnsi="Arial" w:cs="Arial"/>
                <w:color w:val="000000"/>
                <w:sz w:val="20"/>
                <w:szCs w:val="20"/>
              </w:rPr>
              <w:t xml:space="preserve"> pomanjkljivostih sedanje ureditve, ki ovirajo potek izvedbe postopkov v pristojnosti </w:t>
            </w:r>
            <w:r w:rsidR="003F4EA2">
              <w:rPr>
                <w:rFonts w:ascii="Arial" w:eastAsia="Times New Roman" w:hAnsi="Arial" w:cs="Arial"/>
                <w:color w:val="000000"/>
                <w:sz w:val="20"/>
                <w:szCs w:val="20"/>
              </w:rPr>
              <w:t>Komisije za preprečevanje korupcije (v nadaljevanju KPK)</w:t>
            </w:r>
            <w:r w:rsidRPr="005044E7">
              <w:rPr>
                <w:rFonts w:ascii="Arial" w:eastAsia="Times New Roman" w:hAnsi="Arial" w:cs="Arial"/>
                <w:color w:val="000000"/>
                <w:sz w:val="20"/>
                <w:szCs w:val="20"/>
              </w:rPr>
              <w:t>.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C339E15"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7344574E" w14:textId="77777777" w:rsidR="005044E7" w:rsidRPr="005044E7" w:rsidRDefault="005044E7" w:rsidP="005044E7">
            <w:pPr>
              <w:spacing w:after="0" w:line="260" w:lineRule="exact"/>
              <w:jc w:val="both"/>
              <w:rPr>
                <w:rFonts w:ascii="Arial" w:eastAsia="Times New Roman" w:hAnsi="Arial" w:cs="Arial"/>
                <w:color w:val="000000"/>
                <w:sz w:val="20"/>
                <w:szCs w:val="20"/>
              </w:rPr>
            </w:pPr>
            <w:r w:rsidRPr="005044E7">
              <w:rPr>
                <w:rFonts w:ascii="Arial" w:eastAsia="Times New Roman" w:hAnsi="Arial" w:cs="Arial"/>
                <w:color w:val="000000"/>
                <w:sz w:val="20"/>
                <w:szCs w:val="20"/>
              </w:rPr>
              <w:t>Glavne spremembe predloga novele zasledujejo naslednje cilje oziroma usmeritve:</w:t>
            </w:r>
          </w:p>
          <w:p w14:paraId="1FD636B6" w14:textId="4FCF2B58"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 xml:space="preserve">Jasno se določa vrste in pravila postopkov, ki jih vodi KPK ter pravice in obveznosti "sodelujočih" v postopkih, ki jih vodi KPK (prijavitelji, vabljeni, obravnavane osebe). Jasno se razmejujejo postopki, v katerih odločajo vsi trije funkcionarji in postopki, ki jih vodijo strokovni uslužbenci </w:t>
            </w:r>
            <w:r w:rsidR="003F4EA2">
              <w:rPr>
                <w:rFonts w:cs="Arial"/>
                <w:color w:val="000000"/>
                <w:szCs w:val="20"/>
              </w:rPr>
              <w:t>KPK</w:t>
            </w:r>
            <w:r w:rsidRPr="005044E7">
              <w:rPr>
                <w:rFonts w:cs="Arial"/>
                <w:color w:val="000000"/>
                <w:szCs w:val="20"/>
              </w:rPr>
              <w:t>.</w:t>
            </w:r>
          </w:p>
          <w:p w14:paraId="77FDA2D4"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585CA07E" w14:textId="0233C0D1"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 xml:space="preserve">Podrobneje se opredeljuje pogoje za imenovanje funkcionarjev komisije ter določa, da kandidacijska </w:t>
            </w:r>
            <w:r w:rsidR="003F4EA2">
              <w:rPr>
                <w:rFonts w:cs="Arial"/>
                <w:color w:val="000000"/>
                <w:szCs w:val="20"/>
              </w:rPr>
              <w:t>KPK</w:t>
            </w:r>
            <w:r w:rsidR="003F4EA2" w:rsidRPr="005044E7">
              <w:rPr>
                <w:rFonts w:cs="Arial"/>
                <w:color w:val="000000"/>
                <w:szCs w:val="20"/>
              </w:rPr>
              <w:t xml:space="preserve"> </w:t>
            </w:r>
            <w:r w:rsidRPr="005044E7">
              <w:rPr>
                <w:rFonts w:cs="Arial"/>
                <w:color w:val="000000"/>
                <w:szCs w:val="20"/>
              </w:rPr>
              <w:t>v poslovniku natančneje uredi način svojega dela, standarde strokovne usposobljenosti, merila za izbiro in metode preverjanja usposobljenosti.</w:t>
            </w:r>
          </w:p>
          <w:p w14:paraId="7485D6D0"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4D8EEFFC"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7F996B4A"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3BB5E06E"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Prenova poglavja o omejitvah poslovanja, nasprotju interesov in o nadzoru nad premoženjskim stanjem.</w:t>
            </w:r>
          </w:p>
          <w:p w14:paraId="4B6FC130"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1953377D"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Določneje se ureja pravna podlaga za delovanje in nadgradnjo spletnega orodja KPK, ki zagotavlja transparentnost porabe javnih sredstev (Erar).</w:t>
            </w:r>
          </w:p>
          <w:p w14:paraId="28848337"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23E4C2DB" w14:textId="77777777" w:rsidR="00135D00" w:rsidRPr="005044E7" w:rsidRDefault="005044E7" w:rsidP="0081342F">
            <w:pPr>
              <w:pStyle w:val="Odstavekseznama"/>
              <w:numPr>
                <w:ilvl w:val="0"/>
                <w:numId w:val="13"/>
              </w:numPr>
              <w:spacing w:line="260" w:lineRule="exact"/>
              <w:jc w:val="both"/>
              <w:rPr>
                <w:rFonts w:cs="Arial"/>
                <w:iCs/>
                <w:szCs w:val="20"/>
                <w:lang w:eastAsia="sl-SI"/>
              </w:rPr>
            </w:pPr>
            <w:r w:rsidRPr="005044E7">
              <w:rPr>
                <w:rFonts w:cs="Arial"/>
                <w:color w:val="000000"/>
                <w:szCs w:val="20"/>
              </w:rPr>
              <w:t>Dopolnjujejo se določbe o evidencah KPK in prekrških po ZIntPK.</w:t>
            </w:r>
          </w:p>
          <w:p w14:paraId="6B64AA4F" w14:textId="6C4165A1" w:rsidR="005044E7" w:rsidRPr="005044E7" w:rsidRDefault="005044E7" w:rsidP="005044E7">
            <w:pPr>
              <w:spacing w:line="260" w:lineRule="exact"/>
              <w:jc w:val="both"/>
              <w:rPr>
                <w:rFonts w:cs="Arial"/>
                <w:iCs/>
                <w:szCs w:val="20"/>
                <w:lang w:eastAsia="sl-SI"/>
              </w:rPr>
            </w:pPr>
          </w:p>
        </w:tc>
      </w:tr>
      <w:tr w:rsidR="00135D00" w:rsidRPr="00135D00" w14:paraId="24F1AE65" w14:textId="77777777" w:rsidTr="00135D00">
        <w:tc>
          <w:tcPr>
            <w:tcW w:w="9498" w:type="dxa"/>
            <w:gridSpan w:val="14"/>
          </w:tcPr>
          <w:p w14:paraId="180F7B16"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6. Presoja posledic za:</w:t>
            </w:r>
          </w:p>
        </w:tc>
      </w:tr>
      <w:tr w:rsidR="00135D00" w:rsidRPr="00135D00" w14:paraId="4B352F4C" w14:textId="77777777" w:rsidTr="00C23DDC">
        <w:tc>
          <w:tcPr>
            <w:tcW w:w="1488" w:type="dxa"/>
            <w:gridSpan w:val="2"/>
          </w:tcPr>
          <w:p w14:paraId="66BC2365"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a)</w:t>
            </w:r>
          </w:p>
        </w:tc>
        <w:tc>
          <w:tcPr>
            <w:tcW w:w="5491" w:type="dxa"/>
            <w:gridSpan w:val="9"/>
          </w:tcPr>
          <w:p w14:paraId="5AA6B73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javnofinančna sredstva nad 40.000 EUR v tekočem in naslednjih treh letih</w:t>
            </w:r>
          </w:p>
        </w:tc>
        <w:tc>
          <w:tcPr>
            <w:tcW w:w="2519" w:type="dxa"/>
            <w:gridSpan w:val="3"/>
            <w:vAlign w:val="center"/>
          </w:tcPr>
          <w:p w14:paraId="48CF13BE" w14:textId="7FDB5689"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D00" w:rsidRPr="00135D00" w14:paraId="2C99D82C" w14:textId="77777777" w:rsidTr="00C23DDC">
        <w:tc>
          <w:tcPr>
            <w:tcW w:w="1488" w:type="dxa"/>
            <w:gridSpan w:val="2"/>
          </w:tcPr>
          <w:p w14:paraId="52645731"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w:t>
            </w:r>
          </w:p>
        </w:tc>
        <w:tc>
          <w:tcPr>
            <w:tcW w:w="5491" w:type="dxa"/>
            <w:gridSpan w:val="9"/>
          </w:tcPr>
          <w:p w14:paraId="6E71D1CF"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bCs/>
                <w:sz w:val="20"/>
                <w:szCs w:val="20"/>
                <w:lang w:eastAsia="sl-SI"/>
              </w:rPr>
              <w:t>usklajenost slovenskega pravnega reda s pravnim redom Evropske unije</w:t>
            </w:r>
          </w:p>
        </w:tc>
        <w:tc>
          <w:tcPr>
            <w:tcW w:w="2519" w:type="dxa"/>
            <w:gridSpan w:val="3"/>
            <w:vAlign w:val="center"/>
          </w:tcPr>
          <w:p w14:paraId="1F8AD854" w14:textId="1C93C287"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135D00" w:rsidRPr="00135D00" w14:paraId="1FA1E64A" w14:textId="77777777" w:rsidTr="00C23DDC">
        <w:tc>
          <w:tcPr>
            <w:tcW w:w="1488" w:type="dxa"/>
            <w:gridSpan w:val="2"/>
          </w:tcPr>
          <w:p w14:paraId="2506D8AB"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c)</w:t>
            </w:r>
          </w:p>
        </w:tc>
        <w:tc>
          <w:tcPr>
            <w:tcW w:w="5491" w:type="dxa"/>
            <w:gridSpan w:val="9"/>
          </w:tcPr>
          <w:p w14:paraId="12B2D2F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administrativne posledice</w:t>
            </w:r>
          </w:p>
        </w:tc>
        <w:tc>
          <w:tcPr>
            <w:tcW w:w="2519" w:type="dxa"/>
            <w:gridSpan w:val="3"/>
            <w:vAlign w:val="center"/>
          </w:tcPr>
          <w:p w14:paraId="71533194" w14:textId="6B9A7927"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135D00" w:rsidRPr="00135D00" w14:paraId="1870199B" w14:textId="77777777" w:rsidTr="00C23DDC">
        <w:tc>
          <w:tcPr>
            <w:tcW w:w="1488" w:type="dxa"/>
            <w:gridSpan w:val="2"/>
          </w:tcPr>
          <w:p w14:paraId="210C7189"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č)</w:t>
            </w:r>
          </w:p>
        </w:tc>
        <w:tc>
          <w:tcPr>
            <w:tcW w:w="5491" w:type="dxa"/>
            <w:gridSpan w:val="9"/>
          </w:tcPr>
          <w:p w14:paraId="756C67A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sz w:val="20"/>
                <w:szCs w:val="20"/>
                <w:lang w:eastAsia="sl-SI"/>
              </w:rPr>
              <w:t>gospodarstvo, zlasti</w:t>
            </w:r>
            <w:r w:rsidRPr="00135D00">
              <w:rPr>
                <w:rFonts w:ascii="Arial" w:eastAsia="Times New Roman" w:hAnsi="Arial" w:cs="Arial"/>
                <w:bCs/>
                <w:sz w:val="20"/>
                <w:szCs w:val="20"/>
                <w:lang w:eastAsia="sl-SI"/>
              </w:rPr>
              <w:t xml:space="preserve"> mala in srednja podjetja ter konkurenčnost podjetij</w:t>
            </w:r>
          </w:p>
        </w:tc>
        <w:tc>
          <w:tcPr>
            <w:tcW w:w="2519" w:type="dxa"/>
            <w:gridSpan w:val="3"/>
            <w:vAlign w:val="center"/>
          </w:tcPr>
          <w:p w14:paraId="5AD0D45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546B9E7C" w14:textId="77777777" w:rsidTr="00C23DDC">
        <w:tc>
          <w:tcPr>
            <w:tcW w:w="1488" w:type="dxa"/>
            <w:gridSpan w:val="2"/>
          </w:tcPr>
          <w:p w14:paraId="1F9301AA"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w:t>
            </w:r>
          </w:p>
        </w:tc>
        <w:tc>
          <w:tcPr>
            <w:tcW w:w="5491" w:type="dxa"/>
            <w:gridSpan w:val="9"/>
          </w:tcPr>
          <w:p w14:paraId="65B38CA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okolje, vključno s prostorskimi in varstvenimi vidiki</w:t>
            </w:r>
          </w:p>
        </w:tc>
        <w:tc>
          <w:tcPr>
            <w:tcW w:w="2519" w:type="dxa"/>
            <w:gridSpan w:val="3"/>
            <w:vAlign w:val="center"/>
          </w:tcPr>
          <w:p w14:paraId="3426ED55"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7E704D0B" w14:textId="77777777" w:rsidTr="00C23DDC">
        <w:tc>
          <w:tcPr>
            <w:tcW w:w="1488" w:type="dxa"/>
            <w:gridSpan w:val="2"/>
          </w:tcPr>
          <w:p w14:paraId="3FABD543"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e)</w:t>
            </w:r>
          </w:p>
        </w:tc>
        <w:tc>
          <w:tcPr>
            <w:tcW w:w="5491" w:type="dxa"/>
            <w:gridSpan w:val="9"/>
          </w:tcPr>
          <w:p w14:paraId="3E21397E"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socialno področje</w:t>
            </w:r>
          </w:p>
        </w:tc>
        <w:tc>
          <w:tcPr>
            <w:tcW w:w="2519" w:type="dxa"/>
            <w:gridSpan w:val="3"/>
            <w:vAlign w:val="center"/>
          </w:tcPr>
          <w:p w14:paraId="1BA75B8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04F9D20D" w14:textId="77777777" w:rsidTr="00C23DDC">
        <w:tc>
          <w:tcPr>
            <w:tcW w:w="1488" w:type="dxa"/>
            <w:gridSpan w:val="2"/>
            <w:tcBorders>
              <w:bottom w:val="single" w:sz="4" w:space="0" w:color="auto"/>
            </w:tcBorders>
          </w:tcPr>
          <w:p w14:paraId="3548A5DE"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w:t>
            </w:r>
          </w:p>
        </w:tc>
        <w:tc>
          <w:tcPr>
            <w:tcW w:w="5491" w:type="dxa"/>
            <w:gridSpan w:val="9"/>
            <w:tcBorders>
              <w:bottom w:val="single" w:sz="4" w:space="0" w:color="auto"/>
            </w:tcBorders>
          </w:tcPr>
          <w:p w14:paraId="3F100DB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dokumente razvojnega načrtovanja:</w:t>
            </w:r>
          </w:p>
          <w:p w14:paraId="65EA032F"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nacionalne dokumente razvojnega načrtovanja</w:t>
            </w:r>
          </w:p>
          <w:p w14:paraId="5D8911A4"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lastRenderedPageBreak/>
              <w:t>razvojne politike na ravni programov po strukturi razvojne klasifikacije programskega proračuna</w:t>
            </w:r>
          </w:p>
          <w:p w14:paraId="6E76AC2C"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dokumente Evropske unije in mednarodnih organizacij</w:t>
            </w:r>
          </w:p>
        </w:tc>
        <w:tc>
          <w:tcPr>
            <w:tcW w:w="2519" w:type="dxa"/>
            <w:gridSpan w:val="3"/>
            <w:tcBorders>
              <w:bottom w:val="single" w:sz="4" w:space="0" w:color="auto"/>
            </w:tcBorders>
            <w:vAlign w:val="center"/>
          </w:tcPr>
          <w:p w14:paraId="59B80DE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lastRenderedPageBreak/>
              <w:t>NE</w:t>
            </w:r>
          </w:p>
        </w:tc>
      </w:tr>
      <w:tr w:rsidR="00135D00" w:rsidRPr="00135D00"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25354ECC" w14:textId="77777777" w:rsidR="00FB4E1D" w:rsidRDefault="00135D00" w:rsidP="00B209E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7.a Predstavitev ocene finančnih posledic nad 40.000 EUR:</w:t>
            </w:r>
          </w:p>
          <w:p w14:paraId="3D50530D" w14:textId="07FCCD58"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 xml:space="preserve">Skladno s 6. členom ZIntPK se sredstva za delo </w:t>
            </w:r>
            <w:r w:rsidR="00796E0C">
              <w:rPr>
                <w:rFonts w:ascii="Arial" w:eastAsia="Times New Roman" w:hAnsi="Arial" w:cs="Arial"/>
                <w:sz w:val="20"/>
                <w:szCs w:val="20"/>
                <w:lang w:eastAsia="sl-SI"/>
              </w:rPr>
              <w:t>KPK</w:t>
            </w:r>
            <w:r w:rsidR="00796E0C" w:rsidRPr="00D94D25">
              <w:rPr>
                <w:rFonts w:ascii="Arial" w:eastAsia="Times New Roman" w:hAnsi="Arial" w:cs="Arial"/>
                <w:sz w:val="20"/>
                <w:szCs w:val="20"/>
                <w:lang w:eastAsia="sl-SI"/>
              </w:rPr>
              <w:t xml:space="preserve"> </w:t>
            </w:r>
            <w:r w:rsidRPr="00D94D25">
              <w:rPr>
                <w:rFonts w:ascii="Arial" w:eastAsia="Times New Roman" w:hAnsi="Arial" w:cs="Arial"/>
                <w:sz w:val="20"/>
                <w:szCs w:val="20"/>
                <w:lang w:eastAsia="sl-SI"/>
              </w:rPr>
              <w:t xml:space="preserve">zagotavljajo v proračunu </w:t>
            </w:r>
            <w:r w:rsidR="004738E1">
              <w:rPr>
                <w:rFonts w:ascii="Arial" w:eastAsia="Times New Roman" w:hAnsi="Arial" w:cs="Arial"/>
                <w:sz w:val="20"/>
                <w:szCs w:val="20"/>
                <w:lang w:eastAsia="sl-SI"/>
              </w:rPr>
              <w:t>Republike Slovenije</w:t>
            </w:r>
            <w:r w:rsidR="004738E1" w:rsidRPr="00D94D25">
              <w:rPr>
                <w:rFonts w:ascii="Arial" w:eastAsia="Times New Roman" w:hAnsi="Arial" w:cs="Arial"/>
                <w:sz w:val="20"/>
                <w:szCs w:val="20"/>
                <w:lang w:eastAsia="sl-SI"/>
              </w:rPr>
              <w:t xml:space="preserve"> </w:t>
            </w:r>
            <w:r w:rsidRPr="00D94D25">
              <w:rPr>
                <w:rFonts w:ascii="Arial" w:eastAsia="Times New Roman" w:hAnsi="Arial" w:cs="Arial"/>
                <w:sz w:val="20"/>
                <w:szCs w:val="20"/>
                <w:lang w:eastAsia="sl-SI"/>
              </w:rPr>
              <w:t xml:space="preserve">na predlog </w:t>
            </w:r>
            <w:r w:rsidR="00796E0C">
              <w:rPr>
                <w:rFonts w:ascii="Arial" w:eastAsia="Times New Roman" w:hAnsi="Arial" w:cs="Arial"/>
                <w:sz w:val="20"/>
                <w:szCs w:val="20"/>
                <w:lang w:eastAsia="sl-SI"/>
              </w:rPr>
              <w:t>KPK</w:t>
            </w:r>
            <w:r w:rsidRPr="00D94D25">
              <w:rPr>
                <w:rFonts w:ascii="Arial" w:eastAsia="Times New Roman" w:hAnsi="Arial" w:cs="Arial"/>
                <w:sz w:val="20"/>
                <w:szCs w:val="20"/>
                <w:lang w:eastAsia="sl-SI"/>
              </w:rPr>
              <w:t xml:space="preserve">, pri čemer </w:t>
            </w:r>
            <w:r w:rsidR="00796E0C">
              <w:rPr>
                <w:rFonts w:ascii="Arial" w:eastAsia="Times New Roman" w:hAnsi="Arial" w:cs="Arial"/>
                <w:sz w:val="20"/>
                <w:szCs w:val="20"/>
                <w:lang w:eastAsia="sl-SI"/>
              </w:rPr>
              <w:t>ta</w:t>
            </w:r>
            <w:r w:rsidR="00796E0C" w:rsidRPr="00D94D25">
              <w:rPr>
                <w:rFonts w:ascii="Arial" w:eastAsia="Times New Roman" w:hAnsi="Arial" w:cs="Arial"/>
                <w:sz w:val="20"/>
                <w:szCs w:val="20"/>
                <w:lang w:eastAsia="sl-SI"/>
              </w:rPr>
              <w:t xml:space="preserve"> </w:t>
            </w:r>
            <w:r w:rsidRPr="00D94D25">
              <w:rPr>
                <w:rFonts w:ascii="Arial" w:eastAsia="Times New Roman" w:hAnsi="Arial" w:cs="Arial"/>
                <w:sz w:val="20"/>
                <w:szCs w:val="20"/>
                <w:lang w:eastAsia="sl-SI"/>
              </w:rPr>
              <w:t>samostojno odloča o porabi proračunskih sredstev.</w:t>
            </w:r>
          </w:p>
          <w:p w14:paraId="4D8EF103"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Finančne posledice zakona bodo nastale iz naslova:</w:t>
            </w:r>
          </w:p>
          <w:p w14:paraId="7FC0F161" w14:textId="03C965ED" w:rsidR="00D94D25" w:rsidRPr="00D94D25"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 xml:space="preserve">širitve nekaterih pristojnosti </w:t>
            </w:r>
            <w:r w:rsidR="003F4EA2">
              <w:rPr>
                <w:rFonts w:cs="Arial"/>
                <w:szCs w:val="20"/>
                <w:lang w:eastAsia="sl-SI"/>
              </w:rPr>
              <w:t>KPK</w:t>
            </w:r>
            <w:r w:rsidR="003F4EA2" w:rsidRPr="00D94D25">
              <w:rPr>
                <w:rFonts w:cs="Arial"/>
                <w:szCs w:val="20"/>
                <w:lang w:eastAsia="sl-SI"/>
              </w:rPr>
              <w:t xml:space="preserve"> </w:t>
            </w:r>
            <w:r w:rsidRPr="00D94D25">
              <w:rPr>
                <w:rFonts w:cs="Arial"/>
                <w:szCs w:val="20"/>
                <w:lang w:eastAsia="sl-SI"/>
              </w:rPr>
              <w:t xml:space="preserve">(krepitev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w:t>
            </w:r>
            <w:r w:rsidR="003F4EA2">
              <w:rPr>
                <w:rFonts w:cs="Arial"/>
                <w:szCs w:val="20"/>
                <w:lang w:eastAsia="sl-SI"/>
              </w:rPr>
              <w:t>KPK</w:t>
            </w:r>
            <w:r w:rsidR="003F4EA2" w:rsidRPr="00D94D25">
              <w:rPr>
                <w:rFonts w:cs="Arial"/>
                <w:szCs w:val="20"/>
                <w:lang w:eastAsia="sl-SI"/>
              </w:rPr>
              <w:t xml:space="preserve"> </w:t>
            </w:r>
            <w:r w:rsidRPr="00D94D25">
              <w:rPr>
                <w:rFonts w:cs="Arial"/>
                <w:szCs w:val="20"/>
                <w:lang w:eastAsia="sl-SI"/>
              </w:rPr>
              <w:t xml:space="preserve">iz naslova letnega poročanja interesnih organizacij iz </w:t>
            </w:r>
            <w:r w:rsidR="005C311E">
              <w:rPr>
                <w:rFonts w:cs="Arial"/>
                <w:szCs w:val="20"/>
                <w:lang w:eastAsia="sl-SI"/>
              </w:rPr>
              <w:t>63</w:t>
            </w:r>
            <w:r w:rsidRPr="00D94D25">
              <w:rPr>
                <w:rFonts w:cs="Arial"/>
                <w:szCs w:val="20"/>
                <w:lang w:eastAsia="sl-SI"/>
              </w:rPr>
              <w:t>. člena zakona, širitev pristojnosti na področju nezdružljivosti, omejitev poslovanja in na področju sprejemanja daril);</w:t>
            </w:r>
          </w:p>
          <w:p w14:paraId="27F908A8" w14:textId="27DB3D11" w:rsidR="00D94D25" w:rsidRPr="00D94D25"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 xml:space="preserve">uvedbe elektronskega poslovanja na posameznih področjih dela </w:t>
            </w:r>
            <w:r w:rsidR="003F4EA2">
              <w:rPr>
                <w:rFonts w:cs="Arial"/>
                <w:szCs w:val="20"/>
                <w:lang w:eastAsia="sl-SI"/>
              </w:rPr>
              <w:t>KPK</w:t>
            </w:r>
            <w:r w:rsidR="003F4EA2" w:rsidRPr="00D94D25">
              <w:rPr>
                <w:rFonts w:cs="Arial"/>
                <w:szCs w:val="20"/>
                <w:lang w:eastAsia="sl-SI"/>
              </w:rPr>
              <w:t xml:space="preserve"> </w:t>
            </w:r>
            <w:r w:rsidRPr="00D94D25">
              <w:rPr>
                <w:rFonts w:cs="Arial"/>
                <w:szCs w:val="20"/>
                <w:lang w:eastAsia="sl-SI"/>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»Erar«);</w:t>
            </w:r>
          </w:p>
          <w:p w14:paraId="3A33474B" w14:textId="60FE54C1" w:rsidR="00D94D25" w:rsidRPr="00D94D25" w:rsidRDefault="00D94D25" w:rsidP="006F190F">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 xml:space="preserve">zakonsko določene obveznosti </w:t>
            </w:r>
            <w:r w:rsidR="003F4EA2">
              <w:rPr>
                <w:rFonts w:cs="Arial"/>
                <w:szCs w:val="20"/>
                <w:lang w:eastAsia="sl-SI"/>
              </w:rPr>
              <w:t>KPK</w:t>
            </w:r>
            <w:r w:rsidR="003F4EA2" w:rsidRPr="00D94D25">
              <w:rPr>
                <w:rFonts w:cs="Arial"/>
                <w:szCs w:val="20"/>
                <w:lang w:eastAsia="sl-SI"/>
              </w:rPr>
              <w:t xml:space="preserve"> </w:t>
            </w:r>
            <w:r w:rsidRPr="00D94D25">
              <w:rPr>
                <w:rFonts w:cs="Arial"/>
                <w:szCs w:val="20"/>
                <w:lang w:eastAsia="sl-SI"/>
              </w:rPr>
              <w:t xml:space="preserve">enkrat letnega (so)financiranja projektov neprofitnih organizacij s področja dela </w:t>
            </w:r>
            <w:r w:rsidR="003F4EA2">
              <w:rPr>
                <w:rFonts w:cs="Arial"/>
                <w:szCs w:val="20"/>
                <w:lang w:eastAsia="sl-SI"/>
              </w:rPr>
              <w:t>KPK</w:t>
            </w:r>
            <w:r w:rsidRPr="00D94D25">
              <w:rPr>
                <w:rFonts w:cs="Arial"/>
                <w:szCs w:val="20"/>
                <w:lang w:eastAsia="sl-SI"/>
              </w:rPr>
              <w:t>.</w:t>
            </w:r>
          </w:p>
          <w:p w14:paraId="0944E192" w14:textId="77777777" w:rsidR="00D94D25"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85F1B3" w14:textId="1806682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044E7">
              <w:rPr>
                <w:rFonts w:ascii="Arial" w:eastAsia="Times New Roman" w:hAnsi="Arial" w:cs="Arial"/>
                <w:sz w:val="20"/>
                <w:szCs w:val="20"/>
                <w:lang w:eastAsia="sl-SI"/>
              </w:rPr>
              <w:t xml:space="preserve">Za nemoteno izvajanje svojih pristojnosti in nalog, ki se s predlogom zakona širijo, bo </w:t>
            </w:r>
            <w:r w:rsidR="00796E0C">
              <w:rPr>
                <w:rFonts w:ascii="Arial" w:eastAsia="Times New Roman" w:hAnsi="Arial" w:cs="Arial"/>
                <w:sz w:val="20"/>
                <w:szCs w:val="20"/>
                <w:lang w:eastAsia="sl-SI"/>
              </w:rPr>
              <w:t>KPK</w:t>
            </w:r>
            <w:r w:rsidR="00796E0C" w:rsidRPr="005044E7">
              <w:rPr>
                <w:rFonts w:ascii="Arial" w:eastAsia="Times New Roman" w:hAnsi="Arial" w:cs="Arial"/>
                <w:sz w:val="20"/>
                <w:szCs w:val="20"/>
                <w:lang w:eastAsia="sl-SI"/>
              </w:rPr>
              <w:t xml:space="preserve"> </w:t>
            </w:r>
            <w:r w:rsidRPr="005044E7">
              <w:rPr>
                <w:rFonts w:ascii="Arial" w:eastAsia="Times New Roman" w:hAnsi="Arial" w:cs="Arial"/>
                <w:sz w:val="20"/>
                <w:szCs w:val="20"/>
                <w:lang w:eastAsia="sl-SI"/>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679602F1"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FBCA1F" w14:textId="48D65332" w:rsidR="005044E7" w:rsidRPr="005044E7" w:rsidRDefault="003F4EA2"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KPK</w:t>
            </w:r>
            <w:r w:rsidRPr="005044E7">
              <w:rPr>
                <w:rFonts w:ascii="Arial" w:eastAsia="Times New Roman" w:hAnsi="Arial" w:cs="Arial"/>
                <w:sz w:val="20"/>
                <w:szCs w:val="20"/>
                <w:lang w:eastAsia="sl-SI"/>
              </w:rPr>
              <w:t xml:space="preserve"> </w:t>
            </w:r>
            <w:r w:rsidR="005044E7" w:rsidRPr="005044E7">
              <w:rPr>
                <w:rFonts w:ascii="Arial" w:eastAsia="Times New Roman" w:hAnsi="Arial" w:cs="Arial"/>
                <w:sz w:val="20"/>
                <w:szCs w:val="20"/>
                <w:lang w:eastAsia="sl-SI"/>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5685C753"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547E5B7" w14:textId="61427363" w:rsid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044E7">
              <w:rPr>
                <w:rFonts w:ascii="Arial" w:eastAsia="Times New Roman" w:hAnsi="Arial" w:cs="Arial"/>
                <w:sz w:val="20"/>
                <w:szCs w:val="20"/>
                <w:lang w:eastAsia="sl-SI"/>
              </w:rPr>
              <w:t xml:space="preserve">Za izvedbo financiranja projektov neprofitnih organizacij pa je </w:t>
            </w:r>
            <w:r w:rsidR="003F4EA2">
              <w:rPr>
                <w:rFonts w:ascii="Arial" w:eastAsia="Times New Roman" w:hAnsi="Arial" w:cs="Arial"/>
                <w:sz w:val="20"/>
                <w:szCs w:val="20"/>
                <w:lang w:eastAsia="sl-SI"/>
              </w:rPr>
              <w:t>KPK</w:t>
            </w:r>
            <w:r w:rsidR="003F4EA2" w:rsidRPr="005044E7">
              <w:rPr>
                <w:rFonts w:ascii="Arial" w:eastAsia="Times New Roman" w:hAnsi="Arial" w:cs="Arial"/>
                <w:sz w:val="20"/>
                <w:szCs w:val="20"/>
                <w:lang w:eastAsia="sl-SI"/>
              </w:rPr>
              <w:t xml:space="preserve"> </w:t>
            </w:r>
            <w:r w:rsidRPr="005044E7">
              <w:rPr>
                <w:rFonts w:ascii="Arial" w:eastAsia="Times New Roman" w:hAnsi="Arial" w:cs="Arial"/>
                <w:sz w:val="20"/>
                <w:szCs w:val="20"/>
                <w:lang w:eastAsia="sl-SI"/>
              </w:rPr>
              <w:t>na letni ravni potrebno zagotoviti 30.000,00 EUR.</w:t>
            </w:r>
          </w:p>
          <w:p w14:paraId="48C4A966" w14:textId="77777777" w:rsidR="00D94D25"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1FE4AEB"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Upoštevaje zgoraj navedeno so pravice porabe za izvajanje nalog, ki izhajajo iz predloga ZIntPK-C zagotovljene v okviru finančnega načrta KPK v višini 180.000,00 EUR za leto 2020 in 140.000 EUR za leto 2021.</w:t>
            </w:r>
          </w:p>
          <w:p w14:paraId="238CEAD2"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73966" w14:textId="70193EC5" w:rsidR="00D94D25" w:rsidRPr="00135D00"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Predlog zakona nima posledic za druga javna finančna sredstva.</w:t>
            </w:r>
          </w:p>
        </w:tc>
      </w:tr>
      <w:tr w:rsidR="00135D00" w:rsidRPr="00135D00" w14:paraId="1001A0C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5"/>
        </w:trPr>
        <w:tc>
          <w:tcPr>
            <w:tcW w:w="8668"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135D00"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 Ocena finančnih posledic, ki niso načrtovane v sprejetem proračunu</w:t>
            </w:r>
          </w:p>
        </w:tc>
      </w:tr>
      <w:tr w:rsidR="00135D00" w:rsidRPr="00135D00" w14:paraId="6B798A4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76"/>
        </w:trPr>
        <w:tc>
          <w:tcPr>
            <w:tcW w:w="2419"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+ 1</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+ 2</w:t>
            </w:r>
          </w:p>
        </w:tc>
        <w:tc>
          <w:tcPr>
            <w:tcW w:w="2061"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+ 3</w:t>
            </w:r>
          </w:p>
        </w:tc>
      </w:tr>
      <w:tr w:rsidR="00135D00" w:rsidRPr="00135D00" w14:paraId="4734EAA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2E74EAB" w14:textId="72433FDC" w:rsidR="00135D00" w:rsidRPr="005044E7" w:rsidRDefault="00135D00" w:rsidP="005044E7">
            <w:pPr>
              <w:pStyle w:val="Odstavekseznama"/>
              <w:widowControl w:val="0"/>
              <w:tabs>
                <w:tab w:val="left" w:pos="360"/>
              </w:tabs>
              <w:spacing w:line="260" w:lineRule="exact"/>
              <w:outlineLvl w:val="0"/>
              <w:rPr>
                <w:rFonts w:cs="Arial"/>
                <w:bCs/>
                <w:kern w:val="32"/>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6EC1C3E5" w14:textId="3344D244"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1A8516DD" w14:textId="1A450386"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7ECADAB2" w14:textId="6AADF581"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4221042D"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občinskih proračunov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135D00" w14:paraId="76A394B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C23DDC" w:rsidRPr="00135D00" w:rsidRDefault="00C23DDC" w:rsidP="00C23DDC">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odhodkov državnega proračuna </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207D2C4E" w14:textId="0D6D1B63" w:rsidR="00C23DDC" w:rsidRPr="00135D00" w:rsidRDefault="00C23DDC" w:rsidP="00C23DDC">
            <w:pPr>
              <w:widowControl w:val="0"/>
              <w:spacing w:after="0" w:line="260" w:lineRule="exact"/>
              <w:jc w:val="center"/>
              <w:rPr>
                <w:rFonts w:ascii="Arial" w:eastAsia="Times New Roman" w:hAnsi="Arial" w:cs="Arial"/>
                <w:sz w:val="20"/>
                <w:szCs w:val="20"/>
              </w:rPr>
            </w:pPr>
            <w:r w:rsidRPr="0046256E">
              <w:rPr>
                <w:rFonts w:ascii="Arial" w:eastAsia="Times New Roman" w:hAnsi="Arial" w:cs="Arial"/>
                <w:kern w:val="32"/>
                <w:sz w:val="20"/>
                <w:szCs w:val="20"/>
                <w:lang w:eastAsia="sl-SI"/>
              </w:rPr>
              <w:t>/</w:t>
            </w:r>
          </w:p>
        </w:tc>
        <w:tc>
          <w:tcPr>
            <w:tcW w:w="1056" w:type="dxa"/>
            <w:tcBorders>
              <w:top w:val="single" w:sz="4" w:space="0" w:color="auto"/>
              <w:left w:val="single" w:sz="4" w:space="0" w:color="auto"/>
              <w:bottom w:val="single" w:sz="4" w:space="0" w:color="auto"/>
              <w:right w:val="single" w:sz="4" w:space="0" w:color="auto"/>
            </w:tcBorders>
            <w:vAlign w:val="center"/>
          </w:tcPr>
          <w:p w14:paraId="7D195DB6" w14:textId="2DC0664E" w:rsidR="00C23DDC" w:rsidRPr="00135D00" w:rsidRDefault="00C23DDC" w:rsidP="00C23DDC">
            <w:pPr>
              <w:widowControl w:val="0"/>
              <w:spacing w:after="0" w:line="260" w:lineRule="exact"/>
              <w:jc w:val="center"/>
              <w:rPr>
                <w:rFonts w:ascii="Arial" w:eastAsia="Times New Roman" w:hAnsi="Arial" w:cs="Arial"/>
                <w:sz w:val="20"/>
                <w:szCs w:val="20"/>
              </w:rPr>
            </w:pPr>
            <w:r w:rsidRPr="0046256E">
              <w:rPr>
                <w:rFonts w:ascii="Arial" w:eastAsia="Times New Roman" w:hAnsi="Arial" w:cs="Arial"/>
                <w:kern w:val="32"/>
                <w:sz w:val="20"/>
                <w:szCs w:val="20"/>
                <w:lang w:eastAsia="sl-SI"/>
              </w:rPr>
              <w:t>+180.000 EUR</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12D03DB" w14:textId="492180CC" w:rsidR="00C23DDC" w:rsidRPr="00135D00" w:rsidRDefault="00C23DDC" w:rsidP="00C23DDC">
            <w:pPr>
              <w:widowControl w:val="0"/>
              <w:spacing w:after="0" w:line="260" w:lineRule="exact"/>
              <w:jc w:val="center"/>
              <w:rPr>
                <w:rFonts w:ascii="Arial" w:eastAsia="Times New Roman" w:hAnsi="Arial" w:cs="Arial"/>
                <w:sz w:val="20"/>
                <w:szCs w:val="20"/>
              </w:rPr>
            </w:pPr>
            <w:r>
              <w:rPr>
                <w:rFonts w:ascii="Arial" w:eastAsia="Times New Roman" w:hAnsi="Arial" w:cs="Arial"/>
                <w:kern w:val="32"/>
                <w:sz w:val="20"/>
                <w:szCs w:val="20"/>
                <w:lang w:eastAsia="sl-SI"/>
              </w:rPr>
              <w:t>+140.000 EUR</w:t>
            </w:r>
          </w:p>
        </w:tc>
        <w:tc>
          <w:tcPr>
            <w:tcW w:w="2061" w:type="dxa"/>
            <w:tcBorders>
              <w:top w:val="single" w:sz="4" w:space="0" w:color="auto"/>
              <w:left w:val="single" w:sz="4" w:space="0" w:color="auto"/>
              <w:bottom w:val="single" w:sz="4" w:space="0" w:color="auto"/>
              <w:right w:val="single" w:sz="4" w:space="0" w:color="auto"/>
            </w:tcBorders>
            <w:vAlign w:val="center"/>
          </w:tcPr>
          <w:p w14:paraId="46F9C266" w14:textId="2556F05F" w:rsidR="00C23DDC" w:rsidRPr="00135D00" w:rsidRDefault="00C23DDC" w:rsidP="00C23DDC">
            <w:pPr>
              <w:widowControl w:val="0"/>
              <w:spacing w:after="0" w:line="260" w:lineRule="exact"/>
              <w:jc w:val="center"/>
              <w:rPr>
                <w:rFonts w:ascii="Arial" w:eastAsia="Times New Roman" w:hAnsi="Arial" w:cs="Arial"/>
                <w:sz w:val="20"/>
                <w:szCs w:val="20"/>
              </w:rPr>
            </w:pPr>
            <w:r w:rsidRPr="0046256E">
              <w:rPr>
                <w:rFonts w:ascii="Arial" w:eastAsia="Times New Roman" w:hAnsi="Arial" w:cs="Arial"/>
                <w:kern w:val="32"/>
                <w:sz w:val="20"/>
                <w:szCs w:val="20"/>
                <w:lang w:eastAsia="sl-SI"/>
              </w:rPr>
              <w:t>+140.000 EUR</w:t>
            </w:r>
          </w:p>
        </w:tc>
      </w:tr>
      <w:tr w:rsidR="00C23DDC" w:rsidRPr="00135D00" w14:paraId="5257C16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6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C23DDC" w:rsidRPr="00135D00" w:rsidRDefault="00C23DDC" w:rsidP="00C23DDC">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odhodkov občinskih proračunov</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5AFFB7AA" w14:textId="4D518F15" w:rsidR="00C23DDC" w:rsidRPr="0046256E"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1F35EDEB" w14:textId="4CEAE49B" w:rsidR="00C23DDC" w:rsidRPr="0046256E"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72F51F31" w14:textId="6A50EF30" w:rsidR="00C23DDC" w:rsidRPr="00135D00"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40BA9E4D" w14:textId="3DF4FF52" w:rsidR="00C23DDC" w:rsidRPr="00135D00"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23DDC" w:rsidRPr="00135D00" w14:paraId="4A5AAC4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423"/>
        </w:trPr>
        <w:tc>
          <w:tcPr>
            <w:tcW w:w="2419"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C23DDC" w:rsidRPr="00135D00" w:rsidRDefault="00C23DDC" w:rsidP="00C23DDC">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obveznosti za druga javnofinančna sredstva</w:t>
            </w:r>
          </w:p>
        </w:tc>
        <w:tc>
          <w:tcPr>
            <w:tcW w:w="1783"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C23DDC" w:rsidRPr="00135D00"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14:paraId="2C9B95F4" w14:textId="77777777" w:rsidR="00C23DDC" w:rsidRPr="00135D00"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C23DDC" w:rsidRPr="00135D00" w:rsidRDefault="00C23DDC" w:rsidP="00C23DD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F79450B" w14:textId="77777777" w:rsidR="00C23DDC" w:rsidRPr="00135D00" w:rsidRDefault="00C23DDC" w:rsidP="00C23DDC">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C23DDC" w:rsidRPr="00135D00" w14:paraId="7A33A6E0"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C23DDC" w:rsidRPr="00135D00"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 Finančne posledice za državni proračun</w:t>
            </w:r>
          </w:p>
        </w:tc>
      </w:tr>
      <w:tr w:rsidR="00C23DDC" w:rsidRPr="00135D00" w14:paraId="543E909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57"/>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C23DDC" w:rsidRPr="00135D00" w:rsidRDefault="00C23DDC" w:rsidP="00C23DD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II.a Pravice porabe za izvedbo predlaganih rešitev so zagotovljene:</w:t>
            </w:r>
          </w:p>
        </w:tc>
      </w:tr>
      <w:tr w:rsidR="00C23DDC" w:rsidRPr="00135D00" w14:paraId="5132E55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proračunske postavke</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055962E0"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C23DDC" w:rsidRPr="00135D00" w14:paraId="422B38F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328"/>
        </w:trPr>
        <w:tc>
          <w:tcPr>
            <w:tcW w:w="1554"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520919AF"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6ADBFCCE"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3351F976"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7724FDD1"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C23DDC" w:rsidRPr="00135D00" w:rsidRDefault="00C23DDC" w:rsidP="00C23DDC">
            <w:pPr>
              <w:widowControl w:val="0"/>
              <w:spacing w:after="0" w:line="260" w:lineRule="exact"/>
              <w:jc w:val="center"/>
              <w:rPr>
                <w:rFonts w:ascii="Arial" w:eastAsia="Times New Roman" w:hAnsi="Arial" w:cs="Arial"/>
                <w:b/>
                <w:sz w:val="20"/>
                <w:szCs w:val="20"/>
              </w:rPr>
            </w:pPr>
          </w:p>
        </w:tc>
        <w:tc>
          <w:tcPr>
            <w:tcW w:w="2061" w:type="dxa"/>
            <w:tcBorders>
              <w:top w:val="single" w:sz="4" w:space="0" w:color="auto"/>
              <w:left w:val="single" w:sz="4" w:space="0" w:color="auto"/>
              <w:bottom w:val="single" w:sz="4" w:space="0" w:color="auto"/>
              <w:right w:val="single" w:sz="4" w:space="0" w:color="auto"/>
            </w:tcBorders>
            <w:vAlign w:val="center"/>
          </w:tcPr>
          <w:p w14:paraId="3B4F9572"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135D00" w14:paraId="2CC38BCF"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94"/>
        </w:trPr>
        <w:tc>
          <w:tcPr>
            <w:tcW w:w="8668"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C23DDC" w:rsidRPr="00135D00"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II.b Manjkajoče pravice porabe bodo zagotovljene s prerazporeditvijo:</w:t>
            </w:r>
          </w:p>
        </w:tc>
      </w:tr>
      <w:tr w:rsidR="00C23DDC" w:rsidRPr="00135D00" w14:paraId="3E65030A"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1554"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Šifra in naziv proračunske postavke </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061" w:type="dxa"/>
            <w:tcBorders>
              <w:top w:val="single" w:sz="4" w:space="0" w:color="auto"/>
              <w:left w:val="single" w:sz="4" w:space="0" w:color="auto"/>
              <w:bottom w:val="single" w:sz="4" w:space="0" w:color="auto"/>
              <w:right w:val="single" w:sz="4" w:space="0" w:color="auto"/>
            </w:tcBorders>
            <w:vAlign w:val="center"/>
          </w:tcPr>
          <w:p w14:paraId="786E66A7" w14:textId="77777777" w:rsidR="00C23DDC" w:rsidRPr="00135D00" w:rsidRDefault="00C23DDC" w:rsidP="00C23DDC">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Znesek za t + 1 </w:t>
            </w:r>
          </w:p>
        </w:tc>
      </w:tr>
      <w:tr w:rsidR="00C23DDC" w:rsidRPr="00135D00" w14:paraId="4B9DE02B"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264AF17"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1F0F329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1554"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650C2C5F"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166E40D8"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5258"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49"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61" w:type="dxa"/>
            <w:tcBorders>
              <w:top w:val="single" w:sz="4" w:space="0" w:color="auto"/>
              <w:left w:val="single" w:sz="4" w:space="0" w:color="auto"/>
              <w:bottom w:val="single" w:sz="4" w:space="0" w:color="auto"/>
              <w:right w:val="single" w:sz="4" w:space="0" w:color="auto"/>
            </w:tcBorders>
            <w:vAlign w:val="center"/>
          </w:tcPr>
          <w:p w14:paraId="1A2B9E8D"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135D00" w14:paraId="70D1B57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207"/>
        </w:trPr>
        <w:tc>
          <w:tcPr>
            <w:tcW w:w="8668"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C23DDC" w:rsidRPr="00135D00" w:rsidRDefault="00C23DDC" w:rsidP="00C23DDC">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II.c Načrtovana nadomestitev zmanjšanih prihodkov in povečanih odhodkov proračuna:</w:t>
            </w:r>
          </w:p>
        </w:tc>
      </w:tr>
      <w:tr w:rsidR="00C23DDC" w:rsidRPr="00135D00" w14:paraId="5879942C"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100"/>
        </w:trPr>
        <w:tc>
          <w:tcPr>
            <w:tcW w:w="3791"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C23DDC" w:rsidRPr="00135D00" w:rsidRDefault="00C23DDC" w:rsidP="00C23DDC">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Novi prihodki</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C23DDC" w:rsidRPr="00135D00" w:rsidRDefault="00C23DDC" w:rsidP="00C23DDC">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C23DDC" w:rsidRPr="00135D00" w:rsidRDefault="00C23DDC" w:rsidP="00C23DDC">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C23DDC" w:rsidRPr="00135D00" w14:paraId="05754A39"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286AB2B6"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50F81702"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C23DDC" w:rsidRPr="00135D00" w:rsidRDefault="00C23DDC" w:rsidP="00C23DD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23DDC" w:rsidRPr="00135D00" w14:paraId="595EC0E3" w14:textId="77777777" w:rsidTr="00C23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56" w:type="dxa"/>
          <w:wAfter w:w="374" w:type="dxa"/>
          <w:cantSplit/>
          <w:trHeight w:val="95"/>
        </w:trPr>
        <w:tc>
          <w:tcPr>
            <w:tcW w:w="3791"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2144"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3"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C23DDC" w:rsidRPr="00135D00" w:rsidRDefault="00C23DDC" w:rsidP="00C23DD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23DDC" w:rsidRPr="00135D00" w14:paraId="0A346AF4" w14:textId="77777777" w:rsidTr="00C23DDC">
        <w:trPr>
          <w:gridBefore w:val="1"/>
          <w:gridAfter w:val="1"/>
          <w:wBefore w:w="456" w:type="dxa"/>
          <w:wAfter w:w="374" w:type="dxa"/>
          <w:trHeight w:val="708"/>
        </w:trPr>
        <w:tc>
          <w:tcPr>
            <w:tcW w:w="8668" w:type="dxa"/>
            <w:gridSpan w:val="12"/>
          </w:tcPr>
          <w:p w14:paraId="231AADE4" w14:textId="77777777" w:rsidR="00C23DDC" w:rsidRPr="00135D00" w:rsidRDefault="00C23DDC" w:rsidP="00C23DDC">
            <w:pPr>
              <w:widowControl w:val="0"/>
              <w:spacing w:after="0" w:line="260" w:lineRule="exact"/>
              <w:rPr>
                <w:rFonts w:ascii="Arial" w:eastAsia="Times New Roman" w:hAnsi="Arial" w:cs="Arial"/>
                <w:b/>
                <w:sz w:val="20"/>
                <w:szCs w:val="20"/>
              </w:rPr>
            </w:pPr>
          </w:p>
          <w:p w14:paraId="518DCD1B" w14:textId="77777777" w:rsidR="00C23DDC" w:rsidRPr="00135D00" w:rsidRDefault="00C23DDC" w:rsidP="00C23DDC">
            <w:pPr>
              <w:widowControl w:val="0"/>
              <w:spacing w:after="0" w:line="260" w:lineRule="exact"/>
              <w:rPr>
                <w:rFonts w:ascii="Arial" w:eastAsia="Times New Roman" w:hAnsi="Arial" w:cs="Arial"/>
                <w:b/>
                <w:sz w:val="20"/>
                <w:szCs w:val="20"/>
              </w:rPr>
            </w:pPr>
            <w:r w:rsidRPr="00135D00">
              <w:rPr>
                <w:rFonts w:ascii="Arial" w:eastAsia="Times New Roman" w:hAnsi="Arial" w:cs="Arial"/>
                <w:b/>
                <w:sz w:val="20"/>
                <w:szCs w:val="20"/>
              </w:rPr>
              <w:t>OBRAZLOŽITEV:</w:t>
            </w:r>
          </w:p>
          <w:p w14:paraId="48027760" w14:textId="77777777" w:rsidR="00C23DDC" w:rsidRPr="00135D00"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Ocena finančnih posledic, ki niso načrtovane v sprejetem proračunu</w:t>
            </w:r>
          </w:p>
          <w:p w14:paraId="21AA6D4D" w14:textId="77777777" w:rsidR="00C23DDC" w:rsidRPr="00135D00" w:rsidRDefault="00C23DDC" w:rsidP="00C23DDC">
            <w:pPr>
              <w:widowControl w:val="0"/>
              <w:spacing w:after="0" w:line="260" w:lineRule="exact"/>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22FEB21" w14:textId="77777777" w:rsidR="00C23DDC" w:rsidRPr="00135D00" w:rsidRDefault="00C23DDC" w:rsidP="00C23DDC">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Finančne posledice za državni proračun</w:t>
            </w:r>
          </w:p>
          <w:p w14:paraId="235C27C2" w14:textId="77777777" w:rsidR="00C23DDC" w:rsidRPr="00135D00" w:rsidRDefault="00C23DDC" w:rsidP="00C23DDC">
            <w:pPr>
              <w:widowControl w:val="0"/>
              <w:spacing w:after="0" w:line="260" w:lineRule="exact"/>
              <w:jc w:val="both"/>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16DFDFE" w14:textId="77777777" w:rsidR="00C23DDC" w:rsidRPr="00135D00"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II.a Pravice porabe za izvedbo predlaganih rešitev so zagotovljene:</w:t>
            </w:r>
          </w:p>
          <w:p w14:paraId="13B5BBD0" w14:textId="77777777" w:rsidR="00C23DDC" w:rsidRPr="00135D00" w:rsidRDefault="00C23DDC" w:rsidP="00C23DDC">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3DF2D96E" w14:textId="77777777" w:rsidR="00C23DDC" w:rsidRPr="00135D00"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II.b Manjkajoče pravice porabe bodo zagotovljene s prerazporeditvijo:</w:t>
            </w:r>
          </w:p>
          <w:p w14:paraId="288C13A6" w14:textId="77777777" w:rsidR="00C23DDC" w:rsidRPr="00135D00"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II.c Načrtovana nadomestitev zmanjšanih prihodkov in povečanih odhodkov proračuna:</w:t>
            </w:r>
          </w:p>
          <w:p w14:paraId="20DA941C" w14:textId="77777777" w:rsidR="00C23DDC" w:rsidRPr="00135D00" w:rsidRDefault="00C23DDC" w:rsidP="00C23DDC">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7C70B09D" w14:textId="77777777" w:rsidR="00C23DDC" w:rsidRPr="00135D00" w:rsidRDefault="00C23DDC" w:rsidP="00C23DDC">
            <w:pPr>
              <w:tabs>
                <w:tab w:val="left" w:pos="1125"/>
              </w:tabs>
              <w:spacing w:after="0" w:line="260" w:lineRule="exact"/>
              <w:rPr>
                <w:rFonts w:ascii="Arial" w:eastAsia="Times New Roman" w:hAnsi="Arial" w:cs="Arial"/>
                <w:sz w:val="20"/>
                <w:szCs w:val="20"/>
                <w:lang w:eastAsia="sl-SI"/>
              </w:rPr>
            </w:pPr>
          </w:p>
        </w:tc>
      </w:tr>
      <w:tr w:rsidR="00C23DDC" w:rsidRPr="00135D00" w14:paraId="7EEDE4CD" w14:textId="77777777" w:rsidTr="00C23DDC">
        <w:trPr>
          <w:gridBefore w:val="1"/>
          <w:gridAfter w:val="1"/>
          <w:wBefore w:w="456" w:type="dxa"/>
          <w:wAfter w:w="374" w:type="dxa"/>
          <w:trHeight w:val="719"/>
        </w:trPr>
        <w:tc>
          <w:tcPr>
            <w:tcW w:w="8668" w:type="dxa"/>
            <w:gridSpan w:val="12"/>
            <w:tcBorders>
              <w:top w:val="single" w:sz="4" w:space="0" w:color="000000"/>
              <w:left w:val="single" w:sz="4" w:space="0" w:color="000000"/>
              <w:bottom w:val="single" w:sz="4" w:space="0" w:color="000000"/>
              <w:right w:val="single" w:sz="4" w:space="0" w:color="000000"/>
            </w:tcBorders>
          </w:tcPr>
          <w:p w14:paraId="17F7C61E" w14:textId="77777777" w:rsidR="00C23DDC" w:rsidRPr="00135D00" w:rsidRDefault="00C23DDC" w:rsidP="00C23DDC">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7.b Predstavitev ocene finančnih posledic pod 40.000 EUR:</w:t>
            </w:r>
          </w:p>
          <w:p w14:paraId="6C406EF7" w14:textId="320F1505" w:rsidR="00C23DDC" w:rsidRPr="00DA1654" w:rsidRDefault="00C23DDC" w:rsidP="00C23DD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C23DDC" w:rsidRPr="00135D00" w14:paraId="5AF6774E" w14:textId="77777777" w:rsidTr="00C23DDC">
        <w:trPr>
          <w:gridBefore w:val="1"/>
          <w:gridAfter w:val="1"/>
          <w:wBefore w:w="456" w:type="dxa"/>
          <w:wAfter w:w="374" w:type="dxa"/>
          <w:trHeight w:val="371"/>
        </w:trPr>
        <w:tc>
          <w:tcPr>
            <w:tcW w:w="8668" w:type="dxa"/>
            <w:gridSpan w:val="12"/>
            <w:tcBorders>
              <w:top w:val="single" w:sz="4" w:space="0" w:color="000000"/>
              <w:left w:val="single" w:sz="4" w:space="0" w:color="000000"/>
              <w:bottom w:val="single" w:sz="4" w:space="0" w:color="000000"/>
              <w:right w:val="single" w:sz="4" w:space="0" w:color="000000"/>
            </w:tcBorders>
          </w:tcPr>
          <w:p w14:paraId="076F7C0B" w14:textId="77777777" w:rsidR="00C23DDC" w:rsidRPr="00135D00" w:rsidRDefault="00C23DDC" w:rsidP="00C23DDC">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8. Predstavitev sodelovanja z združenji občin:</w:t>
            </w:r>
          </w:p>
        </w:tc>
      </w:tr>
      <w:tr w:rsidR="00C23DDC" w:rsidRPr="00135D00" w14:paraId="2DD2E4CB" w14:textId="77777777" w:rsidTr="00C23DDC">
        <w:trPr>
          <w:gridBefore w:val="1"/>
          <w:gridAfter w:val="1"/>
          <w:wBefore w:w="456" w:type="dxa"/>
          <w:wAfter w:w="374" w:type="dxa"/>
        </w:trPr>
        <w:tc>
          <w:tcPr>
            <w:tcW w:w="6310" w:type="dxa"/>
            <w:gridSpan w:val="9"/>
          </w:tcPr>
          <w:p w14:paraId="3C4BC5DA" w14:textId="77777777" w:rsidR="00C23DDC" w:rsidRPr="00135D00"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Vsebina predloženega gradiva (predpisa) vpliva na:</w:t>
            </w:r>
          </w:p>
          <w:p w14:paraId="41F1FFDB" w14:textId="77777777" w:rsidR="00C23DDC" w:rsidRPr="00135D00"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pristojnosti občin,</w:t>
            </w:r>
          </w:p>
          <w:p w14:paraId="7BF14F38" w14:textId="77777777" w:rsidR="00C23DDC" w:rsidRPr="00135D00" w:rsidRDefault="00C23DDC" w:rsidP="00C23DDC">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delovanje občin,</w:t>
            </w:r>
          </w:p>
          <w:p w14:paraId="73790F4D" w14:textId="77777777" w:rsidR="00C23DDC" w:rsidRPr="00135D00" w:rsidRDefault="00C23DDC" w:rsidP="00C23DD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financiranje občin.</w:t>
            </w:r>
          </w:p>
          <w:p w14:paraId="064CF5D6" w14:textId="77777777" w:rsidR="00C23DDC" w:rsidRPr="00135D00" w:rsidRDefault="00C23DDC" w:rsidP="00C23DD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8" w:type="dxa"/>
            <w:gridSpan w:val="3"/>
          </w:tcPr>
          <w:p w14:paraId="49702D53" w14:textId="77777777" w:rsidR="00C23DDC"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438B06AE" w14:textId="1D43B47F" w:rsidR="00C23DDC"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p w14:paraId="66DF3D68" w14:textId="77777777" w:rsidR="00C23DDC"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p w14:paraId="517FC5C5" w14:textId="478C27CA" w:rsidR="00C23DDC" w:rsidRPr="00135D00"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C23DDC" w:rsidRPr="00135D00" w14:paraId="613EA9C4" w14:textId="77777777" w:rsidTr="00C23DDC">
        <w:trPr>
          <w:gridBefore w:val="1"/>
          <w:gridAfter w:val="1"/>
          <w:wBefore w:w="456" w:type="dxa"/>
          <w:wAfter w:w="374" w:type="dxa"/>
          <w:trHeight w:val="274"/>
        </w:trPr>
        <w:tc>
          <w:tcPr>
            <w:tcW w:w="8668" w:type="dxa"/>
            <w:gridSpan w:val="12"/>
          </w:tcPr>
          <w:p w14:paraId="7450780F" w14:textId="77777777" w:rsidR="00FB4E1D"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Gradivo (predpis) je bilo poslano v mnenje:</w:t>
            </w:r>
          </w:p>
          <w:p w14:paraId="2CE5F97B" w14:textId="5C8EFB6D" w:rsidR="00C23DDC" w:rsidRPr="00135D00"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Skupnosti občin Slovenije SOS: NE</w:t>
            </w:r>
          </w:p>
          <w:p w14:paraId="0DA09E35" w14:textId="41ACFA23" w:rsidR="00C23DDC" w:rsidRPr="00135D00"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Združenju občin Slovenije ZOS: </w:t>
            </w:r>
            <w:r>
              <w:rPr>
                <w:rFonts w:ascii="Arial" w:eastAsia="Times New Roman" w:hAnsi="Arial" w:cs="Arial"/>
                <w:iCs/>
                <w:sz w:val="20"/>
                <w:szCs w:val="20"/>
                <w:lang w:eastAsia="sl-SI"/>
              </w:rPr>
              <w:t>DA</w:t>
            </w:r>
          </w:p>
          <w:p w14:paraId="65E20568" w14:textId="77777777" w:rsidR="00C23DDC" w:rsidRPr="00135D00" w:rsidRDefault="00C23DDC" w:rsidP="00C23DDC">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mestnih občin Slovenije ZMOS: NE</w:t>
            </w:r>
          </w:p>
          <w:p w14:paraId="2AF662CA" w14:textId="77777777" w:rsidR="00C23DDC" w:rsidRPr="00135D00"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3990A9B" w:rsidR="00C23DDC" w:rsidRPr="00135D00"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Predlogi in pripombe združenj so bili upoštevani: </w:t>
            </w:r>
            <w:r w:rsidRPr="00DA1654">
              <w:rPr>
                <w:rFonts w:ascii="Arial" w:eastAsia="Times New Roman" w:hAnsi="Arial" w:cs="Arial"/>
                <w:iCs/>
                <w:sz w:val="20"/>
                <w:szCs w:val="20"/>
                <w:lang w:eastAsia="sl-SI"/>
              </w:rPr>
              <w:t>Pripombe je podalo Združenje občin Slovenije. Pripombe in opredelitev predlagatelja so podrobneje prikazani v točki 7. uvodne obrazložitve predloga zakona.</w:t>
            </w:r>
          </w:p>
          <w:p w14:paraId="2674932B" w14:textId="77777777" w:rsidR="00C23DDC" w:rsidRPr="00135D00"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23DDC" w:rsidRPr="00135D00" w14:paraId="75F1CE34" w14:textId="77777777" w:rsidTr="00C23DDC">
        <w:trPr>
          <w:gridBefore w:val="1"/>
          <w:gridAfter w:val="1"/>
          <w:wBefore w:w="456" w:type="dxa"/>
          <w:wAfter w:w="374" w:type="dxa"/>
        </w:trPr>
        <w:tc>
          <w:tcPr>
            <w:tcW w:w="8668" w:type="dxa"/>
            <w:gridSpan w:val="12"/>
            <w:vAlign w:val="center"/>
          </w:tcPr>
          <w:p w14:paraId="3C03B98B" w14:textId="77777777" w:rsidR="00C23DDC" w:rsidRPr="00135D00"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9. Predstavitev sodelovanja javnosti:</w:t>
            </w:r>
          </w:p>
        </w:tc>
      </w:tr>
      <w:tr w:rsidR="00C23DDC" w:rsidRPr="00135D00" w14:paraId="63538319" w14:textId="77777777" w:rsidTr="00C23DDC">
        <w:trPr>
          <w:gridBefore w:val="1"/>
          <w:gridAfter w:val="1"/>
          <w:wBefore w:w="456" w:type="dxa"/>
          <w:wAfter w:w="374" w:type="dxa"/>
        </w:trPr>
        <w:tc>
          <w:tcPr>
            <w:tcW w:w="6310" w:type="dxa"/>
            <w:gridSpan w:val="9"/>
          </w:tcPr>
          <w:p w14:paraId="58809062" w14:textId="77777777" w:rsidR="00C23DDC" w:rsidRPr="00135D00"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Gradivo je bilo predhodno objavljeno na spletni strani predlagatelja:</w:t>
            </w:r>
          </w:p>
        </w:tc>
        <w:tc>
          <w:tcPr>
            <w:tcW w:w="2358" w:type="dxa"/>
            <w:gridSpan w:val="3"/>
          </w:tcPr>
          <w:p w14:paraId="572FE43B" w14:textId="77777777" w:rsidR="00C23DDC" w:rsidRPr="00135D00"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C23DDC" w:rsidRPr="00135D00" w14:paraId="06D722E2" w14:textId="77777777" w:rsidTr="00C23DDC">
        <w:trPr>
          <w:gridBefore w:val="1"/>
          <w:gridAfter w:val="1"/>
          <w:wBefore w:w="456" w:type="dxa"/>
          <w:wAfter w:w="374" w:type="dxa"/>
          <w:trHeight w:val="1134"/>
        </w:trPr>
        <w:tc>
          <w:tcPr>
            <w:tcW w:w="8668" w:type="dxa"/>
            <w:gridSpan w:val="12"/>
            <w:tcBorders>
              <w:bottom w:val="single" w:sz="4" w:space="0" w:color="000000"/>
            </w:tcBorders>
          </w:tcPr>
          <w:p w14:paraId="2326BF07" w14:textId="1E5754F0" w:rsidR="00C23DDC"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Datum objave: 26. 10. 2018</w:t>
            </w:r>
          </w:p>
          <w:p w14:paraId="17622AF5" w14:textId="77777777" w:rsidR="00C23DDC" w:rsidRPr="00DA1654" w:rsidRDefault="00C23DDC" w:rsidP="00C23DD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56ED55" w14:textId="3F70B140"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DA1654">
              <w:rPr>
                <w:rFonts w:ascii="Arial" w:eastAsia="Times New Roman" w:hAnsi="Arial" w:cs="Arial"/>
                <w:iCs/>
                <w:sz w:val="20"/>
                <w:szCs w:val="20"/>
                <w:lang w:eastAsia="sl-SI"/>
              </w:rPr>
              <w:t xml:space="preserve">redlog novele </w:t>
            </w:r>
            <w:r>
              <w:rPr>
                <w:rFonts w:ascii="Arial" w:eastAsia="Times New Roman" w:hAnsi="Arial" w:cs="Arial"/>
                <w:iCs/>
                <w:sz w:val="20"/>
                <w:szCs w:val="20"/>
                <w:lang w:eastAsia="sl-SI"/>
              </w:rPr>
              <w:t xml:space="preserve">ZIntPK-C </w:t>
            </w:r>
            <w:r w:rsidRPr="00DA1654">
              <w:rPr>
                <w:rFonts w:ascii="Arial" w:eastAsia="Times New Roman" w:hAnsi="Arial" w:cs="Arial"/>
                <w:iCs/>
                <w:sz w:val="20"/>
                <w:szCs w:val="20"/>
                <w:lang w:eastAsia="sl-SI"/>
              </w:rPr>
              <w:t>(EVA 2018-2030-0041) je bil poslan v strokovno usklajevanje 26. 10. 2018, prav tako pa je bil istočasno objavljen na portalu eDemokracija in na spletnih straneh ministrstva, rok za podajo pripomb je bil 30. 11. 2018. S posebnim dopisom so bili k podaji pripomb 26. 10. 2018 pozvani:</w:t>
            </w:r>
          </w:p>
          <w:p w14:paraId="6EDB99D6"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Banka Slovenije,</w:t>
            </w:r>
          </w:p>
          <w:p w14:paraId="79A99D47"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Center za informiranje, sodelovanje in razvoj nevladnih organizacij,</w:t>
            </w:r>
          </w:p>
          <w:p w14:paraId="7B03946A"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Državno odvetništvo RS,</w:t>
            </w:r>
          </w:p>
          <w:p w14:paraId="5361AECD"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Državnotožilski svet,</w:t>
            </w:r>
          </w:p>
          <w:p w14:paraId="657BD7E5"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Generalna policijska uprava,</w:t>
            </w:r>
          </w:p>
          <w:p w14:paraId="5B165BD5"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Gospodarska zbornica Slovenije,</w:t>
            </w:r>
          </w:p>
          <w:p w14:paraId="03CDECF3"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Informacijski pooblaščenec RS,</w:t>
            </w:r>
          </w:p>
          <w:p w14:paraId="0E07CF57"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Javna agencija RS za zdravila in medicinske pripomočke.</w:t>
            </w:r>
          </w:p>
          <w:p w14:paraId="5CAA04C3"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Komisija za preprečevanje korupcije,</w:t>
            </w:r>
          </w:p>
          <w:p w14:paraId="0185839C"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Notarska zbornica Slovenije,</w:t>
            </w:r>
          </w:p>
          <w:p w14:paraId="7A16B82F"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Obrtno podjetniška zbornica Slovenije,</w:t>
            </w:r>
          </w:p>
          <w:p w14:paraId="54A4CBF9"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Računsko sodišče RS,</w:t>
            </w:r>
          </w:p>
          <w:p w14:paraId="51320039"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Sodni svet,</w:t>
            </w:r>
          </w:p>
          <w:p w14:paraId="063F72B6"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Transparency International Slovenija,</w:t>
            </w:r>
          </w:p>
          <w:p w14:paraId="4B206817"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Upravno sodišče RS,</w:t>
            </w:r>
          </w:p>
          <w:p w14:paraId="35460822"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Urad predsednika republike RS,</w:t>
            </w:r>
          </w:p>
          <w:p w14:paraId="5AB2C8A8"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Varuh človekovih pravic RS,</w:t>
            </w:r>
          </w:p>
          <w:p w14:paraId="17C8B9BD"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Vrhovno državno tožilstvo RS,</w:t>
            </w:r>
          </w:p>
          <w:p w14:paraId="0A8A3FEF" w14:textId="77777777" w:rsidR="00C23DDC" w:rsidRPr="00DA1654"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Vrhovno sodišče RS,</w:t>
            </w:r>
          </w:p>
          <w:p w14:paraId="13C8E999" w14:textId="77777777" w:rsidR="00C23DDC"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Združenje občin Slovenije</w:t>
            </w:r>
          </w:p>
          <w:p w14:paraId="7B284313" w14:textId="77777777" w:rsidR="00C23DDC" w:rsidRPr="00F00DB1"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F00DB1">
              <w:rPr>
                <w:rFonts w:cs="Arial"/>
                <w:iCs/>
                <w:szCs w:val="20"/>
                <w:lang w:eastAsia="sl-SI"/>
              </w:rPr>
              <w:t>Ministrstvo za javno upravo,</w:t>
            </w:r>
          </w:p>
          <w:p w14:paraId="74C3771B" w14:textId="7AF3C26E" w:rsidR="00C23DDC" w:rsidRPr="00F00DB1" w:rsidRDefault="00C23DDC" w:rsidP="00C23DDC">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F00DB1">
              <w:rPr>
                <w:rFonts w:cs="Arial"/>
                <w:iCs/>
                <w:szCs w:val="20"/>
                <w:lang w:eastAsia="sl-SI"/>
              </w:rPr>
              <w:t>Ministrstvo za finance.</w:t>
            </w:r>
          </w:p>
          <w:p w14:paraId="09BD4B5C"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3E00C856"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Mnenja, predloge in pripombe so podali naslednji deležniki:</w:t>
            </w:r>
          </w:p>
          <w:p w14:paraId="3F1262C2"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(TIS), Upravno sodišče (UPRS), Urad predsednika Republike Slovenije (Urad PRS), Vrhovno državno tožilstvo (VDT), Vrhovno sodišče Republike Slovenije (VSRS), Zveza občin Slovenije (ZOS).</w:t>
            </w:r>
          </w:p>
          <w:p w14:paraId="3F638C4F"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690A98C0"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Pripombe strokovne javnosti in opredelitev predlagatelja so podrobneje prikazani v točki 7. uvodne obrazložitvi predloga zakona.</w:t>
            </w:r>
          </w:p>
          <w:p w14:paraId="5692E6B9"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5CAA3367" w14:textId="77777777" w:rsidR="00C23DDC" w:rsidRPr="00DA1654" w:rsidRDefault="00C23DDC" w:rsidP="00C23DDC">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Pripombe v strokovni razpravi so bile usklajevane na naslednjih sestankih:</w:t>
            </w:r>
          </w:p>
          <w:p w14:paraId="0882DB5A"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7. 1. 2019 je bil v prostorih Ministrstva za pravosodje izveden usklajevalni sestanek s predstavniki Komisije za preprečevanje korupcije glede pripomb, ki jih je podala KPK.</w:t>
            </w:r>
          </w:p>
          <w:p w14:paraId="1F25B283"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22. 1. 2019 je bil v prostorih Ministrstva za pravosodje izveden usklajevalni sestanek d predstavniki MJU glede pripomb, ki jih je podalo MJU.</w:t>
            </w:r>
          </w:p>
          <w:p w14:paraId="043E0284"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23. 1. 2019 je bil v prostorih Ministrstva za pravosodje izveden usklajevalni sestanek s predstavniki Urada predsednika Republike Slovenije.</w:t>
            </w:r>
          </w:p>
          <w:p w14:paraId="59F33AE6"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29. 1. 2019 je bil v kabinetu Ministrstva za pravosodje izveden sestanek med ministrico in predsednikom KPK.</w:t>
            </w:r>
          </w:p>
          <w:p w14:paraId="63276531"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31. 1. 2019 je bil v prostorih Ministrstva za pravosodje izveden usklajevalni sestanek s predstavniki Gospodarske zbornice Slovenije in Kluba slovenskih podjetnikov.</w:t>
            </w:r>
          </w:p>
          <w:p w14:paraId="7961E842"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31. 1. 2019 je bil v prostorih Urada predsednika Republike Slovenije izveden sestanek med predsednikom republike in ministrico za pravosodje o ureditvi kandidacijskega postopka za funkcionarje KPK.</w:t>
            </w:r>
          </w:p>
          <w:p w14:paraId="3C18158D"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6. 2. 2019 je bil v prostorih Ministrstva za pravosodje izveden usklajevalni sestanek s predstavniki Informacijskega pooblaščenca.</w:t>
            </w:r>
          </w:p>
          <w:p w14:paraId="02FF9985"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13. 2. 2019 je bil v prostorih Ministrstva za pravosodje izveden sestanek o nekaterih odprtih vprašanjih s predstavnico KPK.</w:t>
            </w:r>
          </w:p>
          <w:p w14:paraId="22B127E2"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20. 2. 2019 je bil v prostorih Ministrstva za pravosodje izveden sestanek s predstavniki Transparency International Slovenia.</w:t>
            </w:r>
          </w:p>
          <w:p w14:paraId="0153D529" w14:textId="77777777" w:rsidR="00C23DDC" w:rsidRPr="00DA1654"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21. 2. 2019 je bil v prostorih Ministrstva za pravosodje izveden usklajevalni sestanek s predstavniki MJU (predstavniki KPK se sestanka kljub vabilu niso udeležili).</w:t>
            </w:r>
          </w:p>
          <w:p w14:paraId="11B0CB58" w14:textId="77777777" w:rsidR="00C23DDC"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28. 3. 2019 je bil v prostorih Ministrstva za pravosodje izveden usklajevalni sestanek s predstavniki Urada predsednika Republike Slovenije.</w:t>
            </w:r>
          </w:p>
          <w:p w14:paraId="76C9C651" w14:textId="77777777" w:rsidR="00C23DDC" w:rsidRDefault="00C23DDC" w:rsidP="00C23DDC">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5. 4. 2019 je bil v prostorih KPK izveden sestanek med ministrico za pravosodje in predsednikom KPK.</w:t>
            </w:r>
          </w:p>
          <w:p w14:paraId="6FB26625" w14:textId="77777777" w:rsidR="00C23DDC"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2A05814B"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A04C2E">
              <w:rPr>
                <w:rFonts w:ascii="Arial" w:eastAsia="Times New Roman" w:hAnsi="Arial" w:cs="Arial"/>
                <w:sz w:val="20"/>
                <w:szCs w:val="16"/>
                <w:lang w:eastAsia="ar-SA"/>
              </w:rPr>
              <w:t>Predlog zakona je bil poslan v medresorsko usklajevanje 12. 4. 2019, istočasno pa je bil objavljen tudi na spletnih straneh ministrstva in E-demokracije. Rok za pripombe je bil 26. 4. 2019.</w:t>
            </w:r>
          </w:p>
          <w:p w14:paraId="303DEACC"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774149A0"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A04C2E">
              <w:rPr>
                <w:rFonts w:ascii="Arial" w:eastAsia="Times New Roman" w:hAnsi="Arial" w:cs="Arial"/>
                <w:sz w:val="20"/>
                <w:szCs w:val="16"/>
                <w:lang w:eastAsia="ar-SA"/>
              </w:rPr>
              <w:t>Mnenja, ki so jih podali deležniki:</w:t>
            </w:r>
          </w:p>
          <w:p w14:paraId="1EB28673"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A04C2E">
              <w:rPr>
                <w:rFonts w:ascii="Arial" w:eastAsia="Times New Roman" w:hAnsi="Arial" w:cs="Arial"/>
                <w:sz w:val="20"/>
                <w:szCs w:val="16"/>
                <w:lang w:eastAsia="ar-SA"/>
              </w:rPr>
              <w:t xml:space="preserve">Center za informiranje, sodelovanje in razvoj nevladnih organizacij (CNVOS) skupaj z drugimi nevladnimi organizacijami, Evropski inštitut za skladnost in etiko poslovanja, Komisija za preprečevanje korupcije, Ministrstvo za delo, družino </w:t>
            </w:r>
            <w:r>
              <w:rPr>
                <w:rFonts w:ascii="Arial" w:eastAsia="Times New Roman" w:hAnsi="Arial" w:cs="Arial"/>
                <w:sz w:val="20"/>
                <w:szCs w:val="16"/>
                <w:lang w:eastAsia="ar-SA"/>
              </w:rPr>
              <w:t>i</w:t>
            </w:r>
            <w:r w:rsidRPr="00A04C2E">
              <w:rPr>
                <w:rFonts w:ascii="Arial" w:eastAsia="Times New Roman" w:hAnsi="Arial" w:cs="Arial"/>
                <w:sz w:val="20"/>
                <w:szCs w:val="16"/>
                <w:lang w:eastAsia="ar-SA"/>
              </w:rPr>
              <w:t>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Služba Vlade RS za zakonodajo in Vrhovno državno tožilstvo.</w:t>
            </w:r>
          </w:p>
          <w:p w14:paraId="41DC9F0D"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47CE952E" w14:textId="77777777" w:rsidR="00C23DDC" w:rsidRPr="00A04C2E" w:rsidRDefault="00C23DDC" w:rsidP="00C23DDC">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A04C2E">
              <w:rPr>
                <w:rFonts w:ascii="Arial" w:eastAsia="Times New Roman" w:hAnsi="Arial" w:cs="Arial"/>
                <w:sz w:val="20"/>
                <w:szCs w:val="16"/>
                <w:lang w:eastAsia="ar-SA"/>
              </w:rPr>
              <w:t>Pripombe v medresorskem usklajevanju so bile obravnavane na naslednjih sestankih:</w:t>
            </w:r>
          </w:p>
          <w:p w14:paraId="5B3DEF49" w14:textId="22DDDAF5" w:rsidR="00C23DDC" w:rsidRPr="00A04C2E"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A04C2E">
              <w:rPr>
                <w:rFonts w:cs="Arial"/>
                <w:szCs w:val="16"/>
                <w:lang w:eastAsia="ar-SA"/>
              </w:rPr>
              <w:t xml:space="preserve">17. 4. 2019 je bil v prostorih Ministrstva za pravosodje izveden sestanek o vprašanjih varstva osebnih podatkov v delu in v postopkih pred </w:t>
            </w:r>
            <w:r w:rsidR="003F4EA2">
              <w:rPr>
                <w:rFonts w:cs="Arial"/>
                <w:szCs w:val="16"/>
                <w:lang w:eastAsia="ar-SA"/>
              </w:rPr>
              <w:t>KPK</w:t>
            </w:r>
            <w:r w:rsidRPr="00A04C2E">
              <w:rPr>
                <w:rFonts w:cs="Arial"/>
                <w:szCs w:val="16"/>
                <w:lang w:eastAsia="ar-SA"/>
              </w:rPr>
              <w:t xml:space="preserve"> s predstavniki MJU in IP,</w:t>
            </w:r>
          </w:p>
          <w:p w14:paraId="72119ABC" w14:textId="34259B48" w:rsidR="00C23DDC" w:rsidRPr="00BE5630"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A04C2E">
              <w:rPr>
                <w:rFonts w:cs="Arial"/>
                <w:szCs w:val="16"/>
                <w:lang w:eastAsia="ar-SA"/>
              </w:rPr>
              <w:t>8. 5. 2019 je bil sestanek v prostorih Ministrstva za pravosodje izveden usklajevalni sestanek o vsebini predlaganega 28. člena novele s predstavniki KPK, MJU</w:t>
            </w:r>
            <w:r w:rsidR="005C311E">
              <w:rPr>
                <w:rFonts w:cs="Arial"/>
                <w:szCs w:val="16"/>
                <w:lang w:eastAsia="ar-SA"/>
              </w:rPr>
              <w:t>,</w:t>
            </w:r>
            <w:r w:rsidRPr="00A04C2E">
              <w:rPr>
                <w:rFonts w:cs="Arial"/>
                <w:szCs w:val="16"/>
                <w:lang w:eastAsia="ar-SA"/>
              </w:rPr>
              <w:t xml:space="preserve"> IP</w:t>
            </w:r>
            <w:r w:rsidR="005C311E">
              <w:rPr>
                <w:rFonts w:cs="Arial"/>
                <w:szCs w:val="16"/>
                <w:lang w:eastAsia="ar-SA"/>
              </w:rPr>
              <w:t xml:space="preserve"> in UJP</w:t>
            </w:r>
            <w:r w:rsidRPr="00A04C2E">
              <w:rPr>
                <w:rFonts w:cs="Arial"/>
                <w:szCs w:val="16"/>
                <w:lang w:eastAsia="ar-SA"/>
              </w:rPr>
              <w:t>,</w:t>
            </w:r>
          </w:p>
          <w:p w14:paraId="286A089F" w14:textId="77777777" w:rsidR="00C23DDC" w:rsidRPr="00BE5630" w:rsidRDefault="00C23DDC" w:rsidP="00C23DDC">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BE5630">
              <w:rPr>
                <w:rFonts w:cs="Arial"/>
                <w:szCs w:val="16"/>
                <w:lang w:eastAsia="ar-SA"/>
              </w:rPr>
              <w:t>13. 5. 2019 je bil v prostorih Ministrstva za pravosodje izveden usklajevalni sestanek o pripombah SVZ s predstavniki SVZ,</w:t>
            </w:r>
          </w:p>
          <w:p w14:paraId="2715B540" w14:textId="21C2EE6D" w:rsidR="00C23DDC" w:rsidRPr="00F00DB1" w:rsidRDefault="00C23DDC" w:rsidP="004B2772">
            <w:pPr>
              <w:pStyle w:val="Odstavekseznama"/>
              <w:numPr>
                <w:ilvl w:val="0"/>
                <w:numId w:val="20"/>
              </w:numPr>
              <w:suppressAutoHyphens/>
              <w:overflowPunct w:val="0"/>
              <w:autoSpaceDE w:val="0"/>
              <w:spacing w:line="240" w:lineRule="auto"/>
              <w:jc w:val="both"/>
              <w:textAlignment w:val="baseline"/>
              <w:rPr>
                <w:rFonts w:cs="Arial"/>
                <w:iCs/>
                <w:szCs w:val="20"/>
                <w:lang w:eastAsia="sl-SI"/>
              </w:rPr>
            </w:pPr>
            <w:r w:rsidRPr="00BE5630">
              <w:rPr>
                <w:rFonts w:cs="Arial"/>
                <w:szCs w:val="16"/>
                <w:lang w:eastAsia="ar-SA"/>
              </w:rPr>
              <w:t>16. 5. 2019 je bil v prostorih Ministrstva za pravosodje izveden usklajevalni sestanek o pripombah KPK s predstavniki KPK</w:t>
            </w:r>
            <w:r>
              <w:rPr>
                <w:rFonts w:cs="Arial"/>
                <w:szCs w:val="16"/>
                <w:lang w:eastAsia="ar-SA"/>
              </w:rPr>
              <w:t>.</w:t>
            </w:r>
          </w:p>
        </w:tc>
      </w:tr>
      <w:tr w:rsidR="00C23DDC" w:rsidRPr="00135D00" w14:paraId="56F494E3" w14:textId="77777777" w:rsidTr="00C23DDC">
        <w:trPr>
          <w:gridBefore w:val="1"/>
          <w:gridAfter w:val="1"/>
          <w:wBefore w:w="456" w:type="dxa"/>
          <w:wAfter w:w="374" w:type="dxa"/>
        </w:trPr>
        <w:tc>
          <w:tcPr>
            <w:tcW w:w="6310" w:type="dxa"/>
            <w:gridSpan w:val="9"/>
            <w:vAlign w:val="center"/>
          </w:tcPr>
          <w:p w14:paraId="0661E849" w14:textId="77777777" w:rsidR="00C23DDC" w:rsidRPr="00135D00"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b/>
                <w:sz w:val="20"/>
                <w:szCs w:val="20"/>
                <w:lang w:eastAsia="sl-SI"/>
              </w:rPr>
              <w:t>10. Pri pripravi gradiva so bile upoštevane zahteve iz Resolucije o normativni dejavnosti:</w:t>
            </w:r>
          </w:p>
        </w:tc>
        <w:tc>
          <w:tcPr>
            <w:tcW w:w="2358" w:type="dxa"/>
            <w:gridSpan w:val="3"/>
            <w:vAlign w:val="center"/>
          </w:tcPr>
          <w:p w14:paraId="7518E420" w14:textId="77777777" w:rsidR="00C23DDC" w:rsidRPr="00135D00"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C23DDC" w:rsidRPr="00135D00" w14:paraId="5E4EA707" w14:textId="77777777" w:rsidTr="00C23DDC">
        <w:trPr>
          <w:gridBefore w:val="1"/>
          <w:gridAfter w:val="1"/>
          <w:wBefore w:w="456" w:type="dxa"/>
          <w:wAfter w:w="374" w:type="dxa"/>
        </w:trPr>
        <w:tc>
          <w:tcPr>
            <w:tcW w:w="6310" w:type="dxa"/>
            <w:gridSpan w:val="9"/>
            <w:vAlign w:val="center"/>
          </w:tcPr>
          <w:p w14:paraId="0000ACA6" w14:textId="77777777" w:rsidR="00C23DDC" w:rsidRPr="00135D00" w:rsidRDefault="00C23DDC" w:rsidP="00C23DD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11. Gradivo je uvrščeno v delovni program vlade:</w:t>
            </w:r>
          </w:p>
        </w:tc>
        <w:tc>
          <w:tcPr>
            <w:tcW w:w="2358" w:type="dxa"/>
            <w:gridSpan w:val="3"/>
            <w:vAlign w:val="center"/>
          </w:tcPr>
          <w:p w14:paraId="34EC0A29" w14:textId="77777777" w:rsidR="00C23DDC" w:rsidRPr="00135D00" w:rsidRDefault="00C23DDC" w:rsidP="00C23DD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DA</w:t>
            </w:r>
          </w:p>
        </w:tc>
      </w:tr>
      <w:tr w:rsidR="00C23DDC" w:rsidRPr="00135D00" w14:paraId="37AB3381"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0A6AA0E5" w14:textId="77777777" w:rsidR="00C23DDC" w:rsidRPr="00135D00" w:rsidRDefault="00C23DDC" w:rsidP="00C23DDC">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C23DDC" w:rsidRPr="00135D00" w14:paraId="02149E5E" w14:textId="77777777" w:rsidTr="00C23DDC">
        <w:trPr>
          <w:gridBefore w:val="1"/>
          <w:gridAfter w:val="1"/>
          <w:wBefore w:w="456" w:type="dxa"/>
          <w:wAfter w:w="374" w:type="dxa"/>
        </w:trPr>
        <w:tc>
          <w:tcPr>
            <w:tcW w:w="8668" w:type="dxa"/>
            <w:gridSpan w:val="12"/>
            <w:tcBorders>
              <w:top w:val="single" w:sz="4" w:space="0" w:color="000000"/>
              <w:left w:val="single" w:sz="4" w:space="0" w:color="000000"/>
              <w:bottom w:val="single" w:sz="4" w:space="0" w:color="000000"/>
              <w:right w:val="single" w:sz="4" w:space="0" w:color="000000"/>
            </w:tcBorders>
          </w:tcPr>
          <w:p w14:paraId="3DE3AC30" w14:textId="77777777" w:rsidR="00C23DDC" w:rsidRPr="00135D00"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Andreja Katič</w:t>
            </w:r>
          </w:p>
          <w:p w14:paraId="62915675" w14:textId="77777777" w:rsidR="00FB4E1D" w:rsidRDefault="00C23DDC" w:rsidP="00C23DDC">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ministrica</w:t>
            </w:r>
          </w:p>
          <w:p w14:paraId="6B219316" w14:textId="273620B4" w:rsidR="00C23DDC" w:rsidRPr="00135D00" w:rsidRDefault="00C23DDC" w:rsidP="00C23DD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135D00" w:rsidRDefault="00135D00" w:rsidP="00135D00">
      <w:pPr>
        <w:spacing w:after="0" w:line="260" w:lineRule="exact"/>
        <w:rPr>
          <w:rFonts w:ascii="Arial" w:eastAsia="Times New Roman" w:hAnsi="Arial" w:cs="Arial"/>
          <w:b/>
          <w:i/>
          <w:sz w:val="20"/>
          <w:szCs w:val="20"/>
        </w:rPr>
      </w:pPr>
    </w:p>
    <w:p w14:paraId="7031342C" w14:textId="77777777" w:rsidR="00135D00" w:rsidRPr="00135D00" w:rsidRDefault="00135D00" w:rsidP="00135D00">
      <w:pPr>
        <w:spacing w:after="0" w:line="260" w:lineRule="exact"/>
        <w:rPr>
          <w:rFonts w:ascii="Arial" w:eastAsia="Times New Roman" w:hAnsi="Arial" w:cs="Arial"/>
          <w:b/>
          <w:i/>
          <w:sz w:val="20"/>
          <w:szCs w:val="20"/>
        </w:rPr>
      </w:pPr>
      <w:r w:rsidRPr="00135D00">
        <w:rPr>
          <w:rFonts w:ascii="Arial" w:eastAsia="Times New Roman" w:hAnsi="Arial" w:cs="Arial"/>
          <w:b/>
          <w:i/>
          <w:sz w:val="20"/>
          <w:szCs w:val="20"/>
        </w:rPr>
        <w:t>Priloge:</w:t>
      </w:r>
    </w:p>
    <w:p w14:paraId="2AAB804F" w14:textId="259FC0FA"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predlog sklepa Vlade RS</w:t>
      </w:r>
    </w:p>
    <w:p w14:paraId="10662826" w14:textId="457CA4D4"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predlog zakona</w:t>
      </w:r>
    </w:p>
    <w:p w14:paraId="3A1EFE4A" w14:textId="4822F79E"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priloga 2</w:t>
      </w:r>
    </w:p>
    <w:p w14:paraId="7E916982" w14:textId="0F7A0BE2" w:rsidR="00932FA5" w:rsidRPr="00FB4E1D" w:rsidRDefault="00932FA5"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MSP test</w:t>
      </w:r>
    </w:p>
    <w:p w14:paraId="520E377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br w:type="page"/>
        <w:t>Datum:</w:t>
      </w:r>
    </w:p>
    <w:p w14:paraId="0672E79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Številka:</w:t>
      </w:r>
    </w:p>
    <w:p w14:paraId="012B3C0A" w14:textId="77777777" w:rsidR="00135D00" w:rsidRPr="00135D00" w:rsidRDefault="00135D00" w:rsidP="00135D00">
      <w:pPr>
        <w:spacing w:after="0" w:line="260" w:lineRule="exact"/>
        <w:rPr>
          <w:rFonts w:ascii="Arial" w:eastAsia="Times New Roman" w:hAnsi="Arial" w:cs="Arial"/>
          <w:sz w:val="20"/>
          <w:szCs w:val="20"/>
        </w:rPr>
      </w:pPr>
    </w:p>
    <w:p w14:paraId="72AAF73D" w14:textId="77777777" w:rsidR="00135D00" w:rsidRPr="00135D00" w:rsidRDefault="00135D00" w:rsidP="00135D00">
      <w:pPr>
        <w:spacing w:after="0" w:line="260" w:lineRule="exact"/>
        <w:rPr>
          <w:rFonts w:ascii="Arial" w:eastAsia="Times New Roman" w:hAnsi="Arial" w:cs="Arial"/>
          <w:sz w:val="20"/>
          <w:szCs w:val="20"/>
        </w:rPr>
      </w:pPr>
    </w:p>
    <w:p w14:paraId="23DBD46D" w14:textId="77777777" w:rsidR="00135D00" w:rsidRPr="00135D00" w:rsidRDefault="00135D00" w:rsidP="00135D00">
      <w:pPr>
        <w:spacing w:after="0" w:line="260" w:lineRule="exact"/>
        <w:rPr>
          <w:rFonts w:ascii="Arial" w:eastAsia="Times New Roman" w:hAnsi="Arial" w:cs="Arial"/>
          <w:sz w:val="20"/>
          <w:szCs w:val="20"/>
        </w:rPr>
      </w:pPr>
    </w:p>
    <w:p w14:paraId="437122F4" w14:textId="77777777" w:rsidR="00135D00" w:rsidRPr="00135D00" w:rsidRDefault="00135D00" w:rsidP="00135D00">
      <w:pPr>
        <w:spacing w:after="0" w:line="260" w:lineRule="exact"/>
        <w:rPr>
          <w:rFonts w:ascii="Arial" w:eastAsia="Times New Roman" w:hAnsi="Arial" w:cs="Arial"/>
          <w:sz w:val="20"/>
          <w:szCs w:val="20"/>
        </w:rPr>
      </w:pPr>
    </w:p>
    <w:p w14:paraId="164E9513" w14:textId="77777777" w:rsidR="00FB4E1D"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Na podlagi drugega odstavka 2. člena Zakona o Vladi Republike Slovenije (Uradni list RS, št. 24/05 – uradno prečiščeno besedilo, 109/08, 38/10 – ZUKN, 8/12, 21/13, 47/13 – ZDU – 1G, 65/14 in 55/17) je Vlada Republike Slovenije na svoji … seji … sprejela naslednji</w:t>
      </w:r>
    </w:p>
    <w:p w14:paraId="28BC9FDE" w14:textId="520B4B24" w:rsidR="00135D00" w:rsidRPr="00135D00" w:rsidRDefault="00135D00" w:rsidP="00135D00">
      <w:pPr>
        <w:spacing w:after="0" w:line="260" w:lineRule="exact"/>
        <w:rPr>
          <w:rFonts w:ascii="Arial" w:eastAsia="Times New Roman" w:hAnsi="Arial" w:cs="Arial"/>
          <w:sz w:val="20"/>
          <w:szCs w:val="20"/>
        </w:rPr>
      </w:pPr>
    </w:p>
    <w:p w14:paraId="674DD02D" w14:textId="77777777" w:rsidR="00135D00" w:rsidRPr="00135D00" w:rsidRDefault="00135D00" w:rsidP="00135D00">
      <w:pPr>
        <w:spacing w:after="0" w:line="260" w:lineRule="exact"/>
        <w:rPr>
          <w:rFonts w:ascii="Arial" w:eastAsia="Times New Roman" w:hAnsi="Arial" w:cs="Arial"/>
          <w:sz w:val="20"/>
          <w:szCs w:val="20"/>
        </w:rPr>
      </w:pPr>
    </w:p>
    <w:p w14:paraId="2F3847F5" w14:textId="77777777" w:rsidR="00135D00" w:rsidRPr="00135D00" w:rsidRDefault="00135D00" w:rsidP="00135D00">
      <w:pPr>
        <w:spacing w:after="0" w:line="260" w:lineRule="exact"/>
        <w:jc w:val="center"/>
        <w:rPr>
          <w:rFonts w:ascii="Arial" w:eastAsia="Times New Roman" w:hAnsi="Arial" w:cs="Arial"/>
          <w:b/>
          <w:i/>
          <w:sz w:val="20"/>
          <w:szCs w:val="20"/>
        </w:rPr>
      </w:pPr>
      <w:r w:rsidRPr="00135D00">
        <w:rPr>
          <w:rFonts w:ascii="Arial" w:eastAsia="Times New Roman" w:hAnsi="Arial" w:cs="Arial"/>
          <w:b/>
          <w:i/>
          <w:sz w:val="20"/>
          <w:szCs w:val="20"/>
        </w:rPr>
        <w:t>SKLEP</w:t>
      </w:r>
    </w:p>
    <w:p w14:paraId="1D2D5447" w14:textId="77777777" w:rsidR="00135D00" w:rsidRPr="00135D00" w:rsidRDefault="00135D00" w:rsidP="00135D00">
      <w:pPr>
        <w:spacing w:after="0" w:line="260" w:lineRule="exact"/>
        <w:jc w:val="both"/>
        <w:rPr>
          <w:rFonts w:ascii="Arial" w:eastAsia="Times New Roman" w:hAnsi="Arial" w:cs="Arial"/>
          <w:sz w:val="20"/>
          <w:szCs w:val="20"/>
        </w:rPr>
      </w:pPr>
    </w:p>
    <w:p w14:paraId="6F06EC33" w14:textId="77777777" w:rsidR="00135D00" w:rsidRPr="00135D00" w:rsidRDefault="00135D00" w:rsidP="00135D00">
      <w:pPr>
        <w:spacing w:after="0" w:line="260" w:lineRule="exact"/>
        <w:jc w:val="both"/>
        <w:rPr>
          <w:rFonts w:ascii="Arial" w:eastAsia="Times New Roman" w:hAnsi="Arial" w:cs="Arial"/>
          <w:sz w:val="20"/>
          <w:szCs w:val="20"/>
        </w:rPr>
      </w:pPr>
    </w:p>
    <w:p w14:paraId="5A1B741D" w14:textId="77777777" w:rsidR="00FB4E1D"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Predloga Zakona o spremembah in dopolnitvah Zakona o </w:t>
      </w:r>
      <w:r w:rsidR="0055047E">
        <w:rPr>
          <w:rFonts w:ascii="Arial" w:eastAsia="Times New Roman" w:hAnsi="Arial" w:cs="Arial"/>
          <w:sz w:val="20"/>
          <w:szCs w:val="20"/>
        </w:rPr>
        <w:t>i</w:t>
      </w:r>
      <w:r w:rsidR="00E55854">
        <w:rPr>
          <w:rFonts w:ascii="Arial" w:eastAsia="Times New Roman" w:hAnsi="Arial" w:cs="Arial"/>
          <w:sz w:val="20"/>
          <w:szCs w:val="20"/>
        </w:rPr>
        <w:t>ntegriteti in preprečevanju korupcije</w:t>
      </w:r>
      <w:r w:rsidRPr="00135D00">
        <w:rPr>
          <w:rFonts w:ascii="Arial" w:eastAsia="Times New Roman" w:hAnsi="Arial" w:cs="Arial"/>
          <w:sz w:val="20"/>
          <w:szCs w:val="20"/>
        </w:rPr>
        <w:t xml:space="preserve"> (</w:t>
      </w:r>
      <w:r w:rsidRPr="00135D00">
        <w:rPr>
          <w:rFonts w:ascii="Arial" w:eastAsia="Times New Roman" w:hAnsi="Arial" w:cs="Arial"/>
          <w:iCs/>
          <w:sz w:val="20"/>
          <w:szCs w:val="20"/>
          <w:lang w:eastAsia="sl-SI"/>
        </w:rPr>
        <w:t xml:space="preserve">EVA </w:t>
      </w:r>
      <w:r w:rsidR="00E55854" w:rsidRPr="00135D00">
        <w:rPr>
          <w:rFonts w:ascii="Arial" w:eastAsia="Times New Roman" w:hAnsi="Arial" w:cs="Arial"/>
          <w:iCs/>
          <w:sz w:val="20"/>
          <w:szCs w:val="20"/>
          <w:lang w:eastAsia="sl-SI"/>
        </w:rPr>
        <w:t>201</w:t>
      </w:r>
      <w:r w:rsidR="00E55854">
        <w:rPr>
          <w:rFonts w:ascii="Arial" w:eastAsia="Times New Roman" w:hAnsi="Arial" w:cs="Arial"/>
          <w:iCs/>
          <w:sz w:val="20"/>
          <w:szCs w:val="20"/>
          <w:lang w:eastAsia="sl-SI"/>
        </w:rPr>
        <w:t>8</w:t>
      </w:r>
      <w:r w:rsidR="00E55854" w:rsidRPr="00135D00">
        <w:rPr>
          <w:rFonts w:ascii="Arial" w:eastAsia="Times New Roman" w:hAnsi="Arial" w:cs="Arial"/>
          <w:iCs/>
          <w:sz w:val="20"/>
          <w:szCs w:val="20"/>
          <w:lang w:eastAsia="sl-SI"/>
        </w:rPr>
        <w:t>-2030-00</w:t>
      </w:r>
      <w:r w:rsidR="00E55854">
        <w:rPr>
          <w:rFonts w:ascii="Arial" w:eastAsia="Times New Roman" w:hAnsi="Arial" w:cs="Arial"/>
          <w:iCs/>
          <w:sz w:val="20"/>
          <w:szCs w:val="20"/>
          <w:lang w:eastAsia="sl-SI"/>
        </w:rPr>
        <w:t>41</w:t>
      </w:r>
      <w:r w:rsidRPr="00135D00">
        <w:rPr>
          <w:rFonts w:ascii="Arial" w:eastAsia="Times New Roman" w:hAnsi="Arial" w:cs="Arial"/>
          <w:sz w:val="20"/>
          <w:szCs w:val="20"/>
        </w:rPr>
        <w:t>)</w:t>
      </w:r>
      <w:r w:rsidRPr="00135D00">
        <w:rPr>
          <w:rFonts w:ascii="Arial" w:eastAsia="Times New Roman" w:hAnsi="Arial" w:cs="Arial"/>
          <w:iCs/>
          <w:sz w:val="20"/>
          <w:szCs w:val="20"/>
          <w:lang w:eastAsia="sl-SI"/>
        </w:rPr>
        <w:t xml:space="preserve"> </w:t>
      </w:r>
      <w:r w:rsidRPr="00135D00">
        <w:rPr>
          <w:rFonts w:ascii="Arial" w:eastAsia="Times New Roman" w:hAnsi="Arial" w:cs="Arial"/>
          <w:sz w:val="20"/>
          <w:szCs w:val="20"/>
        </w:rPr>
        <w:t>in ga pošlje v obravnavo Državnemu zboru Republike Slovenije po rednem postopku.</w:t>
      </w:r>
    </w:p>
    <w:p w14:paraId="5DBD2257" w14:textId="1CF41021" w:rsidR="00135D00" w:rsidRPr="00135D00" w:rsidRDefault="00135D00" w:rsidP="00135D00">
      <w:pPr>
        <w:spacing w:after="0" w:line="260" w:lineRule="exact"/>
        <w:jc w:val="both"/>
        <w:rPr>
          <w:rFonts w:ascii="Arial" w:eastAsia="Times New Roman" w:hAnsi="Arial" w:cs="Arial"/>
          <w:sz w:val="20"/>
          <w:szCs w:val="20"/>
        </w:rPr>
      </w:pPr>
    </w:p>
    <w:p w14:paraId="3BDB39D9" w14:textId="77777777" w:rsidR="00135D00" w:rsidRPr="00135D00" w:rsidRDefault="00135D00" w:rsidP="00135D00">
      <w:pPr>
        <w:spacing w:after="0" w:line="260" w:lineRule="exact"/>
        <w:jc w:val="both"/>
        <w:rPr>
          <w:rFonts w:ascii="Arial" w:eastAsia="Times New Roman" w:hAnsi="Arial" w:cs="Arial"/>
          <w:sz w:val="20"/>
          <w:szCs w:val="20"/>
        </w:rPr>
      </w:pPr>
    </w:p>
    <w:p w14:paraId="6447164B" w14:textId="77777777" w:rsidR="00135D00" w:rsidRPr="00135D00" w:rsidRDefault="00135D00" w:rsidP="00135D00">
      <w:pPr>
        <w:spacing w:after="0" w:line="260" w:lineRule="exact"/>
        <w:rPr>
          <w:rFonts w:ascii="Arial" w:eastAsia="Times New Roman" w:hAnsi="Arial" w:cs="Arial"/>
          <w:sz w:val="20"/>
          <w:szCs w:val="20"/>
        </w:rPr>
      </w:pPr>
    </w:p>
    <w:p w14:paraId="162F1AA2" w14:textId="77777777" w:rsidR="00135D00" w:rsidRPr="00135D00" w:rsidRDefault="00135D00" w:rsidP="00135D00">
      <w:pPr>
        <w:spacing w:after="0" w:line="260" w:lineRule="exact"/>
        <w:rPr>
          <w:rFonts w:ascii="Arial" w:eastAsia="Times New Roman" w:hAnsi="Arial" w:cs="Arial"/>
          <w:sz w:val="20"/>
          <w:szCs w:val="20"/>
        </w:rPr>
      </w:pPr>
    </w:p>
    <w:p w14:paraId="281D7518"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b/>
          <w:i/>
          <w:sz w:val="20"/>
          <w:szCs w:val="20"/>
          <w:lang w:eastAsia="sl-SI"/>
        </w:rPr>
        <w:t>Stojan TRAMTE</w:t>
      </w:r>
    </w:p>
    <w:p w14:paraId="0D21F50F"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b/>
          <w:bCs/>
          <w:i/>
          <w:sz w:val="20"/>
          <w:szCs w:val="20"/>
          <w:lang w:eastAsia="sl-SI"/>
        </w:rPr>
        <w:t xml:space="preserve">                                                                                                             GENERALNI SEKRETAR</w:t>
      </w:r>
    </w:p>
    <w:p w14:paraId="6AC30408"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Prejmejo:</w:t>
      </w:r>
    </w:p>
    <w:p w14:paraId="76D6AE84" w14:textId="62FCD672"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Državni zbor Republike Slovenije,</w:t>
      </w:r>
    </w:p>
    <w:p w14:paraId="24F2044D" w14:textId="76249C92"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Ministrstvo za pravosodje,</w:t>
      </w:r>
    </w:p>
    <w:p w14:paraId="739BCBAC" w14:textId="4A7CEF95" w:rsidR="00135D00"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Ministrstvo za finance,</w:t>
      </w:r>
    </w:p>
    <w:p w14:paraId="3AE16D30" w14:textId="0C5FEF7B" w:rsidR="009B05CE" w:rsidRPr="00FB4E1D" w:rsidRDefault="00135D00" w:rsidP="00FB4E1D">
      <w:pPr>
        <w:pStyle w:val="Odstavekseznama"/>
        <w:numPr>
          <w:ilvl w:val="0"/>
          <w:numId w:val="20"/>
        </w:numPr>
        <w:suppressAutoHyphens/>
        <w:overflowPunct w:val="0"/>
        <w:autoSpaceDE w:val="0"/>
        <w:spacing w:line="240" w:lineRule="auto"/>
        <w:jc w:val="both"/>
        <w:textAlignment w:val="baseline"/>
        <w:rPr>
          <w:rFonts w:cs="Arial"/>
          <w:szCs w:val="16"/>
          <w:lang w:eastAsia="ar-SA"/>
        </w:rPr>
      </w:pPr>
      <w:r w:rsidRPr="00FB4E1D">
        <w:rPr>
          <w:rFonts w:cs="Arial"/>
          <w:szCs w:val="16"/>
          <w:lang w:eastAsia="ar-SA"/>
        </w:rPr>
        <w:t>Služba Vlade Republike Slovenije za zakonodajo.</w:t>
      </w:r>
    </w:p>
    <w:p w14:paraId="7AFF5608" w14:textId="77777777" w:rsidR="009B05CE" w:rsidRDefault="009B05CE">
      <w:pPr>
        <w:rPr>
          <w:rFonts w:ascii="Arial" w:eastAsia="Times New Roman" w:hAnsi="Arial" w:cs="Arial"/>
          <w:sz w:val="20"/>
          <w:szCs w:val="20"/>
        </w:rPr>
      </w:pPr>
      <w:r>
        <w:rPr>
          <w:rFonts w:ascii="Arial" w:eastAsia="Times New Roman" w:hAnsi="Arial" w:cs="Arial"/>
          <w:sz w:val="20"/>
          <w:szCs w:val="20"/>
        </w:rPr>
        <w:br w:type="page"/>
      </w:r>
    </w:p>
    <w:p w14:paraId="2BFF4455" w14:textId="77777777" w:rsidR="00135D00" w:rsidRPr="00135D00" w:rsidRDefault="00135D00" w:rsidP="00135D00">
      <w:pPr>
        <w:spacing w:after="0" w:line="260" w:lineRule="exact"/>
        <w:rPr>
          <w:rFonts w:ascii="Arial" w:eastAsia="Times New Roman" w:hAnsi="Arial" w:cs="Arial"/>
          <w:sz w:val="20"/>
          <w:szCs w:val="20"/>
        </w:rPr>
      </w:pPr>
    </w:p>
    <w:p w14:paraId="51EBFABA" w14:textId="77777777" w:rsidR="00135D00" w:rsidRPr="0046256E" w:rsidRDefault="00135D00" w:rsidP="0046256E">
      <w:pPr>
        <w:spacing w:after="0" w:line="260" w:lineRule="exact"/>
        <w:rPr>
          <w:rFonts w:ascii="Arial" w:eastAsia="Times New Roman" w:hAnsi="Arial" w:cs="Arial"/>
          <w:sz w:val="20"/>
          <w:szCs w:val="20"/>
        </w:rPr>
      </w:pPr>
    </w:p>
    <w:p w14:paraId="0B15E999" w14:textId="0542B5C2" w:rsidR="006B3F71" w:rsidRDefault="006B3F71" w:rsidP="000178A7">
      <w:pPr>
        <w:spacing w:after="0" w:line="276" w:lineRule="auto"/>
        <w:jc w:val="center"/>
        <w:rPr>
          <w:rFonts w:ascii="Calibri" w:hAnsi="Calibri" w:cs="Calibri"/>
          <w:b/>
        </w:rPr>
      </w:pPr>
      <w:r w:rsidRPr="008172CD">
        <w:rPr>
          <w:rFonts w:ascii="Calibri" w:hAnsi="Calibri" w:cs="Calibri"/>
          <w:b/>
        </w:rPr>
        <w:t xml:space="preserve">PREDLOG ZAKONA O SPREMEMBAH IN DOPOLNITVAH ZAKONA O </w:t>
      </w:r>
      <w:r w:rsidR="00E55854">
        <w:rPr>
          <w:rFonts w:ascii="Calibri" w:hAnsi="Calibri" w:cs="Calibri"/>
          <w:b/>
        </w:rPr>
        <w:t>INTEGRITETI IN PREPREČEVANJU KORUPCIJE</w:t>
      </w:r>
      <w:r w:rsidRPr="008172CD">
        <w:rPr>
          <w:rFonts w:ascii="Calibri" w:hAnsi="Calibri" w:cs="Calibri"/>
          <w:b/>
        </w:rPr>
        <w:t xml:space="preserve"> </w:t>
      </w:r>
      <w:r w:rsidR="00DA6063" w:rsidRPr="008172CD">
        <w:rPr>
          <w:rFonts w:ascii="Calibri" w:hAnsi="Calibri" w:cs="Calibri"/>
          <w:b/>
        </w:rPr>
        <w:t>(</w:t>
      </w:r>
      <w:r w:rsidR="00E55854">
        <w:rPr>
          <w:rFonts w:ascii="Calibri" w:hAnsi="Calibri" w:cs="Calibri"/>
          <w:b/>
        </w:rPr>
        <w:t>Z</w:t>
      </w:r>
      <w:r w:rsidR="00213669">
        <w:rPr>
          <w:rFonts w:ascii="Calibri" w:hAnsi="Calibri" w:cs="Calibri"/>
          <w:b/>
        </w:rPr>
        <w:t>I</w:t>
      </w:r>
      <w:r w:rsidR="00E55854">
        <w:rPr>
          <w:rFonts w:ascii="Calibri" w:hAnsi="Calibri" w:cs="Calibri"/>
          <w:b/>
        </w:rPr>
        <w:t>ntPK-C</w:t>
      </w:r>
      <w:r w:rsidR="00DA6063" w:rsidRPr="008172CD">
        <w:rPr>
          <w:rFonts w:ascii="Calibri" w:hAnsi="Calibri" w:cs="Calibri"/>
          <w:b/>
        </w:rPr>
        <w:t>; EVA: 201</w:t>
      </w:r>
      <w:r w:rsidR="00E55854">
        <w:rPr>
          <w:rFonts w:ascii="Calibri" w:hAnsi="Calibri" w:cs="Calibri"/>
          <w:b/>
        </w:rPr>
        <w:t>8</w:t>
      </w:r>
      <w:r w:rsidR="00DA6063" w:rsidRPr="008172CD">
        <w:rPr>
          <w:rFonts w:ascii="Calibri" w:hAnsi="Calibri" w:cs="Calibri"/>
          <w:b/>
        </w:rPr>
        <w:t>-2030-00</w:t>
      </w:r>
      <w:r w:rsidR="00E55854">
        <w:rPr>
          <w:rFonts w:ascii="Calibri" w:hAnsi="Calibri" w:cs="Calibri"/>
          <w:b/>
        </w:rPr>
        <w:t>41</w:t>
      </w:r>
      <w:r w:rsidR="00DA6063" w:rsidRPr="008172CD">
        <w:rPr>
          <w:rFonts w:ascii="Calibri" w:hAnsi="Calibri" w:cs="Calibri"/>
          <w:b/>
        </w:rPr>
        <w:t>)</w:t>
      </w:r>
    </w:p>
    <w:p w14:paraId="79B7D843" w14:textId="3BAE9904" w:rsidR="006B3F71" w:rsidRDefault="00A569CE" w:rsidP="000178A7">
      <w:pPr>
        <w:spacing w:after="0" w:line="276" w:lineRule="auto"/>
        <w:jc w:val="center"/>
        <w:rPr>
          <w:rFonts w:ascii="Calibri" w:hAnsi="Calibri" w:cs="Calibri"/>
          <w:b/>
        </w:rPr>
      </w:pPr>
      <w:r>
        <w:rPr>
          <w:rFonts w:ascii="Calibri" w:hAnsi="Calibri" w:cs="Calibri"/>
          <w:b/>
        </w:rPr>
        <w:t>14. 6</w:t>
      </w:r>
      <w:r w:rsidR="0031510C">
        <w:rPr>
          <w:rFonts w:ascii="Calibri" w:hAnsi="Calibri" w:cs="Calibri"/>
          <w:b/>
        </w:rPr>
        <w:t>. 2019</w:t>
      </w:r>
    </w:p>
    <w:p w14:paraId="65D114C0" w14:textId="77777777" w:rsidR="0031510C" w:rsidRPr="0046256E" w:rsidRDefault="0031510C" w:rsidP="0046256E">
      <w:pPr>
        <w:spacing w:after="0" w:line="260" w:lineRule="exact"/>
        <w:rPr>
          <w:rFonts w:ascii="Arial" w:eastAsia="Times New Roman" w:hAnsi="Arial" w:cs="Arial"/>
          <w:sz w:val="20"/>
          <w:szCs w:val="20"/>
        </w:rPr>
      </w:pPr>
    </w:p>
    <w:p w14:paraId="0B133423" w14:textId="77777777" w:rsidR="0081342F" w:rsidRPr="0046256E" w:rsidRDefault="0081342F" w:rsidP="0046256E">
      <w:pPr>
        <w:spacing w:after="0" w:line="260" w:lineRule="exact"/>
        <w:rPr>
          <w:rFonts w:ascii="Arial" w:eastAsia="Times New Roman" w:hAnsi="Arial" w:cs="Arial"/>
          <w:sz w:val="20"/>
          <w:szCs w:val="20"/>
        </w:rPr>
      </w:pPr>
    </w:p>
    <w:p w14:paraId="4D30638A" w14:textId="77777777" w:rsidR="0055047E" w:rsidRPr="0055047E" w:rsidRDefault="0055047E" w:rsidP="0055047E">
      <w:pPr>
        <w:suppressAutoHyphens/>
        <w:overflowPunct w:val="0"/>
        <w:autoSpaceDE w:val="0"/>
        <w:spacing w:after="0" w:line="240" w:lineRule="auto"/>
        <w:jc w:val="both"/>
        <w:textAlignment w:val="baseline"/>
        <w:rPr>
          <w:rFonts w:ascii="Arial" w:eastAsia="Arial Unicode MS" w:hAnsi="Arial" w:cs="Arial"/>
          <w:b/>
          <w:szCs w:val="16"/>
          <w:lang w:eastAsia="ar-SA"/>
        </w:rPr>
      </w:pPr>
      <w:r w:rsidRPr="0055047E">
        <w:rPr>
          <w:rFonts w:ascii="Arial" w:eastAsia="Arial Unicode MS" w:hAnsi="Arial" w:cs="Arial"/>
          <w:b/>
          <w:szCs w:val="16"/>
          <w:lang w:eastAsia="ar-SA"/>
        </w:rPr>
        <w:t>I. UVOD</w:t>
      </w:r>
    </w:p>
    <w:p w14:paraId="546793CD" w14:textId="77777777" w:rsidR="0055047E" w:rsidRPr="005C544E" w:rsidRDefault="0055047E" w:rsidP="0055047E">
      <w:pPr>
        <w:suppressAutoHyphens/>
        <w:overflowPunct w:val="0"/>
        <w:autoSpaceDE w:val="0"/>
        <w:spacing w:after="0" w:line="240" w:lineRule="auto"/>
        <w:jc w:val="both"/>
        <w:textAlignment w:val="baseline"/>
        <w:rPr>
          <w:rFonts w:ascii="Arial" w:eastAsia="Arial Unicode MS" w:hAnsi="Arial" w:cs="Arial"/>
          <w:sz w:val="20"/>
          <w:szCs w:val="20"/>
          <w:lang w:eastAsia="ar-SA"/>
        </w:rPr>
      </w:pPr>
    </w:p>
    <w:p w14:paraId="249E042E" w14:textId="77777777" w:rsidR="0055047E" w:rsidRPr="0055047E" w:rsidRDefault="0055047E" w:rsidP="0055047E">
      <w:pPr>
        <w:spacing w:after="0" w:line="260" w:lineRule="atLeast"/>
        <w:jc w:val="both"/>
        <w:outlineLvl w:val="0"/>
        <w:rPr>
          <w:rFonts w:ascii="Arial" w:eastAsia="Times New Roman" w:hAnsi="Arial" w:cs="Arial"/>
          <w:sz w:val="20"/>
          <w:szCs w:val="16"/>
          <w:lang w:eastAsia="ar-SA"/>
        </w:rPr>
      </w:pPr>
      <w:r w:rsidRPr="0055047E">
        <w:rPr>
          <w:rFonts w:ascii="Arial" w:eastAsia="Times New Roman" w:hAnsi="Arial" w:cs="Arial"/>
          <w:b/>
          <w:sz w:val="20"/>
          <w:szCs w:val="16"/>
          <w:lang w:eastAsia="ar-SA"/>
        </w:rPr>
        <w:t>1. OCENA STANJA IN RAZLOGI ZA SPREJEM PREDLOGA ZAKONA</w:t>
      </w:r>
    </w:p>
    <w:p w14:paraId="5D1310F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7F56D5" w14:textId="28CB3D75" w:rsidR="0055047E" w:rsidRPr="005C544E" w:rsidRDefault="000450F8"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Predlog Zakona o spremembah in dopolnitvah Zakona o integriteti in preprečevanju korupcije </w:t>
      </w:r>
      <w:r w:rsidR="0055047E" w:rsidRPr="005C544E">
        <w:rPr>
          <w:rFonts w:ascii="Arial" w:eastAsia="Times New Roman" w:hAnsi="Arial" w:cs="Arial"/>
          <w:bCs/>
          <w:sz w:val="20"/>
          <w:szCs w:val="20"/>
          <w:lang w:eastAsia="ar-SA"/>
        </w:rPr>
        <w:t>predvide</w:t>
      </w:r>
      <w:r w:rsidRPr="005C544E">
        <w:rPr>
          <w:rFonts w:ascii="Arial" w:eastAsia="Times New Roman" w:hAnsi="Arial" w:cs="Arial"/>
          <w:bCs/>
          <w:sz w:val="20"/>
          <w:szCs w:val="20"/>
          <w:lang w:eastAsia="ar-SA"/>
        </w:rPr>
        <w:t>va</w:t>
      </w:r>
      <w:r w:rsidR="0055047E" w:rsidRPr="005C544E">
        <w:rPr>
          <w:rFonts w:ascii="Arial" w:eastAsia="Times New Roman" w:hAnsi="Arial" w:cs="Arial"/>
          <w:bCs/>
          <w:sz w:val="20"/>
          <w:szCs w:val="20"/>
          <w:lang w:eastAsia="ar-SA"/>
        </w:rPr>
        <w:t xml:space="preserve"> dejavnosti in ukrep</w:t>
      </w:r>
      <w:r w:rsidRPr="005C544E">
        <w:rPr>
          <w:rFonts w:ascii="Arial" w:eastAsia="Times New Roman" w:hAnsi="Arial" w:cs="Arial"/>
          <w:bCs/>
          <w:sz w:val="20"/>
          <w:szCs w:val="20"/>
          <w:lang w:eastAsia="ar-SA"/>
        </w:rPr>
        <w:t>e</w:t>
      </w:r>
      <w:r w:rsidR="0055047E" w:rsidRPr="005C544E">
        <w:rPr>
          <w:rFonts w:ascii="Arial" w:eastAsia="Times New Roman" w:hAnsi="Arial" w:cs="Arial"/>
          <w:bCs/>
          <w:sz w:val="20"/>
          <w:szCs w:val="20"/>
          <w:lang w:eastAsia="ar-SA"/>
        </w:rPr>
        <w:t xml:space="preserve"> na področju zviševanja stopnje integritete in omejevanja korupcijskih tveganj, s kater</w:t>
      </w:r>
      <w:r w:rsidR="004D1581" w:rsidRPr="005C544E">
        <w:rPr>
          <w:rFonts w:ascii="Arial" w:eastAsia="Times New Roman" w:hAnsi="Arial" w:cs="Arial"/>
          <w:bCs/>
          <w:sz w:val="20"/>
          <w:szCs w:val="20"/>
          <w:lang w:eastAsia="ar-SA"/>
        </w:rPr>
        <w:t>imi</w:t>
      </w:r>
      <w:r w:rsidR="0055047E" w:rsidRPr="005C544E">
        <w:rPr>
          <w:rFonts w:ascii="Arial" w:eastAsia="Times New Roman" w:hAnsi="Arial" w:cs="Arial"/>
          <w:bCs/>
          <w:sz w:val="20"/>
          <w:szCs w:val="20"/>
          <w:lang w:eastAsia="ar-SA"/>
        </w:rPr>
        <w:t xml:space="preserve"> se v širšem okviru, z učinkovitim delovanjem javnih institucij in strokovnega ter odgovornega dela javnih uslužbencev in funkcionarjev, </w:t>
      </w:r>
      <w:r w:rsidRPr="005C544E">
        <w:rPr>
          <w:rFonts w:ascii="Arial" w:eastAsia="Times New Roman" w:hAnsi="Arial" w:cs="Arial"/>
          <w:bCs/>
          <w:sz w:val="20"/>
          <w:szCs w:val="20"/>
          <w:lang w:eastAsia="ar-SA"/>
        </w:rPr>
        <w:t xml:space="preserve">zvišuje </w:t>
      </w:r>
      <w:r w:rsidR="0055047E" w:rsidRPr="005C544E">
        <w:rPr>
          <w:rFonts w:ascii="Arial" w:eastAsia="Times New Roman" w:hAnsi="Arial" w:cs="Arial"/>
          <w:bCs/>
          <w:sz w:val="20"/>
          <w:szCs w:val="20"/>
          <w:lang w:eastAsia="ar-SA"/>
        </w:rPr>
        <w:t>strokovn</w:t>
      </w:r>
      <w:r w:rsidRPr="005C544E">
        <w:rPr>
          <w:rFonts w:ascii="Arial" w:eastAsia="Times New Roman" w:hAnsi="Arial" w:cs="Arial"/>
          <w:bCs/>
          <w:sz w:val="20"/>
          <w:szCs w:val="20"/>
          <w:lang w:eastAsia="ar-SA"/>
        </w:rPr>
        <w:t>ost</w:t>
      </w:r>
      <w:r w:rsidR="0055047E" w:rsidRPr="005C544E">
        <w:rPr>
          <w:rFonts w:ascii="Arial" w:eastAsia="Times New Roman" w:hAnsi="Arial" w:cs="Arial"/>
          <w:bCs/>
          <w:sz w:val="20"/>
          <w:szCs w:val="20"/>
          <w:lang w:eastAsia="ar-SA"/>
        </w:rPr>
        <w:t xml:space="preserve"> in učinkovit</w:t>
      </w:r>
      <w:r w:rsidRPr="005C544E">
        <w:rPr>
          <w:rFonts w:ascii="Arial" w:eastAsia="Times New Roman" w:hAnsi="Arial" w:cs="Arial"/>
          <w:bCs/>
          <w:sz w:val="20"/>
          <w:szCs w:val="20"/>
          <w:lang w:eastAsia="ar-SA"/>
        </w:rPr>
        <w:t>ost</w:t>
      </w:r>
      <w:r w:rsidR="0055047E" w:rsidRPr="005C544E">
        <w:rPr>
          <w:rFonts w:ascii="Arial" w:eastAsia="Times New Roman" w:hAnsi="Arial" w:cs="Arial"/>
          <w:bCs/>
          <w:sz w:val="20"/>
          <w:szCs w:val="20"/>
          <w:lang w:eastAsia="ar-SA"/>
        </w:rPr>
        <w:t xml:space="preserve"> javn</w:t>
      </w:r>
      <w:r w:rsidRPr="005C544E">
        <w:rPr>
          <w:rFonts w:ascii="Arial" w:eastAsia="Times New Roman" w:hAnsi="Arial" w:cs="Arial"/>
          <w:bCs/>
          <w:sz w:val="20"/>
          <w:szCs w:val="20"/>
          <w:lang w:eastAsia="ar-SA"/>
        </w:rPr>
        <w:t>e</w:t>
      </w:r>
      <w:r w:rsidR="0055047E" w:rsidRPr="005C544E">
        <w:rPr>
          <w:rFonts w:ascii="Arial" w:eastAsia="Times New Roman" w:hAnsi="Arial" w:cs="Arial"/>
          <w:bCs/>
          <w:sz w:val="20"/>
          <w:szCs w:val="20"/>
          <w:lang w:eastAsia="ar-SA"/>
        </w:rPr>
        <w:t xml:space="preserve"> uprav</w:t>
      </w:r>
      <w:r w:rsidRPr="005C544E">
        <w:rPr>
          <w:rFonts w:ascii="Arial" w:eastAsia="Times New Roman" w:hAnsi="Arial" w:cs="Arial"/>
          <w:bCs/>
          <w:sz w:val="20"/>
          <w:szCs w:val="20"/>
          <w:lang w:eastAsia="ar-SA"/>
        </w:rPr>
        <w:t>e</w:t>
      </w:r>
      <w:r w:rsidR="0055047E" w:rsidRPr="005C544E">
        <w:rPr>
          <w:rFonts w:ascii="Arial" w:eastAsia="Times New Roman" w:hAnsi="Arial" w:cs="Arial"/>
          <w:bCs/>
          <w:sz w:val="20"/>
          <w:szCs w:val="20"/>
          <w:lang w:eastAsia="ar-SA"/>
        </w:rPr>
        <w:t xml:space="preserve"> s sistematičnim in temeljitim obvladovanjem korupcijskih tveganj ter doslednim sankcioniranjem morebitnih kršitev. To b</w:t>
      </w:r>
      <w:r w:rsidRPr="005C544E">
        <w:rPr>
          <w:rFonts w:ascii="Arial" w:eastAsia="Times New Roman" w:hAnsi="Arial" w:cs="Arial"/>
          <w:bCs/>
          <w:sz w:val="20"/>
          <w:szCs w:val="20"/>
          <w:lang w:eastAsia="ar-SA"/>
        </w:rPr>
        <w:t>o</w:t>
      </w:r>
      <w:r w:rsidR="0055047E" w:rsidRPr="005C544E">
        <w:rPr>
          <w:rFonts w:ascii="Arial" w:eastAsia="Times New Roman" w:hAnsi="Arial" w:cs="Arial"/>
          <w:bCs/>
          <w:sz w:val="20"/>
          <w:szCs w:val="20"/>
          <w:lang w:eastAsia="ar-SA"/>
        </w:rPr>
        <w:t xml:space="preserve"> pomembno prispevalo k stalnemu in preglednemu izvajanju javnih nalog in k povečanju zaupanja državljanov v pravno državo.</w:t>
      </w:r>
      <w:r w:rsidR="0055047E" w:rsidRPr="005C544E">
        <w:rPr>
          <w:rFonts w:ascii="Arial" w:eastAsia="Times New Roman" w:hAnsi="Arial" w:cs="Arial"/>
          <w:bCs/>
          <w:sz w:val="20"/>
          <w:szCs w:val="20"/>
          <w:vertAlign w:val="superscript"/>
          <w:lang w:eastAsia="ar-SA"/>
        </w:rPr>
        <w:footnoteReference w:id="1"/>
      </w:r>
      <w:r w:rsidR="0055047E" w:rsidRPr="005C544E">
        <w:rPr>
          <w:rFonts w:ascii="Arial" w:eastAsia="Times New Roman" w:hAnsi="Arial" w:cs="Arial"/>
          <w:bCs/>
          <w:sz w:val="20"/>
          <w:szCs w:val="20"/>
          <w:lang w:eastAsia="ar-SA"/>
        </w:rPr>
        <w:t xml:space="preserve"> Dolžnost preprečevanja korupcije namreč izhaja iz splošnega načela zakonitosti delovanja državnih organov in njihovih funkcionarjev kot enega izmed načel pravne države.</w:t>
      </w:r>
      <w:r w:rsidR="0055047E" w:rsidRPr="005C544E">
        <w:rPr>
          <w:rFonts w:ascii="Arial" w:eastAsia="Times New Roman" w:hAnsi="Arial" w:cs="Arial"/>
          <w:bCs/>
          <w:sz w:val="20"/>
          <w:szCs w:val="20"/>
          <w:vertAlign w:val="superscript"/>
          <w:lang w:eastAsia="ar-SA"/>
        </w:rPr>
        <w:footnoteReference w:id="2"/>
      </w:r>
      <w:r w:rsidR="0055047E" w:rsidRPr="005C544E">
        <w:rPr>
          <w:rFonts w:ascii="Arial" w:eastAsia="Times New Roman" w:hAnsi="Arial" w:cs="Arial"/>
          <w:bCs/>
          <w:sz w:val="20"/>
          <w:szCs w:val="20"/>
          <w:lang w:eastAsia="ar-SA"/>
        </w:rPr>
        <w:t xml:space="preserve"> Odgovornost za vladavino prava pa se prične v politiki in administraciji.</w:t>
      </w:r>
      <w:r w:rsidR="0055047E" w:rsidRPr="005C544E">
        <w:rPr>
          <w:rFonts w:ascii="Arial" w:eastAsia="Times New Roman" w:hAnsi="Arial" w:cs="Arial"/>
          <w:bCs/>
          <w:sz w:val="20"/>
          <w:szCs w:val="20"/>
          <w:vertAlign w:val="superscript"/>
          <w:lang w:eastAsia="ar-SA"/>
        </w:rPr>
        <w:footnoteReference w:id="3"/>
      </w:r>
      <w:r w:rsidR="0055047E" w:rsidRPr="005C544E">
        <w:rPr>
          <w:rFonts w:ascii="Arial" w:eastAsia="Times New Roman" w:hAnsi="Arial" w:cs="Arial"/>
          <w:bCs/>
          <w:sz w:val="20"/>
          <w:szCs w:val="20"/>
          <w:lang w:eastAsia="ar-SA"/>
        </w:rPr>
        <w:t xml:space="preserve"> Zato je naloga politike, da oblikuje in izboljšuje protikorupcijski pravni okvir, ustvarja druge pogoje in okoliščine s katerimi KPK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13330791"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27B60584"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sz w:val="20"/>
          <w:szCs w:val="20"/>
          <w:lang w:eastAsia="ar-SA"/>
        </w:rPr>
        <w:t xml:space="preserve">Kljub temu, da </w:t>
      </w:r>
      <w:r w:rsidRPr="005C544E">
        <w:rPr>
          <w:rFonts w:ascii="Arial" w:eastAsia="Times New Roman" w:hAnsi="Arial" w:cs="Arial"/>
          <w:bCs/>
          <w:sz w:val="20"/>
          <w:szCs w:val="20"/>
          <w:lang w:eastAsia="ar-SA"/>
        </w:rPr>
        <w:t>Evropska komisija v Protikorupcijskem poročilu EU 2014 (poročilo EU) sicer ugotavlja, da je Slovenija med državami srednje in vzhodne Evrope, ki so najdejavnejše v boju proti korupciji, saj ima dobro razvit pravni in institucionalni protikorupcijski okvir, pa Evropska komisija Sloveniji predlaga uvedbo odvračalnih sankcij za izvoljene in imenovane funkcionarje na državni in lokalni ravni, če kršijo zahteve o prijavi premoženjskega stanja in nasprotju interesov, sprejetje dodatnih ukrepov za okrepitev standardov odgovornosti izvoljenih funkcionarjev,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»Erar«, tako da bo zajemala tudi transakcije in pogodbe podjetij v državni lasti ali pod državnim nadzorom in podjetij, v katerih ima država znatne deleže, zagotavljanje učinkovitega izvajanja zakonodaje o lobiranju, za katero Transparency International v svojem poročilu o nacionalnih sistemih integritete v Evropi poudarja, da je obetavna najboljša praksa za povečanje preglednosti,</w:t>
      </w:r>
      <w:r w:rsidRPr="005C544E">
        <w:rPr>
          <w:rFonts w:ascii="Arial" w:eastAsia="Times New Roman" w:hAnsi="Arial" w:cs="Arial"/>
          <w:bCs/>
          <w:sz w:val="20"/>
          <w:szCs w:val="20"/>
          <w:vertAlign w:val="superscript"/>
          <w:lang w:eastAsia="ar-SA"/>
        </w:rPr>
        <w:footnoteReference w:id="4"/>
      </w:r>
      <w:r w:rsidRPr="005C544E">
        <w:rPr>
          <w:rFonts w:ascii="Arial" w:eastAsia="Times New Roman" w:hAnsi="Arial" w:cs="Arial"/>
          <w:bCs/>
          <w:sz w:val="20"/>
          <w:szCs w:val="20"/>
          <w:lang w:eastAsia="ar-SA"/>
        </w:rPr>
        <w:t xml:space="preserve"> zagotovitev ohranitve neodvisnosti KPK ter dodatno povečanje njenih pristojnosti in zmogljivosti.</w:t>
      </w:r>
    </w:p>
    <w:p w14:paraId="0CFE6981"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7223775" w14:textId="67AB9D54"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Zaskrbljenost nad zaščito politične neodvisnosti delovanja KPK je v pismu predsedniku Vlade </w:t>
      </w:r>
      <w:r w:rsidR="004738E1" w:rsidRPr="005C544E">
        <w:rPr>
          <w:rFonts w:ascii="Arial" w:eastAsia="Times New Roman" w:hAnsi="Arial" w:cs="Arial"/>
          <w:bCs/>
          <w:sz w:val="20"/>
          <w:szCs w:val="20"/>
          <w:lang w:eastAsia="ar-SA"/>
        </w:rPr>
        <w:t xml:space="preserve">Republike Slovenije </w:t>
      </w:r>
      <w:r w:rsidRPr="005C544E">
        <w:rPr>
          <w:rFonts w:ascii="Arial" w:eastAsia="Times New Roman" w:hAnsi="Arial" w:cs="Arial"/>
          <w:bCs/>
          <w:sz w:val="20"/>
          <w:szCs w:val="20"/>
          <w:lang w:eastAsia="ar-SA"/>
        </w:rPr>
        <w:t xml:space="preserve">in </w:t>
      </w:r>
      <w:r w:rsidR="004738E1" w:rsidRPr="005C544E">
        <w:rPr>
          <w:rFonts w:ascii="Arial" w:eastAsia="Times New Roman" w:hAnsi="Arial" w:cs="Arial"/>
          <w:bCs/>
          <w:sz w:val="20"/>
          <w:szCs w:val="20"/>
          <w:lang w:eastAsia="ar-SA"/>
        </w:rPr>
        <w:t>P</w:t>
      </w:r>
      <w:r w:rsidRPr="005C544E">
        <w:rPr>
          <w:rFonts w:ascii="Arial" w:eastAsia="Times New Roman" w:hAnsi="Arial" w:cs="Arial"/>
          <w:bCs/>
          <w:sz w:val="20"/>
          <w:szCs w:val="20"/>
          <w:lang w:eastAsia="ar-SA"/>
        </w:rPr>
        <w:t xml:space="preserve">redsedniku </w:t>
      </w:r>
      <w:r w:rsidR="004738E1" w:rsidRPr="005C544E">
        <w:rPr>
          <w:rFonts w:ascii="Arial" w:eastAsia="Times New Roman" w:hAnsi="Arial" w:cs="Arial"/>
          <w:bCs/>
          <w:sz w:val="20"/>
          <w:szCs w:val="20"/>
          <w:lang w:eastAsia="ar-SA"/>
        </w:rPr>
        <w:t>R</w:t>
      </w:r>
      <w:r w:rsidRPr="005C544E">
        <w:rPr>
          <w:rFonts w:ascii="Arial" w:eastAsia="Times New Roman" w:hAnsi="Arial" w:cs="Arial"/>
          <w:bCs/>
          <w:sz w:val="20"/>
          <w:szCs w:val="20"/>
          <w:lang w:eastAsia="ar-SA"/>
        </w:rPr>
        <w:t xml:space="preserve">epublike </w:t>
      </w:r>
      <w:r w:rsidR="004738E1" w:rsidRPr="005C544E">
        <w:rPr>
          <w:rFonts w:ascii="Arial" w:eastAsia="Times New Roman" w:hAnsi="Arial" w:cs="Arial"/>
          <w:bCs/>
          <w:sz w:val="20"/>
          <w:szCs w:val="20"/>
          <w:lang w:eastAsia="ar-SA"/>
        </w:rPr>
        <w:t xml:space="preserve">Slovenije </w:t>
      </w:r>
      <w:r w:rsidRPr="005C544E">
        <w:rPr>
          <w:rFonts w:ascii="Arial" w:eastAsia="Times New Roman" w:hAnsi="Arial" w:cs="Arial"/>
          <w:bCs/>
          <w:sz w:val="20"/>
          <w:szCs w:val="20"/>
          <w:lang w:eastAsia="ar-SA"/>
        </w:rPr>
        <w:t>v letu 2016 izrazila tudi Delovna skupina OECD proti podkupovanju v mednarodnem poslovanju (OECD-WGB). Delovna skupina izraža zaskrbljenost nad delovanjem in položajem KPK, predvsem v smislu njene učinkovitosti, neodvisnosti in ustreznih pogojev dela, pa tudi nad stanjem na področju spreminjanja zakonodaje s področja preprečevanj</w:t>
      </w:r>
      <w:r w:rsidR="002A11C6" w:rsidRPr="005C544E">
        <w:rPr>
          <w:rFonts w:ascii="Arial" w:eastAsia="Times New Roman" w:hAnsi="Arial" w:cs="Arial"/>
          <w:bCs/>
          <w:sz w:val="20"/>
          <w:szCs w:val="20"/>
          <w:lang w:eastAsia="ar-SA"/>
        </w:rPr>
        <w:t>a</w:t>
      </w:r>
      <w:r w:rsidRPr="005C544E">
        <w:rPr>
          <w:rFonts w:ascii="Arial" w:eastAsia="Times New Roman" w:hAnsi="Arial" w:cs="Arial"/>
          <w:bCs/>
          <w:sz w:val="20"/>
          <w:szCs w:val="20"/>
          <w:lang w:eastAsia="ar-SA"/>
        </w:rPr>
        <w:t xml:space="preserve"> in pregona koruptivnih dejanj. Na slednje je opozarjala že sama KPK v svojih letnih poročili. Tako je v letnem poročilu 2012 navedla, da je dejstvo, da se pomembni instrumenti obeh zakonov tako prejšnjega Zakona o preprečevanju korupcije</w:t>
      </w:r>
      <w:r w:rsidRPr="005C544E">
        <w:rPr>
          <w:rFonts w:ascii="Arial" w:eastAsia="Times New Roman" w:hAnsi="Arial" w:cs="Arial"/>
          <w:bCs/>
          <w:sz w:val="20"/>
          <w:szCs w:val="20"/>
          <w:vertAlign w:val="superscript"/>
          <w:lang w:eastAsia="ar-SA"/>
        </w:rPr>
        <w:footnoteReference w:id="5"/>
      </w:r>
      <w:r w:rsidRPr="005C544E">
        <w:rPr>
          <w:rFonts w:ascii="Arial" w:eastAsia="Times New Roman" w:hAnsi="Arial" w:cs="Arial"/>
          <w:bCs/>
          <w:sz w:val="20"/>
          <w:szCs w:val="20"/>
          <w:lang w:eastAsia="ar-SA"/>
        </w:rPr>
        <w:t xml:space="preserve"> in veljavnega Zakona o integriteti in preprečevanju korupcije,</w:t>
      </w:r>
      <w:r w:rsidRPr="005C544E">
        <w:rPr>
          <w:rFonts w:ascii="Arial" w:eastAsia="Times New Roman" w:hAnsi="Arial" w:cs="Arial"/>
          <w:bCs/>
          <w:sz w:val="20"/>
          <w:szCs w:val="20"/>
          <w:vertAlign w:val="superscript"/>
          <w:lang w:eastAsia="ar-SA"/>
        </w:rPr>
        <w:footnoteReference w:id="6"/>
      </w:r>
      <w:r w:rsidRPr="005C544E">
        <w:rPr>
          <w:rFonts w:ascii="Arial" w:eastAsia="Times New Roman" w:hAnsi="Arial" w:cs="Arial"/>
          <w:bCs/>
          <w:sz w:val="20"/>
          <w:szCs w:val="20"/>
          <w:lang w:eastAsia="ar-SA"/>
        </w:rPr>
        <w:t xml:space="preserve"> kot so nadzor nad premoženjskim stanjem, nasprotje interesov, omejitve poslovanja, načrti integritete in drugo v praksi vrsto let – tudi zaradi kadrovske in finančne podhranjenosti ter drugačnih prioritet </w:t>
      </w:r>
      <w:r w:rsidR="003F4EA2"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 xml:space="preserve">– niso učinkovito uveljavljali, rezultat česar je, da na nekaterih ključnih področjih, kot je na primer nadzor nad premoženjskim stanjem funkcionarjev in nad nasprotjem interesov, </w:t>
      </w:r>
      <w:r w:rsidR="004738E1" w:rsidRPr="005C544E">
        <w:rPr>
          <w:rFonts w:ascii="Arial" w:eastAsia="Times New Roman" w:hAnsi="Arial" w:cs="Arial"/>
          <w:bCs/>
          <w:sz w:val="20"/>
          <w:szCs w:val="20"/>
          <w:lang w:eastAsia="ar-SA"/>
        </w:rPr>
        <w:t xml:space="preserve">Republika Slovenija </w:t>
      </w:r>
      <w:r w:rsidRPr="005C544E">
        <w:rPr>
          <w:rFonts w:ascii="Arial" w:eastAsia="Times New Roman" w:hAnsi="Arial" w:cs="Arial"/>
          <w:bCs/>
          <w:sz w:val="20"/>
          <w:szCs w:val="20"/>
          <w:lang w:eastAsia="ar-SA"/>
        </w:rPr>
        <w:t xml:space="preserve">nima ustreznega zakonskega okvira. KPK je tako že v poročilu za leto 2012 predlagala nekatere ključne elemente nujnih sprememb protikorupcijske zakonodaje,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w:t>
      </w:r>
      <w:r w:rsidR="003F4EA2"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 xml:space="preserve">z jasno opredeljenimi pravnimi sredstvi zoper različne odločitve </w:t>
      </w:r>
      <w:r w:rsidR="003F4EA2" w:rsidRPr="005C544E">
        <w:rPr>
          <w:rFonts w:ascii="Arial" w:eastAsia="Times New Roman" w:hAnsi="Arial" w:cs="Arial"/>
          <w:bCs/>
          <w:sz w:val="20"/>
          <w:szCs w:val="20"/>
          <w:lang w:eastAsia="ar-SA"/>
        </w:rPr>
        <w:t>KPK</w:t>
      </w:r>
      <w:r w:rsidRPr="005C544E">
        <w:rPr>
          <w:rFonts w:ascii="Arial" w:eastAsia="Times New Roman" w:hAnsi="Arial" w:cs="Arial"/>
          <w:bCs/>
          <w:sz w:val="20"/>
          <w:szCs w:val="20"/>
          <w:lang w:eastAsia="ar-SA"/>
        </w:rPr>
        <w:t>, vzpostavitev pravne podlage za nadaljnjo informatizacijo nekaterih področij, ki predstavljajo t. i. »protikorupcijsko birokracijo«.</w:t>
      </w:r>
    </w:p>
    <w:p w14:paraId="16B642D2"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92E386B" w14:textId="75EA265D"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Razprava o potrebi po spremembi ZIntPK pa se je intenzivno začela z odstopom in javnim pismom bivšega senata KPK</w:t>
      </w:r>
      <w:r w:rsidRPr="005C544E">
        <w:rPr>
          <w:rFonts w:ascii="Arial" w:eastAsia="Times New Roman" w:hAnsi="Arial" w:cs="Arial"/>
          <w:bCs/>
          <w:sz w:val="20"/>
          <w:szCs w:val="20"/>
          <w:vertAlign w:val="superscript"/>
          <w:lang w:eastAsia="ar-SA"/>
        </w:rPr>
        <w:footnoteReference w:id="7"/>
      </w:r>
      <w:r w:rsidRPr="005C544E">
        <w:rPr>
          <w:rFonts w:ascii="Arial" w:eastAsia="Times New Roman" w:hAnsi="Arial" w:cs="Arial"/>
          <w:bCs/>
          <w:sz w:val="20"/>
          <w:szCs w:val="20"/>
          <w:lang w:eastAsia="ar-SA"/>
        </w:rPr>
        <w:t xml:space="preserve"> konec leta 2013. S pripoznavo KPK kot pomembnega deležnika pri pripravi načrta ukrepov na tem področju, je Vlada RS za soočenje z aktualnimi korupcijskimi problemi Slovenije sprejela večino predlogov vodstva KPK, ki jih je javno objavil</w:t>
      </w:r>
      <w:r w:rsidR="004D1581" w:rsidRPr="005C544E">
        <w:rPr>
          <w:rFonts w:ascii="Arial" w:eastAsia="Times New Roman" w:hAnsi="Arial" w:cs="Arial"/>
          <w:bCs/>
          <w:sz w:val="20"/>
          <w:szCs w:val="20"/>
          <w:lang w:eastAsia="ar-SA"/>
        </w:rPr>
        <w:t>a</w:t>
      </w:r>
      <w:r w:rsidRPr="005C544E">
        <w:rPr>
          <w:rFonts w:ascii="Arial" w:eastAsia="Times New Roman" w:hAnsi="Arial" w:cs="Arial"/>
          <w:bCs/>
          <w:sz w:val="20"/>
          <w:szCs w:val="20"/>
          <w:lang w:eastAsia="ar-SA"/>
        </w:rPr>
        <w:t xml:space="preserve"> 13.</w:t>
      </w:r>
      <w:r w:rsidR="004D1581" w:rsidRPr="005C544E">
        <w:rPr>
          <w:rFonts w:ascii="Arial" w:eastAsia="Times New Roman" w:hAnsi="Arial" w:cs="Arial"/>
          <w:bCs/>
          <w:sz w:val="20"/>
          <w:szCs w:val="20"/>
          <w:lang w:eastAsia="ar-SA"/>
        </w:rPr>
        <w:t> </w:t>
      </w:r>
      <w:r w:rsidRPr="005C544E">
        <w:rPr>
          <w:rFonts w:ascii="Arial" w:eastAsia="Times New Roman" w:hAnsi="Arial" w:cs="Arial"/>
          <w:bCs/>
          <w:sz w:val="20"/>
          <w:szCs w:val="20"/>
          <w:lang w:eastAsia="ar-SA"/>
        </w:rPr>
        <w:t>12.</w:t>
      </w:r>
      <w:r w:rsidR="004D1581" w:rsidRPr="005C544E">
        <w:rPr>
          <w:rFonts w:ascii="Arial" w:eastAsia="Times New Roman" w:hAnsi="Arial" w:cs="Arial"/>
          <w:bCs/>
          <w:sz w:val="20"/>
          <w:szCs w:val="20"/>
          <w:lang w:eastAsia="ar-SA"/>
        </w:rPr>
        <w:t> </w:t>
      </w:r>
      <w:r w:rsidRPr="005C544E">
        <w:rPr>
          <w:rFonts w:ascii="Arial" w:eastAsia="Times New Roman" w:hAnsi="Arial" w:cs="Arial"/>
          <w:bCs/>
          <w:sz w:val="20"/>
          <w:szCs w:val="20"/>
          <w:lang w:eastAsia="ar-SA"/>
        </w:rPr>
        <w:t>2013 in jih povzela v Program ukrepov Vlade RS za preprečevanje korupcije (prvič sprejet 2014).</w:t>
      </w:r>
      <w:r w:rsidRPr="005C544E">
        <w:rPr>
          <w:rFonts w:ascii="Arial" w:eastAsia="Times New Roman" w:hAnsi="Arial" w:cs="Arial"/>
          <w:bCs/>
          <w:sz w:val="20"/>
          <w:szCs w:val="20"/>
          <w:vertAlign w:val="superscript"/>
          <w:lang w:eastAsia="ar-SA"/>
        </w:rPr>
        <w:footnoteReference w:id="8"/>
      </w:r>
      <w:r w:rsidRPr="005C544E">
        <w:rPr>
          <w:rFonts w:ascii="Arial" w:eastAsia="Times New Roman" w:hAnsi="Arial" w:cs="Arial"/>
          <w:bCs/>
          <w:sz w:val="20"/>
          <w:szCs w:val="20"/>
          <w:lang w:eastAsia="ar-SA"/>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in v prenovljenem programu ukrepov v dokumentu »Progam Vlade RS za krepitev integritete in transparentnosti 2017-2019« je nadaljevala prejšnja </w:t>
      </w:r>
      <w:r w:rsidR="004D1581" w:rsidRPr="005C544E">
        <w:rPr>
          <w:rFonts w:ascii="Arial" w:eastAsia="Times New Roman" w:hAnsi="Arial" w:cs="Arial"/>
          <w:bCs/>
          <w:sz w:val="20"/>
          <w:szCs w:val="20"/>
          <w:lang w:eastAsia="ar-SA"/>
        </w:rPr>
        <w:t>Vlada RS</w:t>
      </w:r>
      <w:r w:rsidRPr="005C544E">
        <w:rPr>
          <w:rFonts w:ascii="Arial" w:eastAsia="Times New Roman" w:hAnsi="Arial" w:cs="Arial"/>
          <w:bCs/>
          <w:sz w:val="20"/>
          <w:szCs w:val="20"/>
          <w:vertAlign w:val="superscript"/>
          <w:lang w:eastAsia="ar-SA"/>
        </w:rPr>
        <w:footnoteReference w:id="9"/>
      </w:r>
      <w:r w:rsidRPr="005C544E">
        <w:rPr>
          <w:rFonts w:ascii="Arial" w:eastAsia="Times New Roman" w:hAnsi="Arial" w:cs="Arial"/>
          <w:bCs/>
          <w:sz w:val="20"/>
          <w:szCs w:val="20"/>
          <w:lang w:eastAsia="ar-SA"/>
        </w:rPr>
        <w:t>, v tem mandatu pa je bilo pripravljeno že drugo poročilo o izvajanju programa</w:t>
      </w:r>
      <w:r w:rsidRPr="005C544E">
        <w:rPr>
          <w:rFonts w:ascii="Arial" w:eastAsia="Times New Roman" w:hAnsi="Arial" w:cs="Arial"/>
          <w:bCs/>
          <w:sz w:val="20"/>
          <w:szCs w:val="20"/>
          <w:vertAlign w:val="superscript"/>
          <w:lang w:eastAsia="ar-SA"/>
        </w:rPr>
        <w:footnoteReference w:id="10"/>
      </w:r>
      <w:r w:rsidRPr="005C544E">
        <w:rPr>
          <w:rFonts w:ascii="Arial" w:eastAsia="Times New Roman" w:hAnsi="Arial" w:cs="Arial"/>
          <w:bCs/>
          <w:sz w:val="20"/>
          <w:szCs w:val="20"/>
          <w:lang w:eastAsia="ar-SA"/>
        </w:rPr>
        <w:t>.</w:t>
      </w:r>
    </w:p>
    <w:p w14:paraId="2D3761AD"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40AAE68A" w14:textId="32CEC57B"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Slovenija je že leta 2004 sprejela posebne pravne akte za preprečevanje korupcije. Najprej je bil sprejet Zakon o preprečevanju korupcije, nato državna protikorupcijska strategija</w:t>
      </w:r>
      <w:r w:rsidRPr="005C544E">
        <w:rPr>
          <w:rFonts w:ascii="Arial" w:eastAsia="Times New Roman" w:hAnsi="Arial" w:cs="Arial"/>
          <w:bCs/>
          <w:sz w:val="20"/>
          <w:szCs w:val="20"/>
          <w:vertAlign w:val="superscript"/>
          <w:lang w:eastAsia="ar-SA"/>
        </w:rPr>
        <w:footnoteReference w:id="11"/>
      </w:r>
      <w:r w:rsidRPr="005C544E">
        <w:rPr>
          <w:rFonts w:ascii="Arial" w:eastAsia="Times New Roman" w:hAnsi="Arial" w:cs="Arial"/>
          <w:bCs/>
          <w:sz w:val="20"/>
          <w:szCs w:val="20"/>
          <w:lang w:eastAsia="ar-SA"/>
        </w:rPr>
        <w:t xml:space="preserve"> in Poslovnik o delu KPK. Veljavni ZIntPK, ki je bil uveljavljen v 2010 in dvakrat noveliran v 2011, je uvedel več sprememb in dopolnitev. Uvedel je rešitve, ki presegajo klasično pojmovanje preprečevanja korupcije in drugih družbeno nevarnih pojavov. Z ustanovitvijo in pristojnostmi prenovljene </w:t>
      </w:r>
      <w:r w:rsidR="003F4EA2"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 ZIntPK je med drugim določil sodelovanje KPK z nevladnimi organizacijami s področja preprečevanja korupcije, razširil krog zavezancev za poročanje o premoženjskem stanju, na novo uredil zaščito prijaviteljev korupcije, določil pogoje in nadzor lobiranja, opredelil omejevanje in odpravljanje nasprotij interesov, določil preglednost prejemanja daril, opredelil izdelavo in uresničevanje načrtov integritete, 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75B1AEA" w14:textId="77777777" w:rsidR="0055047E" w:rsidRPr="005C544E" w:rsidRDefault="0055047E" w:rsidP="0055047E">
      <w:pPr>
        <w:suppressAutoHyphens/>
        <w:overflowPunct w:val="0"/>
        <w:autoSpaceDE w:val="0"/>
        <w:spacing w:after="0" w:line="240" w:lineRule="atLeast"/>
        <w:jc w:val="both"/>
        <w:textAlignment w:val="baseline"/>
        <w:rPr>
          <w:rFonts w:ascii="Arial" w:eastAsia="Times New Roman" w:hAnsi="Arial" w:cs="Arial"/>
          <w:kern w:val="3"/>
          <w:position w:val="12"/>
          <w:sz w:val="20"/>
          <w:szCs w:val="20"/>
          <w:lang w:eastAsia="sl-SI"/>
        </w:rPr>
      </w:pPr>
    </w:p>
    <w:p w14:paraId="7D247A97"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Predlagana novela ZIntPK spreminja in dopolnjuje le tiste določbe ZIntPK, ki v določenem segmentu še povečujejo učinkovitost KPK, ohranja pa njeno vlogo neodvisnega in samostojnega državnega organa. Na potrebo po spremembi ZIntPK je kot že navedeno opozorila KPK, ko je v javnem pismu z dne 3. 12. 2013 izpostavila, da so spremembe ZIntPK nujne, in kasneje na predlog predsednika republike tudi pripravila in utemeljila svoj predlog novele ZIntPK. Izhodiščno težišče razprave v smeri povečanja učinkovitosti delovanja KPK se je od takrat postopoma in subtilno začelo preusmerjati. V luči nekaterih odmevnejših zadev, v katerih se je orala ledina in preizkušale meje pristojnosti KPK, so se tudi določeni deli strokovne javnosti usmerili v problematiziranje sedanje ureditve t. i. ne-upravnih "</w:t>
      </w:r>
      <w:r w:rsidRPr="00BA5D9F">
        <w:rPr>
          <w:rFonts w:ascii="Arial" w:eastAsia="Times New Roman" w:hAnsi="Arial" w:cs="Arial"/>
          <w:bCs/>
          <w:i/>
          <w:sz w:val="20"/>
          <w:szCs w:val="20"/>
          <w:lang w:eastAsia="ar-SA"/>
        </w:rPr>
        <w:t>sui generis</w:t>
      </w:r>
      <w:r w:rsidRPr="005C544E">
        <w:rPr>
          <w:rFonts w:ascii="Arial" w:eastAsia="Times New Roman" w:hAnsi="Arial" w:cs="Arial"/>
          <w:bCs/>
          <w:sz w:val="20"/>
          <w:szCs w:val="20"/>
          <w:lang w:eastAsia="ar-SA"/>
        </w:rPr>
        <w:t>" oziroma "</w:t>
      </w:r>
      <w:r w:rsidRPr="00BA5D9F">
        <w:rPr>
          <w:rFonts w:ascii="Arial" w:eastAsia="Times New Roman" w:hAnsi="Arial" w:cs="Arial"/>
          <w:bCs/>
          <w:i/>
          <w:sz w:val="20"/>
          <w:szCs w:val="20"/>
          <w:lang w:eastAsia="ar-SA"/>
        </w:rPr>
        <w:t>fact finding</w:t>
      </w:r>
      <w:r w:rsidRPr="005C544E">
        <w:rPr>
          <w:rFonts w:ascii="Arial" w:eastAsia="Times New Roman" w:hAnsi="Arial" w:cs="Arial"/>
          <w:bCs/>
          <w:sz w:val="20"/>
          <w:szCs w:val="20"/>
          <w:lang w:eastAsia="ar-SA"/>
        </w:rPr>
        <w:t>" postopkov, zato se v predlagani noveli postopkovni ureditvi ne-upravnih postopkov namenja dodatna pozornost (tudi z vidika inkorporacije temeljnih načel Zakona o splošnem upravnem postopku v postopkovne določbe predloga zakona).</w:t>
      </w:r>
    </w:p>
    <w:p w14:paraId="7B7FEF29"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7606DEEB"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Razlogi za spremembo ZIntPK so tudi v določenih težavah v praksi, ki so se pojavile zaradi nedorečenosti in pomanjkljivosti določb ZIntPK v zvezi s postopkom imenovanja funkcionarjev KPK v letu 2014, njihovega poročanja državnemu zboru in nadzoru državnega zbora nad funkcionarji KPK. V letu 2014 so se namreč določena vprašanja pojavila tudi ob imenovanju vodstva KPK, in sicer po katerih kriterijih izbirna komisija ugotavlja primernost kandidatov, na kakšen način jih predlaga in koliko kandidatov predlaga v imenovanje predsedniku republike. V javnosti pa je najbolj odmevalo uničenje dokumentacije postopka izbire in s tem izpostavljeno vprašanje transparentnosti postopka.</w:t>
      </w:r>
    </w:p>
    <w:p w14:paraId="00A2D449"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1B6B231"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Pri oceni stanja, ki zahteva spremembe ZIntPK,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 Vmesno poročilo medresorske delovne skupine za pripravo osnutka sprememb in dopolnitev ZIntPK iz meseca julija 2015</w:t>
      </w:r>
      <w:r w:rsidRPr="005C544E">
        <w:rPr>
          <w:rFonts w:ascii="Arial" w:eastAsia="Times New Roman" w:hAnsi="Arial" w:cs="Arial"/>
          <w:bCs/>
          <w:sz w:val="20"/>
          <w:szCs w:val="20"/>
          <w:vertAlign w:val="superscript"/>
          <w:lang w:eastAsia="ar-SA"/>
        </w:rPr>
        <w:footnoteReference w:id="12"/>
      </w:r>
      <w:r w:rsidRPr="005C544E">
        <w:rPr>
          <w:rFonts w:ascii="Arial" w:eastAsia="Times New Roman" w:hAnsi="Arial" w:cs="Arial"/>
          <w:bCs/>
          <w:sz w:val="20"/>
          <w:szCs w:val="20"/>
          <w:lang w:eastAsia="ar-SA"/>
        </w:rPr>
        <w:t xml:space="preserve"> ter do sedaj sprejete odločitve sodišč v zvezi s sprejetimi ali objavljenimi ugotovitvami in drugimi oblikami odločitev KPK. Ob upoštevanju navedenih izhodišč se je kontinuiteta priprave predloga zakona nadaljevala tudi v drugi polovici leta 2016, ko je pristojnost za področje sistemskega urejanja omejevanja korupcije prešla iz Ministrstva za javno upravo na Ministrstvo za pravosodje.</w:t>
      </w:r>
    </w:p>
    <w:p w14:paraId="58DEA1B8"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6FEF03B7"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 oceni stanja je bilo ugotovljeno, da obstoječa protikorupcijska zakonodaja sicer potrebuje določene popravke/dopolnitve, nikakor pa ne gre za zakon, ki bi terjal bistvene oziroma sistemske spremembe. Tudi Evropska komisija v Poročilu EU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pa je v tem času deloma odgovorila že sodna praksa. Prav tako popravke obstoječega sistema priporočajo priporočila Sveta Evrope GRECO in OECD WGB.</w:t>
      </w:r>
    </w:p>
    <w:p w14:paraId="3F6E7C57"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CA4EF00" w14:textId="20B2BE75"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Predlog ZIntPK-C je pripravljen na podlagi predloga, ki je bil v prejšnjem mandatu sprejet na seji Vlade RS dne 18.1.2018 in je bil posredovan v obravnavo Državnemu zboru. Državni zbor je 20. 2. 2018</w:t>
      </w:r>
      <w:r w:rsidR="004D1581" w:rsidRPr="005C544E">
        <w:rPr>
          <w:rFonts w:ascii="Arial" w:eastAsia="Times New Roman" w:hAnsi="Arial" w:cs="Arial"/>
          <w:bCs/>
          <w:sz w:val="20"/>
          <w:szCs w:val="20"/>
          <w:lang w:eastAsia="ar-SA"/>
        </w:rPr>
        <w:t xml:space="preserve"> opravil splošno razpravo o predlogu zakona</w:t>
      </w:r>
      <w:r w:rsidRPr="005C544E">
        <w:rPr>
          <w:rFonts w:ascii="Arial" w:eastAsia="Times New Roman" w:hAnsi="Arial" w:cs="Arial"/>
          <w:bCs/>
          <w:sz w:val="20"/>
          <w:szCs w:val="20"/>
          <w:lang w:eastAsia="ar-SA"/>
        </w:rPr>
        <w:t xml:space="preserve"> (prva obravnava) vendar obravnave zar</w:t>
      </w:r>
      <w:r w:rsidR="004D1581" w:rsidRPr="005C544E">
        <w:rPr>
          <w:rFonts w:ascii="Arial" w:eastAsia="Times New Roman" w:hAnsi="Arial" w:cs="Arial"/>
          <w:bCs/>
          <w:sz w:val="20"/>
          <w:szCs w:val="20"/>
          <w:lang w:eastAsia="ar-SA"/>
        </w:rPr>
        <w:t>a</w:t>
      </w:r>
      <w:r w:rsidRPr="005C544E">
        <w:rPr>
          <w:rFonts w:ascii="Arial" w:eastAsia="Times New Roman" w:hAnsi="Arial" w:cs="Arial"/>
          <w:bCs/>
          <w:sz w:val="20"/>
          <w:szCs w:val="20"/>
          <w:lang w:eastAsia="ar-SA"/>
        </w:rPr>
        <w:t>di odstopa Vlade ni nadaljeval. V novem predlogu so upoštevani tudi nekateri predlogi Zakonodajno-pravne službe Državnega zbora.</w:t>
      </w:r>
    </w:p>
    <w:p w14:paraId="2E717ADD"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52833C09"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Ministrstvo za pravosodje se je odločilo za pripravo novele in ne novega zakona predvsem zato, da se KPK čim prej zagotovi orodja za učinkovito delo. Z novelo se ne spreminja</w:t>
      </w:r>
      <w:r w:rsidRPr="005C544E">
        <w:rPr>
          <w:rFonts w:ascii="Arial" w:eastAsia="Times New Roman" w:hAnsi="Arial" w:cs="Arial"/>
          <w:bCs/>
          <w:color w:val="FF0000"/>
          <w:sz w:val="20"/>
          <w:szCs w:val="20"/>
          <w:lang w:eastAsia="ar-SA"/>
        </w:rPr>
        <w:t xml:space="preserve"> </w:t>
      </w:r>
      <w:r w:rsidRPr="005C544E">
        <w:rPr>
          <w:rFonts w:ascii="Arial" w:eastAsia="Times New Roman" w:hAnsi="Arial" w:cs="Arial"/>
          <w:bCs/>
          <w:sz w:val="20"/>
          <w:szCs w:val="20"/>
          <w:lang w:eastAsia="ar-SA"/>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0FA3179D" w14:textId="77777777" w:rsidR="0055047E" w:rsidRPr="00FB34F5" w:rsidRDefault="0055047E" w:rsidP="0055047E">
      <w:pPr>
        <w:spacing w:after="0" w:line="260" w:lineRule="atLeast"/>
        <w:jc w:val="both"/>
        <w:rPr>
          <w:rFonts w:ascii="Arial" w:eastAsia="Times New Roman" w:hAnsi="Arial" w:cs="Arial"/>
          <w:sz w:val="20"/>
          <w:szCs w:val="20"/>
          <w:lang w:eastAsia="ar-SA"/>
        </w:rPr>
      </w:pPr>
    </w:p>
    <w:p w14:paraId="7ECD9C8D" w14:textId="77777777" w:rsidR="0055047E" w:rsidRPr="005C544E"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Novela Zakona o integriteti in preprečevanju korupcije je pripravljena na podlagi naslednjih izhodišč:</w:t>
      </w:r>
    </w:p>
    <w:p w14:paraId="30FBC81B" w14:textId="77777777" w:rsidR="0055047E" w:rsidRPr="005C544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w:t>
      </w:r>
    </w:p>
    <w:p w14:paraId="46388974" w14:textId="77777777" w:rsidR="0055047E" w:rsidRPr="005C544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da mora KPK obdržati položaj samostojnega in neodvisnega državnega organa pri izvajanju svojih pooblastil in zakonskih pristojnosti, saj je takšna institucija potrebna za krepitev pravne države, njeno pozitivno vlogo/pomen pa ji priznavajo tudi mednarodne organizacije,</w:t>
      </w:r>
    </w:p>
    <w:p w14:paraId="01FDF239" w14:textId="77777777" w:rsidR="0055047E" w:rsidRPr="005C544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da se uredi vprašanje glede procesnih pravic udeležencev v postopkih, ki jih vodi KPK,</w:t>
      </w:r>
    </w:p>
    <w:p w14:paraId="06422856" w14:textId="77777777" w:rsidR="0055047E" w:rsidRPr="005C544E" w:rsidRDefault="0055047E" w:rsidP="0055047E">
      <w:pPr>
        <w:suppressAutoHyphens/>
        <w:overflowPunct w:val="0"/>
        <w:autoSpaceDE w:val="0"/>
        <w:spacing w:after="0" w:line="240" w:lineRule="atLeast"/>
        <w:ind w:left="720"/>
        <w:jc w:val="both"/>
        <w:textAlignment w:val="baseline"/>
        <w:rPr>
          <w:rFonts w:ascii="Arial" w:eastAsia="Times New Roman" w:hAnsi="Arial" w:cs="Arial"/>
          <w:sz w:val="20"/>
          <w:szCs w:val="20"/>
          <w:lang w:eastAsia="sl-SI"/>
        </w:rPr>
      </w:pPr>
    </w:p>
    <w:p w14:paraId="3312247E" w14:textId="77777777" w:rsidR="0055047E" w:rsidRPr="005C544E" w:rsidRDefault="0055047E" w:rsidP="0055047E">
      <w:pPr>
        <w:suppressAutoHyphens/>
        <w:overflowPunct w:val="0"/>
        <w:autoSpaceDE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in strokovnih ugotovitev, da je potrebno v zakonu:</w:t>
      </w:r>
    </w:p>
    <w:p w14:paraId="5A0EB78D" w14:textId="77777777"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zakonske pojme,</w:t>
      </w:r>
    </w:p>
    <w:p w14:paraId="01A47940" w14:textId="044157B6"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dopolniti seznam nalog in pristojnosti </w:t>
      </w:r>
      <w:r w:rsidR="003F4EA2">
        <w:rPr>
          <w:rFonts w:ascii="Arial" w:eastAsia="Times New Roman" w:hAnsi="Arial" w:cs="Arial"/>
          <w:bCs/>
          <w:szCs w:val="20"/>
          <w:lang w:eastAsia="ar-SA"/>
        </w:rPr>
        <w:t>KPK</w:t>
      </w:r>
      <w:r w:rsidRPr="0055047E">
        <w:rPr>
          <w:rFonts w:ascii="Arial" w:eastAsia="Times New Roman" w:hAnsi="Arial" w:cs="Arial"/>
          <w:bCs/>
          <w:szCs w:val="20"/>
          <w:lang w:eastAsia="ar-SA"/>
        </w:rPr>
        <w:t>,</w:t>
      </w:r>
    </w:p>
    <w:p w14:paraId="1DCC3FF4" w14:textId="59CEA65A"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spremeniti/dopolniti postopek imenovanja in razrešitve članov </w:t>
      </w:r>
      <w:r w:rsidR="003F4EA2">
        <w:rPr>
          <w:rFonts w:ascii="Arial" w:eastAsia="Times New Roman" w:hAnsi="Arial" w:cs="Arial"/>
          <w:bCs/>
          <w:szCs w:val="20"/>
          <w:lang w:eastAsia="ar-SA"/>
        </w:rPr>
        <w:t>KPK</w:t>
      </w:r>
      <w:r w:rsidRPr="0055047E">
        <w:rPr>
          <w:rFonts w:ascii="Arial" w:eastAsia="Times New Roman" w:hAnsi="Arial" w:cs="Arial"/>
          <w:bCs/>
          <w:szCs w:val="20"/>
          <w:lang w:eastAsia="ar-SA"/>
        </w:rPr>
        <w:t>,</w:t>
      </w:r>
    </w:p>
    <w:p w14:paraId="3FBE33DB" w14:textId="67D09E3D"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ustrezno preurediti način odločanja </w:t>
      </w:r>
      <w:r w:rsidR="003F4EA2">
        <w:rPr>
          <w:rFonts w:ascii="Arial" w:eastAsia="Times New Roman" w:hAnsi="Arial" w:cs="Arial"/>
          <w:bCs/>
          <w:szCs w:val="20"/>
          <w:lang w:eastAsia="ar-SA"/>
        </w:rPr>
        <w:t>KPK</w:t>
      </w:r>
      <w:r w:rsidRPr="0055047E">
        <w:rPr>
          <w:rFonts w:ascii="Arial" w:eastAsia="Times New Roman" w:hAnsi="Arial" w:cs="Arial"/>
          <w:bCs/>
          <w:szCs w:val="20"/>
          <w:lang w:eastAsia="ar-SA"/>
        </w:rPr>
        <w:t>,</w:t>
      </w:r>
    </w:p>
    <w:p w14:paraId="7ED83115" w14:textId="4953784E"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urediti in določiti postopke, ki jih izvaja </w:t>
      </w:r>
      <w:r w:rsidR="003F4EA2">
        <w:rPr>
          <w:rFonts w:ascii="Arial" w:eastAsia="Times New Roman" w:hAnsi="Arial" w:cs="Arial"/>
          <w:bCs/>
          <w:szCs w:val="20"/>
          <w:lang w:eastAsia="ar-SA"/>
        </w:rPr>
        <w:t>KPK</w:t>
      </w:r>
      <w:r w:rsidRPr="0055047E">
        <w:rPr>
          <w:rFonts w:ascii="Arial" w:eastAsia="Times New Roman" w:hAnsi="Arial" w:cs="Arial"/>
          <w:bCs/>
          <w:szCs w:val="20"/>
          <w:lang w:eastAsia="ar-SA"/>
        </w:rPr>
        <w:t>,</w:t>
      </w:r>
    </w:p>
    <w:p w14:paraId="46DFF6F4" w14:textId="223B22A0"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urediti določbe o javnih objavah odločitev </w:t>
      </w:r>
      <w:r w:rsidR="003F4EA2">
        <w:rPr>
          <w:rFonts w:ascii="Arial" w:eastAsia="Times New Roman" w:hAnsi="Arial" w:cs="Arial"/>
          <w:bCs/>
          <w:szCs w:val="20"/>
          <w:lang w:eastAsia="ar-SA"/>
        </w:rPr>
        <w:t>KPK</w:t>
      </w:r>
      <w:r w:rsidRPr="0055047E">
        <w:rPr>
          <w:rFonts w:ascii="Arial" w:eastAsia="Times New Roman" w:hAnsi="Arial" w:cs="Arial"/>
          <w:bCs/>
          <w:szCs w:val="20"/>
          <w:lang w:eastAsia="ar-SA"/>
        </w:rPr>
        <w:t>,</w:t>
      </w:r>
    </w:p>
    <w:p w14:paraId="1911C017" w14:textId="0EE8EFB3" w:rsidR="0055047E" w:rsidRPr="0055047E" w:rsidRDefault="00FC3E40"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Pr>
          <w:rFonts w:ascii="Arial" w:eastAsia="Times New Roman" w:hAnsi="Arial" w:cs="Arial"/>
          <w:bCs/>
          <w:szCs w:val="20"/>
          <w:lang w:eastAsia="ar-SA"/>
        </w:rPr>
        <w:t>urediti</w:t>
      </w:r>
      <w:r w:rsidR="0055047E" w:rsidRPr="0055047E">
        <w:rPr>
          <w:rFonts w:ascii="Arial" w:eastAsia="Times New Roman" w:hAnsi="Arial" w:cs="Arial"/>
          <w:bCs/>
          <w:szCs w:val="20"/>
          <w:lang w:eastAsia="ar-SA"/>
        </w:rPr>
        <w:t xml:space="preserve"> javn</w:t>
      </w:r>
      <w:r>
        <w:rPr>
          <w:rFonts w:ascii="Arial" w:eastAsia="Times New Roman" w:hAnsi="Arial" w:cs="Arial"/>
          <w:bCs/>
          <w:szCs w:val="20"/>
          <w:lang w:eastAsia="ar-SA"/>
        </w:rPr>
        <w:t>o</w:t>
      </w:r>
      <w:r w:rsidR="0055047E" w:rsidRPr="0055047E">
        <w:rPr>
          <w:rFonts w:ascii="Arial" w:eastAsia="Times New Roman" w:hAnsi="Arial" w:cs="Arial"/>
          <w:bCs/>
          <w:szCs w:val="20"/>
          <w:lang w:eastAsia="ar-SA"/>
        </w:rPr>
        <w:t xml:space="preserve"> objavljanj</w:t>
      </w:r>
      <w:r>
        <w:rPr>
          <w:rFonts w:ascii="Arial" w:eastAsia="Times New Roman" w:hAnsi="Arial" w:cs="Arial"/>
          <w:bCs/>
          <w:szCs w:val="20"/>
          <w:lang w:eastAsia="ar-SA"/>
        </w:rPr>
        <w:t>e</w:t>
      </w:r>
      <w:r w:rsidR="0055047E" w:rsidRPr="0055047E">
        <w:rPr>
          <w:rFonts w:ascii="Arial" w:eastAsia="Times New Roman" w:hAnsi="Arial" w:cs="Arial"/>
          <w:bCs/>
          <w:szCs w:val="20"/>
          <w:lang w:eastAsia="ar-SA"/>
        </w:rPr>
        <w:t xml:space="preserve"> podatkov o premoženjskem stanju,</w:t>
      </w:r>
    </w:p>
    <w:p w14:paraId="5902F6D7" w14:textId="77777777"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prenoviti poglavje o nadzoru nad premoženjskim stanjem,</w:t>
      </w:r>
    </w:p>
    <w:p w14:paraId="61C470B1" w14:textId="77777777"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prenoviti poglavje o dolžnem izogibanju nasprotju interesov,</w:t>
      </w:r>
    </w:p>
    <w:p w14:paraId="4824274B" w14:textId="77777777"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določbe o vodenju evidenc in</w:t>
      </w:r>
    </w:p>
    <w:p w14:paraId="2E043ECA" w14:textId="77777777" w:rsidR="0055047E" w:rsidRPr="0055047E" w:rsidRDefault="0055047E" w:rsidP="006F190F">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kazenske določbe.</w:t>
      </w:r>
    </w:p>
    <w:p w14:paraId="73E99D5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467AF5"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2. CILJI, NAČELA IN POGLAVITNE REŠITVE PREDLOGA ZAKONA</w:t>
      </w:r>
    </w:p>
    <w:p w14:paraId="7EE7ED2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2F84C"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szCs w:val="16"/>
          <w:lang w:eastAsia="ar-SA"/>
        </w:rPr>
      </w:pPr>
      <w:r w:rsidRPr="0055047E">
        <w:rPr>
          <w:rFonts w:ascii="Arial" w:eastAsia="Times New Roman" w:hAnsi="Arial" w:cs="Arial"/>
          <w:b/>
          <w:szCs w:val="16"/>
          <w:lang w:eastAsia="ar-SA"/>
        </w:rPr>
        <w:t>2.1 Cilji</w:t>
      </w:r>
    </w:p>
    <w:p w14:paraId="157C356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p w14:paraId="5918A5CD" w14:textId="552F361A"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 vse našteto pa na način takšnih sprememb in dopolnitev ZIntPK, ki bodo uveljavile, rešitve, ki temeljijo na razmisleku in dejanskih pomanjkljivostih sedanje ureditve</w:t>
      </w:r>
      <w:r w:rsidR="005C052B" w:rsidRPr="005C544E">
        <w:rPr>
          <w:rFonts w:ascii="Arial" w:eastAsia="Times New Roman" w:hAnsi="Arial" w:cs="Arial"/>
          <w:bCs/>
          <w:sz w:val="20"/>
          <w:szCs w:val="20"/>
          <w:lang w:eastAsia="ar-SA"/>
        </w:rPr>
        <w:t>.</w:t>
      </w:r>
      <w:r w:rsidRPr="005C544E">
        <w:rPr>
          <w:rFonts w:ascii="Arial" w:eastAsia="Times New Roman" w:hAnsi="Arial" w:cs="Arial"/>
          <w:bCs/>
          <w:sz w:val="20"/>
          <w:szCs w:val="20"/>
          <w:lang w:eastAsia="ar-SA"/>
        </w:rPr>
        <w:t xml:space="preserve">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219D81F7"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28FA810" w14:textId="77777777" w:rsidR="0055047E" w:rsidRPr="005C544E" w:rsidRDefault="0055047E" w:rsidP="0055047E">
      <w:pPr>
        <w:suppressAutoHyphens/>
        <w:overflowPunct w:val="0"/>
        <w:autoSpaceDE w:val="0"/>
        <w:spacing w:after="0" w:line="240" w:lineRule="atLeast"/>
        <w:jc w:val="both"/>
        <w:textAlignment w:val="baseline"/>
        <w:rPr>
          <w:rFonts w:ascii="Arial" w:eastAsia="MS Mincho" w:hAnsi="Arial" w:cs="Arial"/>
          <w:kern w:val="3"/>
          <w:position w:val="14"/>
          <w:sz w:val="20"/>
          <w:szCs w:val="20"/>
          <w:lang w:eastAsia="ar-SA"/>
        </w:rPr>
      </w:pPr>
      <w:bookmarkStart w:id="0" w:name="_Hlk1126714"/>
      <w:r w:rsidRPr="005C544E">
        <w:rPr>
          <w:rFonts w:ascii="Arial" w:eastAsia="MS Mincho" w:hAnsi="Arial" w:cs="Arial"/>
          <w:kern w:val="3"/>
          <w:position w:val="14"/>
          <w:sz w:val="20"/>
          <w:szCs w:val="20"/>
          <w:lang w:eastAsia="ar-SA"/>
        </w:rPr>
        <w:t>Glavne spremembe predloga novele zasledujejo naslednje cilje oziroma usmeritve:</w:t>
      </w:r>
    </w:p>
    <w:p w14:paraId="4C2F44A7" w14:textId="7633EBA2"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Jasno se določa vrste in pravila postopkov ter pravice in obveznosti "sodelujočih" v postopkih, ki jih vodi KPK (prijavitelji, vabljeni, obravnavane osebe). </w:t>
      </w:r>
      <w:r w:rsidRPr="00E046FD">
        <w:rPr>
          <w:rFonts w:ascii="Arial" w:eastAsia="Times New Roman" w:hAnsi="Arial" w:cs="Arial"/>
          <w:bCs/>
          <w:sz w:val="20"/>
          <w:szCs w:val="20"/>
          <w:lang w:eastAsia="ar-SA"/>
        </w:rPr>
        <w:t>Predlagane spremembe spreminjajo dosedanji koncept obravnave suma korupcije tako, da je poudarek na ugotavljanju kršitev integritete.</w:t>
      </w:r>
      <w:r w:rsidRPr="005C544E">
        <w:rPr>
          <w:rFonts w:ascii="Arial" w:eastAsia="Times New Roman" w:hAnsi="Arial" w:cs="Arial"/>
          <w:bCs/>
          <w:sz w:val="20"/>
          <w:szCs w:val="20"/>
          <w:lang w:eastAsia="ar-SA"/>
        </w:rPr>
        <w:t xml:space="preserve"> Jasno se razmejujejo postopki, v katerih odločajo vsi trije funkcionarji in postopki, ki jih vodijo strokovni uslužbenci </w:t>
      </w:r>
      <w:r w:rsidR="003F4EA2" w:rsidRPr="005C544E">
        <w:rPr>
          <w:rFonts w:ascii="Arial" w:eastAsia="Times New Roman" w:hAnsi="Arial" w:cs="Arial"/>
          <w:bCs/>
          <w:sz w:val="20"/>
          <w:szCs w:val="20"/>
          <w:lang w:eastAsia="ar-SA"/>
        </w:rPr>
        <w:t>KPK</w:t>
      </w:r>
      <w:r w:rsidRPr="005C544E">
        <w:rPr>
          <w:rFonts w:ascii="Arial" w:eastAsia="Times New Roman" w:hAnsi="Arial" w:cs="Arial"/>
          <w:bCs/>
          <w:sz w:val="20"/>
          <w:szCs w:val="20"/>
          <w:lang w:eastAsia="ar-SA"/>
        </w:rPr>
        <w:t>.</w:t>
      </w:r>
    </w:p>
    <w:p w14:paraId="4C69A883" w14:textId="77777777" w:rsidR="0055047E" w:rsidRPr="005C544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C728E5F" w14:textId="771E8793"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Podrobneje se opredeljuje pogoje za imenovanje funkcionarjev </w:t>
      </w:r>
      <w:r w:rsidR="003F4EA2"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ter določa, da kandidacijska komisija v poslovniku natančneje uredi način svojega dela, standarde strokovne usposobljenosti, merila za izbiro in metode preverjanja usposobljenosti.</w:t>
      </w:r>
    </w:p>
    <w:p w14:paraId="21CC91C1" w14:textId="77777777" w:rsidR="0055047E" w:rsidRPr="005C544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0005847" w14:textId="5A6AEA43"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Uvaja se določene poenostavitve – npr. poenotenje na področju daril. Področje prepovedi prejemanja daril se ureja na enem mestu enotno za funkcionarje kot tudi za javne uslužbence (do sedaj ločeno urejanje za javne uslužbence v Zakonu o javnih uslužbencih), </w:t>
      </w:r>
      <w:r w:rsidR="002A11C6" w:rsidRPr="00E5349F">
        <w:rPr>
          <w:rFonts w:ascii="Arial" w:eastAsia="Times New Roman" w:hAnsi="Arial" w:cs="Arial"/>
          <w:bCs/>
          <w:sz w:val="20"/>
          <w:szCs w:val="20"/>
          <w:lang w:eastAsia="ar-SA"/>
        </w:rPr>
        <w:t xml:space="preserve">razveljavljajo </w:t>
      </w:r>
      <w:r w:rsidRPr="00E5349F">
        <w:rPr>
          <w:rFonts w:ascii="Arial" w:eastAsia="Times New Roman" w:hAnsi="Arial" w:cs="Arial"/>
          <w:bCs/>
          <w:sz w:val="20"/>
          <w:szCs w:val="20"/>
          <w:lang w:eastAsia="ar-SA"/>
        </w:rPr>
        <w:t>se podzakonski akti</w:t>
      </w:r>
      <w:r w:rsidRPr="005C544E">
        <w:rPr>
          <w:rFonts w:ascii="Arial" w:eastAsia="Times New Roman" w:hAnsi="Arial" w:cs="Arial"/>
          <w:bCs/>
          <w:sz w:val="20"/>
          <w:szCs w:val="20"/>
          <w:lang w:eastAsia="ar-SA"/>
        </w:rPr>
        <w:t xml:space="preserve"> in </w:t>
      </w:r>
      <w:r w:rsidR="002A11C6" w:rsidRPr="005C544E">
        <w:rPr>
          <w:rFonts w:ascii="Arial" w:eastAsia="Times New Roman" w:hAnsi="Arial" w:cs="Arial"/>
          <w:bCs/>
          <w:sz w:val="20"/>
          <w:szCs w:val="20"/>
          <w:lang w:eastAsia="ar-SA"/>
        </w:rPr>
        <w:t xml:space="preserve">nalaga </w:t>
      </w:r>
      <w:r w:rsidRPr="005C544E">
        <w:rPr>
          <w:rFonts w:ascii="Arial" w:eastAsia="Times New Roman" w:hAnsi="Arial" w:cs="Arial"/>
          <w:bCs/>
          <w:sz w:val="20"/>
          <w:szCs w:val="20"/>
          <w:lang w:eastAsia="ar-SA"/>
        </w:rPr>
        <w:t>se izdaja novega pravilnika, ki bo urejal navedeno vsebino na izvedbeni ravni.</w:t>
      </w:r>
    </w:p>
    <w:p w14:paraId="68477A5A" w14:textId="77777777" w:rsidR="0055047E" w:rsidRPr="005C544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192DB161" w14:textId="77777777"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Prenova poglavja o omejitvah poslovanja, nasprotju interesov in o nadzoru nad premoženjskim stanjem.</w:t>
      </w:r>
    </w:p>
    <w:p w14:paraId="08FA922F" w14:textId="77777777" w:rsidR="0055047E" w:rsidRPr="005C544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0FC6D48B" w14:textId="77777777"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Določneje se ureja pravna podlaga za delovanje in nadgradnjo spletnega orodja KPK, ki zagotavlja transparentnost porabe javnih sredstev (Erar).</w:t>
      </w:r>
    </w:p>
    <w:p w14:paraId="59D48633" w14:textId="77777777" w:rsidR="0055047E" w:rsidRPr="005C544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 w:val="20"/>
          <w:szCs w:val="20"/>
          <w:lang w:eastAsia="ar-SA"/>
        </w:rPr>
      </w:pPr>
    </w:p>
    <w:p w14:paraId="492D4B16" w14:textId="77777777"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Dopolnjujejo se določbe o evidencah KPK in prekrških po ZIntPK.</w:t>
      </w:r>
    </w:p>
    <w:p w14:paraId="69A66EC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noProof/>
          <w:sz w:val="20"/>
          <w:szCs w:val="20"/>
          <w:lang w:eastAsia="sl-SI"/>
        </w:rPr>
      </w:pPr>
    </w:p>
    <w:bookmarkEnd w:id="0"/>
    <w:p w14:paraId="30F55FDA"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2.2 Načela</w:t>
      </w:r>
    </w:p>
    <w:p w14:paraId="506AFC92" w14:textId="77777777" w:rsidR="0055047E" w:rsidRPr="005C544E"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336846BB" w14:textId="395173A0" w:rsidR="0055047E" w:rsidRPr="00FB34F5" w:rsidRDefault="0055047E" w:rsidP="0055047E">
      <w:pPr>
        <w:suppressAutoHyphens/>
        <w:overflowPunct w:val="0"/>
        <w:autoSpaceDE w:val="0"/>
        <w:spacing w:after="0" w:line="240" w:lineRule="auto"/>
        <w:jc w:val="both"/>
        <w:textAlignment w:val="baseline"/>
        <w:rPr>
          <w:rFonts w:ascii="Arial" w:eastAsia="MS Mincho" w:hAnsi="Arial" w:cs="Arial"/>
          <w:kern w:val="3"/>
          <w:position w:val="14"/>
          <w:sz w:val="20"/>
          <w:szCs w:val="20"/>
          <w:lang w:eastAsia="ar-SA"/>
        </w:rPr>
      </w:pPr>
      <w:r w:rsidRPr="005C544E">
        <w:rPr>
          <w:rFonts w:ascii="Arial" w:eastAsia="Times New Roman" w:hAnsi="Arial" w:cs="Arial"/>
          <w:sz w:val="20"/>
          <w:szCs w:val="20"/>
          <w:lang w:eastAsia="ar-SA"/>
        </w:rPr>
        <w:t>Temeljnih načel zakona predlog zakona ne spreminja in še vedno uresničuje načelo ustavnosti in zakonitosti, načelo delitve oblasti ob načelu ljudske suverenosti, načelo sorazmernosti v uresničevanju in omejevanju pravic, načelo enakosti pred zakonom, načelo pravne varnosti, načelo transparentnosti in načelo odprtosti.</w:t>
      </w:r>
    </w:p>
    <w:p w14:paraId="426E37AB" w14:textId="77777777" w:rsidR="0055047E" w:rsidRPr="005C544E" w:rsidRDefault="0055047E" w:rsidP="0055047E">
      <w:pPr>
        <w:spacing w:after="0" w:line="240" w:lineRule="atLeast"/>
        <w:jc w:val="both"/>
        <w:rPr>
          <w:rFonts w:ascii="Arial" w:eastAsia="MS Mincho" w:hAnsi="Arial" w:cs="Arial"/>
          <w:kern w:val="3"/>
          <w:position w:val="14"/>
          <w:sz w:val="20"/>
          <w:szCs w:val="20"/>
          <w:lang w:eastAsia="ar-SA"/>
        </w:rPr>
      </w:pPr>
    </w:p>
    <w:p w14:paraId="195A7CC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2.3 Poglavitne rešitve</w:t>
      </w:r>
    </w:p>
    <w:p w14:paraId="3F70C59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5904A6" w14:textId="77777777" w:rsidR="0055047E" w:rsidRPr="0055047E" w:rsidRDefault="0055047E" w:rsidP="0055047E">
      <w:pPr>
        <w:spacing w:after="0" w:line="276" w:lineRule="auto"/>
        <w:jc w:val="both"/>
        <w:outlineLvl w:val="2"/>
        <w:rPr>
          <w:rFonts w:ascii="Arial" w:eastAsia="Times New Roman" w:hAnsi="Arial" w:cs="Arial"/>
          <w:lang w:eastAsia="ar-SA"/>
        </w:rPr>
      </w:pPr>
      <w:r w:rsidRPr="0055047E">
        <w:rPr>
          <w:rFonts w:ascii="Arial" w:eastAsia="Times New Roman" w:hAnsi="Arial" w:cs="Arial"/>
          <w:b/>
          <w:lang w:eastAsia="ar-SA"/>
        </w:rPr>
        <w:t>a) Predstavitev predlaganih rešitev:</w:t>
      </w:r>
    </w:p>
    <w:p w14:paraId="461449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5443EA" w14:textId="04CDA562" w:rsidR="0055047E" w:rsidRPr="0055047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 xml:space="preserve">Pogoji za imenovanje funkcionarjev </w:t>
      </w:r>
      <w:r w:rsidR="003F4EA2">
        <w:rPr>
          <w:rFonts w:ascii="Arial" w:eastAsia="Times New Roman" w:hAnsi="Arial" w:cs="Arial"/>
          <w:b/>
          <w:szCs w:val="20"/>
          <w:lang w:eastAsia="ar-SA"/>
        </w:rPr>
        <w:t>KPK</w:t>
      </w:r>
      <w:r w:rsidRPr="0055047E">
        <w:rPr>
          <w:rFonts w:ascii="Arial" w:eastAsia="Times New Roman" w:hAnsi="Arial" w:cs="Arial"/>
          <w:b/>
          <w:szCs w:val="20"/>
          <w:lang w:eastAsia="ar-SA"/>
        </w:rPr>
        <w:t>:</w:t>
      </w:r>
    </w:p>
    <w:p w14:paraId="22BE1305" w14:textId="604E556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V spremenjeni določbi 9. člena se zakonski pogoji za člane </w:t>
      </w:r>
      <w:r w:rsidR="003F4EA2"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glede na veljavno ureditev dopolnjujejo in konkretizirajo. Predvsem se konkretneje opredeljujejo izkušnje, kompetence in reference, potrebne za izvajanje nalog na področju dela in okvira pristojnosti KPK ter njihovo dokazovanje in ocenjevanje. Hkrati velja posebej omeniti, da se po vzoru Zakona o spremembah in dopolnitev Zakona o sodniški službi</w:t>
      </w:r>
      <w:r w:rsidRPr="005C544E">
        <w:rPr>
          <w:rFonts w:ascii="Arial" w:eastAsia="Times New Roman" w:hAnsi="Arial" w:cs="Arial"/>
          <w:sz w:val="20"/>
          <w:szCs w:val="20"/>
          <w:vertAlign w:val="superscript"/>
          <w:lang w:eastAsia="ar-SA"/>
        </w:rPr>
        <w:footnoteReference w:id="13"/>
      </w:r>
      <w:r w:rsidRPr="005C544E">
        <w:rPr>
          <w:rFonts w:ascii="Arial" w:eastAsia="Times New Roman" w:hAnsi="Arial" w:cs="Arial"/>
          <w:sz w:val="20"/>
          <w:szCs w:val="20"/>
          <w:lang w:eastAsia="ar-SA"/>
        </w:rPr>
        <w:t xml:space="preserve"> med vsebinske pogoje za imenovanje funkcionarjev dodaja pogoj osebnostne primernosti.</w:t>
      </w:r>
    </w:p>
    <w:p w14:paraId="70EC6454"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37D1EF97" w14:textId="2746C69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Da bi bile določbe o postopku imenovanja in načinu ugotavljanja izpolnjevanja zakonskih pogojev, kar se da dorečene in bi ne dopuščale dvoma o posameznih zahtevah za funkcionarje </w:t>
      </w:r>
      <w:r w:rsidR="003F4EA2"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zakon določa, da kandidacijska komisija, ki jo imenuje predsednik republike, za ta namen sprejme poslovnik. V njem določi način svojega delovanja, vsebino posameznih meril in metod ter kako se ta merila v izbirnem postopku izkazujejo in dokazujejo. Glede na to, da se pri postopku imenovanja funkcionarjev KPK zasleduje cilj dodatne krepitve apolitičnosti, visoke strokovnosti in nepristranskosti postopka, je smiselno in primerno, da vsebina poslovnika </w:t>
      </w:r>
      <w:r w:rsidR="00B81923" w:rsidRPr="005C544E">
        <w:rPr>
          <w:rFonts w:ascii="Arial" w:eastAsia="Times New Roman" w:hAnsi="Arial" w:cs="Arial"/>
          <w:sz w:val="20"/>
          <w:szCs w:val="20"/>
          <w:lang w:eastAsia="ar-SA"/>
        </w:rPr>
        <w:t xml:space="preserve">smiselno </w:t>
      </w:r>
      <w:r w:rsidRPr="005C544E">
        <w:rPr>
          <w:rFonts w:ascii="Arial" w:eastAsia="Times New Roman" w:hAnsi="Arial" w:cs="Arial"/>
          <w:sz w:val="20"/>
          <w:szCs w:val="20"/>
          <w:lang w:eastAsia="ar-SA"/>
        </w:rPr>
        <w:t>odraža Standarde strokovne usposobljenosti z merili za izbiro in metodami preverjanja usposobljenosti uradnikov na položajih v državni upravi.</w:t>
      </w:r>
    </w:p>
    <w:p w14:paraId="0BE13E1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42E40D" w14:textId="613E23A4" w:rsidR="00FB4E1D"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Bistvena novost v primerjavi z veljavnim postopkom imenovanja funkcionarjev KPK je vloga kandidacijske (in ne več izbirne) komisije. Kandidacijska komisija ne opravi izbire in ne razvršča kandidatov glede na primernost. Njena naloga je preverjanje zakonskih pogojev, vključno s pogojem osebnostne primernosti</w:t>
      </w:r>
      <w:r w:rsidR="00E67566" w:rsidRPr="005C544E">
        <w:rPr>
          <w:rFonts w:ascii="Arial" w:eastAsia="Times New Roman" w:hAnsi="Arial" w:cs="Arial"/>
          <w:sz w:val="20"/>
          <w:szCs w:val="20"/>
          <w:lang w:eastAsia="ar-SA"/>
        </w:rPr>
        <w:t>,</w:t>
      </w:r>
      <w:r w:rsidRPr="005C544E">
        <w:rPr>
          <w:rFonts w:ascii="Arial" w:eastAsia="Times New Roman" w:hAnsi="Arial" w:cs="Arial"/>
          <w:sz w:val="20"/>
          <w:szCs w:val="20"/>
          <w:lang w:eastAsia="ar-SA"/>
        </w:rPr>
        <w:t xml:space="preserve"> in predložitev seznama kandidatov, ki izpolnjujejo pogoje, predsedniku republike. Namen </w:t>
      </w:r>
      <w:r w:rsidR="00FF568B" w:rsidRPr="005C544E">
        <w:rPr>
          <w:rFonts w:ascii="Arial" w:eastAsia="Times New Roman" w:hAnsi="Arial" w:cs="Arial"/>
          <w:sz w:val="20"/>
          <w:szCs w:val="20"/>
          <w:lang w:eastAsia="ar-SA"/>
        </w:rPr>
        <w:t xml:space="preserve">kandidacijske </w:t>
      </w:r>
      <w:r w:rsidRPr="005C544E">
        <w:rPr>
          <w:rFonts w:ascii="Arial" w:eastAsia="Times New Roman" w:hAnsi="Arial" w:cs="Arial"/>
          <w:sz w:val="20"/>
          <w:szCs w:val="20"/>
          <w:lang w:eastAsia="ar-SA"/>
        </w:rPr>
        <w:t>komisije je zagotoviti, da predsednik republike izbira med strokovno in osebnostno primernimi kandidati, da se s tem »strokovnim sitom« zmanjša vpliv politike na izbiro. Izbira funkcionarjev je tako prepuščena izključno predsedniku republike, ki skladno z večjimi možnostmi izbire prevzema tudi večjo odgovornost za svojo odločitev.</w:t>
      </w:r>
    </w:p>
    <w:p w14:paraId="58AEEE5F" w14:textId="3AD6608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BA5E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Kandidacijski postopek in postopek imenovanja:</w:t>
      </w:r>
    </w:p>
    <w:p w14:paraId="56185E44" w14:textId="27EA23A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Postopka se jasno medsebojno ločujeta, natančneje se opredeljujejo naloge urada predsednika republike, kandidacijske komisije in pristojnosti predsednika republike v zvezi s postopkom imenovanja funkcionarjev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w:t>
      </w:r>
    </w:p>
    <w:p w14:paraId="7FE53E40"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18921E81" w14:textId="5C672FD6"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 xml:space="preserve">Način delovanja </w:t>
      </w:r>
      <w:r w:rsidR="00621EAE" w:rsidRPr="005C544E">
        <w:rPr>
          <w:rFonts w:ascii="Arial" w:eastAsia="Times New Roman" w:hAnsi="Arial" w:cs="Arial"/>
          <w:b/>
          <w:bCs/>
          <w:sz w:val="20"/>
          <w:szCs w:val="20"/>
          <w:lang w:eastAsia="ar-SA"/>
        </w:rPr>
        <w:t>KPK</w:t>
      </w:r>
      <w:r w:rsidRPr="005C544E">
        <w:rPr>
          <w:rFonts w:ascii="Arial" w:eastAsia="Times New Roman" w:hAnsi="Arial" w:cs="Arial"/>
          <w:b/>
          <w:bCs/>
          <w:sz w:val="20"/>
          <w:szCs w:val="20"/>
          <w:lang w:eastAsia="ar-SA"/>
        </w:rPr>
        <w:t>:</w:t>
      </w:r>
    </w:p>
    <w:p w14:paraId="38A8FB14" w14:textId="0C9EB8E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Osrednja novost, ki jo prinaša spremenjeni 11. člen ZIntPK, je reorganizacija delovanja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kot kolegijskega organa (prvi odstavek predlaganega 11. člena ZIntPK), in sicer je predvideno, da bo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kot kolegijski organ morala odločati le o zadevah, ki jih primarno določa zakon in o zadevah, ki jih bo zahteval funkcionar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ker bo ocenil, da zaradi svoje (vsebinske, formalne ali dejanske) pomembnosti zahtevajo kolegijsko odločanje. S tem bo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w:t>
      </w:r>
    </w:p>
    <w:p w14:paraId="45B4FB4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193B98" w14:textId="4027581F" w:rsidR="0055047E" w:rsidRPr="005C544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 xml:space="preserve">Pristojnost </w:t>
      </w:r>
      <w:r w:rsidR="00621EAE" w:rsidRPr="005C544E">
        <w:rPr>
          <w:rFonts w:ascii="Arial" w:eastAsia="Times New Roman" w:hAnsi="Arial" w:cs="Arial"/>
          <w:b/>
          <w:sz w:val="20"/>
          <w:szCs w:val="20"/>
          <w:lang w:eastAsia="sl-SI"/>
        </w:rPr>
        <w:t xml:space="preserve">KPK </w:t>
      </w:r>
      <w:r w:rsidRPr="005C544E">
        <w:rPr>
          <w:rFonts w:ascii="Arial" w:eastAsia="Times New Roman" w:hAnsi="Arial" w:cs="Arial"/>
          <w:b/>
          <w:sz w:val="20"/>
          <w:szCs w:val="20"/>
          <w:lang w:eastAsia="sl-SI"/>
        </w:rPr>
        <w:t>ob sumu kršitve zakona:</w:t>
      </w:r>
    </w:p>
    <w:p w14:paraId="22101DC6" w14:textId="55F4EC3F"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Pristojnosti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ob sumu kršitev ZIntPK se v celoti urejajo na novo, pri čemer je bistvo novega pristopa v konkretizaciji postopkov v primeru suma posamezne kršitve določb ZIntPK, ki so v pristojnosti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5F52E97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D2EDA5" w14:textId="737C1F7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predlagano spremembo 13. člena ZIntPK se jasno opredeljuje, katere kršitve oziroma postopek ugotavljanja in obravnave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zaključi z načelnim mnenjem, ugotovitvami o konkretnem primeru oziroma drugimi formalnimi izrazi odločitev (npr. prekrškovne ali upravne odločbe), ki jih izda bodisi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kot kolegijski organ ali pa pristojni uslužbenci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w:t>
      </w:r>
    </w:p>
    <w:p w14:paraId="58F3990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416879" w14:textId="642ED1E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ustrezno zasleduje načelo sorazmernosti iz zakona, ki ureja varstvo osebnih podatkov. Ker veljavna ureditev zoper objavo dokumenta ne predvideva učinkovitega pravnega varstva, se v predlogu zakona ureja javna objava pod odložnim pogojem, da zoper ugotovitve oziroma odločitev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ni bila vložena tožba v upravnem sporu oziroma če je bila tožba vložena, je javna objava odložena do odločitve sodišča v upravnem sporu. Navedeno pa ne izključuje možnosti, da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izda sporočilo za javnost z osnovnimi informacijami o zaključenem postopku, ki pa ne sme vsebovati vsebinske odločitve o obravnavani zadevi.</w:t>
      </w:r>
    </w:p>
    <w:p w14:paraId="2C51AAC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41125FA" w14:textId="7338428B" w:rsidR="0055047E" w:rsidRPr="005C544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 xml:space="preserve">Dodatni ukrepi </w:t>
      </w:r>
      <w:r w:rsidR="00621EAE" w:rsidRPr="005C544E">
        <w:rPr>
          <w:rFonts w:ascii="Arial" w:eastAsia="Times New Roman" w:hAnsi="Arial" w:cs="Arial"/>
          <w:b/>
          <w:sz w:val="20"/>
          <w:szCs w:val="20"/>
          <w:lang w:eastAsia="sl-SI"/>
        </w:rPr>
        <w:t>KPK</w:t>
      </w:r>
      <w:r w:rsidRPr="005C544E">
        <w:rPr>
          <w:rFonts w:ascii="Arial" w:eastAsia="Times New Roman" w:hAnsi="Arial" w:cs="Arial"/>
          <w:b/>
          <w:sz w:val="20"/>
          <w:szCs w:val="20"/>
          <w:lang w:eastAsia="sl-SI"/>
        </w:rPr>
        <w:t>:</w:t>
      </w:r>
    </w:p>
    <w:p w14:paraId="30EABC91" w14:textId="369C3FB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Natančneje se opredeljujejo obstoječi in določajo nekateri dodatni ukrepi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za krepitev integritete in preprečevanje korupcije kot so: sistemski nadzor, predlog za razrešitev in pobuda predstojniku za ukrepanje, pristojnost predlagati uvedbo revizij</w:t>
      </w:r>
      <w:r w:rsidR="002A11C6" w:rsidRPr="005C544E">
        <w:rPr>
          <w:rFonts w:ascii="Arial" w:eastAsia="Times New Roman" w:hAnsi="Arial" w:cs="Arial"/>
          <w:sz w:val="20"/>
          <w:szCs w:val="20"/>
          <w:lang w:eastAsia="ar-SA"/>
        </w:rPr>
        <w:t>e</w:t>
      </w:r>
      <w:r w:rsidRPr="005C544E">
        <w:rPr>
          <w:rFonts w:ascii="Arial" w:eastAsia="Times New Roman" w:hAnsi="Arial" w:cs="Arial"/>
          <w:sz w:val="20"/>
          <w:szCs w:val="20"/>
          <w:lang w:eastAsia="ar-SA"/>
        </w:rPr>
        <w:t>.</w:t>
      </w:r>
    </w:p>
    <w:p w14:paraId="3850CADC"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0E833F01" w14:textId="2344DB52"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 xml:space="preserve">Razgovor na seji </w:t>
      </w:r>
      <w:r w:rsidR="00621EAE" w:rsidRPr="005C544E">
        <w:rPr>
          <w:rFonts w:ascii="Arial" w:eastAsia="Times New Roman" w:hAnsi="Arial" w:cs="Arial"/>
          <w:b/>
          <w:sz w:val="20"/>
          <w:szCs w:val="20"/>
          <w:lang w:eastAsia="sl-SI"/>
        </w:rPr>
        <w:t xml:space="preserve">KPK </w:t>
      </w:r>
      <w:r w:rsidRPr="005C544E">
        <w:rPr>
          <w:rFonts w:ascii="Arial" w:eastAsia="Times New Roman" w:hAnsi="Arial" w:cs="Arial"/>
          <w:b/>
          <w:sz w:val="20"/>
          <w:szCs w:val="20"/>
          <w:lang w:eastAsia="sl-SI"/>
        </w:rPr>
        <w:t>in zbiranje informacij od oseb:</w:t>
      </w:r>
    </w:p>
    <w:p w14:paraId="5C14BE1D" w14:textId="4E9F418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Dodatno se konkretizira vabljenje in potek razgovora pred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v smeri jasne opredelitve kako, kdaj in zakaj je nekdo vabljen na razgovor pred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in kakšne so njegove pravice. Jasno je določeno tudi, kdaj je oseba vabljena na razgovor pred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zaradi ravnanja drugih oseb oziroma razjasnjevanja okoliščin in kdaj zaradi njenega ravnanja.</w:t>
      </w:r>
    </w:p>
    <w:p w14:paraId="22CE339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D94D3"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Sodelovanje z neprofitnimi organizacijami zasebnega sektorja s področja preprečevanja korupcije:</w:t>
      </w:r>
    </w:p>
    <w:p w14:paraId="4763373F" w14:textId="1F5F50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w:t>
      </w:r>
      <w:r w:rsidR="00E67566" w:rsidRPr="005C544E">
        <w:rPr>
          <w:rFonts w:ascii="Arial" w:eastAsia="Times New Roman" w:hAnsi="Arial" w:cs="Arial"/>
          <w:sz w:val="20"/>
          <w:szCs w:val="20"/>
          <w:lang w:eastAsia="ar-SA"/>
        </w:rPr>
        <w:t>Republiki Sloveniji</w:t>
      </w:r>
      <w:r w:rsidRPr="005C544E">
        <w:rPr>
          <w:rFonts w:ascii="Arial" w:eastAsia="Times New Roman" w:hAnsi="Arial" w:cs="Arial"/>
          <w:sz w:val="20"/>
          <w:szCs w:val="20"/>
          <w:lang w:eastAsia="ar-SA"/>
        </w:rPr>
        <w:t xml:space="preserve">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444B488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91D76" w14:textId="269EB22F"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 xml:space="preserve">Nadzor nad delom </w:t>
      </w:r>
      <w:r w:rsidR="00621EAE" w:rsidRPr="005C544E">
        <w:rPr>
          <w:rFonts w:ascii="Arial" w:eastAsia="Times New Roman" w:hAnsi="Arial" w:cs="Arial"/>
          <w:b/>
          <w:sz w:val="20"/>
          <w:szCs w:val="20"/>
          <w:lang w:eastAsia="sl-SI"/>
        </w:rPr>
        <w:t>KPK</w:t>
      </w:r>
      <w:r w:rsidRPr="005C544E">
        <w:rPr>
          <w:rFonts w:ascii="Arial" w:eastAsia="Times New Roman" w:hAnsi="Arial" w:cs="Arial"/>
          <w:b/>
          <w:sz w:val="20"/>
          <w:szCs w:val="20"/>
          <w:lang w:eastAsia="sl-SI"/>
        </w:rPr>
        <w:t>:</w:t>
      </w:r>
    </w:p>
    <w:p w14:paraId="1F5BEBDF" w14:textId="391D2414"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Z dopolnitvijo določb o nadzoru državnega zbora nad delom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se izenačujejo obveznosti funkcionarjev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z obveznostmi drugih funkcionarjev pri institutih, ki veljajo za ene in druge. Poleg tega je bilo določbo potrebno dopolniti, ker je v dosedanji ureditvi izostala podlaga za nadzor državnega zbora nad omejitvami poslovanja funkcionarjev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w:t>
      </w:r>
    </w:p>
    <w:p w14:paraId="24747FB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4553234"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Sprejemanje daril:</w:t>
      </w:r>
    </w:p>
    <w:p w14:paraId="7373C5BC" w14:textId="0285F53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sz w:val="20"/>
          <w:szCs w:val="20"/>
          <w:lang w:eastAsia="ar-SA"/>
        </w:rPr>
        <w:t>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(ne glede na vrednost), ki jih v imenu organa prejme uradna oseba</w:t>
      </w:r>
      <w:r w:rsidR="0093568D" w:rsidRPr="005C544E">
        <w:rPr>
          <w:rFonts w:ascii="Arial" w:eastAsia="Times New Roman" w:hAnsi="Arial" w:cs="Arial"/>
          <w:sz w:val="20"/>
          <w:szCs w:val="20"/>
          <w:lang w:eastAsia="ar-SA"/>
        </w:rPr>
        <w:t xml:space="preserve"> ali njen družinski član</w:t>
      </w:r>
      <w:r w:rsidRPr="005C544E">
        <w:rPr>
          <w:rFonts w:ascii="Arial" w:eastAsia="Times New Roman" w:hAnsi="Arial" w:cs="Arial"/>
          <w:sz w:val="20"/>
          <w:szCs w:val="20"/>
          <w:lang w:eastAsia="ar-SA"/>
        </w:rPr>
        <w:t>, pri čemer se določa omejitev, da ne gre za darila, ki bi bila motivirana s pričakovanjem kakršnihkoli drugih koristi, uslug, prednosti v postopkih, ki so v pristojnosti konkretnega organa ali organizacije, druga izjema so darila, ki se tradicionalno izročajo ob določenih dogodkih v vrednosti do 60 EUR ne glede na število darovalcev</w:t>
      </w:r>
      <w:r w:rsidR="0093568D" w:rsidRPr="005C544E">
        <w:rPr>
          <w:rFonts w:ascii="Arial" w:eastAsia="Times New Roman" w:hAnsi="Arial" w:cs="Arial"/>
          <w:sz w:val="20"/>
          <w:szCs w:val="20"/>
          <w:lang w:eastAsia="ar-SA"/>
        </w:rPr>
        <w:t xml:space="preserve"> in darila, ki so običajna pri diplomatskih aktivnostih</w:t>
      </w:r>
      <w:r w:rsidRPr="005C544E">
        <w:rPr>
          <w:rFonts w:ascii="Arial" w:eastAsia="Times New Roman" w:hAnsi="Arial" w:cs="Arial"/>
          <w:sz w:val="20"/>
          <w:szCs w:val="20"/>
          <w:lang w:eastAsia="ar-SA"/>
        </w:rPr>
        <w:t xml:space="preserve">. S predlagano enotno ureditvijo se na strani KPK določa obveznost izdaje pravilnika s katerim se podrobneje uredi način razpolaganja z darili, določanja vrednosti daril, vodenja seznama daril ter druga izvedbena vprašanja v zvezi z izvajanjem predlagane ureditve. </w:t>
      </w:r>
    </w:p>
    <w:p w14:paraId="3B75BD2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EE549F8"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Omejitve poslovanja:</w:t>
      </w:r>
    </w:p>
    <w:p w14:paraId="2D5384A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sl-SI"/>
        </w:rPr>
        <w:t>Predlagana ureditev prinaša dodatno</w:t>
      </w:r>
      <w:r w:rsidRPr="005C544E">
        <w:rPr>
          <w:rFonts w:ascii="Arial" w:eastAsia="Times New Roman" w:hAnsi="Arial" w:cs="Arial"/>
          <w:sz w:val="20"/>
          <w:szCs w:val="20"/>
          <w:lang w:eastAsia="ar-SA"/>
        </w:rPr>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81531DD"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6026EFC2"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Nasprotje interesov:</w:t>
      </w:r>
    </w:p>
    <w:p w14:paraId="50C8C4B6" w14:textId="26F3589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w:t>
      </w:r>
      <w:r w:rsidRPr="005C544E">
        <w:rPr>
          <w:rFonts w:ascii="Helv" w:eastAsia="Times New Roman" w:hAnsi="Helv" w:cs="Helv"/>
          <w:sz w:val="20"/>
          <w:szCs w:val="20"/>
          <w:lang w:eastAsia="ar-SA"/>
        </w:rPr>
        <w:t>poslovodne osebe in člani organov upravljanja, vodenja ter nadzora v gospodarskih družbah, v katerih ima večinski delež oziroma prevladujoč vpliv država ali lokalna skupnost)</w:t>
      </w:r>
      <w:r w:rsidRPr="005C544E">
        <w:rPr>
          <w:rFonts w:ascii="Arial" w:eastAsia="Times New Roman" w:hAnsi="Arial" w:cs="Arial"/>
          <w:sz w:val="20"/>
          <w:szCs w:val="20"/>
          <w:lang w:eastAsia="ar-SA"/>
        </w:rPr>
        <w:t>.</w:t>
      </w:r>
    </w:p>
    <w:p w14:paraId="412F4EC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EEE5899" w14:textId="18F0DBC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Institut dolžn</w:t>
      </w:r>
      <w:r w:rsidR="002A11C6" w:rsidRPr="005C544E">
        <w:rPr>
          <w:rFonts w:ascii="Arial" w:eastAsia="Times New Roman" w:hAnsi="Arial" w:cs="Arial"/>
          <w:bCs/>
          <w:sz w:val="20"/>
          <w:szCs w:val="20"/>
          <w:lang w:eastAsia="ar-SA"/>
        </w:rPr>
        <w:t>osti</w:t>
      </w:r>
      <w:r w:rsidRPr="005C544E">
        <w:rPr>
          <w:rFonts w:ascii="Arial" w:eastAsia="Times New Roman" w:hAnsi="Arial" w:cs="Arial"/>
          <w:bCs/>
          <w:sz w:val="20"/>
          <w:szCs w:val="20"/>
          <w:lang w:eastAsia="ar-SA"/>
        </w:rPr>
        <w:t xml:space="preserve">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neposreden vpliv zasebnega interesa na izvrševanje javne funkcije, kar lahko pripelje k dajanju neupravičene koristi s posameznikom povezani osebi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28C9CEC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10EA965" w14:textId="6B2B392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S predlaganimi spremembami se posebej kot samostojen ukrep za odpravo nasprotja interesov ureja prenehanje dela uradne osebe na zadevi v primeru, ko so podane okoliščine nasprotja interesov, s čimer se zagotavlja in dviguje integriteta ter ugled ne le konkretnega posameznika in subjekta, ki ga predstavlja, ampak tudi javnega sektorja kot celote.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w:t>
      </w:r>
    </w:p>
    <w:p w14:paraId="0A85604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CA9247" w14:textId="743C764A"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w:t>
      </w:r>
      <w:r w:rsidR="00A04C2E" w:rsidRPr="005C544E">
        <w:rPr>
          <w:rFonts w:ascii="Arial" w:eastAsia="Times New Roman" w:hAnsi="Arial" w:cs="Arial"/>
          <w:sz w:val="20"/>
          <w:szCs w:val="20"/>
          <w:lang w:eastAsia="ar-SA"/>
        </w:rPr>
        <w:t xml:space="preserve">kot tudi </w:t>
      </w:r>
      <w:r w:rsidRPr="005C544E">
        <w:rPr>
          <w:rFonts w:ascii="Arial" w:eastAsia="Times New Roman" w:hAnsi="Arial" w:cs="Arial"/>
          <w:sz w:val="20"/>
          <w:szCs w:val="20"/>
          <w:lang w:eastAsia="ar-SA"/>
        </w:rPr>
        <w:t xml:space="preserve">možnost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w:t>
      </w:r>
      <w:r w:rsidR="00A04C2E" w:rsidRPr="005C544E">
        <w:rPr>
          <w:rFonts w:ascii="Arial" w:eastAsia="Times New Roman" w:hAnsi="Arial" w:cs="Arial"/>
          <w:sz w:val="20"/>
          <w:szCs w:val="20"/>
          <w:lang w:eastAsia="ar-SA"/>
        </w:rPr>
        <w:t>eg</w:t>
      </w:r>
      <w:r w:rsidRPr="005C544E">
        <w:rPr>
          <w:rFonts w:ascii="Arial" w:eastAsia="Times New Roman" w:hAnsi="Arial" w:cs="Arial"/>
          <w:sz w:val="20"/>
          <w:szCs w:val="20"/>
          <w:lang w:eastAsia="ar-SA"/>
        </w:rPr>
        <w:t>a ali predstojnika.</w:t>
      </w:r>
    </w:p>
    <w:p w14:paraId="2B5A808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10FCF" w14:textId="599401C3" w:rsidR="0055047E" w:rsidRPr="005C544E"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 xml:space="preserve">se pri svojem delu razmeroma pogosto srečuje s problemom nasprotja interesov pri delovanju različnih </w:t>
      </w:r>
      <w:r w:rsidRPr="005C544E">
        <w:rPr>
          <w:rFonts w:ascii="Arial" w:eastAsia="Times New Roman" w:hAnsi="Arial" w:cs="Arial"/>
          <w:sz w:val="20"/>
          <w:szCs w:val="20"/>
          <w:lang w:eastAsia="ar-SA"/>
        </w:rPr>
        <w:t>KPK</w:t>
      </w:r>
      <w:r w:rsidR="0055047E" w:rsidRPr="005C544E">
        <w:rPr>
          <w:rFonts w:ascii="Arial" w:eastAsia="Times New Roman" w:hAnsi="Arial" w:cs="Arial"/>
          <w:sz w:val="20"/>
          <w:szCs w:val="20"/>
          <w:lang w:eastAsia="ar-SA"/>
        </w:rPr>
        <w:t xml:space="preserve">, svetov, delovnih skupin in drugih posvetovalnih ali strokovnih teles, v katerih sodelujejo zunanji člani, ki glede na status oziroma položaj </w:t>
      </w:r>
      <w:r w:rsidRPr="005C544E">
        <w:rPr>
          <w:rFonts w:ascii="Arial" w:eastAsia="Times New Roman" w:hAnsi="Arial" w:cs="Arial"/>
          <w:sz w:val="20"/>
          <w:szCs w:val="20"/>
          <w:lang w:eastAsia="ar-SA"/>
        </w:rPr>
        <w:t>KPK</w:t>
      </w:r>
      <w:r w:rsidR="0055047E" w:rsidRPr="005C544E">
        <w:rPr>
          <w:rFonts w:ascii="Arial" w:eastAsia="Times New Roman" w:hAnsi="Arial" w:cs="Arial"/>
          <w:sz w:val="20"/>
          <w:szCs w:val="20"/>
          <w:lang w:eastAsia="ar-SA"/>
        </w:rPr>
        <w:t>,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25C8597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1CAE81"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Prijava premoženjskega stanja in nadzor nad premoženjskim stanjem ter spletna objava podatkov:</w:t>
      </w:r>
    </w:p>
    <w:p w14:paraId="715F4B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 xml:space="preserve">Predlog zakona širi krog zavezancev za prijavo premoženjskega stanja na člane državnega sveta, </w:t>
      </w:r>
      <w:r w:rsidRPr="005C544E">
        <w:rPr>
          <w:rFonts w:ascii="Arial" w:eastAsia="Times New Roman" w:hAnsi="Arial" w:cs="Arial"/>
          <w:sz w:val="20"/>
          <w:szCs w:val="20"/>
          <w:lang w:eastAsia="ar-SA"/>
        </w:rPr>
        <w:t>člane organov nadzora v javnih podjetjih in gospodarskih družbah, v katerih imata država ali lokalna skupnost večinski delež ali prevladujoč vpliv, s širitvijo definicije »poslovodne osebe« pa tudi na poslovodne osebe pravnih oseb, ki jih je ustanovila država ali lokalna skupnost in drugih pravnih oseb, v katerih imata država ali lokalna skupnost večinski delež ali prevladujoč vpliv. Glede sporočanja sprememb podatkov pa se po izteku prehodnega obdobja namesto dosedanjega enkrat letnega sporočanja sprememb predlaga sporočanje v 30 dneh po nastanku vsake spremembe.</w:t>
      </w:r>
    </w:p>
    <w:p w14:paraId="6FEFA9D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54987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Podrobneje se določa pravila nadzora in ugotavljanja nesorazmernega povečanja premoženja zavezanca in možnost razširitve nadzora tudi na družinske člane zavezanca, vključujoč pravice zavezancev nad katerimi se izvaja nadzor.</w:t>
      </w:r>
    </w:p>
    <w:p w14:paraId="4069FFF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8CC446" w14:textId="15B9021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Dober sistem nadzora nad premoženjskim stanjem lahko bistveno prispeva k večji preglednosti in zaupanju v celotno </w:t>
      </w:r>
      <w:r w:rsidR="00E67566" w:rsidRPr="005C544E">
        <w:rPr>
          <w:rFonts w:ascii="Arial" w:eastAsia="Times New Roman" w:hAnsi="Arial" w:cs="Arial"/>
          <w:bCs/>
          <w:sz w:val="20"/>
          <w:szCs w:val="20"/>
          <w:lang w:eastAsia="ar-SA"/>
        </w:rPr>
        <w:t>javni sektor</w:t>
      </w:r>
      <w:r w:rsidRPr="005C544E">
        <w:rPr>
          <w:rFonts w:ascii="Arial" w:eastAsia="Times New Roman" w:hAnsi="Arial" w:cs="Arial"/>
          <w:bCs/>
          <w:sz w:val="20"/>
          <w:szCs w:val="20"/>
          <w:lang w:eastAsia="ar-SA"/>
        </w:rPr>
        <w:t xml:space="preserve">, saj z razkritjem </w:t>
      </w:r>
      <w:r w:rsidR="00E67566" w:rsidRPr="005C544E">
        <w:rPr>
          <w:rFonts w:ascii="Arial" w:eastAsia="Times New Roman" w:hAnsi="Arial" w:cs="Arial"/>
          <w:bCs/>
          <w:sz w:val="20"/>
          <w:szCs w:val="20"/>
          <w:lang w:eastAsia="ar-SA"/>
        </w:rPr>
        <w:t xml:space="preserve">premoženjskega stanja </w:t>
      </w:r>
      <w:r w:rsidR="00CA6358" w:rsidRPr="005C544E">
        <w:rPr>
          <w:rFonts w:ascii="Arial" w:eastAsia="Times New Roman" w:hAnsi="Arial" w:cs="Arial"/>
          <w:bCs/>
          <w:sz w:val="20"/>
          <w:szCs w:val="20"/>
          <w:lang w:eastAsia="ar-SA"/>
        </w:rPr>
        <w:t xml:space="preserve">zavezanci </w:t>
      </w:r>
      <w:r w:rsidRPr="005C544E">
        <w:rPr>
          <w:rFonts w:ascii="Arial" w:eastAsia="Times New Roman" w:hAnsi="Arial" w:cs="Arial"/>
          <w:bCs/>
          <w:sz w:val="20"/>
          <w:szCs w:val="20"/>
          <w:lang w:eastAsia="ar-SA"/>
        </w:rPr>
        <w:t>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interesih bodisi poročil o premoženjskem stanju</w:t>
      </w:r>
      <w:r w:rsidR="00E67566" w:rsidRPr="005C544E">
        <w:rPr>
          <w:rFonts w:ascii="Arial" w:eastAsia="Times New Roman" w:hAnsi="Arial" w:cs="Arial"/>
          <w:bCs/>
          <w:sz w:val="20"/>
          <w:szCs w:val="20"/>
          <w:lang w:eastAsia="ar-SA"/>
        </w:rPr>
        <w:t>,</w:t>
      </w:r>
      <w:r w:rsidRPr="005C544E">
        <w:rPr>
          <w:rFonts w:ascii="Arial" w:eastAsia="Times New Roman" w:hAnsi="Arial" w:cs="Arial"/>
          <w:bCs/>
          <w:sz w:val="20"/>
          <w:szCs w:val="20"/>
          <w:lang w:eastAsia="ar-SA"/>
        </w:rPr>
        <w:t xml:space="preserve"> je določena med kar nekaj članicami organizacije OECD in Skupine držav za boj proti korupciji (GRECO), npr. v Španiji (poslanci), Franciji (ministri in predsednik vlade), Estoniji, Latviji in Litvi. Predlog zakona določa spletno objavo podatkov o </w:t>
      </w:r>
      <w:r w:rsidRPr="005C544E">
        <w:rPr>
          <w:rFonts w:ascii="Arial" w:eastAsia="Times New Roman" w:hAnsi="Arial" w:cs="Arial"/>
          <w:sz w:val="20"/>
          <w:szCs w:val="20"/>
          <w:lang w:eastAsia="ar-SA"/>
        </w:rPr>
        <w:t>spremembah premoženjskega stanja</w:t>
      </w:r>
      <w:r w:rsidRPr="005C544E">
        <w:rPr>
          <w:rFonts w:ascii="Arial" w:eastAsia="Times New Roman" w:hAnsi="Arial" w:cs="Arial"/>
          <w:bCs/>
          <w:sz w:val="20"/>
          <w:szCs w:val="20"/>
          <w:lang w:eastAsia="ar-SA"/>
        </w:rPr>
        <w:t xml:space="preserve"> za funkcionarje, ki zasedajo ene najbolj odgovornih položajev v državi: poslanci in predsednik državnega zbora, predsednik državnega sveta, predsednik republike, predsednik vlade, ministri, državni sekretarji, poklicni in nepoklicni župani ter podžupani, člani Sveta Banke Slovenije, funkcionarji samostojnih in neodvisnih državnih organov, ki opravljajo naloge predstojnika ali njegovega namestnika in ustavni sodniki.</w:t>
      </w:r>
    </w:p>
    <w:p w14:paraId="5C5297B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2D245"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Lobiranje:</w:t>
      </w:r>
    </w:p>
    <w:p w14:paraId="069980E7" w14:textId="4E79C16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Na novo se uvaja obveznost poročanja o lobističnih stikih tudi za interesne organizacije. </w:t>
      </w:r>
      <w:r w:rsidR="00E67566" w:rsidRPr="005C544E">
        <w:rPr>
          <w:rFonts w:ascii="Arial" w:eastAsia="Times New Roman" w:hAnsi="Arial" w:cs="Arial"/>
          <w:bCs/>
          <w:sz w:val="20"/>
          <w:szCs w:val="20"/>
          <w:lang w:eastAsia="ar-SA"/>
        </w:rPr>
        <w:t xml:space="preserve">Iz obveznosti so izvzete organizacije, ki nimajo zaposlenih. </w:t>
      </w:r>
      <w:r w:rsidRPr="005C544E">
        <w:rPr>
          <w:rFonts w:ascii="Arial" w:eastAsia="Times New Roman" w:hAnsi="Arial" w:cs="Arial"/>
          <w:sz w:val="20"/>
          <w:szCs w:val="20"/>
          <w:lang w:eastAsia="ar-SA"/>
        </w:rPr>
        <w:t xml:space="preserve">Ker veljavna ureditev na strani lobirancev narekuje sestavo zapisa o vsakem stiku z lobistom, ki ima namen lobirati, je zaradi izvajanja nadzora nad določbami zakona o lobiranju potrebno na drugi strani (tako kot velja za registrirane lobiste) določiti dolžnost posredovanja letnega poročila tudi za interesne organizacije iz četrtega odstavka 58. člena ZIntPK. </w:t>
      </w:r>
      <w:r w:rsidRPr="005C544E">
        <w:rPr>
          <w:rFonts w:ascii="Arial" w:eastAsia="Times New Roman" w:hAnsi="Arial" w:cs="Arial"/>
          <w:bCs/>
          <w:sz w:val="20"/>
          <w:szCs w:val="20"/>
          <w:lang w:eastAsia="ar-SA"/>
        </w:rPr>
        <w:t>Predlog zakona določa javno objavo podatkov o lobističnih stikih in možnost njihove ponovne uporabe.</w:t>
      </w:r>
    </w:p>
    <w:p w14:paraId="49F2DD9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52C6C49" w14:textId="77777777" w:rsidR="0055047E" w:rsidRPr="005C544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C544E">
        <w:rPr>
          <w:rFonts w:ascii="Arial" w:eastAsia="Times New Roman" w:hAnsi="Arial" w:cs="Arial"/>
          <w:b/>
          <w:sz w:val="20"/>
          <w:szCs w:val="20"/>
          <w:lang w:eastAsia="sl-SI"/>
        </w:rPr>
        <w:t>Pridobivanje, uporaba, obdelava in objava podatkov o denarnih tokovih subjektov javnega sektorja:</w:t>
      </w:r>
    </w:p>
    <w:p w14:paraId="1442F25B" w14:textId="743FAE59"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za pregledovanje finančnih transakcij v breme proračunskih uporabnikov, ki je bila prvič vzpostavljena leta 2011 (</w:t>
      </w:r>
      <w:r w:rsidR="00E67566" w:rsidRPr="005C544E">
        <w:rPr>
          <w:rFonts w:ascii="Arial" w:eastAsia="Times New Roman" w:hAnsi="Arial" w:cs="Arial"/>
          <w:sz w:val="20"/>
          <w:szCs w:val="20"/>
          <w:lang w:eastAsia="ar-SA"/>
        </w:rPr>
        <w:t xml:space="preserve">takrat pod imenom </w:t>
      </w:r>
      <w:r w:rsidRPr="005C544E">
        <w:rPr>
          <w:rFonts w:ascii="Arial" w:eastAsia="Times New Roman" w:hAnsi="Arial" w:cs="Arial"/>
          <w:sz w:val="20"/>
          <w:szCs w:val="20"/>
          <w:lang w:eastAsia="ar-SA"/>
        </w:rPr>
        <w:t>Supervizor) in je leta 2013 prejela nagrado Združenih narodov za odličnost v javni upravi, je bila v letu 2016 na novo sprogramirana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67584B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A064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Aplikacija Erar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Podatki o e-računih se sicer v aplikaciji od maja 2018 naprej več ne osvežujejo. Aplikacijo bo v prihodnje mogoče nadgraditi tudi z drugimi javno dostopnimi podatki, zato se ocenjuje, da je potrebno za potrebe nadaljnjega delovanja in nadgradnje aplikacije obstoječe pravne podlage dopolniti ter vsebino urediti v posebnem členu.</w:t>
      </w:r>
    </w:p>
    <w:p w14:paraId="35B09542" w14:textId="77777777" w:rsidR="0055047E" w:rsidRPr="00FB34F5" w:rsidRDefault="0055047E" w:rsidP="0055047E">
      <w:pPr>
        <w:suppressAutoHyphens/>
        <w:overflowPunct w:val="0"/>
        <w:autoSpaceDE w:val="0"/>
        <w:spacing w:after="0" w:line="240" w:lineRule="auto"/>
        <w:jc w:val="both"/>
        <w:textAlignment w:val="baseline"/>
        <w:rPr>
          <w:rFonts w:ascii="Arial" w:eastAsia="Times New Roman" w:hAnsi="Arial" w:cs="Arial"/>
          <w:iCs/>
          <w:sz w:val="20"/>
          <w:szCs w:val="20"/>
          <w:lang w:eastAsia="sl-SI"/>
        </w:rPr>
      </w:pPr>
    </w:p>
    <w:p w14:paraId="530CBC7C"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Normativna usklajenost predloga zakona</w:t>
      </w:r>
    </w:p>
    <w:p w14:paraId="2AA7B844" w14:textId="407502B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5C544E">
        <w:rPr>
          <w:rFonts w:ascii="Arial" w:eastAsia="Times New Roman" w:hAnsi="Arial" w:cs="Arial"/>
          <w:sz w:val="20"/>
          <w:szCs w:val="20"/>
          <w:lang w:eastAsia="pl-PL"/>
        </w:rPr>
        <w:t xml:space="preserve">Predlog zakona je usklajen z veljavnim pravnim redom, s splošno veljavnimi načeli mednarodnega prava in mednarodnimi pogodbami, ki zavezujejo </w:t>
      </w:r>
      <w:r w:rsidR="00CA6358" w:rsidRPr="005C544E">
        <w:rPr>
          <w:rFonts w:ascii="Arial" w:eastAsia="Times New Roman" w:hAnsi="Arial" w:cs="Arial"/>
          <w:sz w:val="20"/>
          <w:szCs w:val="20"/>
          <w:lang w:eastAsia="pl-PL"/>
        </w:rPr>
        <w:t>Republiko Slovenijo</w:t>
      </w:r>
      <w:r w:rsidRPr="005C544E">
        <w:rPr>
          <w:rFonts w:ascii="Arial" w:eastAsia="Times New Roman" w:hAnsi="Arial" w:cs="Arial"/>
          <w:sz w:val="20"/>
          <w:szCs w:val="20"/>
          <w:lang w:eastAsia="pl-PL"/>
        </w:rPr>
        <w:t xml:space="preserve">. Predlog zakona kandidacijski komisiji, ki jo imenuje predsednik republike narekuje sprejem poslovnika, v katerem se natančneje določijo način ugotavljanja izpolnjevanja zakonskih pogojev za imenovanje funkcionarjev </w:t>
      </w:r>
      <w:r w:rsidR="00621EAE" w:rsidRPr="005C544E">
        <w:rPr>
          <w:rFonts w:ascii="Arial" w:eastAsia="Times New Roman" w:hAnsi="Arial" w:cs="Arial"/>
          <w:sz w:val="20"/>
          <w:szCs w:val="20"/>
          <w:lang w:eastAsia="pl-PL"/>
        </w:rPr>
        <w:t>KPK</w:t>
      </w:r>
      <w:r w:rsidRPr="005C544E">
        <w:rPr>
          <w:rFonts w:ascii="Arial" w:eastAsia="Times New Roman" w:hAnsi="Arial" w:cs="Arial"/>
          <w:sz w:val="20"/>
          <w:szCs w:val="20"/>
          <w:lang w:eastAsia="pl-PL"/>
        </w:rPr>
        <w:t xml:space="preserve">, način njenega delovanja, vsebina posameznih meril in metod za izbiro. Predlog zakona za potrebe uskladitve z določbami tega zakona predvideva sprejem novega poslovnika KPK. </w:t>
      </w:r>
      <w:r w:rsidRPr="00FA5EB7">
        <w:rPr>
          <w:rFonts w:ascii="Arial" w:eastAsia="Times New Roman" w:hAnsi="Arial" w:cs="Arial"/>
          <w:sz w:val="20"/>
          <w:szCs w:val="20"/>
          <w:lang w:eastAsia="pl-PL"/>
        </w:rPr>
        <w:t xml:space="preserve">Zaradi enotne ureditve na področju daril se predvideva prenehanje veljavnosti dveh podzakonskih aktov, ki urejata način razpolaganja z darili, ki jih sprejme funkcionar oziroma omejitve in dolžnosti javnih uslužbencev v zvezi s sprejemanjem daril in sprejem </w:t>
      </w:r>
      <w:r w:rsidR="002A11C6" w:rsidRPr="00FA5EB7">
        <w:rPr>
          <w:rFonts w:ascii="Arial" w:eastAsia="Times New Roman" w:hAnsi="Arial" w:cs="Arial"/>
          <w:sz w:val="20"/>
          <w:szCs w:val="20"/>
          <w:lang w:eastAsia="pl-PL"/>
        </w:rPr>
        <w:t xml:space="preserve">novega </w:t>
      </w:r>
      <w:r w:rsidRPr="00FA5EB7">
        <w:rPr>
          <w:rFonts w:ascii="Arial" w:eastAsia="Times New Roman" w:hAnsi="Arial" w:cs="Arial"/>
          <w:sz w:val="20"/>
          <w:szCs w:val="20"/>
          <w:lang w:eastAsia="pl-PL"/>
        </w:rPr>
        <w:t>pravilnika, ki bo na izvedbeni ravni urejal obravnavno vsebino.</w:t>
      </w:r>
    </w:p>
    <w:p w14:paraId="7F54CCA9" w14:textId="77777777" w:rsidR="0055047E" w:rsidRPr="00FB34F5"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3C65E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pl-PL"/>
        </w:rPr>
      </w:pPr>
      <w:r w:rsidRPr="005C544E">
        <w:rPr>
          <w:rFonts w:ascii="Arial" w:eastAsia="Times New Roman" w:hAnsi="Arial" w:cs="Arial"/>
          <w:sz w:val="20"/>
          <w:szCs w:val="20"/>
          <w:lang w:eastAsia="pl-PL"/>
        </w:rPr>
        <w:t>Predlog zakona v prehodnih določbah predvideva prenehanje veljavnosti eksplicitno navedenih določb Zakona o poslancih in Zakona o gospodarskih družbah, prav tako pa spreminja določbe Zakona o poslancih, da se doseže enotna ureditev instituta nezdružljivosti funkcij.</w:t>
      </w:r>
    </w:p>
    <w:p w14:paraId="6F1F431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5D84ED" w14:textId="77777777" w:rsidR="0055047E" w:rsidRPr="0055047E" w:rsidRDefault="0055047E" w:rsidP="0055047E">
      <w:pPr>
        <w:spacing w:after="0" w:line="276" w:lineRule="auto"/>
        <w:jc w:val="both"/>
        <w:outlineLvl w:val="2"/>
        <w:rPr>
          <w:rFonts w:ascii="Arial" w:eastAsia="Times New Roman" w:hAnsi="Arial" w:cs="Arial"/>
          <w:b/>
          <w:lang w:eastAsia="pl-PL"/>
        </w:rPr>
      </w:pPr>
      <w:r w:rsidRPr="0055047E">
        <w:rPr>
          <w:rFonts w:ascii="Arial" w:eastAsia="Times New Roman" w:hAnsi="Arial" w:cs="Arial"/>
          <w:b/>
          <w:lang w:eastAsia="pl-PL"/>
        </w:rPr>
        <w:t>c) Usklajenost predloga zakona</w:t>
      </w:r>
    </w:p>
    <w:p w14:paraId="18F73A87" w14:textId="1456401B" w:rsidR="00B8560C" w:rsidRPr="0055047E" w:rsidRDefault="001C50C7" w:rsidP="001C50C7">
      <w:pPr>
        <w:suppressAutoHyphens/>
        <w:overflowPunct w:val="0"/>
        <w:autoSpaceDE w:val="0"/>
        <w:spacing w:after="0" w:line="240" w:lineRule="auto"/>
        <w:jc w:val="both"/>
        <w:textAlignment w:val="baseline"/>
        <w:rPr>
          <w:rFonts w:ascii="Arial" w:eastAsia="Times New Roman" w:hAnsi="Arial" w:cs="Arial"/>
          <w:szCs w:val="16"/>
        </w:rPr>
      </w:pPr>
      <w:r w:rsidRPr="005C544E">
        <w:rPr>
          <w:rFonts w:ascii="Arial" w:eastAsia="Times New Roman" w:hAnsi="Arial" w:cs="Arial"/>
          <w:sz w:val="20"/>
          <w:szCs w:val="20"/>
        </w:rPr>
        <w:t>Usklajenost predloga novele (pripombe strokovne javnosti in opredelitve predlagatelja) so podrobneje prikazani v točki 7. uvodne obrazložitve predlaga zakona.</w:t>
      </w:r>
    </w:p>
    <w:p w14:paraId="7AEC144B" w14:textId="77777777" w:rsidR="00A04C2E" w:rsidRPr="005C544E" w:rsidRDefault="00A04C2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6861AD"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 xml:space="preserve">3. OCENA FINANČNIH POSLEDIC PREDLOGA ZAKONA ZA DRŽAVNI PRORAČUN IN DRUGA </w:t>
      </w:r>
      <w:r w:rsidRPr="0055047E">
        <w:rPr>
          <w:rFonts w:ascii="Arial" w:eastAsia="Times New Roman" w:hAnsi="Arial" w:cs="Arial"/>
          <w:b/>
          <w:bCs/>
          <w:sz w:val="20"/>
          <w:szCs w:val="20"/>
        </w:rPr>
        <w:t>JAVNOFINANČNA</w:t>
      </w:r>
      <w:r w:rsidRPr="0055047E">
        <w:rPr>
          <w:rFonts w:ascii="Arial" w:eastAsia="Times New Roman" w:hAnsi="Arial" w:cs="Arial"/>
          <w:b/>
          <w:sz w:val="20"/>
          <w:szCs w:val="16"/>
          <w:lang w:eastAsia="ar-SA"/>
        </w:rPr>
        <w:t xml:space="preserve"> SREDSTVA</w:t>
      </w:r>
    </w:p>
    <w:p w14:paraId="2E77EC4F" w14:textId="77777777" w:rsidR="0055047E" w:rsidRPr="00FB34F5" w:rsidRDefault="0055047E" w:rsidP="0055047E">
      <w:pPr>
        <w:spacing w:after="0" w:line="260" w:lineRule="atLeast"/>
        <w:jc w:val="both"/>
        <w:rPr>
          <w:rFonts w:ascii="Arial" w:eastAsia="Times New Roman" w:hAnsi="Arial" w:cs="Arial"/>
          <w:b/>
          <w:sz w:val="20"/>
          <w:szCs w:val="20"/>
          <w:lang w:eastAsia="ar-SA"/>
        </w:rPr>
      </w:pPr>
    </w:p>
    <w:p w14:paraId="49B170F5" w14:textId="22D4F5C4" w:rsidR="0055047E" w:rsidRPr="005C544E" w:rsidRDefault="0055047E" w:rsidP="0055047E">
      <w:pPr>
        <w:spacing w:after="0" w:line="260" w:lineRule="atLeast"/>
        <w:jc w:val="both"/>
        <w:rPr>
          <w:rFonts w:ascii="Arial" w:eastAsia="Times New Roman" w:hAnsi="Arial" w:cs="Arial"/>
          <w:sz w:val="20"/>
          <w:szCs w:val="20"/>
          <w:lang w:eastAsia="ar-SA"/>
        </w:rPr>
      </w:pPr>
      <w:bookmarkStart w:id="1" w:name="_Hlk9510963"/>
      <w:r w:rsidRPr="005C544E">
        <w:rPr>
          <w:rFonts w:ascii="Arial" w:eastAsia="Times New Roman" w:hAnsi="Arial" w:cs="Arial"/>
          <w:sz w:val="20"/>
          <w:szCs w:val="20"/>
          <w:lang w:eastAsia="ar-SA"/>
        </w:rPr>
        <w:t xml:space="preserve">Skladno s 6. členom ZIntPK se sredstva za delo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zagotavljajo v proračunu </w:t>
      </w:r>
      <w:r w:rsidR="00621EAE" w:rsidRPr="005C544E">
        <w:rPr>
          <w:rFonts w:ascii="Arial" w:eastAsia="Times New Roman" w:hAnsi="Arial" w:cs="Arial"/>
          <w:sz w:val="20"/>
          <w:szCs w:val="20"/>
          <w:lang w:eastAsia="ar-SA"/>
        </w:rPr>
        <w:t xml:space="preserve">Republike Slovenije </w:t>
      </w:r>
      <w:r w:rsidRPr="005C544E">
        <w:rPr>
          <w:rFonts w:ascii="Arial" w:eastAsia="Times New Roman" w:hAnsi="Arial" w:cs="Arial"/>
          <w:sz w:val="20"/>
          <w:szCs w:val="20"/>
          <w:lang w:eastAsia="ar-SA"/>
        </w:rPr>
        <w:t xml:space="preserve">na predlog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pri čemer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samostojno odloča o porabi proračunskih sredstev.</w:t>
      </w:r>
    </w:p>
    <w:p w14:paraId="3747542D" w14:textId="77777777" w:rsidR="0055047E" w:rsidRPr="005C544E" w:rsidRDefault="0055047E" w:rsidP="0055047E">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Finančne posledice zakona bodo nastale iz naslova:</w:t>
      </w:r>
    </w:p>
    <w:p w14:paraId="46750EC6" w14:textId="24B3B759"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širitve nekaterih pristojnosti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(krepitev pristojnosti na področju izvajanja sistemskih nadzorov, širitev pristojnosti na področju nasprotja interesov, širitev kroga zavezancev za poročanje podatkov o premoženjskem stanj</w:t>
      </w:r>
      <w:r w:rsidR="002A11C6" w:rsidRPr="005C544E">
        <w:rPr>
          <w:rFonts w:ascii="Arial" w:eastAsia="Times New Roman" w:hAnsi="Arial" w:cs="Arial"/>
          <w:sz w:val="20"/>
          <w:szCs w:val="20"/>
          <w:lang w:eastAsia="ar-SA"/>
        </w:rPr>
        <w:t>u</w:t>
      </w:r>
      <w:r w:rsidRPr="005C544E">
        <w:rPr>
          <w:rFonts w:ascii="Arial" w:eastAsia="Times New Roman" w:hAnsi="Arial" w:cs="Arial"/>
          <w:sz w:val="20"/>
          <w:szCs w:val="20"/>
          <w:lang w:eastAsia="ar-SA"/>
        </w:rPr>
        <w:t xml:space="preserve"> in posledično obsega nadzora nad premoženjskim stanjem novih zavezancev kot tudi nad družinskimi člani zavezancev, dodatne obremenitve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iz naslova letnega poročanja interesnih organizacij iz </w:t>
      </w:r>
      <w:r w:rsidR="00BB57C6" w:rsidRPr="005C544E">
        <w:rPr>
          <w:rFonts w:ascii="Arial" w:eastAsia="Times New Roman" w:hAnsi="Arial" w:cs="Arial"/>
          <w:sz w:val="20"/>
          <w:szCs w:val="20"/>
          <w:lang w:eastAsia="ar-SA"/>
        </w:rPr>
        <w:t>63</w:t>
      </w:r>
      <w:r w:rsidRPr="005C544E">
        <w:rPr>
          <w:rFonts w:ascii="Arial" w:eastAsia="Times New Roman" w:hAnsi="Arial" w:cs="Arial"/>
          <w:sz w:val="20"/>
          <w:szCs w:val="20"/>
          <w:lang w:eastAsia="ar-SA"/>
        </w:rPr>
        <w:t>. člena zakona, širitev pristojnosti na področju nezdružljivosti, omejitev poslovanja in na področju sprejemanja daril);</w:t>
      </w:r>
    </w:p>
    <w:p w14:paraId="13C4A643" w14:textId="1D8D8AE1"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uvedbe elektronskega poslovanja na posameznih področjih dela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7A2B1421" w14:textId="0AB7278C" w:rsidR="0055047E" w:rsidRPr="005C544E" w:rsidRDefault="0055047E" w:rsidP="006F190F">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zakonsko določene obveznosti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enkrat letnega (so)financiranja projektov neprofitnih organizacij s področja dela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w:t>
      </w:r>
    </w:p>
    <w:p w14:paraId="61B0343E" w14:textId="77777777" w:rsidR="0055047E" w:rsidRPr="005C544E" w:rsidRDefault="0055047E" w:rsidP="0055047E">
      <w:pPr>
        <w:spacing w:after="0" w:line="260" w:lineRule="atLeast"/>
        <w:jc w:val="both"/>
        <w:rPr>
          <w:rFonts w:ascii="Arial" w:eastAsia="Times New Roman" w:hAnsi="Arial" w:cs="Arial"/>
          <w:sz w:val="20"/>
          <w:szCs w:val="20"/>
          <w:lang w:eastAsia="ar-SA"/>
        </w:rPr>
      </w:pPr>
    </w:p>
    <w:p w14:paraId="3FD10AE9" w14:textId="2F74EC12" w:rsidR="0055047E" w:rsidRPr="005C544E" w:rsidRDefault="0055047E" w:rsidP="0055047E">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Za nemoteno izvajanje svojih pristojnosti in nalog, ki se s predlogom zakona širijo, bo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519C650F" w14:textId="77777777" w:rsidR="0055047E" w:rsidRPr="005C544E" w:rsidRDefault="0055047E" w:rsidP="0055047E">
      <w:pPr>
        <w:spacing w:after="0" w:line="260" w:lineRule="atLeast"/>
        <w:jc w:val="both"/>
        <w:rPr>
          <w:rFonts w:ascii="Arial" w:eastAsia="Times New Roman" w:hAnsi="Arial" w:cs="Arial"/>
          <w:sz w:val="20"/>
          <w:szCs w:val="20"/>
          <w:lang w:eastAsia="ar-SA"/>
        </w:rPr>
      </w:pPr>
    </w:p>
    <w:p w14:paraId="77DDD72C" w14:textId="33912995" w:rsidR="0055047E" w:rsidRPr="005C544E" w:rsidRDefault="00621EAE" w:rsidP="0055047E">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1494B450" w14:textId="77777777" w:rsidR="0055047E" w:rsidRPr="005C544E" w:rsidRDefault="0055047E" w:rsidP="0055047E">
      <w:pPr>
        <w:spacing w:after="0" w:line="260" w:lineRule="atLeast"/>
        <w:jc w:val="both"/>
        <w:rPr>
          <w:rFonts w:ascii="Arial" w:eastAsia="Times New Roman" w:hAnsi="Arial" w:cs="Arial"/>
          <w:sz w:val="20"/>
          <w:szCs w:val="20"/>
          <w:lang w:eastAsia="ar-SA"/>
        </w:rPr>
      </w:pPr>
    </w:p>
    <w:p w14:paraId="27D62852" w14:textId="62F51810" w:rsidR="0055047E" w:rsidRPr="005C544E" w:rsidRDefault="0055047E" w:rsidP="0055047E">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Za izvedbo financiranja projektov neprofitnih organizacij pa je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na letni ravni potrebno zagotoviti 30.000,00 EUR.</w:t>
      </w:r>
    </w:p>
    <w:bookmarkEnd w:id="1"/>
    <w:p w14:paraId="5DD5A1A9" w14:textId="77777777" w:rsidR="0055047E" w:rsidRPr="005C544E" w:rsidRDefault="0055047E" w:rsidP="0055047E">
      <w:pPr>
        <w:spacing w:after="0" w:line="260" w:lineRule="atLeast"/>
        <w:jc w:val="both"/>
        <w:rPr>
          <w:rFonts w:ascii="Arial" w:eastAsia="Times New Roman" w:hAnsi="Arial" w:cs="Arial"/>
          <w:sz w:val="20"/>
          <w:szCs w:val="20"/>
          <w:lang w:eastAsia="ar-SA"/>
        </w:rPr>
      </w:pPr>
    </w:p>
    <w:p w14:paraId="6642CBFA" w14:textId="7DA9165D" w:rsidR="00BB57C6" w:rsidRPr="005C544E" w:rsidRDefault="002D76E2" w:rsidP="002D76E2">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Sredstva za izvedbo predlaganih zakonskih rešitev bodo zagotovljena v okviru finančnega</w:t>
      </w:r>
      <w:r w:rsidR="00BB57C6" w:rsidRPr="005C544E">
        <w:rPr>
          <w:rFonts w:ascii="Arial" w:eastAsia="Times New Roman" w:hAnsi="Arial" w:cs="Arial"/>
          <w:sz w:val="20"/>
          <w:szCs w:val="20"/>
          <w:lang w:eastAsia="ar-SA"/>
        </w:rPr>
        <w:t xml:space="preserve"> </w:t>
      </w:r>
      <w:r w:rsidRPr="005C544E">
        <w:rPr>
          <w:rFonts w:ascii="Arial" w:eastAsia="Times New Roman" w:hAnsi="Arial" w:cs="Arial"/>
          <w:sz w:val="20"/>
          <w:szCs w:val="20"/>
          <w:lang w:eastAsia="ar-SA"/>
        </w:rPr>
        <w:t xml:space="preserve">načrta KPK ob pripravi proračunov za </w:t>
      </w:r>
      <w:r w:rsidRPr="00FA5EB7">
        <w:rPr>
          <w:rFonts w:ascii="Arial" w:eastAsia="Times New Roman" w:hAnsi="Arial" w:cs="Arial"/>
          <w:sz w:val="20"/>
          <w:szCs w:val="20"/>
          <w:lang w:eastAsia="ar-SA"/>
        </w:rPr>
        <w:t>leti 2020 in 2021.</w:t>
      </w:r>
    </w:p>
    <w:p w14:paraId="083DE2CA" w14:textId="77777777" w:rsidR="00BB57C6" w:rsidRPr="005C544E" w:rsidRDefault="00BB57C6" w:rsidP="002D76E2">
      <w:pPr>
        <w:spacing w:after="0" w:line="260" w:lineRule="atLeast"/>
        <w:jc w:val="both"/>
        <w:rPr>
          <w:rFonts w:ascii="Arial" w:eastAsia="Times New Roman" w:hAnsi="Arial" w:cs="Arial"/>
          <w:sz w:val="20"/>
          <w:szCs w:val="20"/>
          <w:lang w:eastAsia="ar-SA"/>
        </w:rPr>
      </w:pPr>
    </w:p>
    <w:p w14:paraId="647CB2C6" w14:textId="77777777" w:rsidR="0055047E" w:rsidRPr="005C544E" w:rsidRDefault="0055047E" w:rsidP="0055047E">
      <w:pPr>
        <w:spacing w:after="0" w:line="260" w:lineRule="atLeast"/>
        <w:jc w:val="both"/>
        <w:rPr>
          <w:rFonts w:ascii="Arial" w:eastAsia="Times New Roman" w:hAnsi="Arial" w:cs="Arial"/>
          <w:sz w:val="20"/>
          <w:szCs w:val="20"/>
          <w:lang w:eastAsia="ar-SA"/>
        </w:rPr>
      </w:pPr>
      <w:r w:rsidRPr="005C544E">
        <w:rPr>
          <w:rFonts w:ascii="Arial" w:eastAsia="Times New Roman" w:hAnsi="Arial" w:cs="Arial"/>
          <w:sz w:val="20"/>
          <w:szCs w:val="20"/>
          <w:lang w:eastAsia="ar-SA"/>
        </w:rPr>
        <w:t>Predlog zakona nima posledic za druga javna finančna sredstva.</w:t>
      </w:r>
    </w:p>
    <w:p w14:paraId="1EE35011" w14:textId="77777777" w:rsidR="0055047E" w:rsidRPr="00FB34F5" w:rsidRDefault="0055047E" w:rsidP="0055047E">
      <w:pPr>
        <w:spacing w:after="0" w:line="260" w:lineRule="atLeast"/>
        <w:jc w:val="both"/>
        <w:rPr>
          <w:rFonts w:ascii="Arial" w:eastAsia="Times New Roman" w:hAnsi="Arial" w:cs="Arial"/>
          <w:b/>
          <w:sz w:val="20"/>
          <w:szCs w:val="20"/>
          <w:lang w:eastAsia="ar-SA"/>
        </w:rPr>
      </w:pPr>
    </w:p>
    <w:p w14:paraId="11835281" w14:textId="77777777" w:rsidR="0055047E" w:rsidRPr="0055047E" w:rsidRDefault="0055047E" w:rsidP="0055047E">
      <w:pPr>
        <w:spacing w:after="0" w:line="260" w:lineRule="atLeast"/>
        <w:jc w:val="both"/>
        <w:outlineLvl w:val="0"/>
        <w:rPr>
          <w:rFonts w:ascii="Arial" w:eastAsia="Times New Roman" w:hAnsi="Arial" w:cs="Arial"/>
          <w:b/>
          <w:bCs/>
          <w:sz w:val="20"/>
          <w:szCs w:val="20"/>
        </w:rPr>
      </w:pPr>
      <w:r w:rsidRPr="0055047E">
        <w:rPr>
          <w:rFonts w:ascii="Arial" w:eastAsia="Times New Roman" w:hAnsi="Arial" w:cs="Arial"/>
          <w:b/>
          <w:sz w:val="20"/>
          <w:szCs w:val="16"/>
          <w:lang w:eastAsia="ar-SA"/>
        </w:rPr>
        <w:t>4. NAVEDBA, DA SO SREDSTVA ZA IZVAJANJE ZAKONA V DRŽAVNEM PRORAČUNU ZAGOTOVLJENA, ČE PREDLOG ZAKONA PREDVIDEVA PORABO PRORAČUNSKIH SREDSTEV V OBDOBJU, ZA KATERO JE BIL DRŽAVNI PRORAČUN ŽE SPREJET</w:t>
      </w:r>
    </w:p>
    <w:p w14:paraId="7600C66C" w14:textId="77777777" w:rsidR="0055047E" w:rsidRPr="005C544E" w:rsidRDefault="0055047E" w:rsidP="0055047E">
      <w:pPr>
        <w:spacing w:after="0" w:line="260" w:lineRule="atLeast"/>
        <w:jc w:val="both"/>
        <w:rPr>
          <w:rFonts w:ascii="Arial" w:eastAsia="Times New Roman" w:hAnsi="Arial" w:cs="Arial"/>
          <w:b/>
          <w:sz w:val="20"/>
          <w:szCs w:val="20"/>
          <w:lang w:eastAsia="ar-SA"/>
        </w:rPr>
      </w:pPr>
    </w:p>
    <w:p w14:paraId="16C919D8" w14:textId="59F7B15E" w:rsidR="0055047E" w:rsidRPr="005C544E" w:rsidRDefault="0055047E" w:rsidP="0055047E">
      <w:pPr>
        <w:spacing w:after="0" w:line="260" w:lineRule="atLeast"/>
        <w:jc w:val="both"/>
        <w:rPr>
          <w:rFonts w:ascii="Arial" w:eastAsia="Times New Roman" w:hAnsi="Arial" w:cs="Arial"/>
          <w:sz w:val="20"/>
          <w:szCs w:val="20"/>
          <w:lang w:eastAsia="ar-SA"/>
        </w:rPr>
      </w:pPr>
      <w:r w:rsidRPr="00FA5EB7">
        <w:rPr>
          <w:rFonts w:ascii="Arial" w:eastAsia="Times New Roman" w:hAnsi="Arial" w:cs="Arial"/>
          <w:sz w:val="20"/>
          <w:szCs w:val="20"/>
          <w:lang w:eastAsia="ar-SA"/>
        </w:rPr>
        <w:t xml:space="preserve">Sredstva niso zagotovljena. Za leto 2020 </w:t>
      </w:r>
      <w:r w:rsidR="007A6BF6" w:rsidRPr="00FA5EB7">
        <w:rPr>
          <w:rFonts w:ascii="Arial" w:eastAsia="Times New Roman" w:hAnsi="Arial" w:cs="Arial"/>
          <w:sz w:val="20"/>
          <w:szCs w:val="20"/>
          <w:lang w:eastAsia="ar-SA"/>
        </w:rPr>
        <w:t xml:space="preserve">in </w:t>
      </w:r>
      <w:r w:rsidRPr="00FA5EB7">
        <w:rPr>
          <w:rFonts w:ascii="Arial" w:eastAsia="Times New Roman" w:hAnsi="Arial" w:cs="Arial"/>
          <w:sz w:val="20"/>
          <w:szCs w:val="20"/>
          <w:lang w:eastAsia="ar-SA"/>
        </w:rPr>
        <w:t xml:space="preserve">2021 </w:t>
      </w:r>
      <w:r w:rsidR="007A6BF6" w:rsidRPr="00FA5EB7">
        <w:rPr>
          <w:rFonts w:ascii="Arial" w:eastAsia="Times New Roman" w:hAnsi="Arial" w:cs="Arial"/>
          <w:sz w:val="20"/>
          <w:szCs w:val="20"/>
          <w:lang w:eastAsia="ar-SA"/>
        </w:rPr>
        <w:t>jih bo treba zagotoviti</w:t>
      </w:r>
      <w:r w:rsidRPr="00FA5EB7">
        <w:rPr>
          <w:rFonts w:ascii="Arial" w:eastAsia="Times New Roman" w:hAnsi="Arial" w:cs="Arial"/>
          <w:sz w:val="20"/>
          <w:szCs w:val="20"/>
          <w:lang w:eastAsia="ar-SA"/>
        </w:rPr>
        <w:t xml:space="preserve"> ob sprejemanju proračuna.</w:t>
      </w:r>
    </w:p>
    <w:p w14:paraId="3BF129A4" w14:textId="77777777" w:rsidR="0055047E" w:rsidRPr="005C544E" w:rsidRDefault="0055047E" w:rsidP="0055047E">
      <w:pPr>
        <w:spacing w:after="0" w:line="260" w:lineRule="atLeast"/>
        <w:jc w:val="both"/>
        <w:rPr>
          <w:rFonts w:ascii="Arial" w:eastAsia="Times New Roman" w:hAnsi="Arial" w:cs="Arial"/>
          <w:b/>
          <w:sz w:val="20"/>
          <w:szCs w:val="20"/>
          <w:lang w:eastAsia="ar-SA"/>
        </w:rPr>
      </w:pPr>
    </w:p>
    <w:p w14:paraId="2DD75EEE" w14:textId="77777777" w:rsidR="0055047E" w:rsidRPr="0055047E" w:rsidRDefault="0055047E" w:rsidP="0055047E">
      <w:pPr>
        <w:spacing w:after="0" w:line="260" w:lineRule="atLeast"/>
        <w:jc w:val="both"/>
        <w:outlineLvl w:val="0"/>
        <w:rPr>
          <w:rFonts w:ascii="Arial" w:eastAsia="Times New Roman" w:hAnsi="Arial" w:cs="Arial"/>
          <w:sz w:val="20"/>
          <w:szCs w:val="16"/>
          <w:lang w:eastAsia="ar-SA"/>
        </w:rPr>
      </w:pPr>
      <w:r w:rsidRPr="0055047E">
        <w:rPr>
          <w:rFonts w:ascii="Arial" w:eastAsia="Times New Roman" w:hAnsi="Arial" w:cs="Arial"/>
          <w:b/>
          <w:sz w:val="20"/>
          <w:szCs w:val="16"/>
          <w:lang w:eastAsia="ar-SA"/>
        </w:rPr>
        <w:t>5. PRIKAZ UREDITVE V DRUGIH PRAVNIH SISTEMIH IN PRILAGOJENOSTI PREDLAGANE UREDITVE PRAVU EVROPSKE UNIJE</w:t>
      </w:r>
    </w:p>
    <w:p w14:paraId="3A61AEF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5C544E">
        <w:rPr>
          <w:rFonts w:ascii="Arial" w:eastAsia="Times New Roman" w:hAnsi="Arial" w:cs="Arial"/>
          <w:sz w:val="20"/>
          <w:szCs w:val="20"/>
          <w:lang w:eastAsia="ar-SA"/>
        </w:rPr>
        <w:t xml:space="preserve">Predlog zakona ni predmet usklajevanja s </w:t>
      </w:r>
      <w:r w:rsidRPr="005C544E">
        <w:rPr>
          <w:rFonts w:ascii="Arial" w:eastAsia="Times New Roman" w:hAnsi="Arial" w:cs="Arial"/>
          <w:sz w:val="20"/>
          <w:szCs w:val="20"/>
        </w:rPr>
        <w:t>pravom</w:t>
      </w:r>
      <w:r w:rsidRPr="005C544E">
        <w:rPr>
          <w:rFonts w:ascii="Arial" w:eastAsia="Times New Roman" w:hAnsi="Arial" w:cs="Arial"/>
          <w:sz w:val="20"/>
          <w:szCs w:val="20"/>
          <w:lang w:eastAsia="ar-SA"/>
        </w:rPr>
        <w:t xml:space="preserve"> Evropske unije.</w:t>
      </w:r>
      <w:r w:rsidRPr="005C544E">
        <w:rPr>
          <w:rFonts w:ascii="Arial" w:eastAsia="Times New Roman" w:hAnsi="Arial" w:cs="Arial"/>
          <w:sz w:val="20"/>
          <w:szCs w:val="20"/>
        </w:rPr>
        <w:t xml:space="preserve"> Primerljiva vsebina tega predloga zakona je predstavljena po posameznih državah.</w:t>
      </w:r>
    </w:p>
    <w:p w14:paraId="508155A0" w14:textId="77777777" w:rsidR="0055047E" w:rsidRPr="005C544E" w:rsidRDefault="0055047E" w:rsidP="0055047E">
      <w:pPr>
        <w:suppressAutoHyphens/>
        <w:overflowPunct w:val="0"/>
        <w:autoSpaceDE w:val="0"/>
        <w:spacing w:after="0" w:line="240" w:lineRule="auto"/>
        <w:jc w:val="both"/>
        <w:textAlignment w:val="baseline"/>
        <w:rPr>
          <w:rFonts w:ascii="Arial" w:eastAsia="MS Mincho" w:hAnsi="Arial" w:cs="Arial"/>
          <w:sz w:val="20"/>
          <w:szCs w:val="20"/>
          <w:lang w:eastAsia="ar-SA"/>
        </w:rPr>
      </w:pPr>
    </w:p>
    <w:p w14:paraId="0CBEC18E"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5C544E">
        <w:rPr>
          <w:rFonts w:ascii="Arial" w:eastAsia="Times New Roman" w:hAnsi="Arial" w:cs="Arial"/>
          <w:b/>
          <w:bCs/>
          <w:i/>
          <w:sz w:val="20"/>
          <w:szCs w:val="20"/>
          <w:u w:val="single"/>
          <w:lang w:eastAsia="ar-SA"/>
        </w:rPr>
        <w:t>Sistem integritete in preprečevanja korupcije ter nadzorni organ</w:t>
      </w:r>
    </w:p>
    <w:p w14:paraId="0D1423A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58A97B7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F15E7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5EC2C357" w14:textId="77777777" w:rsidR="0055047E" w:rsidRPr="005C544E"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Etičnimi kodeksi</w:t>
      </w:r>
    </w:p>
    <w:p w14:paraId="70CCCA07" w14:textId="77777777" w:rsidR="0055047E" w:rsidRPr="005C544E"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Kodeksi ravnanja</w:t>
      </w:r>
    </w:p>
    <w:p w14:paraId="7B6F5E2F" w14:textId="77777777" w:rsidR="0055047E" w:rsidRPr="005C544E" w:rsidRDefault="0055047E" w:rsidP="006F190F">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Ustanovitvijo javnega organa, ki skrbi za etično delovanje, integriteto in odgovornost javnega sektorja.</w:t>
      </w:r>
    </w:p>
    <w:p w14:paraId="7A7D23C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D2D9D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Nizozemska</w:t>
      </w:r>
    </w:p>
    <w:p w14:paraId="0CFB144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 Nizozemskem je Državni urad za integriteto (The National Integrity Office)</w:t>
      </w:r>
      <w:r w:rsidRPr="005C544E">
        <w:rPr>
          <w:rFonts w:ascii="Arial" w:eastAsia="Times New Roman" w:hAnsi="Arial" w:cs="Arial"/>
          <w:bCs/>
          <w:sz w:val="20"/>
          <w:szCs w:val="20"/>
          <w:vertAlign w:val="superscript"/>
          <w:lang w:eastAsia="ar-SA"/>
        </w:rPr>
        <w:footnoteReference w:id="14"/>
      </w:r>
      <w:r w:rsidRPr="005C544E">
        <w:rPr>
          <w:rFonts w:ascii="Arial" w:eastAsia="Times New Roman" w:hAnsi="Arial" w:cs="Arial"/>
          <w:sz w:val="20"/>
          <w:szCs w:val="20"/>
          <w:lang w:eastAsia="ar-SA"/>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17448F41" w14:textId="77777777" w:rsidR="0055047E" w:rsidRPr="005C544E"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razvijanje in vpeljevanje instrumentov za krepitev integritete in preprečevanje tveganj,</w:t>
      </w:r>
    </w:p>
    <w:p w14:paraId="3C386656" w14:textId="77777777" w:rsidR="0055047E" w:rsidRPr="005C544E"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izvajanje delavnic za zaposlene v javnem sektorju,</w:t>
      </w:r>
    </w:p>
    <w:p w14:paraId="5ABAD425" w14:textId="77777777" w:rsidR="0055047E" w:rsidRPr="005C544E"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izdajanje smernic, priporočil in priročnikov,</w:t>
      </w:r>
    </w:p>
    <w:p w14:paraId="4C6986A7" w14:textId="77777777" w:rsidR="0055047E" w:rsidRPr="005C544E" w:rsidRDefault="0055047E" w:rsidP="006F190F">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zbiranje in razširjanje pomembnih študij, analiz in raziskav prek spletne strani in letnega poročila.</w:t>
      </w:r>
    </w:p>
    <w:p w14:paraId="075F8E2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C838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Irska</w:t>
      </w:r>
    </w:p>
    <w:p w14:paraId="61AF597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 Irskem za integriteto funkcionarjev in javnih uslužbencev skrbi Komisija za ravnanje na javni funkciji (The Standards in Public Office Commission), neodvisno telo, ustanovljeno leta 1995 z Zakonom o etiki na javni funkciji (The Ethics in Public Office Act).</w:t>
      </w:r>
    </w:p>
    <w:p w14:paraId="1F09032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C9BFF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Med glavne naloge komisije, v okviru katerih je pristojna za funkcionarje, javne uslužbence in predstavnike obeh poslanskih zbornic, sodi: svetovanje in priporočila za ravnanje v skladu z zakonodajo na področju etike, spremljanje in nadzor nad razkritjem interesov in tax clearance regime, preiskuje in poroča o morebitnih kršitvah zakonodaje.</w:t>
      </w:r>
    </w:p>
    <w:p w14:paraId="51D70CD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13D22B"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5C544E">
        <w:rPr>
          <w:rFonts w:ascii="Arial" w:eastAsia="Times New Roman" w:hAnsi="Arial" w:cs="Arial"/>
          <w:b/>
          <w:bCs/>
          <w:i/>
          <w:sz w:val="20"/>
          <w:szCs w:val="20"/>
          <w:u w:val="single"/>
          <w:lang w:eastAsia="ar-SA"/>
        </w:rPr>
        <w:t>Nasprotje interesov</w:t>
      </w:r>
    </w:p>
    <w:p w14:paraId="0D729B7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00C297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2F1BC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5E49672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06270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Mednarodno gledano je institut nasprotja interesov eno izmed najbolj reguliranih področij protikorupcijske zakonodaje ali protikorupcijske politike posamezne države.</w:t>
      </w:r>
    </w:p>
    <w:p w14:paraId="2413AFF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2D66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Bosna in Hercegovina</w:t>
      </w:r>
    </w:p>
    <w:p w14:paraId="5EF7D2F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464DAE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C2F420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Hrvaška</w:t>
      </w:r>
    </w:p>
    <w:p w14:paraId="0C04425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Hrvaška je institut nasprotja interesov uredila v Zakonu o preprečevanju nasprotja interesov, sprejetim v letu 2011 in nazadnje dopolnjenim maja 2015, na podlagi katerega je bila ustanovljena tudi Komisija za preprečevanje nasprotja interesov (Povjerenstvo za odlučivanje o sukobu interesa).</w:t>
      </w:r>
    </w:p>
    <w:p w14:paraId="1A72920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58B86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3EA771E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C8A77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Kanada</w:t>
      </w:r>
    </w:p>
    <w:p w14:paraId="04CE760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Kanada spada po lestvici Transparency International med države, katerih državljani najmanj zaznavajo korupcijo. V letu 2012 je ta ocena znašala 8.4, leto poprej pa je bila še malo boljša, in sicer je znašala 8.7. Na zvezni ravni so v Kanadi leta 2007 sprejeli Zvezni zakon o odgovornosti (Federal Accountability Act), ki naj bi po napovedih takratne novoizvoljene vlade prekinil slabe prakse preteklih vlad in povečal integriteto vlade in javnega sektorja.</w:t>
      </w:r>
    </w:p>
    <w:p w14:paraId="7F938C1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713C9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452F6E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AF6DC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Med glavne naloge urada tako spada:</w:t>
      </w:r>
    </w:p>
    <w:p w14:paraId="301280F9" w14:textId="77777777" w:rsidR="0055047E" w:rsidRPr="005C544E"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svetovanje nosilcem javnih funkcij in članom poslanske zbornice,</w:t>
      </w:r>
    </w:p>
    <w:p w14:paraId="50EA8D99" w14:textId="77777777" w:rsidR="0055047E" w:rsidRPr="005C544E"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spremljanje in pregledovanje poročil o premoženjskem stanju, obveznostih in aktivnostih in njihova objava,</w:t>
      </w:r>
    </w:p>
    <w:p w14:paraId="514708D0" w14:textId="77777777" w:rsidR="0055047E" w:rsidRPr="005C544E"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preiskovanje morebitnih kršitev zakona in kodeksa,</w:t>
      </w:r>
    </w:p>
    <w:p w14:paraId="2D29F26C" w14:textId="77777777" w:rsidR="0055047E" w:rsidRPr="005C544E" w:rsidRDefault="0055047E" w:rsidP="006F190F">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poročanje poslanski zbornici.</w:t>
      </w:r>
    </w:p>
    <w:p w14:paraId="3D45F16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4BB46B"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5C544E">
        <w:rPr>
          <w:rFonts w:ascii="Arial" w:eastAsia="Times New Roman" w:hAnsi="Arial" w:cs="Arial"/>
          <w:b/>
          <w:bCs/>
          <w:i/>
          <w:sz w:val="20"/>
          <w:szCs w:val="20"/>
          <w:u w:val="single"/>
          <w:lang w:eastAsia="ar-SA"/>
        </w:rPr>
        <w:t>Nadzor nad premoženjskim stanjem</w:t>
      </w:r>
    </w:p>
    <w:p w14:paraId="565554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228BEE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9E41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Nadzor nad premoženjskim stanjem je tako v preventivnem kot represivnem smislu pomemben institut omejevanja korupcije in krepitve integritete.</w:t>
      </w:r>
      <w:r w:rsidRPr="005C544E">
        <w:rPr>
          <w:rFonts w:ascii="Arial" w:eastAsia="Times New Roman" w:hAnsi="Arial" w:cs="Arial"/>
          <w:bCs/>
          <w:sz w:val="20"/>
          <w:szCs w:val="20"/>
          <w:vertAlign w:val="superscript"/>
          <w:lang w:eastAsia="ar-SA"/>
        </w:rPr>
        <w:footnoteReference w:id="15"/>
      </w:r>
      <w:r w:rsidRPr="005C544E">
        <w:rPr>
          <w:rFonts w:ascii="Arial" w:eastAsia="Times New Roman" w:hAnsi="Arial" w:cs="Arial"/>
          <w:sz w:val="20"/>
          <w:szCs w:val="20"/>
          <w:lang w:eastAsia="ar-SA"/>
        </w:rPr>
        <w:t xml:space="preserve"> Študija »Officials' asset declaration laws: do they prevent corruption?« je ugotovila, da obstaja korelacija med stopnjo korupcije in časom ureditve nadzora nad premoženjskim stanjem, in sicer je manjša stopnja korupcije pri državah, ki imajo daljšo tradicijo na področju ureditve nadzora nad premoženjskim stanjem.</w:t>
      </w:r>
    </w:p>
    <w:p w14:paraId="46C031A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3DB1B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17D71EA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BFEBD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07C6BA7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6DED60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Hrvaška</w:t>
      </w:r>
    </w:p>
    <w:p w14:paraId="469BB11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DE6A2B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1A8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764BABA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5004984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Madžarska</w:t>
      </w:r>
    </w:p>
    <w:p w14:paraId="5B51E22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6F5F067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887B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2DFB3BA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A2B8A8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Latvija</w:t>
      </w:r>
    </w:p>
    <w:p w14:paraId="136DF3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7C32816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9AB41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Španija</w:t>
      </w:r>
    </w:p>
    <w:p w14:paraId="21FAC8D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2CF6CF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777FC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A6D4A6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CD620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4B37BC3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3C0051"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
          <w:bCs/>
          <w:i/>
          <w:sz w:val="20"/>
          <w:szCs w:val="20"/>
          <w:u w:val="single"/>
          <w:lang w:eastAsia="ar-SA"/>
        </w:rPr>
      </w:pPr>
      <w:r w:rsidRPr="005C544E">
        <w:rPr>
          <w:rFonts w:ascii="Arial" w:eastAsia="Times New Roman" w:hAnsi="Arial" w:cs="Arial"/>
          <w:b/>
          <w:bCs/>
          <w:i/>
          <w:sz w:val="20"/>
          <w:szCs w:val="20"/>
          <w:u w:val="single"/>
          <w:lang w:eastAsia="ar-SA"/>
        </w:rPr>
        <w:t>Transparentnost poslovanja subjektov javnega sektorja</w:t>
      </w:r>
    </w:p>
    <w:p w14:paraId="7CE4ECB4" w14:textId="03B6666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Republika Slovenija oziroma </w:t>
      </w:r>
      <w:r w:rsidR="00621EAE"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je ena od prvih držav, ki so poslovanje subjektov javnega sektorja predstavile na transparenten način, s spletno objavo podatkov v svetovnem spletu bodisi prek spletne aplikacije ali prek možnosti dostopa do surovih podatkov (</w:t>
      </w:r>
      <w:r w:rsidRPr="009246DD">
        <w:rPr>
          <w:rFonts w:ascii="Arial" w:eastAsia="Times New Roman" w:hAnsi="Arial" w:cs="Arial"/>
          <w:i/>
          <w:sz w:val="20"/>
          <w:szCs w:val="20"/>
          <w:lang w:eastAsia="ar-SA"/>
        </w:rPr>
        <w:t>open government data</w:t>
      </w:r>
      <w:r w:rsidRPr="005C544E">
        <w:rPr>
          <w:rFonts w:ascii="Arial" w:eastAsia="Times New Roman" w:hAnsi="Arial" w:cs="Arial"/>
          <w:sz w:val="20"/>
          <w:szCs w:val="20"/>
          <w:lang w:eastAsia="ar-SA"/>
        </w:rPr>
        <w:t>). Zgledu Slovenije je sledilo še nekaj drugih držav, ki so svoje poslovanje v določenem obsegu prav tako odprle javnosti.</w:t>
      </w:r>
    </w:p>
    <w:p w14:paraId="7559A7F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B8D318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Češka republika</w:t>
      </w:r>
    </w:p>
    <w:p w14:paraId="42B0F11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Ministrstvo za finance Češke republike je po zgledu aplikacije Supervizor pripravilo svojo aplikacijo, prav tako poimenovano Supervizor. V njej so objavljene transakcije ministrstva z vsemi podatki, vključno z osebnimi.</w:t>
      </w:r>
      <w:r w:rsidRPr="005C544E">
        <w:rPr>
          <w:rFonts w:ascii="Arial" w:eastAsia="Times New Roman" w:hAnsi="Arial" w:cs="Arial"/>
          <w:sz w:val="20"/>
          <w:szCs w:val="20"/>
          <w:vertAlign w:val="superscript"/>
          <w:lang w:eastAsia="ar-SA"/>
        </w:rPr>
        <w:footnoteReference w:id="16"/>
      </w:r>
    </w:p>
    <w:p w14:paraId="191CCC6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B54B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Nizozemska, Albanija</w:t>
      </w:r>
    </w:p>
    <w:p w14:paraId="794E495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Nizozemska, Albanija in še več drugih držav je pripravilo spletne aplikacije, ki na podoben način kot aplikacija Supervizor oziroma Erar predstavljajo porabo javnih sredstev. Pomanjkljivost aplikacij je, da predstavijo porabo le na ravni proračuna (posamezne proračunske postavke) in ne na ravni posamezne transakcije.</w:t>
      </w:r>
      <w:r w:rsidRPr="005C544E">
        <w:rPr>
          <w:rFonts w:ascii="Arial" w:eastAsia="Times New Roman" w:hAnsi="Arial" w:cs="Arial"/>
          <w:sz w:val="20"/>
          <w:szCs w:val="20"/>
          <w:vertAlign w:val="superscript"/>
          <w:lang w:eastAsia="ar-SA"/>
        </w:rPr>
        <w:footnoteReference w:id="17"/>
      </w:r>
    </w:p>
    <w:p w14:paraId="4B5FC24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33AC198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Slovaška</w:t>
      </w:r>
    </w:p>
    <w:p w14:paraId="6C5CD2D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Na Slovaškem aplikacije niso razvili v javnem sektorju, pač pa so nevladnim organizacijam zagotovili podatke, te pa so tudi izdelale aplikacijo,</w:t>
      </w:r>
      <w:r w:rsidRPr="005C544E">
        <w:rPr>
          <w:rFonts w:ascii="Arial" w:eastAsia="Times New Roman" w:hAnsi="Arial" w:cs="Arial"/>
          <w:sz w:val="20"/>
          <w:szCs w:val="20"/>
          <w:vertAlign w:val="superscript"/>
          <w:lang w:eastAsia="ar-SA"/>
        </w:rPr>
        <w:footnoteReference w:id="18"/>
      </w:r>
      <w:r w:rsidRPr="005C544E">
        <w:rPr>
          <w:rFonts w:ascii="Arial" w:eastAsia="Times New Roman" w:hAnsi="Arial" w:cs="Arial"/>
          <w:sz w:val="20"/>
          <w:szCs w:val="20"/>
          <w:lang w:eastAsia="ar-SA"/>
        </w:rPr>
        <w:t xml:space="preserve"> ki ne prikazuje posameznih transakcij, prikazuje pa – podobno kot Erar – podatke o javnih naročilih.</w:t>
      </w:r>
    </w:p>
    <w:p w14:paraId="40119125" w14:textId="77777777" w:rsidR="0055047E" w:rsidRPr="00FB34F5"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CFA08D6"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6. PRESOJA POSLEDIC, KI JIH BO IMEL SPREJEM ZAKONA</w:t>
      </w:r>
    </w:p>
    <w:p w14:paraId="1F31F62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BBF12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6.1 Presoja administrativnih posledic</w:t>
      </w:r>
    </w:p>
    <w:p w14:paraId="77205D7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AE32FD"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a) v postopkih oziroma poslovanju javne uprave ali pravosodnih organov:</w:t>
      </w:r>
    </w:p>
    <w:p w14:paraId="48E6D38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D9DAF" w14:textId="7BBBABB7" w:rsidR="0055047E" w:rsidRPr="005C544E" w:rsidRDefault="00621EA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bo kot kolegijski organ odločala le o zadevah, ki jih taksativno določa zakon</w:t>
      </w:r>
      <w:r w:rsidR="00EB4012" w:rsidRPr="005C544E">
        <w:rPr>
          <w:rFonts w:ascii="Arial" w:eastAsia="Times New Roman" w:hAnsi="Arial" w:cs="Arial"/>
          <w:sz w:val="20"/>
          <w:szCs w:val="20"/>
          <w:lang w:eastAsia="ar-SA"/>
        </w:rPr>
        <w:t>, poslovnik</w:t>
      </w:r>
      <w:r w:rsidR="0055047E" w:rsidRPr="005C544E">
        <w:rPr>
          <w:rFonts w:ascii="Arial" w:eastAsia="Times New Roman" w:hAnsi="Arial" w:cs="Arial"/>
          <w:sz w:val="20"/>
          <w:szCs w:val="20"/>
          <w:lang w:eastAsia="ar-SA"/>
        </w:rPr>
        <w:t xml:space="preserve"> in o zadevah, za katere bo funkcionar </w:t>
      </w: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 xml:space="preserve">ocenil, da zaradi svoje pomembnosti zahtevajo kolegijsko odločanje, s čimer bo razbremenjena ukvarjanja z rutinskimi zadevami in primeri, ki so manj pomembni z vidika ciljev, ki jih pri svojem delovanju zasleduje. Na drugi strani se krepi preventivna vloga </w:t>
      </w: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 xml:space="preserve">z novimi pristojnostmi na tistih področjih, kjer je lahko dodana vrednost omejevanja korupcije s strani take institucije največja, to je identifikacija in odprava sistemskih korupcijskih tveganj ter nasprotij interesov, nadzor nad premoženjskim stanjem zavezancev. Natančneje se opredeljuje obstoječe ter določa nekatere dodatne ukrepe </w:t>
      </w:r>
      <w:r w:rsidRPr="005C544E">
        <w:rPr>
          <w:rFonts w:ascii="Arial" w:eastAsia="Times New Roman" w:hAnsi="Arial" w:cs="Arial"/>
          <w:sz w:val="20"/>
          <w:szCs w:val="20"/>
          <w:lang w:eastAsia="ar-SA"/>
        </w:rPr>
        <w:t xml:space="preserve">KPK </w:t>
      </w:r>
      <w:r w:rsidR="0055047E" w:rsidRPr="005C544E">
        <w:rPr>
          <w:rFonts w:ascii="Arial" w:eastAsia="Times New Roman" w:hAnsi="Arial" w:cs="Arial"/>
          <w:sz w:val="20"/>
          <w:szCs w:val="20"/>
          <w:lang w:eastAsia="ar-SA"/>
        </w:rPr>
        <w:t>kot so: izvajanje sistemskih nadzorov, podaja predloga za razrešitev in pobude predstojniku za ukrepanje ter pristojnost predlagati uvedbo revizij</w:t>
      </w:r>
      <w:r w:rsidR="00BB57C6" w:rsidRPr="005C544E">
        <w:rPr>
          <w:rFonts w:ascii="Arial" w:eastAsia="Times New Roman" w:hAnsi="Arial" w:cs="Arial"/>
          <w:sz w:val="20"/>
          <w:szCs w:val="20"/>
          <w:lang w:eastAsia="ar-SA"/>
        </w:rPr>
        <w:t>e</w:t>
      </w:r>
      <w:r w:rsidR="0055047E" w:rsidRPr="005C544E">
        <w:rPr>
          <w:rFonts w:ascii="Arial" w:eastAsia="Times New Roman" w:hAnsi="Arial" w:cs="Arial"/>
          <w:sz w:val="20"/>
          <w:szCs w:val="20"/>
          <w:lang w:eastAsia="ar-SA"/>
        </w:rPr>
        <w:t>.</w:t>
      </w:r>
    </w:p>
    <w:p w14:paraId="6EA732E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583962" w14:textId="3165C5D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Glede na to, da se predvideva elektronsko vodenje evidenc, ki bodo učinkovito orodje pri izvajanju temeljnih nalog KPK in da se tudi aplikacije Erar, v praksi že izvaja, navedene določbe ne bodo predstavljale dodatne administrativne obremenitve za delo KPK.</w:t>
      </w:r>
    </w:p>
    <w:p w14:paraId="169E357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75563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Glede sporočanja sprememb podatkov o premoženjskem stanju se po izteku prehodnega obdobja namesto dosedanjega enkrat letnega sporočanja sprememb predlaga sporočanje v 30 dneh po nastanku vsake spremembe, pri čemer bo vzpostavljena elektronska aplikacija odpravila dosedanjo kot tudi siceršnjo administrativno obremenitev na strani KPK. Prav tako se predlaga posredovanje zapisov o lobističnih stikih preko elektronskega obrazca, kar bo zmanjšalo administrativno obremenitev tako na strani KPK kot tudi na strani lobirancev.</w:t>
      </w:r>
    </w:p>
    <w:p w14:paraId="067A5DB9" w14:textId="77777777" w:rsidR="0055047E" w:rsidRPr="00FA5EB7"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DDEBF"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pri obveznostih strank do javne uprave ali pravosodnih organov:</w:t>
      </w:r>
    </w:p>
    <w:p w14:paraId="2C571CE8" w14:textId="77E0250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Predlagana ureditev na področju sprejemanja in dajanja daril </w:t>
      </w:r>
      <w:r w:rsidR="00A20C75" w:rsidRPr="005C544E">
        <w:rPr>
          <w:rFonts w:ascii="Arial" w:eastAsia="Times New Roman" w:hAnsi="Arial" w:cs="Arial"/>
          <w:sz w:val="20"/>
          <w:szCs w:val="20"/>
          <w:lang w:eastAsia="ar-SA"/>
        </w:rPr>
        <w:t xml:space="preserve">poenoti </w:t>
      </w:r>
      <w:r w:rsidR="009C3DBF" w:rsidRPr="005C544E">
        <w:rPr>
          <w:rFonts w:ascii="Arial" w:eastAsia="Times New Roman" w:hAnsi="Arial" w:cs="Arial"/>
          <w:sz w:val="20"/>
          <w:szCs w:val="20"/>
          <w:lang w:eastAsia="ar-SA"/>
        </w:rPr>
        <w:t>obveznosti javnih uslužbencev in funkcionarjev. Ureditev je za zavezance jasnejša in enostavnejša, kar olajšuje izpolnjevanje obveznosti. Predvideno je poročanje na elektronskem obrazcu, ki bo na voljo na spletnih straneh KPK.</w:t>
      </w:r>
    </w:p>
    <w:p w14:paraId="24FCA9C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0910CE" w14:textId="6CFA452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Prav tako se predlaga, da subjekti javnega sektorja sezname funkcionarjev, ki se nanašajo na omejitev poslovanja, KPK posredujejo preko elektronskega obrazca, s čimer se administrativno olajšuje izvajanje navedene določbe.</w:t>
      </w:r>
    </w:p>
    <w:p w14:paraId="52D6717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B0E9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Predlog zakona znižuje prag vrednosti za poročanje oseb, ki sodelujejo pri oddaji javnih naročil, širi krog zavezancev za prijavo premoženjskega stanja, in sicer na člane državnega sveta, člane organov nadzora v javnih podjetjih in gospodarskih družbah, v katerih imata država ali samoupravna lokalna skupnost posredni ali neposredni večinski delež ali prevladujoč vpliv, s širitvijo definicije »poslovodne osebe« pa tudi na ustanove, ki jih je ustanovila država ali samoupravna lokalna skupnost. Glede sporočanja sprememb podatkov pa se po izteku prehodnega obdobja namesto dosedanjega enkrat letnega sporočanja sprememb predlaga sporočanje v 30 dneh po nastanku vsake spremembe, kar bo administrativno olajšala ustrezna elektronska aplikacija.</w:t>
      </w:r>
    </w:p>
    <w:p w14:paraId="13FC5B9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52F01F" w14:textId="65F9F9F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Predlog zakona na novo določa obveznost poročanja o lobističnih stikih enkrat letno tudi za interesne organizacije. Glede na to, da veljavna ureditev narekuje dolžnost lobiranca, da tudi o stikih s temi osebami sestavi zapis, je zaradi izvajanja učinkovite nadzorne funkcije potrebno na drugi strani določiti tudi dolžnost izdelave poročila tudi za to kategorijo lobistov, kar z vidika zasledovanega cilja in dejstva, da se poročilo pripravi zgolj enkrat letno, predstavlja sorazmeren administrativen ukrep.</w:t>
      </w:r>
      <w:r w:rsidR="004105C9" w:rsidRPr="005C544E">
        <w:rPr>
          <w:rFonts w:ascii="Arial" w:eastAsia="Times New Roman" w:hAnsi="Arial" w:cs="Arial"/>
          <w:sz w:val="20"/>
          <w:szCs w:val="20"/>
          <w:lang w:eastAsia="ar-SA"/>
        </w:rPr>
        <w:t xml:space="preserve"> Poleg tega predlog predvideva izjemo, po kateri ni treba poročati interesnim organizacijam, ki nimajo zaposlenih. Izjema administrativno razbremenjuje majhne interesne organizacije, ki imajo omejene vire in jim bi poročanje predstavljalo nesorazmern</w:t>
      </w:r>
      <w:r w:rsidR="007C4C0F">
        <w:rPr>
          <w:rFonts w:ascii="Arial" w:eastAsia="Times New Roman" w:hAnsi="Arial" w:cs="Arial"/>
          <w:sz w:val="20"/>
          <w:szCs w:val="20"/>
          <w:lang w:eastAsia="ar-SA"/>
        </w:rPr>
        <w:t>o obremenitev</w:t>
      </w:r>
      <w:r w:rsidR="004105C9" w:rsidRPr="005C544E">
        <w:rPr>
          <w:rFonts w:ascii="Arial" w:eastAsia="Times New Roman" w:hAnsi="Arial" w:cs="Arial"/>
          <w:sz w:val="20"/>
          <w:szCs w:val="20"/>
          <w:lang w:eastAsia="ar-SA"/>
        </w:rPr>
        <w:t>.</w:t>
      </w:r>
    </w:p>
    <w:p w14:paraId="2FD2B28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8842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6.2 Presoja posledic za okolje, vključno s prostorskimi in varstvenimi vidiki:</w:t>
      </w:r>
    </w:p>
    <w:p w14:paraId="6493414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Določbe predloga zakona ne prinašajo posledic za okolje, vključno s prostorskimi in varstvenimi vidiki.</w:t>
      </w:r>
    </w:p>
    <w:p w14:paraId="003B607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EF6BE7"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6.3 Presoja posledic za gospodarstvo:</w:t>
      </w:r>
    </w:p>
    <w:p w14:paraId="7C0B2DC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Določbe predloga zakona ne prinašajo posledic za gospodarstvo.</w:t>
      </w:r>
    </w:p>
    <w:p w14:paraId="53E7D74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3A0BC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6.4 Presoja posledic za socialno področje:</w:t>
      </w:r>
    </w:p>
    <w:p w14:paraId="4DE243A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Določbe predloga zakona ne prinašajo posledic za socialno področje.</w:t>
      </w:r>
    </w:p>
    <w:p w14:paraId="7C4A5B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A9D7F3"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6.5 Presoja posledic za dokumente razvojnega načrtovanja:</w:t>
      </w:r>
    </w:p>
    <w:p w14:paraId="4DCE626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Določbe predloga zakona ne prinašajo posledic za dokumente razvojnega načrtovanja.</w:t>
      </w:r>
    </w:p>
    <w:p w14:paraId="01A24DE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92949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6.6 Presoja posledic za druga področja:</w:t>
      </w:r>
    </w:p>
    <w:p w14:paraId="745C501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Določbe predloga zakona ne prinašajo posledic za druga področja.</w:t>
      </w:r>
    </w:p>
    <w:p w14:paraId="147A17E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F357E0"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6.7 Izvajanje sprejetega predpisa:</w:t>
      </w:r>
    </w:p>
    <w:p w14:paraId="547F023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85E482"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a) Predstavitev sprejetega zakona:</w:t>
      </w:r>
    </w:p>
    <w:p w14:paraId="569C1CD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Sprejeti zakon bo objavljen v Uradnem listu RS in bo predstavljen ciljnim skupinam in širši javnosti s pomočjo obvestil KPK preko spletnih strani, javnih predstavitev, medijev, seminarjev idr.</w:t>
      </w:r>
    </w:p>
    <w:p w14:paraId="3E0BB7E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9BEC0B"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Spremljanje izvajanja sprejetega predpisa:</w:t>
      </w:r>
    </w:p>
    <w:p w14:paraId="12BB3FE2" w14:textId="73E8B24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 izvajanje sprejetega zakona je pristojna KPK, ki bo izvajanje zakona tudi redno spremljala</w:t>
      </w:r>
      <w:r w:rsidR="00BF6BB2" w:rsidRPr="005C544E">
        <w:rPr>
          <w:rFonts w:ascii="Arial" w:eastAsia="Times New Roman" w:hAnsi="Arial" w:cs="Arial"/>
          <w:sz w:val="20"/>
          <w:szCs w:val="20"/>
          <w:lang w:eastAsia="ar-SA"/>
        </w:rPr>
        <w:t>,</w:t>
      </w:r>
      <w:r w:rsidRPr="005C544E">
        <w:rPr>
          <w:rFonts w:ascii="Arial" w:eastAsia="Times New Roman" w:hAnsi="Arial" w:cs="Arial"/>
          <w:sz w:val="20"/>
          <w:szCs w:val="20"/>
          <w:lang w:eastAsia="ar-SA"/>
        </w:rPr>
        <w:t xml:space="preserve"> tako v okviru rednega dela kot preko civilne družbe in s pripravo letnih poročil o izvajanju zakona, doseženih ciljih in nadaljnjih ukrepih </w:t>
      </w:r>
      <w:r w:rsidR="00621EAE"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ki jih bo obravnaval Državni zbor. Ministrstvo za pravosodje bo v skladu s svojimi pristojnostmi spremljalo izvajanje predpisa na podlagi objavljene sodne prakse ter v sodelovanju s KPK in drugi</w:t>
      </w:r>
      <w:r w:rsidR="002F4A04" w:rsidRPr="005C544E">
        <w:rPr>
          <w:rFonts w:ascii="Arial" w:eastAsia="Times New Roman" w:hAnsi="Arial" w:cs="Arial"/>
          <w:sz w:val="20"/>
          <w:szCs w:val="20"/>
          <w:lang w:eastAsia="ar-SA"/>
        </w:rPr>
        <w:t>mi</w:t>
      </w:r>
      <w:r w:rsidRPr="005C544E">
        <w:rPr>
          <w:rFonts w:ascii="Arial" w:eastAsia="Times New Roman" w:hAnsi="Arial" w:cs="Arial"/>
          <w:sz w:val="20"/>
          <w:szCs w:val="20"/>
          <w:lang w:eastAsia="ar-SA"/>
        </w:rPr>
        <w:t xml:space="preserve"> pristojni</w:t>
      </w:r>
      <w:r w:rsidR="002F4A04" w:rsidRPr="005C544E">
        <w:rPr>
          <w:rFonts w:ascii="Arial" w:eastAsia="Times New Roman" w:hAnsi="Arial" w:cs="Arial"/>
          <w:sz w:val="20"/>
          <w:szCs w:val="20"/>
          <w:lang w:eastAsia="ar-SA"/>
        </w:rPr>
        <w:t>mi</w:t>
      </w:r>
      <w:r w:rsidRPr="005C544E">
        <w:rPr>
          <w:rFonts w:ascii="Arial" w:eastAsia="Times New Roman" w:hAnsi="Arial" w:cs="Arial"/>
          <w:sz w:val="20"/>
          <w:szCs w:val="20"/>
          <w:lang w:eastAsia="ar-SA"/>
        </w:rPr>
        <w:t xml:space="preserve"> organ</w:t>
      </w:r>
      <w:r w:rsidR="002F4A04" w:rsidRPr="005C544E">
        <w:rPr>
          <w:rFonts w:ascii="Arial" w:eastAsia="Times New Roman" w:hAnsi="Arial" w:cs="Arial"/>
          <w:sz w:val="20"/>
          <w:szCs w:val="20"/>
          <w:lang w:eastAsia="ar-SA"/>
        </w:rPr>
        <w:t>i</w:t>
      </w:r>
      <w:r w:rsidRPr="005C544E">
        <w:rPr>
          <w:rFonts w:ascii="Arial" w:eastAsia="Times New Roman" w:hAnsi="Arial" w:cs="Arial"/>
          <w:sz w:val="20"/>
          <w:szCs w:val="20"/>
          <w:lang w:eastAsia="ar-SA"/>
        </w:rPr>
        <w:t xml:space="preserve"> na podlagi njihovih ugotovitev pri izvajanju določb v praksi.</w:t>
      </w:r>
    </w:p>
    <w:p w14:paraId="6B0CF0B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7B76F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6.8 Druge pomembne okoliščine v zvezi z vprašanji, ki jih ureja predlog zakona:</w:t>
      </w:r>
    </w:p>
    <w:p w14:paraId="1D90D84D" w14:textId="410C265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Druge tovrstne okoliščine niso podane.</w:t>
      </w:r>
    </w:p>
    <w:p w14:paraId="58C6B645" w14:textId="77777777" w:rsidR="0055047E" w:rsidRPr="00FB34F5"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4B6D06" w14:textId="71F51FA6" w:rsidR="0055047E" w:rsidRPr="0055047E" w:rsidRDefault="004F79DA"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7. PRIKAZ SODELOVANJA JAVNOSTI PRI PRIPRAVI PREDLOGA ZAKONA:</w:t>
      </w:r>
    </w:p>
    <w:p w14:paraId="7197E4EC" w14:textId="77777777" w:rsidR="00FB4E1D"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r w:rsidRPr="005C544E">
        <w:rPr>
          <w:rFonts w:ascii="Arial" w:eastAsia="Times New Roman" w:hAnsi="Arial" w:cs="Arial"/>
          <w:bCs/>
          <w:sz w:val="20"/>
          <w:szCs w:val="20"/>
          <w:lang w:eastAsia="sl-SI"/>
        </w:rPr>
        <w:t>Predlog zakona je bil objavljen na spletnih straneh Ministrstva za pravosodje in E-demokracije 26. 10. 2018, predloge in komentarje smo zbirali do 30. 11. 2018.</w:t>
      </w:r>
    </w:p>
    <w:p w14:paraId="0658F7A6" w14:textId="5B128C29"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sl-SI"/>
        </w:rPr>
      </w:pPr>
    </w:p>
    <w:p w14:paraId="1E21447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S posebnim dopisom so bili k podaji pripomb 26. 10. 2018 pozvani:</w:t>
      </w:r>
    </w:p>
    <w:p w14:paraId="7D4B722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67FAFE"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Banka Slovenije,</w:t>
      </w:r>
    </w:p>
    <w:p w14:paraId="7A14C999"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Center za informiranje, sodelovanje in razvoj nevladnih organizacij,</w:t>
      </w:r>
    </w:p>
    <w:p w14:paraId="0A86DEEF"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Državno odvetništvo RS,</w:t>
      </w:r>
    </w:p>
    <w:p w14:paraId="73231D1C"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Državnotožilski svet,</w:t>
      </w:r>
    </w:p>
    <w:p w14:paraId="2520B468"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Generalna policijska uprava,</w:t>
      </w:r>
    </w:p>
    <w:p w14:paraId="72B5CFB9"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Gospodarska zbornica Slovenije,</w:t>
      </w:r>
    </w:p>
    <w:p w14:paraId="43EED329"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Informacijski pooblaščenec RS,</w:t>
      </w:r>
    </w:p>
    <w:p w14:paraId="3C27958D" w14:textId="15854019"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Javna agencija RS za zdravila in medicinske pripomočke</w:t>
      </w:r>
      <w:r w:rsidR="00BA5D9F">
        <w:rPr>
          <w:rFonts w:ascii="Arial" w:eastAsia="Times New Roman" w:hAnsi="Arial" w:cs="Arial"/>
          <w:sz w:val="20"/>
          <w:szCs w:val="20"/>
        </w:rPr>
        <w:t>,</w:t>
      </w:r>
    </w:p>
    <w:p w14:paraId="55A10AE7"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Komisija za preprečevanje korupcije,</w:t>
      </w:r>
    </w:p>
    <w:p w14:paraId="1E2C211A"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Notarska zbornica Slovenije,</w:t>
      </w:r>
    </w:p>
    <w:p w14:paraId="1DFEAC7A"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Obrtno podjetniška zbornica Slovenije,</w:t>
      </w:r>
    </w:p>
    <w:p w14:paraId="4E2B897B"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Računsko sodišče RS,</w:t>
      </w:r>
    </w:p>
    <w:p w14:paraId="77460042"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Sodni svet,</w:t>
      </w:r>
    </w:p>
    <w:p w14:paraId="5384D63E"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Transparency International Slovenija,</w:t>
      </w:r>
    </w:p>
    <w:p w14:paraId="2A1BE284"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Upravno sodišče RS,</w:t>
      </w:r>
    </w:p>
    <w:p w14:paraId="0ACD9B34"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Urad predsednika republike RS,</w:t>
      </w:r>
    </w:p>
    <w:p w14:paraId="0CC7C4AE"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Varuh človekovih pravic RS,</w:t>
      </w:r>
    </w:p>
    <w:p w14:paraId="66D0EFD2"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Vrhovno državno tožilstvo RS,</w:t>
      </w:r>
    </w:p>
    <w:p w14:paraId="788D365C"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Vrhovno sodišče RS,</w:t>
      </w:r>
    </w:p>
    <w:p w14:paraId="5C6B56EA" w14:textId="3588369C"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Združenje občin Slovenije,</w:t>
      </w:r>
    </w:p>
    <w:p w14:paraId="45A3D524" w14:textId="57EA8CD0" w:rsidR="00E80949" w:rsidRPr="005C544E"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Ministrstvo za javno upravo,</w:t>
      </w:r>
    </w:p>
    <w:p w14:paraId="5C28EAEB" w14:textId="7434D711" w:rsidR="00E80949" w:rsidRPr="005C544E" w:rsidRDefault="00E80949"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Ministrstvo za finance.</w:t>
      </w:r>
    </w:p>
    <w:p w14:paraId="1CF233A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B3CBE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Mnenja, predloge in pripombe so podali naslednji deležniki:</w:t>
      </w:r>
    </w:p>
    <w:p w14:paraId="16A164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5C544E">
        <w:rPr>
          <w:rFonts w:ascii="Arial" w:eastAsia="Times New Roman" w:hAnsi="Arial" w:cs="Arial"/>
          <w:sz w:val="20"/>
          <w:szCs w:val="20"/>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 Slovenia), Upravno sodišče (UPRS), Urad predsednika Republike Slovenije (Urad PRS), Vrhovno državno tožilstvo (VDT), Vrhovno sodišče Republike Slovenije (VSRS), Zveza občin Slovenije (ZOS).</w:t>
      </w:r>
    </w:p>
    <w:p w14:paraId="4899AD0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p>
    <w:p w14:paraId="4A901BF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r w:rsidRPr="005C544E">
        <w:rPr>
          <w:rFonts w:ascii="Arial" w:eastAsia="Times New Roman" w:hAnsi="Arial" w:cs="Arial"/>
          <w:sz w:val="20"/>
          <w:szCs w:val="20"/>
        </w:rPr>
        <w:t>Pripombe v strokovni razpravi so bile usklajevane na naslednjih sestankih:</w:t>
      </w:r>
    </w:p>
    <w:p w14:paraId="158EC46E" w14:textId="0A287CCE"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 xml:space="preserve">7. 1. 2019 je bil v prostorih Ministrstva za pravosodje izveden usklajevalni sestanek s predstavniki </w:t>
      </w:r>
      <w:r w:rsidR="00621EAE" w:rsidRPr="005C544E">
        <w:rPr>
          <w:rFonts w:ascii="Arial" w:eastAsia="Times New Roman" w:hAnsi="Arial" w:cs="Arial"/>
          <w:sz w:val="20"/>
          <w:szCs w:val="20"/>
        </w:rPr>
        <w:t>KPK</w:t>
      </w:r>
      <w:r w:rsidRPr="005C544E">
        <w:rPr>
          <w:rFonts w:ascii="Arial" w:eastAsia="Times New Roman" w:hAnsi="Arial" w:cs="Arial"/>
          <w:sz w:val="20"/>
          <w:szCs w:val="20"/>
        </w:rPr>
        <w:t xml:space="preserve"> glede pripomb, ki jih je podala KPK.</w:t>
      </w:r>
    </w:p>
    <w:p w14:paraId="21126BAE"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22. 1. 2019 je bil v prostorih Ministrstva za pravosodje izveden usklajevalni sestanek d predstavniki MJU glede pripomb, ki jih je podalo MJU.</w:t>
      </w:r>
    </w:p>
    <w:p w14:paraId="5AB9C322"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23. 1. 2019 je bil v prostorih Ministrstva za pravosodje izveden usklajevalni sestanek s predstavniki Urada predsednika Republike Slovenije.</w:t>
      </w:r>
    </w:p>
    <w:p w14:paraId="237FCFC9"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29. 1. 2019 je bil v kabinetu Ministrstva za pravosodje izveden sestanek med ministrico in predsednikom KPK.</w:t>
      </w:r>
    </w:p>
    <w:p w14:paraId="79532317"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31. 1. 2019 je bil v prostorih Ministrstva za pravosodje izveden usklajevalni sestanek s predstavniki Gospodarske zbornice Slovenije in Kluba slovenskih podjetnikov.</w:t>
      </w:r>
    </w:p>
    <w:p w14:paraId="057617BB"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31. 1. 2019 je bil v prostorih Urada predsednika Republike Slovenije izveden sestanek med predsednikom republike in ministrico za pravosodje o ureditvi kandidacijskega postopka za funkcionarje KPK.</w:t>
      </w:r>
    </w:p>
    <w:p w14:paraId="1E79037A"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6. 2. 2019 je bil v prostorih Ministrstva za pravosodje izveden usklajevalni sestanek s predstavniki Informacijskega pooblaščenca.</w:t>
      </w:r>
    </w:p>
    <w:p w14:paraId="23872F0C"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13. 2. 2019 je bil v prostorih Ministrstva za pravosodje izveden sestanek o nekaterih odprtih vprašanjih s predstavnico KPK.</w:t>
      </w:r>
    </w:p>
    <w:p w14:paraId="14249D07"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20. 2. 2019 je bil v prostorih Ministrstva za pravosodje izveden sestanek s predstavniki Transparency International Slovenia.</w:t>
      </w:r>
    </w:p>
    <w:p w14:paraId="5BA8DBD3"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21. 2. 2019 je bil v prostorih Ministrstva za pravosodje izveden usklajevalni sestanek s predstavniki MJU (predstavniki KPK se sestanka kljub vabilu niso udeležili).</w:t>
      </w:r>
    </w:p>
    <w:p w14:paraId="78061606"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28. 3. 2019 je bil v prostorih Ministrstva za pravosodje izveden usklajevalni sestanek s predstavniki Urada predsednika Republike Slovenije.</w:t>
      </w:r>
    </w:p>
    <w:p w14:paraId="1C87E55C"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C544E">
        <w:rPr>
          <w:rFonts w:ascii="Arial" w:eastAsia="Times New Roman" w:hAnsi="Arial" w:cs="Arial"/>
          <w:sz w:val="20"/>
          <w:szCs w:val="20"/>
        </w:rPr>
        <w:t>5. 4. 2019 je bil v prostorih KPK izveden sestanek med ministrico za pravosodje in predsednikom KPK.</w:t>
      </w:r>
    </w:p>
    <w:p w14:paraId="2476B398" w14:textId="25C972B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3C43796D" w14:textId="62162233" w:rsidR="00623EDB" w:rsidRPr="005C544E"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Predlog zakona je bil poslan v medresorsko usklajevanje 12. 4. 2019, istočasno pa je bil objavljen tudi na spletnih straneh ministrstva in E-demokracije. Rok za pripombe je bil 26. 4. 2019.</w:t>
      </w:r>
    </w:p>
    <w:p w14:paraId="2B2C057A" w14:textId="52DAE260" w:rsidR="00E80949" w:rsidRPr="005C544E" w:rsidRDefault="00E80949"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0E3CC575" w14:textId="7F8E7A8C" w:rsidR="009F00CF" w:rsidRPr="005C544E"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sl-SI"/>
        </w:rPr>
      </w:pPr>
      <w:r w:rsidRPr="005C544E">
        <w:rPr>
          <w:rFonts w:ascii="Arial" w:eastAsia="Times New Roman" w:hAnsi="Arial" w:cs="Arial"/>
          <w:sz w:val="20"/>
          <w:szCs w:val="20"/>
          <w:u w:val="single"/>
          <w:lang w:eastAsia="sl-SI"/>
        </w:rPr>
        <w:t>Mnenja, ki so jih podali deležniki:</w:t>
      </w:r>
    </w:p>
    <w:p w14:paraId="18004978" w14:textId="2EB473E0" w:rsidR="009F00CF" w:rsidRPr="005C544E"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 xml:space="preserve">Center za informiranje, sodelovanje in razvoj nevladnih organizacij (CNVOS) skupaj z drugimi nevladnimi organizacijami, Evropski inštitut za skladnost in etiko poslovanja, Komisija za preprečevanje korupcije, Ministrstvo za delo, družino </w:t>
      </w:r>
      <w:r w:rsidR="00905245" w:rsidRPr="005C544E">
        <w:rPr>
          <w:rFonts w:ascii="Arial" w:eastAsia="Times New Roman" w:hAnsi="Arial" w:cs="Arial"/>
          <w:sz w:val="20"/>
          <w:szCs w:val="20"/>
          <w:lang w:eastAsia="sl-SI"/>
        </w:rPr>
        <w:t>i</w:t>
      </w:r>
      <w:r w:rsidRPr="005C544E">
        <w:rPr>
          <w:rFonts w:ascii="Arial" w:eastAsia="Times New Roman" w:hAnsi="Arial" w:cs="Arial"/>
          <w:sz w:val="20"/>
          <w:szCs w:val="20"/>
          <w:lang w:eastAsia="sl-SI"/>
        </w:rPr>
        <w:t>n socialne zadeve, Ministrstvo za finance, Ministrstvo za gospodarski razvoj in tehnologijo, Ministrstvo za izobraževanje, znanost in šport, Ministrstvo za javno upravo, Ministrstvo za kulturo, Ministrstvo za notranje zadeve, Ministrstvo za okolje in prostor, Ministrstvo za zdravje, Ministrstvo za infrastrukturo, Ministrstvo za zunanje zadeve, Služba Vlade RS za zakonodajo in Vrhovno državno tožilstvo.</w:t>
      </w:r>
    </w:p>
    <w:p w14:paraId="6869D49C" w14:textId="3F0E433B" w:rsidR="009F00CF" w:rsidRPr="005C544E"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2136111E" w14:textId="3F4ABE96" w:rsidR="009F00CF" w:rsidRPr="005C544E"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Pripombe v medresorskem usklajevanju so bile obravnavane na naslednjih sestankih:</w:t>
      </w:r>
    </w:p>
    <w:p w14:paraId="78DE63D6" w14:textId="6273154F" w:rsidR="0032207C" w:rsidRPr="005C544E"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FB34F5">
        <w:rPr>
          <w:rFonts w:cs="Arial"/>
          <w:szCs w:val="20"/>
          <w:lang w:eastAsia="sl-SI"/>
        </w:rPr>
        <w:t>17. 4. 2019 je bil v prostorih Ministrstva za pra</w:t>
      </w:r>
      <w:r w:rsidRPr="005C544E">
        <w:rPr>
          <w:rFonts w:cs="Arial"/>
          <w:szCs w:val="20"/>
          <w:lang w:eastAsia="sl-SI"/>
        </w:rPr>
        <w:t xml:space="preserve">vosodje izveden sestanek o vprašanjih varstva osebnih podatkov v delu in v postopkih pred </w:t>
      </w:r>
      <w:r w:rsidR="00621EAE" w:rsidRPr="005C544E">
        <w:rPr>
          <w:rFonts w:cs="Arial"/>
          <w:szCs w:val="20"/>
          <w:lang w:eastAsia="sl-SI"/>
        </w:rPr>
        <w:t>KPK</w:t>
      </w:r>
      <w:r w:rsidRPr="005C544E">
        <w:rPr>
          <w:rFonts w:cs="Arial"/>
          <w:szCs w:val="20"/>
          <w:lang w:eastAsia="sl-SI"/>
        </w:rPr>
        <w:t xml:space="preserve"> s predstavniki MJU in IP,</w:t>
      </w:r>
    </w:p>
    <w:p w14:paraId="317E5D2E" w14:textId="7405597A" w:rsidR="009F00CF" w:rsidRPr="005C544E"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8. 5. 2019 je bil sestanek v prostorih Ministrstva za pravosodje izveden usklajevalni sestanek o vsebini predlaganega 28. člena novele s predstavniki KPK, MJU</w:t>
      </w:r>
      <w:r w:rsidR="001C50C7" w:rsidRPr="005C544E">
        <w:rPr>
          <w:rFonts w:cs="Arial"/>
          <w:szCs w:val="20"/>
          <w:lang w:eastAsia="sl-SI"/>
        </w:rPr>
        <w:t>,</w:t>
      </w:r>
      <w:r w:rsidRPr="005C544E">
        <w:rPr>
          <w:rFonts w:cs="Arial"/>
          <w:szCs w:val="20"/>
          <w:lang w:eastAsia="sl-SI"/>
        </w:rPr>
        <w:t xml:space="preserve"> IP</w:t>
      </w:r>
      <w:r w:rsidR="001C50C7" w:rsidRPr="005C544E">
        <w:rPr>
          <w:rFonts w:cs="Arial"/>
          <w:szCs w:val="20"/>
          <w:lang w:eastAsia="sl-SI"/>
        </w:rPr>
        <w:t xml:space="preserve"> in UJP</w:t>
      </w:r>
      <w:r w:rsidRPr="005C544E">
        <w:rPr>
          <w:rFonts w:cs="Arial"/>
          <w:szCs w:val="20"/>
          <w:lang w:eastAsia="sl-SI"/>
        </w:rPr>
        <w:t>,</w:t>
      </w:r>
    </w:p>
    <w:p w14:paraId="16AB8F4F" w14:textId="36068D45" w:rsidR="0032207C" w:rsidRPr="005C544E"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13. 5. 2019 je bil v prostorih Ministrstva za pravosodje izveden usklajevalni sestanek o pripombah SVZ s predstavniki SVZ,</w:t>
      </w:r>
    </w:p>
    <w:p w14:paraId="45BB86A2" w14:textId="0DD83C75" w:rsidR="0032207C" w:rsidRPr="005C544E" w:rsidRDefault="0032207C" w:rsidP="006F190F">
      <w:pPr>
        <w:pStyle w:val="Odstavekseznama"/>
        <w:numPr>
          <w:ilvl w:val="0"/>
          <w:numId w:val="20"/>
        </w:numPr>
        <w:suppressAutoHyphens/>
        <w:overflowPunct w:val="0"/>
        <w:autoSpaceDE w:val="0"/>
        <w:spacing w:line="240" w:lineRule="auto"/>
        <w:jc w:val="both"/>
        <w:textAlignment w:val="baseline"/>
        <w:rPr>
          <w:rFonts w:cs="Arial"/>
          <w:szCs w:val="20"/>
          <w:lang w:eastAsia="sl-SI"/>
        </w:rPr>
      </w:pPr>
      <w:r w:rsidRPr="005C544E">
        <w:rPr>
          <w:rFonts w:cs="Arial"/>
          <w:szCs w:val="20"/>
          <w:lang w:eastAsia="sl-SI"/>
        </w:rPr>
        <w:t>16. 5. 2019 je bil v prostorih Ministrstva za pravosodje izveden usklajevalni sestanek o pripombah KPK s predstavniki KPK</w:t>
      </w:r>
      <w:r w:rsidR="007372D5" w:rsidRPr="005C544E">
        <w:rPr>
          <w:rFonts w:cs="Arial"/>
          <w:szCs w:val="20"/>
          <w:lang w:eastAsia="sl-SI"/>
        </w:rPr>
        <w:t>.</w:t>
      </w:r>
    </w:p>
    <w:p w14:paraId="78794675" w14:textId="7B1418C9" w:rsidR="009F00CF" w:rsidRDefault="009F00CF"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4D07DC64" w14:textId="225037C8" w:rsidR="003D757B"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Glede na upoštevanje pripomb SVZ je prišlo do preštevilčenja nekaterih členov v predlogu zakona.</w:t>
      </w:r>
    </w:p>
    <w:p w14:paraId="5E60E33E" w14:textId="77777777" w:rsidR="003D757B" w:rsidRPr="005C544E" w:rsidRDefault="003D757B"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66DC421" w14:textId="7777777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 členu (4. člen ZIntPK)</w:t>
      </w:r>
    </w:p>
    <w:p w14:paraId="1C0A0D2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A7E2AB" w14:textId="0C469F19"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Osebe odgovorne za javno naročanje</w:t>
      </w:r>
    </w:p>
    <w:p w14:paraId="6BAF8ED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089ED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KPK in MJU</w:t>
      </w:r>
    </w:p>
    <w:p w14:paraId="6AC2369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i/>
          <w:sz w:val="20"/>
          <w:szCs w:val="20"/>
          <w:lang w:eastAsia="ar-SA"/>
        </w:rPr>
      </w:pPr>
      <w:r w:rsidRPr="005C544E">
        <w:rPr>
          <w:rFonts w:ascii="Arial" w:eastAsia="Times New Roman" w:hAnsi="Arial" w:cs="Arial"/>
          <w:bCs/>
          <w:i/>
          <w:sz w:val="20"/>
          <w:szCs w:val="20"/>
          <w:u w:val="single"/>
          <w:lang w:eastAsia="ar-SA"/>
        </w:rPr>
        <w:t>KPK</w:t>
      </w:r>
      <w:r w:rsidRPr="005C544E">
        <w:rPr>
          <w:rFonts w:ascii="Arial" w:eastAsia="Times New Roman" w:hAnsi="Arial" w:cs="Arial"/>
          <w:bCs/>
          <w:i/>
          <w:sz w:val="20"/>
          <w:szCs w:val="20"/>
          <w:lang w:eastAsia="ar-SA"/>
        </w:rPr>
        <w:t xml:space="preserve"> predlaga, da se 10. točka 4. člena glasi: »osebe, ki sodelujejo pri oddaji javnih naročil«, so: osebe, ki jih naročnik imenuje v strokovno komisijo, če je ta imenovana, osebe, ki vodijo postopek javnega naročanja, sodelujejo pri pripravi dokumentacije v zvezi z oddajo javnega naročila ali njenih delov ali na kateri koli stopnji odločajo v postopku javnega naročanja ali glede oddaje javnega naročila ali predlagajo, kateremu ponudniku naj se odda javno naročilo, kadar je vrednost javnega naročila ali skupna vrednost naročil v tekočem letu enaka ali višja od 100.000 eurov brez DDV;«. Iz nomotehničnih razlogov, da bo vsebina predpisa zavezancem razumljivejša, se predlaga, da se namesto sklicevanja na mejne vrednosti, določene z ZJN-3, v ZIntPK določi minimalna vrednost javnega naročila, po kateri so osebe, ki sodelujejo v strokovnih komisijah za oddajo takih javnih naročil, zavezanci za poročanje premoženjskega stanja komisiji. Predlagana sprememba pomeni poenostavitev za zavezance, saj bodo razlogi za zavezanost k poročanju, ne glede na to, ali gre za javno naročilo na splošnem ali infrastrukturnem področju, javno naročilo blaga, storitev ali gradenj, vezani na vrednost javnega naročila in ne na vrsto naročila. Na neprimernost trenutne obstoječe definicije in predlagane nove definicije se kaže tudi v tem, da predlog pogojuje zavezanca z izvedbo točno določenega tipa javnega naročila oziroma določa spodnjo mejo. To se jasno vidi na predlogu, ki še zmeraj vsebuje termin: »postopek zbiranja ponudb po predhodni objavi«. Dejstvo je, da ZJN-3 tega postopka ne pozna, zato ni jasno, kako naj bi se ta določba izvajala v praksi. ZJN-3 sicer pozna termin »postopek s pogajanji brez predhodne objave«, ki pa ni enak.</w:t>
      </w:r>
    </w:p>
    <w:p w14:paraId="37B5C15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u w:val="single"/>
          <w:lang w:eastAsia="ar-SA"/>
        </w:rPr>
        <w:t>MJU</w:t>
      </w:r>
      <w:r w:rsidRPr="005C544E">
        <w:rPr>
          <w:rFonts w:ascii="Arial" w:eastAsia="Times New Roman" w:hAnsi="Arial" w:cs="Arial"/>
          <w:bCs/>
          <w:i/>
          <w:sz w:val="20"/>
          <w:szCs w:val="20"/>
          <w:lang w:eastAsia="ar-SA"/>
        </w:rPr>
        <w:t xml:space="preserve"> pojasnjuje, da se z definicijo iz predloga novele ZIntPK-C (op. kar je omenjeno tudi v obrazložitvi k 1. členu) zagotavlja primerljiva ureditev na vseh področjih javnega naročanja: splošnem, infrastrukturnem in obrambnem področju. S tem namenom je tudi »postopek zbiranja ponudb po predhodni objavi« omenjen z razlogom, namreč ta postopek, ki ga ureja Zakon o javnem naročanju na področju obrambe in varnosti (Uradni list RS, št. 90/12, 90/14 – ZDU-1I in 52/16; ZJNPOV) je po vrednosti primerljiv postopku naročila male vrednosti po ZJN-3. MJU je predlagal naslednjo definicijo: </w:t>
      </w:r>
      <w:bookmarkStart w:id="2" w:name="_Hlk1461340"/>
      <w:r w:rsidRPr="005C544E">
        <w:rPr>
          <w:rFonts w:ascii="Arial" w:eastAsia="Times New Roman" w:hAnsi="Arial" w:cs="Arial"/>
          <w:bCs/>
          <w:i/>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bookmarkEnd w:id="2"/>
      <w:r w:rsidRPr="005C544E">
        <w:rPr>
          <w:rFonts w:ascii="Arial" w:eastAsia="Times New Roman" w:hAnsi="Arial" w:cs="Arial"/>
          <w:bCs/>
          <w:i/>
          <w:sz w:val="20"/>
          <w:szCs w:val="20"/>
          <w:lang w:eastAsia="ar-SA"/>
        </w:rPr>
        <w:t>.</w:t>
      </w:r>
    </w:p>
    <w:p w14:paraId="52C7B33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Predlog MJU se upošteva.</w:t>
      </w:r>
    </w:p>
    <w:p w14:paraId="5233728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ABCFF8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BSI</w:t>
      </w:r>
    </w:p>
    <w:p w14:paraId="5FA2D1A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v zakonu namesto termina »funkcionarji Banke Slovenije« uporablja termin »člani Sveta Banke Slovenije« oz. »osebe s posebnimi pooblastili v Banki Slovenije« in »uslužbenci zaposleni v Banki Slovenije«.</w:t>
      </w:r>
      <w:r w:rsidRPr="005C544E">
        <w:rPr>
          <w:rFonts w:ascii="Arial" w:eastAsia="Times New Roman" w:hAnsi="Arial" w:cs="Arial"/>
          <w:sz w:val="20"/>
          <w:szCs w:val="20"/>
          <w:lang w:eastAsia="ar-SA"/>
        </w:rPr>
        <w:t xml:space="preserve"> Predlog je upoštevan.</w:t>
      </w:r>
    </w:p>
    <w:p w14:paraId="0450D83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82AD5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opredeli tudi pojem »subjekt javnega sektorja«.</w:t>
      </w:r>
      <w:r w:rsidRPr="005C544E">
        <w:rPr>
          <w:rFonts w:ascii="Arial" w:eastAsia="Times New Roman" w:hAnsi="Arial" w:cs="Arial"/>
          <w:sz w:val="20"/>
          <w:szCs w:val="20"/>
          <w:lang w:eastAsia="ar-SA"/>
        </w:rPr>
        <w:t xml:space="preserve"> Predloga se ne upošteva, ker je dovolj določno definiran termin »javni sektor«, ki ga sestavljajo subjekti javnega sektorja.</w:t>
      </w:r>
    </w:p>
    <w:p w14:paraId="2C3FA3E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80174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12. točki predlagano, da se splošno definira »zasebni interes«, ki bi se nanašal samo na uradne osebe.</w:t>
      </w:r>
      <w:r w:rsidRPr="005C544E">
        <w:rPr>
          <w:rFonts w:ascii="Arial" w:eastAsia="Times New Roman" w:hAnsi="Arial" w:cs="Arial"/>
          <w:sz w:val="20"/>
          <w:szCs w:val="20"/>
          <w:lang w:eastAsia="ar-SA"/>
        </w:rPr>
        <w:t xml:space="preserve"> Predloga se ne upošteva, ker 11. točka definira nasprotje interesov, ki se lahko pojavi tudi pri osebah, ki niso uradne osebe. Zasebni interes je vsak interes, ki ni javni.</w:t>
      </w:r>
    </w:p>
    <w:p w14:paraId="6D0A05B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8B02A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16. točki predlagano, da se BSI ne navaja izrecno, ker je že zajeta med »nosilce javnih pooblastil«.</w:t>
      </w:r>
      <w:r w:rsidRPr="005C544E">
        <w:rPr>
          <w:rFonts w:ascii="Arial" w:eastAsia="Times New Roman" w:hAnsi="Arial" w:cs="Arial"/>
          <w:sz w:val="20"/>
          <w:szCs w:val="20"/>
          <w:lang w:eastAsia="ar-SA"/>
        </w:rPr>
        <w:t xml:space="preserve"> Predloga se ne upošteva, ker se BSI izrecno navaja v vseh ostalih točkah. Zaradi konsistentnosti besedila, se BSI navaja tudi v 16. točki.</w:t>
      </w:r>
    </w:p>
    <w:p w14:paraId="53F2403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A0D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4701CD1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V 5. točki manjka navedba predsednik državnega sveta (v obrazložitvi člena je naveden). Besedna zveza, ki se glasi: »in drugimi predpisi, ki obvezujejo Banko Slovenije« se črta, saj menimo, da je tu potrebno kot izjemo vključiti le zakonske določbe, ne tudi določbe podzakonskih aktov</w:t>
      </w:r>
      <w:r w:rsidRPr="005C544E">
        <w:rPr>
          <w:rFonts w:ascii="Arial" w:eastAsia="Times New Roman" w:hAnsi="Arial" w:cs="Arial"/>
          <w:sz w:val="20"/>
          <w:szCs w:val="20"/>
          <w:lang w:eastAsia="ar-SA"/>
        </w:rPr>
        <w:t>. Predsednik državnega sveta ni posebej naveden, ker je že zajet kot član državnega sveta, prav tako pa ni namen definicije taksativno naštevanje vseh funkcionarjev. Del predloga, ki se nanaša na podzakonske akte v zvezi z Banko Slovenije, se ne upošteva, ker se besedilo ne nanaša nujno na podzakonske predpise, ampak tudi na predpise ECB.</w:t>
      </w:r>
    </w:p>
    <w:p w14:paraId="2B25D0A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2AD0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UE Velenje, KPK in Upravno sodišče RS</w:t>
      </w:r>
    </w:p>
    <w:p w14:paraId="1B759468" w14:textId="14CCC8B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i/>
          <w:sz w:val="20"/>
          <w:szCs w:val="20"/>
          <w:u w:val="single"/>
          <w:lang w:eastAsia="ar-SA"/>
        </w:rPr>
        <w:t>UE Velenje</w:t>
      </w:r>
      <w:r w:rsidRPr="005C544E">
        <w:rPr>
          <w:rFonts w:ascii="Arial" w:eastAsia="Times New Roman" w:hAnsi="Arial" w:cs="Arial"/>
          <w:i/>
          <w:sz w:val="20"/>
          <w:szCs w:val="20"/>
          <w:lang w:eastAsia="ar-SA"/>
        </w:rPr>
        <w:t xml:space="preserve"> predlaga, da se v 6. točko prvega odstavka, ki določa družinske člane, dodajo tudi "partnerska zveza" in "nesklenjena partnerska zveza", kot jo določa Zakon o partnerski zvezi (Uradni list RS, št. 33/16) veljaven od 24. 2. 2017. </w:t>
      </w:r>
      <w:r w:rsidRPr="005C544E">
        <w:rPr>
          <w:rFonts w:ascii="Arial" w:eastAsia="Times New Roman" w:hAnsi="Arial" w:cs="Arial"/>
          <w:i/>
          <w:sz w:val="20"/>
          <w:szCs w:val="20"/>
          <w:u w:val="single"/>
          <w:lang w:eastAsia="ar-SA"/>
        </w:rPr>
        <w:t>KPK</w:t>
      </w:r>
      <w:r w:rsidRPr="005C544E">
        <w:rPr>
          <w:rFonts w:ascii="Arial" w:eastAsia="Times New Roman" w:hAnsi="Arial" w:cs="Arial"/>
          <w:i/>
          <w:sz w:val="20"/>
          <w:szCs w:val="20"/>
          <w:lang w:eastAsia="ar-SA"/>
        </w:rPr>
        <w:t xml:space="preserve"> predlaga ohranitev trenutne ureditve, ker predvidena širitev vpliva na več institutov ZIntPK, in sicer omejitve poslovanja, nasprotje interesov ter darila. Navedena definicija pa tudi otežuje enakopravno obravnavo iz naslova svaštva do drugega kolena pri osebah, ki nimajo sklenjene formalne zakonske zveze. Omejitve poslovanja bi glede na novo definicijo družinskih članov tako pomenile absolutno prepoved poslovanja organov ali organizacij, pri katerih funkcijo opravljajo funkcionarji s subjekti, kot npr. družbami, v kateri je več kot 5% lastnica ali pa zakonita zastopnica svakinja funkcionarja. Prav tako bi sprememba definicije vplivala na količino podatkov, ki jih glede omejitev poslovanja funkcionarji morajo sporočiti organom (in spremembe podatkov), ti pa naprej komisiji. </w:t>
      </w:r>
      <w:r w:rsidRPr="005C544E">
        <w:rPr>
          <w:rFonts w:ascii="Arial" w:eastAsia="Times New Roman" w:hAnsi="Arial" w:cs="Arial"/>
          <w:i/>
          <w:sz w:val="20"/>
          <w:szCs w:val="20"/>
          <w:u w:val="single"/>
          <w:lang w:eastAsia="ar-SA"/>
        </w:rPr>
        <w:t>Upravno sodišče RS predlaga</w:t>
      </w:r>
      <w:r w:rsidRPr="005C544E">
        <w:rPr>
          <w:rFonts w:ascii="Arial" w:eastAsia="Times New Roman" w:hAnsi="Arial" w:cs="Arial"/>
          <w:i/>
          <w:sz w:val="20"/>
          <w:szCs w:val="20"/>
          <w:lang w:eastAsia="ar-SA"/>
        </w:rPr>
        <w:t xml:space="preserve">, </w:t>
      </w:r>
      <w:r w:rsidRPr="005C544E">
        <w:rPr>
          <w:rFonts w:ascii="Arial" w:eastAsia="Times New Roman" w:hAnsi="Arial" w:cs="Arial"/>
          <w:bCs/>
          <w:i/>
          <w:sz w:val="20"/>
          <w:szCs w:val="20"/>
          <w:lang w:eastAsia="ar-SA"/>
        </w:rPr>
        <w:t>da se definicija »družinskih članov« veže na prijavo v isto gospodinjstvo. Po trenutni definiciji imajo na istem naslovu prijavljeno stalno oziroma začasno prebivališče npr. vsi stanovalci nekega bloka</w:t>
      </w:r>
      <w:r w:rsidRPr="005C544E">
        <w:rPr>
          <w:rFonts w:ascii="Arial" w:eastAsia="Times New Roman" w:hAnsi="Arial" w:cs="Arial"/>
          <w:bCs/>
          <w:sz w:val="20"/>
          <w:szCs w:val="20"/>
          <w:lang w:eastAsia="ar-SA"/>
        </w:rPr>
        <w:t>. Predlogi se smiselno upoštevajo. Namen določbe je zajeti ne zgolj formalne skupnosti, kot je skupno gospodinjstvo, pač pa tudi situacije</w:t>
      </w:r>
      <w:r w:rsidR="00BA5D9F">
        <w:rPr>
          <w:rFonts w:ascii="Arial" w:eastAsia="Times New Roman" w:hAnsi="Arial" w:cs="Arial"/>
          <w:bCs/>
          <w:sz w:val="20"/>
          <w:szCs w:val="20"/>
          <w:lang w:eastAsia="ar-SA"/>
        </w:rPr>
        <w:t xml:space="preserve"> </w:t>
      </w:r>
      <w:r w:rsidRPr="005C544E">
        <w:rPr>
          <w:rFonts w:ascii="Arial" w:eastAsia="Times New Roman" w:hAnsi="Arial" w:cs="Arial"/>
          <w:bCs/>
          <w:sz w:val="20"/>
          <w:szCs w:val="20"/>
          <w:lang w:eastAsia="ar-SA"/>
        </w:rPr>
        <w:t>dejanskega skupnega bivanja (sostanovalstvo).</w:t>
      </w:r>
    </w:p>
    <w:p w14:paraId="08CB149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E221F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JAZMP</w:t>
      </w:r>
    </w:p>
    <w:p w14:paraId="0B3E38F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K 11. točki predlagano, da se obveznost upoštevanja določb glede nasprotje interesa uredi tudi za posamezne zunanje strokovnjake, ki niso imenovani oziroma vključeni v komisije, odbore, skupine ipd. (zveza na 37. člen)</w:t>
      </w:r>
      <w:r w:rsidRPr="005C544E">
        <w:rPr>
          <w:rFonts w:ascii="Arial" w:eastAsia="Times New Roman" w:hAnsi="Arial" w:cs="Arial"/>
          <w:bCs/>
          <w:sz w:val="20"/>
          <w:szCs w:val="20"/>
          <w:lang w:eastAsia="ar-SA"/>
        </w:rPr>
        <w:t>. Predlog se primeroma sklicuje na določbo 4. člena</w:t>
      </w:r>
      <w:r w:rsidRPr="0055047E">
        <w:rPr>
          <w:rFonts w:ascii="Arial" w:eastAsia="Times New Roman" w:hAnsi="Arial" w:cs="Arial"/>
          <w:bCs/>
          <w:szCs w:val="20"/>
          <w:lang w:eastAsia="ar-SA"/>
        </w:rPr>
        <w:t xml:space="preserve"> Zakona o zdravilih (ZZdr-2), </w:t>
      </w:r>
      <w:r w:rsidRPr="005C544E">
        <w:rPr>
          <w:rFonts w:ascii="Arial" w:eastAsia="Times New Roman" w:hAnsi="Arial" w:cs="Arial"/>
          <w:bCs/>
          <w:sz w:val="20"/>
          <w:szCs w:val="20"/>
          <w:lang w:eastAsia="ar-SA"/>
        </w:rPr>
        <w:t>ki pa že sam vključuje tudi določbe o nasprotju interesov in obveznostih izogibanja (sedmi odstavek). Določba ZIntPK veljajo dispozitivno, torej če specialni zakon vprašanja ne ureja drugače. V danem primeru se ZIntPK zaradi navedenega ne bi uporabil, uporabile bi se le določbe ZZdr-2. Pripombe se ne upošteva.</w:t>
      </w:r>
    </w:p>
    <w:p w14:paraId="6D1CC1D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345019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GZS</w:t>
      </w:r>
    </w:p>
    <w:p w14:paraId="095BB9F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 xml:space="preserve">K 15. točki predlagano, da ko gre za zastopanje ožjih interesov članstva v okviru interesnih združenj oziroma sekcij zbornice, je smiselno, da ti predstavniki lahko sodelujejo pri predstavljanju strokovnih stališč GZS. Kot alternativa predlagano, da te osebe lahko zakonito lobirajo, če nastopijo skupaj z zakonitimi zastopniki ali z zaposlenimi v teh organizacijah. Predlagano, da predstavnikom združenj in sekcij že sama izvolitev zagotavlja položaj lobista oziroma naj bodo v enakem položaju kot zaposleni na zbornici. </w:t>
      </w:r>
      <w:r w:rsidRPr="005C544E">
        <w:rPr>
          <w:rFonts w:ascii="Arial" w:eastAsia="Times New Roman" w:hAnsi="Arial" w:cs="Arial"/>
          <w:bCs/>
          <w:sz w:val="20"/>
          <w:szCs w:val="20"/>
          <w:lang w:eastAsia="ar-SA"/>
        </w:rPr>
        <w:t>Predlagatelj je mnenja, da se izvoljenim predstavnikom posameznih sekcij že po veljavni ureditvi ni treba registrirati, da bi lahko zakonito lobirali, ureditev pa se v tem delu ne spreminja. Predlagatelj se zaveda, da je KPK v svoji praksi zavzela drugačno stališče.</w:t>
      </w:r>
    </w:p>
    <w:p w14:paraId="1EFA92C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DDD966E" w14:textId="0C524CA4"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 členu (7. člen ZIntPK)</w:t>
      </w:r>
    </w:p>
    <w:p w14:paraId="08E0C2C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19C3E9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TI</w:t>
      </w:r>
    </w:p>
    <w:p w14:paraId="521917B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Predlagano, da se v drugem odstavku nezdružljivost funkcije funkcionarjev komisije opredeljuje najmanj tako kot za preostale funkcionarje (v 26. členu trenutno veljavnega ZIntPK) in ne le na področjih, kjer komisija izvršuje pristojnosti po tem zakonu</w:t>
      </w:r>
      <w:r w:rsidRPr="005C544E">
        <w:rPr>
          <w:rFonts w:ascii="Arial" w:eastAsia="Times New Roman" w:hAnsi="Arial" w:cs="Arial"/>
          <w:bCs/>
          <w:sz w:val="20"/>
          <w:szCs w:val="20"/>
          <w:lang w:eastAsia="ar-SA"/>
        </w:rPr>
        <w:t>. Določba drugega odstavka spremenjenega 7. člena velja poleg splošne ureditve, ki je določena v zakonu. Poleg splošnih določb o nezdružljivosti (veljavni 26. člen ZIntPK), funkcionarji KPK ne smejo opravljati funkcije ali delati v drugi osebi javnega ali zasebnega prava, ki deluje na področjih, na katerih KPK izvršuje svoja pooblastila, na primer funkcionarji KPK skladno s predlogom ne smejo delati za TI.</w:t>
      </w:r>
    </w:p>
    <w:p w14:paraId="27AF407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9494FA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KPK</w:t>
      </w:r>
    </w:p>
    <w:p w14:paraId="5C819082" w14:textId="2153937A"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Predlagano, da se drugi in tretji odstavek dopolnita z navedbo katere funkcije in dela v drugi osebi javnega ali zasebnega prava so nezdružljive in katera so tista področja, na katerih komisija izvršuje pristojnost po tem zakonu</w:t>
      </w:r>
      <w:r w:rsidRPr="005C544E">
        <w:rPr>
          <w:rFonts w:ascii="Arial" w:eastAsia="Times New Roman" w:hAnsi="Arial" w:cs="Arial"/>
          <w:bCs/>
          <w:sz w:val="20"/>
          <w:szCs w:val="20"/>
          <w:lang w:eastAsia="ar-SA"/>
        </w:rPr>
        <w:t xml:space="preserve">. Pojasnjujemo, da gre za katerekoli funkcije in katerakoli dela v drugi osebi javnega ali zasebnega prava, ki deluje na področjih, na katerih </w:t>
      </w:r>
      <w:r w:rsidR="00621EAE"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 xml:space="preserve">izvršuje pristojnosti po tem zakonu. Področja, na katerih </w:t>
      </w:r>
      <w:r w:rsidR="00621EAE" w:rsidRPr="005C544E">
        <w:rPr>
          <w:rFonts w:ascii="Arial" w:eastAsia="Times New Roman" w:hAnsi="Arial" w:cs="Arial"/>
          <w:bCs/>
          <w:sz w:val="20"/>
          <w:szCs w:val="20"/>
          <w:lang w:eastAsia="ar-SA"/>
        </w:rPr>
        <w:t xml:space="preserve">KPK </w:t>
      </w:r>
      <w:r w:rsidRPr="005C544E">
        <w:rPr>
          <w:rFonts w:ascii="Arial" w:eastAsia="Times New Roman" w:hAnsi="Arial" w:cs="Arial"/>
          <w:bCs/>
          <w:sz w:val="20"/>
          <w:szCs w:val="20"/>
          <w:lang w:eastAsia="ar-SA"/>
        </w:rPr>
        <w:t>izvršuje pristojnosti po tem zakonu so določena v veljavnem 1. in 2. členu ZIntPK.</w:t>
      </w:r>
    </w:p>
    <w:p w14:paraId="7191B91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E75CC50" w14:textId="1E4D7DD9"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 členu (7.a člen ZIntPK)</w:t>
      </w:r>
    </w:p>
    <w:p w14:paraId="082C251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098430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KPK in MJU</w:t>
      </w:r>
    </w:p>
    <w:p w14:paraId="0C4FD1D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KPK in MJU predlagata, naj se v ZIntPK ne določa razlogov za izločitev, saj jih izčrpno ureja že zakon, ki ureja splošni upravni postopek. KPK dodatno predlaga, naj se kot izločitveni razlog doda tudi posvojitveno razmerje med posvojiteljem in posvojencem</w:t>
      </w:r>
      <w:r w:rsidRPr="005C544E">
        <w:rPr>
          <w:rFonts w:ascii="Arial" w:eastAsia="Times New Roman" w:hAnsi="Arial" w:cs="Arial"/>
          <w:bCs/>
          <w:sz w:val="20"/>
          <w:szCs w:val="20"/>
          <w:lang w:eastAsia="ar-SA"/>
        </w:rPr>
        <w:t>. Predlagatelj predloga ni upošteval, ker je za celovitost ureditve prvi odstavek potreben, sicer dodatna ureditev v naslednjih odstavkih obvisi. Razmerje med posvojiteljem in posvojencem je skladno z 9. členom veljavnega Družinskega zakonika, izenačeno z razmerjem med starši in otroci.</w:t>
      </w:r>
    </w:p>
    <w:p w14:paraId="6D32C3D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F9087B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u w:val="single"/>
          <w:lang w:eastAsia="ar-SA"/>
        </w:rPr>
      </w:pPr>
      <w:r w:rsidRPr="005C544E">
        <w:rPr>
          <w:rFonts w:ascii="Arial" w:eastAsia="Times New Roman" w:hAnsi="Arial" w:cs="Arial"/>
          <w:bCs/>
          <w:sz w:val="20"/>
          <w:szCs w:val="20"/>
          <w:u w:val="single"/>
          <w:lang w:eastAsia="ar-SA"/>
        </w:rPr>
        <w:t>Upravno sodišče</w:t>
      </w:r>
    </w:p>
    <w:p w14:paraId="76B36BB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Predlagano, da se v drugi alineji prvega odstavka doda za besedo ali „v partnerski zvezi oziroma nesklenjeni partnerski zvezi“, glede na dikcijo, ki je uporabljene v Zakonu o partnerski zvezi</w:t>
      </w:r>
      <w:r w:rsidRPr="005C544E">
        <w:rPr>
          <w:rFonts w:ascii="Arial" w:eastAsia="Times New Roman" w:hAnsi="Arial" w:cs="Arial"/>
          <w:bCs/>
          <w:sz w:val="20"/>
          <w:szCs w:val="20"/>
          <w:lang w:eastAsia="ar-SA"/>
        </w:rPr>
        <w:t>. Predlog se upošteva.</w:t>
      </w:r>
    </w:p>
    <w:p w14:paraId="5C375AF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889EB" w14:textId="1DE1AF19"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4. členu (9. člen ZIntPK)</w:t>
      </w:r>
    </w:p>
    <w:p w14:paraId="26BFE95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66A65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1C07156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natančneje definira termin (standard) »obvladovanje« v kontekstu obvladovanja slovenskega jezika, standard »osebnostna primernost« in »strokovna usposobljenost«.</w:t>
      </w:r>
      <w:r w:rsidRPr="005C544E">
        <w:rPr>
          <w:rFonts w:ascii="Arial" w:eastAsia="Times New Roman" w:hAnsi="Arial" w:cs="Arial"/>
          <w:sz w:val="20"/>
          <w:szCs w:val="20"/>
          <w:lang w:eastAsia="ar-SA"/>
        </w:rPr>
        <w:t xml:space="preserve"> Pravni standard »obvladovanje slovenskega jezika« je v pravni teoriji in praksi večkrat uporabljen. Podobno je tudi s standardoma »osebnostna primernost« in »strokovna usposobljenost«. Konkretni kriteriji so prepuščeni kandidacijski komisiji, ki skladno s petim odstavkom v svojem poslovniku določi merila za izbiro in metode preverjanja usposobljenosti ob smiselni uporabi standardov, meril in metod uradniškega sveta. Prav tako je treba upoštevati, da je vsebina navedenih standardov delno že napolnjena v drugem in tretjem odstavku (osebnostna primernost) ter v četrtem odstavku (strokovna usposobljenost). Glede pogoja obvladanja slovenskega jezika je Ministrstvo za javno upravo izdalo že več stališč.</w:t>
      </w:r>
    </w:p>
    <w:p w14:paraId="56CC7E5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1871E0" w14:textId="07A0A2C9"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drugemu odstavku predlagano, da se bolj jasno opredeli, katere so tiste morebitne pretekle izkušnje in sedanje osebne okoliščine, ki bi lahko vplivale ali ustvarjale videz, da vplivajo na nepristransko ter objektivno opravljanje funkcije oziroma bi lahko škodovale ugledu komisije.</w:t>
      </w:r>
      <w:r w:rsidRPr="005C544E">
        <w:rPr>
          <w:rFonts w:ascii="Arial" w:eastAsia="Times New Roman" w:hAnsi="Arial" w:cs="Arial"/>
          <w:sz w:val="20"/>
          <w:szCs w:val="20"/>
          <w:lang w:eastAsia="ar-SA"/>
        </w:rPr>
        <w:t xml:space="preserve"> Pojasnjujemo, da gre za katerekoli morebitne pretekle izkušnje in sedanje osebne okoliščine, ki bi lahko vplivale ali ustvarjale videz, da vplivajo na nepristransko ter objektivno opravljanje funkcije oziroma bi lahko škodovale ugledu </w:t>
      </w:r>
      <w:r w:rsidR="001F2572"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xml:space="preserve">. Od kandidatov za člane senata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se pričakuje, da so odkriti in dovolj samokritični, da lahko identificirajo svoje izkušnje in okoliščine, ki bi lahko v prihodnosti vplivale na njihovo delovanje in na delovanje organa. Prav tako ima tudi kandidacijska komisija dolžnost, da sama identificira morebitne takšne okoliščine, če je kandidat z njimi ne bi seznanil.</w:t>
      </w:r>
    </w:p>
    <w:p w14:paraId="0AD5922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543AF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petem odstavku strokovne standarde usposobljenosti, merila za izbiro in metodo preverjanja usposobljenosti določi v zakonu, saj gre za vsebine, ki vplivajo na uresničevanje pravic, vezanih na pošten, transparenten postopek izbire</w:t>
      </w:r>
      <w:r w:rsidRPr="005C544E">
        <w:rPr>
          <w:rFonts w:ascii="Arial" w:eastAsia="Times New Roman" w:hAnsi="Arial" w:cs="Arial"/>
          <w:sz w:val="20"/>
          <w:szCs w:val="20"/>
          <w:lang w:eastAsia="ar-SA"/>
        </w:rPr>
        <w:t>. Navedena merila in standardi so Standardi strokovne usposobljenosti z merili za izbiro in metodami preverjanja usposobljenosti uradnikov na položajih v državni upravi</w:t>
      </w:r>
      <w:r w:rsidRPr="005C544E">
        <w:rPr>
          <w:rFonts w:ascii="Arial" w:eastAsia="Times New Roman" w:hAnsi="Arial" w:cs="Arial"/>
          <w:sz w:val="20"/>
          <w:szCs w:val="20"/>
          <w:vertAlign w:val="superscript"/>
          <w:lang w:eastAsia="ar-SA"/>
        </w:rPr>
        <w:footnoteReference w:id="19"/>
      </w:r>
      <w:r w:rsidRPr="005C544E">
        <w:rPr>
          <w:rFonts w:ascii="Arial" w:eastAsia="Times New Roman" w:hAnsi="Arial" w:cs="Arial"/>
          <w:sz w:val="20"/>
          <w:szCs w:val="20"/>
          <w:lang w:eastAsia="ar-SA"/>
        </w:rPr>
        <w:t>, ki jih uporablja Uradniški svet. Poštenost in transparentnost postopka se zagotavlja tako, da so pravila postopka znana v naprej, pogoji za kandidaturo pa so objavljeni v samem razpisu.</w:t>
      </w:r>
    </w:p>
    <w:p w14:paraId="4067891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035CB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1F08FA7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5. alineji prvega odstavka 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 Primarno predlagano da se določi kot pogoj za imenovanje funkcionarja KPK (ničelna toleranca glede kazenskih sankcij osebe, ki kandidira za funkcionarja KPK in podredno, če temu predlogu ne bi sledili, sekundarno predlagano, da se uporabijo pogoji glede kaznovanosti/nekaznovanosti za imenovanje državnega tožilca kot najstrožji pogoji trenutno veljavne zakonodaje</w:t>
      </w:r>
      <w:r w:rsidRPr="005C544E">
        <w:rPr>
          <w:rFonts w:ascii="Arial" w:eastAsia="Times New Roman" w:hAnsi="Arial" w:cs="Arial"/>
          <w:sz w:val="20"/>
          <w:szCs w:val="20"/>
          <w:lang w:eastAsia="ar-SA"/>
        </w:rPr>
        <w:t>. Predlog se upošteva in sicer tako, da se kot pogoj za imenovanje uporabijo enaki pogoji glede kaznovanosti kot za državne tožilce (ZDT-1 odkazuje na uporabo pogojev za sodnike).</w:t>
      </w:r>
    </w:p>
    <w:p w14:paraId="367DE8EC"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75D6DF8"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i/>
          <w:sz w:val="20"/>
          <w:szCs w:val="20"/>
          <w:lang w:eastAsia="ar-SA"/>
        </w:rPr>
        <w:t>K petemu odstavku je predlagana ureditev sprejema poslovnika v vsakem posamičnem primeru s strani vsakokratne kandidacijske komisije po našem mnenju ni ustrezna. Iz predlagane ureditve izhaja, da bi vsaka kandidacijska komisija sprejemala svoj poslovnik, s tem pa po našem mnenju obstaja tveganje različne obravnave kandidatov. Menijo tudi, da bi morali biti standardi, metode in merila za izbiro članov komisije predhodno objavljeni, kajti tako kandidati kot tudi javnost imajo pravico biti seznanjeni z navedenim. Z navedenim bi morali biti kandidati seznanjeni najmanj ob objavi javnega poziva za zbiranje kandidatur, kar pa je ob sedanjem predlogu ureditve časovno neizvedljivo. Glede na navedeno predlagan ponovni razmislek o potrebnosti sprejemanja poslovnika in sklicevanja na smiselno uporabo standardov, meril in metod uradniškega sveta, saj bo vsakokratna kandidacijska komisija smiselno uporabo lahko razumela nekoliko drugače in s tem postavila kandidate v neenakopraven položaj. V izogib navedenemu, predlagan ponovni razmislek, ali se ne bi predpisala kar smiselna uporaba standardov, meril in metod izbire uradniškega sveta</w:t>
      </w:r>
      <w:r w:rsidRPr="005C544E">
        <w:rPr>
          <w:rFonts w:ascii="Helv" w:eastAsia="Times New Roman" w:hAnsi="Helv" w:cs="Helv"/>
          <w:sz w:val="20"/>
          <w:szCs w:val="20"/>
          <w:lang w:eastAsia="ar-SA"/>
        </w:rPr>
        <w:t>. Novela že določa smiselno uporabo standardov, komisija pa bo v poslovniku lahko dodatno določila način svojega dela (ne pa tudi pravic in obveznosti kandidatov). Vsebina, ki je vezana na pravice in obveznosti kandidatov je že vezana na standarde, meril in metod, ki se smiselno uporabljajo.</w:t>
      </w:r>
    </w:p>
    <w:p w14:paraId="76507A76"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87709FD"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5C544E">
        <w:rPr>
          <w:rFonts w:ascii="Helv" w:eastAsia="Times New Roman" w:hAnsi="Helv" w:cs="Helv"/>
          <w:sz w:val="20"/>
          <w:szCs w:val="20"/>
          <w:u w:val="single"/>
          <w:lang w:eastAsia="ar-SA"/>
        </w:rPr>
        <w:t>TI Slovenia</w:t>
      </w:r>
    </w:p>
    <w:p w14:paraId="59C6F1F8"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Arial" w:eastAsia="Times New Roman" w:hAnsi="Arial" w:cs="Arial"/>
          <w:i/>
          <w:sz w:val="20"/>
          <w:szCs w:val="20"/>
          <w:lang w:eastAsia="ar-SA"/>
        </w:rPr>
        <w:t xml:space="preserve">K 6. alineji predlagano, </w:t>
      </w:r>
      <w:r w:rsidRPr="005C544E">
        <w:rPr>
          <w:rFonts w:ascii="Helv" w:eastAsia="Times New Roman" w:hAnsi="Helv" w:cs="Helv"/>
          <w:i/>
          <w:sz w:val="20"/>
          <w:szCs w:val="20"/>
          <w:lang w:eastAsia="ar-SA"/>
        </w:rPr>
        <w:t>da se zaradi usklajenosti z definicijami zamenja »ni opravljala funkcije« z »ni bila funkcionar«.</w:t>
      </w:r>
      <w:r w:rsidRPr="005C544E">
        <w:rPr>
          <w:rFonts w:ascii="Helv" w:eastAsia="Times New Roman" w:hAnsi="Helv" w:cs="Helv"/>
          <w:sz w:val="20"/>
          <w:szCs w:val="20"/>
          <w:lang w:eastAsia="ar-SA"/>
        </w:rPr>
        <w:t xml:space="preserve"> Besedna »opravlja funkcijo«, »opravlja članstvo«, »opravlja dejavnost« in podobno se uporablja v zakonskem besedilu na več mestih, med tem ko se izraz »je/ni funkcionar« ne uporablja. Predloga se ne upošteva zaradi ohranitve konsistentnosti besedila.</w:t>
      </w:r>
    </w:p>
    <w:p w14:paraId="403DA6BD"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8326CDD" w14:textId="3891BF8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5. členu (9.a člen ZIntPK)</w:t>
      </w:r>
    </w:p>
    <w:p w14:paraId="618729B5"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957F34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 in Urad predsednika Republike Slovenije</w:t>
      </w:r>
    </w:p>
    <w:p w14:paraId="5E1C9B3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besedilo 9.a člena preoblikuje tako, da funkcionarje KPK brez kandidacijske komisije imenuje predsednik republike. To bi zagotavljalo možnost predsednika republike da prevzame vso odgovornost za imenovanje in zmanjšalo politične vplive na imenovanje. Postopke pred imenovanjem bi vodil Urad predsednika Republike Slovenije</w:t>
      </w:r>
      <w:r w:rsidRPr="005C544E">
        <w:rPr>
          <w:rFonts w:ascii="Arial" w:eastAsia="Times New Roman" w:hAnsi="Arial" w:cs="Arial"/>
          <w:sz w:val="20"/>
          <w:szCs w:val="20"/>
          <w:lang w:eastAsia="ar-SA"/>
        </w:rPr>
        <w:t>. Trenutno predvideni postopek je zasnovan podobno kot drugi postopki imenovanja funkcionarjev. Sestavljen je iz treh faz, in sicer zbiranja kandidatur, ki jih preveri kandidacijska komisija, končno izbiro pa opravi predsednik republike. Glede na trenutno veljavno ureditev kandidacijskega postopka je bistvena sprememba preoblikovanje izbirne komisije v kandidacijsko komisijo. Ta nima več vloge izbire, pač pa zgolj preverja izpolnjevanje zakonsko določenih pogojev za kandidaturo. Odločitev glede izbire funkcionarjev KPK je tako v celoti prepuščena predsedniku republike, ki bo lahko izbiral med vsemi kandidati, ki ustrezajo razpisnim pogojem. Vloga kandidacijske komisije je podobna kot vloga na primer uradniškega sveta v postopku izbire uradnikov na položaju, sodnega sveta v postopku izbire sodnikov ali državnotožilskega sveta v postopku izbire tožilcev – predstavlja strokovno sito in s tem zagotavlja nepolitičnost izbire.</w:t>
      </w:r>
    </w:p>
    <w:p w14:paraId="0A7AB40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59CC8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300862A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jasneje opredeli določba četrtega odstavka v zvezi s pripombami k novemu 7.a členu.</w:t>
      </w:r>
      <w:r w:rsidRPr="005C544E">
        <w:rPr>
          <w:rFonts w:ascii="Arial" w:eastAsia="Times New Roman" w:hAnsi="Arial" w:cs="Arial"/>
          <w:sz w:val="20"/>
          <w:szCs w:val="20"/>
          <w:lang w:eastAsia="ar-SA"/>
        </w:rPr>
        <w:t xml:space="preserve"> Odstavek je bil spremenjen skladno s predlogom KPK v prejšnjih krogih posvetovanj.</w:t>
      </w:r>
    </w:p>
    <w:p w14:paraId="4CBCC9E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A6FB9" w14:textId="4CFA6109"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sedmem odstavku opredeli način snemanja, slikovno ali zvočno.</w:t>
      </w:r>
      <w:r w:rsidRPr="005C544E">
        <w:rPr>
          <w:rFonts w:ascii="Arial" w:eastAsia="Times New Roman" w:hAnsi="Arial" w:cs="Arial"/>
          <w:sz w:val="20"/>
          <w:szCs w:val="20"/>
          <w:lang w:eastAsia="ar-SA"/>
        </w:rPr>
        <w:t xml:space="preserve"> Način snemanja je prepuščen kandidacijski komisij</w:t>
      </w:r>
      <w:r w:rsidR="001F2572" w:rsidRPr="005C544E">
        <w:rPr>
          <w:rFonts w:ascii="Arial" w:eastAsia="Times New Roman" w:hAnsi="Arial" w:cs="Arial"/>
          <w:sz w:val="20"/>
          <w:szCs w:val="20"/>
          <w:lang w:eastAsia="ar-SA"/>
        </w:rPr>
        <w:t>i</w:t>
      </w:r>
      <w:r w:rsidRPr="005C544E">
        <w:rPr>
          <w:rFonts w:ascii="Arial" w:eastAsia="Times New Roman" w:hAnsi="Arial" w:cs="Arial"/>
          <w:sz w:val="20"/>
          <w:szCs w:val="20"/>
          <w:lang w:eastAsia="ar-SA"/>
        </w:rPr>
        <w:t>, ki ga lahko natančneje določi v svojem poslovniku.</w:t>
      </w:r>
    </w:p>
    <w:p w14:paraId="1CBCC6A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DC23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Predlagano, da se določbe sedmega in trinajstega odstavka, ki urejajo hrambo dokumentacije, uredijo strnjeno, v enem odstavku. </w:t>
      </w:r>
      <w:r w:rsidRPr="005C544E">
        <w:rPr>
          <w:rFonts w:ascii="Arial" w:eastAsia="Times New Roman" w:hAnsi="Arial" w:cs="Arial"/>
          <w:sz w:val="20"/>
          <w:szCs w:val="20"/>
          <w:lang w:eastAsia="ar-SA"/>
        </w:rPr>
        <w:t>Določbe sedmega in trinajstega odstavka urejajo na eni strani naloge kandidacijske komisije in na drugi strani naloge Urada predsednika Republike Slovenije. Po mnenju predlagatelja je bolj ustrezno, da so navedene določbe urejene v dveh različnih odstavkih.</w:t>
      </w:r>
    </w:p>
    <w:p w14:paraId="3DB0C39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4D1106" w14:textId="4A6D74F6"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6. členu (10. člen ZIntPK)</w:t>
      </w:r>
    </w:p>
    <w:p w14:paraId="4492F12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39C36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470916C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Predlaga se ureditev situacije, ko hkrati odstopita oba namestnika, da se zagotovi kontinuirano opravljanje nalog. </w:t>
      </w:r>
      <w:r w:rsidRPr="005C544E">
        <w:rPr>
          <w:rFonts w:ascii="Arial" w:eastAsia="Times New Roman" w:hAnsi="Arial" w:cs="Arial"/>
          <w:sz w:val="20"/>
          <w:szCs w:val="20"/>
          <w:lang w:eastAsia="ar-SA"/>
        </w:rPr>
        <w:t>Predloga se ne upošteva. Jasno je, da naloge prvega namestnika, ki odstopi, prevzame drugi namestnik. Če odstopita oba, delo nadaljuje predsednik, ki sicer do imenovanja novih namestnikov ne more sprejemati odločitev (za večino, ki je potrebna za izglasovanje odločitev, ki jih sprejema senat, sta potrebna dva glasova).</w:t>
      </w:r>
    </w:p>
    <w:p w14:paraId="42BBFFD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31813" w14:textId="642CCFD1"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7. členu (11. člen ZIntPK)</w:t>
      </w:r>
    </w:p>
    <w:p w14:paraId="2BCF6E7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CE86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41005096" w14:textId="369EEB1B"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prvem odstavku črta besedilo, ki se nanaša na poslovnik, ker lahko samo zakon določa naloge/pristojnosti komisije, tj. nabor zadev o katerih komisija odloča kot kolegijski organ</w:t>
      </w:r>
      <w:r w:rsidRPr="005C544E">
        <w:rPr>
          <w:rFonts w:ascii="Arial" w:eastAsia="Times New Roman" w:hAnsi="Arial" w:cs="Arial"/>
          <w:sz w:val="20"/>
          <w:szCs w:val="20"/>
          <w:lang w:eastAsia="ar-SA"/>
        </w:rPr>
        <w:t xml:space="preserve">. V predlogu so v drugem odstavku predlaganega novega besedila 11. člena taksativno našteti postopki, v katerih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mora odločati kot kolegijski organ. O ostalih zadevah odloča predsednik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kot predstojnik ali druge osebe skladno s svojimi pooblastili. Prvi odstavek v zvezi z osmo alinejo drugega odstavka daje možnost senatu, da v poslovniku določi, da o posameznih zadevah, ki so sicer v pristojnosti posameznikov (predsednika, namestnikov, uslužbencev), odloča senat.</w:t>
      </w:r>
    </w:p>
    <w:p w14:paraId="44206B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F64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sedmi alineji druga odstavka spremenjenega 11. člena ohrani dosedanja ureditev iz Poslovnika KPK, ko predsednik sprejema interne akte komisije, komisija kot kolegijski organ pa sprejema akt o notranji organizaciji in sistemizaciji.</w:t>
      </w:r>
      <w:r w:rsidRPr="005C544E">
        <w:rPr>
          <w:rFonts w:ascii="Arial" w:eastAsia="Times New Roman" w:hAnsi="Arial" w:cs="Arial"/>
          <w:sz w:val="20"/>
          <w:szCs w:val="20"/>
          <w:lang w:eastAsia="ar-SA"/>
        </w:rPr>
        <w:t xml:space="preserve"> Predlog se upošteva.</w:t>
      </w:r>
    </w:p>
    <w:p w14:paraId="2DE260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925C85" w14:textId="09AE4CD2"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peti odstavek spremeni skladno s prakso Vrhovnega sodišča RS, ker gre za postopke, ki jih komisija vodi po zakonu, ki ureja splošni upravni postopek slednji pa nedvoumno določa, kdo vse lahko sodeluje v postopku in na kakšen način. Prav tako bi lahko prisotnost navedenih predstavnikov na sejah komisije pomenila obliko (neformalnega) vplivanja (tudi pritiska, groženj) na odločitve članov komisije pri odločanju, še posebej upoštevaje dejstvo, da se član komisije glasovanja ne more vzdržati</w:t>
      </w:r>
      <w:r w:rsidRPr="005C544E">
        <w:rPr>
          <w:rFonts w:ascii="Arial" w:eastAsia="Times New Roman" w:hAnsi="Arial" w:cs="Arial"/>
          <w:sz w:val="20"/>
          <w:szCs w:val="20"/>
          <w:lang w:eastAsia="ar-SA"/>
        </w:rPr>
        <w:t xml:space="preserve">. Pojasnjujemo, da ima KPK možnost, ne pa obveznost, da na svojo sejo povabi osebe iz petega odstavka spremenjenega 11. člena. Pri tem je pričakovano, da jih ne bo vabila na seje v delu, kjer se obravnavajo posamezni konkretni primeri. Po mnenju predlagatelja pa ni nobenih zadržkov za sodelovanje teh oseb ob obravnavi npr. letnega poročila, določanja prednostnih nalog, programa dela in podobnih dokumentov. Predlog za razširjeno vključitev nevladnih organizacij, ki delujejo na področjih, za katera je pristojna </w:t>
      </w:r>
      <w:r w:rsidR="001F2572" w:rsidRPr="005C544E">
        <w:rPr>
          <w:rFonts w:ascii="Arial" w:eastAsia="Times New Roman" w:hAnsi="Arial" w:cs="Arial"/>
          <w:sz w:val="20"/>
          <w:szCs w:val="20"/>
          <w:lang w:eastAsia="ar-SA"/>
        </w:rPr>
        <w:t>KPK</w:t>
      </w:r>
      <w:r w:rsidRPr="005C544E">
        <w:rPr>
          <w:rFonts w:ascii="Arial" w:eastAsia="Times New Roman" w:hAnsi="Arial" w:cs="Arial"/>
          <w:sz w:val="20"/>
          <w:szCs w:val="20"/>
          <w:lang w:eastAsia="ar-SA"/>
        </w:rPr>
        <w:t>, neposredno ali posredno, je sicer dala KPK v dopisu št. 0071-27/2016-3 z dne 23. 12. 2016 (naša št. 007-372/2016/15).</w:t>
      </w:r>
    </w:p>
    <w:p w14:paraId="69F4572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DC017CE" w14:textId="6F7A972F"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zvezi s sedmim in osmim odstavkom prouči, koliko informacij oziroma podatkov in kdaj jih je potrebno in smiselno sporočati javnosti, upoštevaje deseti odstavek tega člena, ko bi razkritje informacij/podatkov javnosti lahko ogrozilo tako postopke pred komisijo kot tudi pred drugimi organi</w:t>
      </w:r>
      <w:r w:rsidRPr="005C544E">
        <w:rPr>
          <w:rFonts w:ascii="Arial" w:eastAsia="Times New Roman" w:hAnsi="Arial" w:cs="Arial"/>
          <w:sz w:val="20"/>
          <w:szCs w:val="20"/>
          <w:lang w:eastAsia="ar-SA"/>
        </w:rPr>
        <w:t xml:space="preserve">. Pojasnjujemo, da predlog določa možnost in ne obveznost, da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objavi dokumente oziroma sporočilo za javnost. Na odločitev o objavi lahko vplivajo okoliščine, ena izmed njih je tudi vpliv morebitne objave na tekoče postopke pred drugimi organi. Določbe o objavi dokumentov in podatkov o postopkih so urejene tako, da se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da možnost obveščanja javnosti o svojem delu, hkrati pa se ne posega neupravičeno v osebnostne pravice posameznikov, ki se znajdejo v postopkih pred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ali škoduje postopkom, ki jih vodijo drugi organi.</w:t>
      </w:r>
    </w:p>
    <w:p w14:paraId="2D5E333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DFCF1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5217DCA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Glede na trenutno veljavno besedilo je iz četrtega odstavka brisana besedna zveza »po svoji vesti«. TI Slovenia se sprašuje po razlogu za takšen poseg in opozarja, da je ta besedna zveza uporabljena tudi v predlogu 9.a člena</w:t>
      </w:r>
      <w:r w:rsidRPr="005C544E">
        <w:rPr>
          <w:rFonts w:ascii="Arial" w:eastAsia="Times New Roman" w:hAnsi="Arial" w:cs="Arial"/>
          <w:sz w:val="20"/>
          <w:szCs w:val="20"/>
          <w:lang w:eastAsia="ar-SA"/>
        </w:rPr>
        <w:t>. Besedna zveza »po svoji vesti« je bila iz predloga črtana po obravnavi predloga zakona v državnem zboru v prejšnjem postopku.</w:t>
      </w:r>
    </w:p>
    <w:p w14:paraId="7879AB5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F284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 RS</w:t>
      </w:r>
    </w:p>
    <w:p w14:paraId="50A93FC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sedmem odstavku doda besedo »pravnomočni«, saj je vsekakor treba v vsakem primeru počakati na pravnomočno odločitev sodišča v upravnem sporu in ne le na (ne)pravnomočno odločitev sodišča. Kajti odločitev Upravnega sodišča RS ni vedno takoj pravnomočna</w:t>
      </w:r>
      <w:r w:rsidRPr="005C544E">
        <w:rPr>
          <w:rFonts w:ascii="Arial" w:eastAsia="Times New Roman" w:hAnsi="Arial" w:cs="Arial"/>
          <w:sz w:val="20"/>
          <w:szCs w:val="20"/>
          <w:lang w:eastAsia="ar-SA"/>
        </w:rPr>
        <w:t>. Predloga se ne upošteva. Takoj po izdani sodbi upravnega sodišča lahko KPK objavi ugotovitve, ne glede na to, ali je sodba pravnomočna. Stranka ima možnost predlagati začasno odredbo, in če jo sodišče izda, lahko tako zadrži objavo.</w:t>
      </w:r>
    </w:p>
    <w:p w14:paraId="0800853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046E1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20006F01" w14:textId="05139E94"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dikcijo devetega odstavka uskladi z dikcijo šestega odstavka, saj se deveti odstavek sklicuje na »dokumente« iz šestega odstavka, v slednjem odstavku pa dokumenti niso omenjeni. So pa omenjene »ugotovitve in druge odločitve«. Poleg navedenega menijo, da bi bilo glede določb v zvezi z obsegom in vsebino javne objave ugotovitev in drugih odločitev komisije, ki ne predstavljajo končne odločitve obravnavane zadeve, potreben ponovni razmislek</w:t>
      </w:r>
      <w:r w:rsidRPr="005C544E">
        <w:rPr>
          <w:rFonts w:ascii="Arial" w:eastAsia="Times New Roman" w:hAnsi="Arial" w:cs="Arial"/>
          <w:sz w:val="20"/>
          <w:szCs w:val="20"/>
          <w:lang w:eastAsia="ar-SA"/>
        </w:rPr>
        <w:t xml:space="preserve">. »Ugotovitve in druge odločitve v zvezi s postopki« so dokumenti, na katere se nanaša termin »dokumenti« v sedmem in devetem odstavku.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sprejema odločitve v obliki zaključnih dokumentov v postopkih (npr. ugotovitve o konkretnem primeru v primeru suma kršitve integritete uradne osebe, četrti odstavek spremenjenega 13. člena ZIntPK). Šesti odstavek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 xml:space="preserve">daje možnost, ne pa obveznost, da objavi dokumente. Vsebina in obseg objave bosta tako vsakič predmet presoje KPK. Naslednji odstavki zgolj določajo dodatne omejitve glede objave, če se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zanjo odloči.</w:t>
      </w:r>
    </w:p>
    <w:p w14:paraId="4BAF3C8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0CA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455EEFD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objava dokumentov v devetem odstavku izvede brez objave varovanih osebnih podatkov 'preiskovanih' oseb</w:t>
      </w:r>
      <w:r w:rsidRPr="005C544E">
        <w:rPr>
          <w:rFonts w:ascii="Arial" w:eastAsia="Times New Roman" w:hAnsi="Arial" w:cs="Arial"/>
          <w:sz w:val="20"/>
          <w:szCs w:val="20"/>
          <w:lang w:eastAsia="ar-SA"/>
        </w:rPr>
        <w:t>. Predlog se upošteva v spremenjeni obliki, kot dogovorjeno na usklajevalnem sestanku.</w:t>
      </w:r>
    </w:p>
    <w:p w14:paraId="66238E2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123F5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 RS</w:t>
      </w:r>
    </w:p>
    <w:p w14:paraId="4014FB7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V desetem odstavku predloga ni jasno kako bodo pristojni organi izvedeli za obstoj določenega postopka v katerem bi imeli interes, da se odloži javna objava odločbe in bodo posledično lahko podali svoje mnenje glede tega, niti kako bodo izvedeli, da je tak postopek zaključen</w:t>
      </w:r>
      <w:r w:rsidRPr="005C544E">
        <w:rPr>
          <w:rFonts w:ascii="Arial" w:eastAsia="Times New Roman" w:hAnsi="Arial" w:cs="Arial"/>
          <w:sz w:val="20"/>
          <w:szCs w:val="20"/>
          <w:lang w:eastAsia="ar-SA"/>
        </w:rPr>
        <w:t>. Pred objavo bo organe o obstoju postopka in nameravani objavi obvestila KPK, in zahtevala, da jo v primeru, da nasprotujejo objavi, o tem obvestijo.</w:t>
      </w:r>
    </w:p>
    <w:p w14:paraId="0000F99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7440D8" w14:textId="7777777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8. členu (12. člen ZIntPK)</w:t>
      </w:r>
    </w:p>
    <w:p w14:paraId="46E8654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822F1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09550D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6. alineji: ZDIJZ sam po sebi ne daje neke splošne podlage za obdelavo osebnih podatkov; predlagano, da se dikcija zato spremeni tako, da se glasi: »opravlja analize na sistemski ravni in objavlja rezultate, vključno z osebnimi podatki, kolikor gre za podatke, ki so javno-dostopni na podlagi zakona, ki ureja dostop do informacij javnega značaja;«.</w:t>
      </w:r>
      <w:r w:rsidRPr="005C544E">
        <w:rPr>
          <w:rFonts w:ascii="Arial" w:eastAsia="Times New Roman" w:hAnsi="Arial" w:cs="Arial"/>
          <w:sz w:val="20"/>
          <w:szCs w:val="20"/>
          <w:lang w:eastAsia="ar-SA"/>
        </w:rPr>
        <w:t xml:space="preserve"> ZDIJZ v 7. točki prvega odstavka 10. člena določa, da je vsak organ, poleg drugih v tem členu navedenih informacij javnega značaja, dolžan posredovati v svetovni splet »druge informacije javnega značaja«. Šesta alineja se nanaša prav na to možnost, da organ (KPK) proaktivno objavi rezultate analiz, pri tem pa upošteva določbe ZDIJZ. ZDIJZ sicer res ne daje splošne podlage za obdelavo osebnih podatkov, daje pa podlago za presojo, ali je objava osebnih podatkov v interesu javnosti (izjeme od varstva osebnih podatkov).</w:t>
      </w:r>
    </w:p>
    <w:p w14:paraId="1EFD3F6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7695F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Vrhovno sodišče RS</w:t>
      </w:r>
    </w:p>
    <w:p w14:paraId="04649B2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Helv" w:eastAsia="Times New Roman" w:hAnsi="Helv" w:cs="Helv"/>
          <w:i/>
          <w:sz w:val="20"/>
          <w:szCs w:val="20"/>
          <w:lang w:eastAsia="ar-SA"/>
        </w:rPr>
        <w:t>Predlagano, da se v osmi alineji poenotita izraza »kazniva dejanja korupcije« in »kazniva dejanja z elementi korupcije«.</w:t>
      </w:r>
      <w:r w:rsidRPr="005C544E">
        <w:rPr>
          <w:rFonts w:ascii="Helv" w:eastAsia="Times New Roman" w:hAnsi="Helv" w:cs="Helv"/>
          <w:sz w:val="20"/>
          <w:szCs w:val="20"/>
          <w:lang w:eastAsia="ar-SA"/>
        </w:rPr>
        <w:t xml:space="preserve"> Predlog se upošteva.</w:t>
      </w:r>
    </w:p>
    <w:p w14:paraId="22A1AA7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1696D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10A67621"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i/>
          <w:sz w:val="20"/>
          <w:szCs w:val="20"/>
          <w:lang w:eastAsia="ar-SA"/>
        </w:rPr>
        <w:t>Predlagana sprememba 10. alineje prvega odstavka 12. člena oziroma sprememba veljavnega 54. in 55. člena ZIntPK, ki predvidevata neposredno seznanitev državnega zbora o nujnosti spremembe in dopolnitve resolucije, medtem ko besedilo predloga (10 alineja prvega odstavka 12. člena) določa da se predlogi sprememb resolucije predložijo v obravnavo vladi, ki jih predloži v sprejem državnemu zboru</w:t>
      </w:r>
      <w:r w:rsidRPr="005C544E">
        <w:rPr>
          <w:rFonts w:ascii="Helv" w:eastAsia="Times New Roman" w:hAnsi="Helv" w:cs="Helv"/>
          <w:sz w:val="20"/>
          <w:szCs w:val="20"/>
          <w:lang w:eastAsia="ar-SA"/>
        </w:rPr>
        <w:t>. Pojasnjujemo, da je 10 alineja prvega odstavka spremenjenega 12. člena enaka kot 11. alineja prvega odstavka veljavnega 12. člena. Ureditev se torej ne spreminja in je po mnenju predlagatelja ustrezna.</w:t>
      </w:r>
    </w:p>
    <w:p w14:paraId="5D0E7B4C"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F9CEC0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šesti odstavek za besedi »sporočati podatke« doda besedilo »in vrste podatkov«.</w:t>
      </w:r>
      <w:r w:rsidRPr="005C544E">
        <w:rPr>
          <w:rFonts w:ascii="Arial" w:eastAsia="Times New Roman" w:hAnsi="Arial" w:cs="Arial"/>
          <w:sz w:val="20"/>
          <w:szCs w:val="20"/>
          <w:lang w:eastAsia="ar-SA"/>
        </w:rPr>
        <w:t xml:space="preserve"> Vrste podatkov, ki jih posamezni organi sporočajo KPK, so našteti v četrtem odstavku. Ker je treba zagotoviti primerljivost poročil, je smiselno, da je vsebina poročil določena v samem zakonu.</w:t>
      </w:r>
    </w:p>
    <w:p w14:paraId="12168A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19ED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VDT in Državnotožilski svet</w:t>
      </w:r>
    </w:p>
    <w:p w14:paraId="6FF6D0A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
          <w:sz w:val="20"/>
          <w:szCs w:val="20"/>
          <w:lang w:eastAsia="ar-SA"/>
        </w:rPr>
      </w:pPr>
      <w:r w:rsidRPr="005C544E">
        <w:rPr>
          <w:rFonts w:ascii="Arial" w:eastAsia="Times New Roman" w:hAnsi="Arial" w:cs="Arial"/>
          <w:i/>
          <w:sz w:val="20"/>
          <w:szCs w:val="20"/>
          <w:lang w:eastAsia="ar-SA"/>
        </w:rPr>
        <w:t>K 2. alineji četrtega odstavka: Ker je za izdelavo statističnih poročil in pripravo potrebnih statističnih podatkov pristojen Strokovno informacijski center na Vrhovnem državnem tožilstvu, predlagano, da se eksplicitno določi, da podatke enkrat letno posreduje Vrhovno državno tožilstvo RS</w:t>
      </w:r>
      <w:r w:rsidRPr="005C544E">
        <w:rPr>
          <w:rFonts w:ascii="Arial" w:eastAsia="Times New Roman" w:hAnsi="Arial" w:cs="Arial"/>
          <w:sz w:val="20"/>
          <w:szCs w:val="20"/>
          <w:lang w:eastAsia="ar-SA"/>
        </w:rPr>
        <w:t xml:space="preserve">. </w:t>
      </w:r>
      <w:r w:rsidRPr="005C544E">
        <w:rPr>
          <w:rFonts w:ascii="Helv" w:eastAsia="Times New Roman" w:hAnsi="Helv" w:cs="Helv"/>
          <w:sz w:val="20"/>
          <w:szCs w:val="20"/>
          <w:lang w:eastAsia="ar-SA"/>
        </w:rPr>
        <w:t>Predlog se upošteva.</w:t>
      </w:r>
    </w:p>
    <w:p w14:paraId="6AAE915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0BBE1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izogib administrativni obremenjenosti v sedmem odstavku za posredovanje podatkov KPK doda pogoj, da informacijska infrastruktura omogoča njihovo posredovanje.</w:t>
      </w:r>
      <w:r w:rsidRPr="005C544E">
        <w:rPr>
          <w:rFonts w:ascii="Arial" w:eastAsia="Times New Roman" w:hAnsi="Arial" w:cs="Arial"/>
          <w:sz w:val="20"/>
          <w:szCs w:val="20"/>
          <w:lang w:eastAsia="ar-SA"/>
        </w:rPr>
        <w:t xml:space="preserve"> KPK je v določena kot kontaktna točka RS za mednarodno sodelovanje na področju boja proti korupciji z različnimi mednarodnimi organizacijami (Svet Evrope – GRECO, OECD, OZN). Za izpolnjevanje obveznosti RS do teh organizacij in za izpolnjevanje drugih nalog KPK nujno potrebuje statistične podatke (in druge vrste sodelovanja), zaradi česar je določena stopnja administrativne obremenitve sodišč in tožilstev pričakovana in upravičena. Določenih podatkov se ne da pridobiti iz informacijskih sistemov, zato se take podatke pridobi iz zbirk na druge primerne načine.</w:t>
      </w:r>
    </w:p>
    <w:p w14:paraId="4B88EE6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2F6C31" w14:textId="7777777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9. členu (13. člen ZIntPK)</w:t>
      </w:r>
    </w:p>
    <w:p w14:paraId="39566E2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CD1D5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Okrožno sodišče v Ljubljani</w:t>
      </w:r>
    </w:p>
    <w:p w14:paraId="2EEB9BE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bCs/>
          <w:i/>
          <w:sz w:val="20"/>
          <w:szCs w:val="20"/>
          <w:lang w:eastAsia="ar-SA"/>
        </w:rPr>
        <w:t>Z 9. do 16. členom predloga se po mnenju Okrožnega sodišča v Ljubljani širijo preiskovalne pristojnosti na Komisijo za preprečevanje korupcije. To je po mnenju sodišča povsem nepotrebno in neustrezno. Slovenski pravni red že določa in pooblašča organe, da izvajajo tovrstne naloge (policija, tožilstvo, …) in ni potrebe, da bi se te pristojnosti širile tudi na druge organe. Ravno tako se postavlja vprašanje usposobljenosti Komisije za preprečevanje korupcije za tovrstne postopke</w:t>
      </w:r>
      <w:r w:rsidRPr="005C544E">
        <w:rPr>
          <w:rFonts w:ascii="Arial" w:eastAsia="Times New Roman" w:hAnsi="Arial" w:cs="Arial"/>
          <w:bCs/>
          <w:sz w:val="20"/>
          <w:szCs w:val="20"/>
          <w:lang w:eastAsia="ar-SA"/>
        </w:rPr>
        <w:t>. Drži, da pravni red določa pooblaščene organe, ki izvajajo naloge na področju preiskave in pregona korupcijskih kaznivih dejanj, in predlagatelj se strinja, da bi bilo nepotrebno te iste pristojnosti nalagati še KPK. Prav zato je v tretjem odstavku spremenjenega 13. člena določeno, da v primeru, ko KPK pri svojem delu zazna sum kaznivega dejanja, nemudoma poda kazensko ovadbo (smiselno enako določa tudi 145. člen ZKP). Preostale aktivnosti KPK, ki so opredeljene v tem členu, se osredotočajo na situacije, ko v večini ne gre za ravnanja, ki dosegajo kakovost kaznivih dejanj, jih je pa z vidika zagotavljanja integritete delovanja javnega sektorja kljub temu treba ustrezno obravnavati in se na njih odzvati.</w:t>
      </w:r>
    </w:p>
    <w:p w14:paraId="1FC7B1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E6B12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0F27BA2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postopek ugotavljanja kršitev uradne osebe oz. funkcionarja vedno – na podlagi zakona, vključi tudi subjekt javnega sektorja, pri katerem je uradna oseba zaposlena v času kršitve</w:t>
      </w:r>
      <w:r w:rsidRPr="005C544E">
        <w:rPr>
          <w:rFonts w:ascii="Arial" w:eastAsia="Times New Roman" w:hAnsi="Arial" w:cs="Arial"/>
          <w:sz w:val="20"/>
          <w:szCs w:val="20"/>
          <w:lang w:eastAsia="ar-SA"/>
        </w:rPr>
        <w:t>. Postopek pred KPK poteka ob smiselni uporabi določil Zakona o splošnem upravnem postopek, kolikor ZIntPK ne določa drugače. »Stranka« v postopku je načeloma oseba, katere ravnanje se obravnava. Glede na konkretno situacijo bo KPK v obravnavo vključila tudi druge osebe kot stranske udeležence (43. člen ZUP).</w:t>
      </w:r>
    </w:p>
    <w:p w14:paraId="021E3E5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4A825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četrtemu (po novem petemu) odstavku: Predlagano, da KPK pozove subjekt javnega sektorja, pri katerem je bila v času kršitve zaposlena uradna oseba, da poda stališče glede suma kršitve integritete uradne osebe in da KPK ugotovitve o konkretnem primeru izda na podlagi predhodnih ugotovitev in stališč subjekta javnega sektorja</w:t>
      </w:r>
      <w:r w:rsidRPr="005C544E">
        <w:rPr>
          <w:rFonts w:ascii="Arial" w:eastAsia="Times New Roman" w:hAnsi="Arial" w:cs="Arial"/>
          <w:sz w:val="20"/>
          <w:szCs w:val="20"/>
          <w:lang w:eastAsia="ar-SA"/>
        </w:rPr>
        <w:t>. KPK postopek vodi tako, da upošteva načelo kontradiktornosti postopka in pridobi vse potrebne dokaze in vse izjave, ki jih potrebuje, da lahko oblikuje svoje ugotovitve. Po mnenju predlagatelja to ni mogoče brez izjave z ravnanjem uradne osebe morebiti oškodovanega subjekta javnega sektorja. Vendar pa v primeru, ko je sporno ravnanje vodstva subjekta, pridobivanje takšne izjave ne bi imelo učinka. KPK bo morala v vsakem posameznem primeru presoditi, od koga bo pridobivala izjave, na katerih bo utemeljila ugotovitve.</w:t>
      </w:r>
    </w:p>
    <w:p w14:paraId="0E76612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79EC1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K petemu (po novem šestemu) odstavku: Predlagano, da se določi, da se v prekrškovnem postopku subjekt javnega sektorja, pri katerem je obravnavana oseba delovala v času kršitve, šteje kot oškodovanec. </w:t>
      </w:r>
      <w:r w:rsidRPr="005C544E">
        <w:rPr>
          <w:rFonts w:ascii="Arial" w:eastAsia="Times New Roman" w:hAnsi="Arial" w:cs="Arial"/>
          <w:sz w:val="20"/>
          <w:szCs w:val="20"/>
          <w:lang w:eastAsia="ar-SA"/>
        </w:rPr>
        <w:t>Pri kršitvah, na katere se nanaša ta odstavek, se presoja individualna prekrškovna odgovornost. Republika Slovenija (in s tem državni organi) in samoupravne lokalne skupnosti skladno 13.a členom Zakona o prekrških ne odgovarjajo za prekršek. Če bo v subjekt javnega sektorja z ravnanjem, ki pomeni prekršek, oškodovan, bo lahko sodeloval v prekrškovnem postopku že skladno z veljavnim Zakonom o prekrških.</w:t>
      </w:r>
    </w:p>
    <w:p w14:paraId="5662D67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98DC9" w14:textId="5CB746F1"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enajstem (po novem dvanajstem) odstavku namesto termina »državnih organov« zapiše »subjektov javnega sektorja«.</w:t>
      </w:r>
      <w:r w:rsidRPr="005C544E">
        <w:rPr>
          <w:rFonts w:ascii="Arial" w:eastAsia="Times New Roman" w:hAnsi="Arial" w:cs="Arial"/>
          <w:sz w:val="20"/>
          <w:szCs w:val="20"/>
          <w:lang w:eastAsia="ar-SA"/>
        </w:rPr>
        <w:t xml:space="preserve"> Predloga se ne upošteva, ker se obveznost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za podajo pojasnil nanaša na zahteve subjektov tako javnega kot zasebnega sektorja in tudi na zahteve fizičnih oseb.</w:t>
      </w:r>
    </w:p>
    <w:p w14:paraId="57511E9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0FD7D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20D7D0B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Predlagana je sprememba vrstnega reda točk v prvem odstavku, in sicer tako, da bi 13. točka (»suma kršitve obveznosti vključitve protikorupcijske klavzule v pogodbo«) postala 3. točka, ostale pa bi se ustrezno preštevilčile. Razlog za prerazporeditev je v tem, da ostale točke sledijo vrstnemu redu institutov v ZIntPK</w:t>
      </w:r>
      <w:r w:rsidRPr="005C544E">
        <w:rPr>
          <w:rFonts w:ascii="Arial" w:eastAsia="Times New Roman" w:hAnsi="Arial" w:cs="Arial"/>
          <w:sz w:val="20"/>
          <w:szCs w:val="20"/>
          <w:lang w:eastAsia="ar-SA"/>
        </w:rPr>
        <w:t>. Predlog se upošteva.</w:t>
      </w:r>
    </w:p>
    <w:p w14:paraId="126E90C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B5517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650382B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bCs/>
          <w:i/>
          <w:sz w:val="20"/>
          <w:szCs w:val="20"/>
          <w:lang w:eastAsia="ar-SA"/>
        </w:rPr>
        <w:t>Določba tretjega odstavka sicer sama po sebi ni sporna, se pa IP sprašuje o njeni izvedljivosti v praksi glede na naravo mnenj in zato predlaga ponoven razmislek o tem ter po potrebi v tem delu dopolnitev besedila tega člena. IP opozarja na strogo določbo in predlaga, da se namesto termina »anonimizacija« uporabi termin »psevdonimizacija«</w:t>
      </w:r>
      <w:r w:rsidRPr="005C544E">
        <w:rPr>
          <w:rFonts w:ascii="Arial" w:eastAsia="Times New Roman" w:hAnsi="Arial" w:cs="Arial"/>
          <w:bCs/>
          <w:sz w:val="20"/>
          <w:szCs w:val="20"/>
          <w:lang w:eastAsia="ar-SA"/>
        </w:rPr>
        <w:t xml:space="preserve">. </w:t>
      </w:r>
      <w:r w:rsidRPr="005C544E">
        <w:rPr>
          <w:rFonts w:ascii="Arial" w:eastAsia="Times New Roman" w:hAnsi="Arial" w:cs="Arial"/>
          <w:sz w:val="20"/>
          <w:szCs w:val="20"/>
          <w:lang w:eastAsia="ar-SA"/>
        </w:rPr>
        <w:t>Pripomba se upošteva ob upoštevanju dodatnih pojasnil IP, podanih na usklajevalnem sestanku.</w:t>
      </w:r>
    </w:p>
    <w:p w14:paraId="52BABF0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13F8F3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V zvezi s 6. in 9. odstavkom (po novem 7. in 10.) predlagana dopolnitev drugega stavka 6. odstavka (ter smiselno podobno tudi drugega stavka 9. odstavka) na način, da bi bil tudi obseg objave podatkov o kršitelju (oz. obseg objave odgovora obravnavane osebe) stvar vsakokratne presoje komisije – upoštevajoč vse okoliščine primera in pravice prizadetih oseb. Ena od možnosti za dopolnitev drugega stavka 6. odstavka je zgolj dodatek besede ‘lahko’, tako kot to ureja prvi stavek tega odstavka, ki določa, da komisija lahko (ne pa mora) odločitev na izbrani način predstavi javnosti</w:t>
      </w:r>
      <w:r w:rsidRPr="005C544E">
        <w:rPr>
          <w:rFonts w:ascii="Arial" w:eastAsia="Times New Roman" w:hAnsi="Arial" w:cs="Arial"/>
          <w:bCs/>
          <w:sz w:val="20"/>
          <w:szCs w:val="20"/>
          <w:lang w:eastAsia="ar-SA"/>
        </w:rPr>
        <w:t>. Predloga se ne upošteva. KPK ima možnost, ne pa obveznost, da objavi podatke o prekršku. KPK se lahko odloči, ali bo dokument objavila in če ga objavi, je v tem odstavku določen obseg objave.</w:t>
      </w:r>
    </w:p>
    <w:p w14:paraId="5E660DB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2A06E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4358377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pri tretjem odstavku za prvo besedno zvezo »načelno mnenje« doda »če to ne škodi interesom predkazenskega postopka, v katerem se obravnava podana kazenska ovadba«.</w:t>
      </w:r>
      <w:r w:rsidRPr="005C544E">
        <w:rPr>
          <w:rFonts w:ascii="Arial" w:eastAsia="Times New Roman" w:hAnsi="Arial" w:cs="Arial"/>
          <w:sz w:val="20"/>
          <w:szCs w:val="20"/>
          <w:lang w:eastAsia="ar-SA"/>
        </w:rPr>
        <w:t xml:space="preserve"> Predlagana sprememba ni potrebna, ker izdaja načelnega mnenja ni obvezna, KPK se o tem odloči v vsakem posameznem primeru.</w:t>
      </w:r>
    </w:p>
    <w:p w14:paraId="2A55B99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BE718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V zvezi z dvanajstim (po novem trinajstim) odstavkom predlagano, naj se časovno zameji trajanje postopka pred komisijo od odprtja zadeve do zaključka</w:t>
      </w:r>
      <w:r w:rsidRPr="005C544E">
        <w:rPr>
          <w:rFonts w:ascii="Arial" w:eastAsia="Times New Roman" w:hAnsi="Arial" w:cs="Arial"/>
          <w:sz w:val="20"/>
          <w:szCs w:val="20"/>
          <w:lang w:eastAsia="ar-SA"/>
        </w:rPr>
        <w:t>. Za postopek pred komisijo se smiselno uporablja Zakon o splošnem upravnem postopku. Ta zakon se uporabi za vprašanja, ki niso urejena v ZIntPK. V postopkih, v katerih se izda odločba, se bo tako uporabljal enomesečni rok iz prvega odstavka 222. člena ZUP.</w:t>
      </w:r>
    </w:p>
    <w:p w14:paraId="661662C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D7FCC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 RS</w:t>
      </w:r>
    </w:p>
    <w:p w14:paraId="100936A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Smiselno bi bilo v četrti (po novem peti) in sedmi (po novem osmi) odstavek dodati besedilo, da komisija obravnavano osebo v pozivu na izjasnitev opozori, da bo njen odgovor objavljen v primeru, če bodo njene ugotovitve v konkretnem primeru objavljene s skladu z določbo šestega odstavka 11. člena</w:t>
      </w:r>
      <w:r w:rsidRPr="005C544E">
        <w:rPr>
          <w:rFonts w:ascii="Arial" w:eastAsia="Times New Roman" w:hAnsi="Arial" w:cs="Arial"/>
          <w:sz w:val="20"/>
          <w:szCs w:val="20"/>
          <w:lang w:eastAsia="ar-SA"/>
        </w:rPr>
        <w:t>. Predlog se upošteva.</w:t>
      </w:r>
    </w:p>
    <w:p w14:paraId="4C81C49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6073C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popravi sklic v prvem stavku osmega (po novem devetega) odstavka. Prvi stavek osmega odstavka se nanaša na četrti (po novem peti) in sedmi (po novem osmi) odstavek tega člena (in ne šesti (po novem sedmi) kot je pomotoma zapisano).</w:t>
      </w:r>
      <w:r w:rsidRPr="005C544E">
        <w:rPr>
          <w:rFonts w:ascii="Arial" w:eastAsia="Times New Roman" w:hAnsi="Arial" w:cs="Arial"/>
          <w:sz w:val="20"/>
          <w:szCs w:val="20"/>
          <w:lang w:eastAsia="ar-SA"/>
        </w:rPr>
        <w:t xml:space="preserve"> Predlog se upošteva.</w:t>
      </w:r>
    </w:p>
    <w:p w14:paraId="7445A03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1FFD1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1C3CAA6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razširi krog oseb v šestem odstavku, o obravnavi katerih, bo odločitev v prekrškovni zadevi po pravnomočnosti objavljena na spletni straneh komisije, in sicer razširitev na iste osebe kot je predlagana ureditev v šestem odstavku 11. člena (7. člen predloga zakona).</w:t>
      </w:r>
      <w:r w:rsidRPr="005C544E">
        <w:rPr>
          <w:rFonts w:ascii="Arial" w:eastAsia="Times New Roman" w:hAnsi="Arial" w:cs="Arial"/>
          <w:sz w:val="20"/>
          <w:szCs w:val="20"/>
          <w:lang w:eastAsia="ar-SA"/>
        </w:rPr>
        <w:t xml:space="preserve"> Pri prekrških po ZIntPK gre za manjše administrativne kršitve, do katerih pride zaradi zamude pri poročanju KPK, nepopolnega poročanja in podobno. Kršitve imajo bistveno manjše posledice, kot na primer kršitve v zvezi z integriteto, kjer KPK izda ugotovitve o konkretnem primeru. Predlagatelj je tehtal interes javnosti za proaktivno objavo podatkov o prekrškovnih postopkih in ugotovil, da je ta močan pri funkcionarjih, ne pa tudi pri drugih skupinah.</w:t>
      </w:r>
    </w:p>
    <w:p w14:paraId="5E63005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12DA0" w14:textId="7E2967B6"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10. členu (a13.a ZIntPK)</w:t>
      </w:r>
    </w:p>
    <w:p w14:paraId="09101E0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5DCB2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BSI</w:t>
      </w:r>
    </w:p>
    <w:p w14:paraId="0B46E59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členu poenoti izraz »nadzorovani subjekt« namesto »subjekt nadzora«.</w:t>
      </w:r>
      <w:r w:rsidRPr="005C544E">
        <w:rPr>
          <w:rFonts w:ascii="Arial" w:eastAsia="Times New Roman" w:hAnsi="Arial" w:cs="Arial"/>
          <w:sz w:val="20"/>
          <w:szCs w:val="20"/>
          <w:lang w:eastAsia="ar-SA"/>
        </w:rPr>
        <w:t xml:space="preserve"> Predlog se upošteva.</w:t>
      </w:r>
    </w:p>
    <w:p w14:paraId="39E1BC1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F8FAE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21BEF74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šestemu odstavku KPK izpostavlja vprašanje stopnje zaupnosti. KPK ne razpolaga s prostori, ki bi omogočali hrambo podatkov označenih s stopnjo višjo od INTERNO</w:t>
      </w:r>
      <w:r w:rsidRPr="005C544E">
        <w:rPr>
          <w:rFonts w:ascii="Arial" w:eastAsia="Times New Roman" w:hAnsi="Arial" w:cs="Arial"/>
          <w:sz w:val="20"/>
          <w:szCs w:val="20"/>
          <w:lang w:eastAsia="ar-SA"/>
        </w:rPr>
        <w:t>. Odstavek predvideva, da sta osnutek poročila in usklajevanje zaupna. V praksi to pomeni, da bo KPK na podlagi Zakona o tajnih podatkih določila stopnjo zaupnosti navedenih dokumentov glede na vsebino in glede na organizacijsko tehnične pogoje varovanja tajnih podatkov, ki jih ima KPK.</w:t>
      </w:r>
    </w:p>
    <w:p w14:paraId="3621BDA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74AAF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61CFD1F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Pri osmem odstavku opozorjeno na morebitno neskladje predloga z zakoni, ki urejajo delovanje drugih nadzornih organov, predvsem pri določbah o pričetku postopka</w:t>
      </w:r>
      <w:r w:rsidRPr="005C544E">
        <w:rPr>
          <w:rFonts w:ascii="Arial" w:eastAsia="Times New Roman" w:hAnsi="Arial" w:cs="Arial"/>
          <w:sz w:val="20"/>
          <w:szCs w:val="20"/>
          <w:lang w:eastAsia="ar-SA"/>
        </w:rPr>
        <w:t>. Predlagano besedilo ne posega v samostojnost drugih nadzornih organov, ker določa, da se drugi organi lahko, ne pa tudi morajo vključiti v sistemski nadzor, ki ga izvaja KPK.</w:t>
      </w:r>
    </w:p>
    <w:p w14:paraId="7CB7FEA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B200EC" w14:textId="157C9AFE"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11. členu (13.b ZIntPK)</w:t>
      </w:r>
    </w:p>
    <w:p w14:paraId="7CDA420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541F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1C609F2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Predlagano, da se doda nov peti odstavek, ki bi urejal obveznost predstojnika sprejeti ukrepe za zaščito prijavitelja, ki ne </w:t>
      </w:r>
      <w:r w:rsidRPr="005C544E">
        <w:rPr>
          <w:rFonts w:ascii="Helv" w:eastAsia="Times New Roman" w:hAnsi="Helv" w:cs="Helv"/>
          <w:i/>
          <w:sz w:val="20"/>
          <w:szCs w:val="20"/>
          <w:lang w:eastAsia="ar-SA"/>
        </w:rPr>
        <w:t>spreminjajo ali poslabšajo položaja osebe, ki so jo povračilni ukrepi prizadeli ter da se izvajanje povračilnih ukrepov določi kot hujša kršitev obveznosti iz delovnega razmerja in predstavlja podlago za odpoved delovnega razmerja oz. prenehanje funkcije</w:t>
      </w:r>
      <w:r w:rsidRPr="005C544E">
        <w:rPr>
          <w:rFonts w:ascii="Helv" w:eastAsia="Times New Roman" w:hAnsi="Helv" w:cs="Helv"/>
          <w:sz w:val="20"/>
          <w:szCs w:val="20"/>
          <w:lang w:eastAsia="ar-SA"/>
        </w:rPr>
        <w:t>. Predlog je v delu, ki se nanaša na funkcionarje, že vsebovan v drugem in tretjem odstavku istega člena. Drugi del predloga, ki se nanaša na ukrepe zaradi disciplinskih prekrškov uslužbencev (izvajanje povračilnih ukrepov je ravnanje, ki je prepovedano po samem zakonu), je že po veljavni delovnopravni zakonodaji mogoče šteti med hujše kršitve in na tej podlagi možno ukrepati skladno z veljavno delovnopravno zakonodajo.</w:t>
      </w:r>
    </w:p>
    <w:p w14:paraId="41C5C59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3A6E2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6BA0936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Helv" w:eastAsia="Times New Roman" w:hAnsi="Helv" w:cs="Helv"/>
          <w:i/>
          <w:sz w:val="20"/>
          <w:szCs w:val="20"/>
          <w:lang w:eastAsia="ar-SA"/>
        </w:rPr>
        <w:t>Predlagano, naj se v prvem odstavku opredeli, kaj so hujše kršitve, saj le to tudi ni razvidno iz 9. člena predloga zakona, ki določa vsebino postopkov komisije</w:t>
      </w:r>
      <w:r w:rsidRPr="005C544E">
        <w:rPr>
          <w:rFonts w:ascii="Helv" w:eastAsia="Times New Roman" w:hAnsi="Helv" w:cs="Helv"/>
          <w:sz w:val="20"/>
          <w:szCs w:val="20"/>
          <w:lang w:eastAsia="ar-SA"/>
        </w:rPr>
        <w:t>. Gre za kršitve ZIntPK iz 2.-14. točke prvega odstavka 13 člena. Ali gre za hujšo ali milejšo obliko kršitve, bo odločila KPK v vsakem posameznem primeru, na podlagi kriterijev, ki se bodo v zvezi s tem oblikovali v praksi (na primer nastala škoda, ki jo ravnanje povzroči, število kršitev, trajanje kršitev, ravnanje ob ugotovljeni kršitvi itd.).</w:t>
      </w:r>
    </w:p>
    <w:p w14:paraId="0A43A9F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DC309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7A40CBB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Helv" w:eastAsia="Times New Roman" w:hAnsi="Helv" w:cs="Helv"/>
          <w:i/>
          <w:sz w:val="20"/>
          <w:szCs w:val="20"/>
          <w:lang w:eastAsia="ar-SA"/>
        </w:rPr>
        <w:t>Predlagano, da se v drugem odstavku črta besede »lahko med ali«. Predlagano še, da se ta določba omeji na seznanitev in ukrepe, ki so naslovljeni na organ, in so sistemske narave, da se prepreči določeno tvegano ravnanje v prihodnje. Procesni položaj organa v zvezi s konkretno kršitvijo – v vlogi oškodovanca – bi bilo smiselno bolj celoviti urediti v 13. členu</w:t>
      </w:r>
      <w:r w:rsidRPr="005C544E">
        <w:rPr>
          <w:rFonts w:ascii="Helv" w:eastAsia="Times New Roman" w:hAnsi="Helv" w:cs="Helv"/>
          <w:sz w:val="20"/>
          <w:szCs w:val="20"/>
          <w:lang w:eastAsia="ar-SA"/>
        </w:rPr>
        <w:t>. KPK lahko med samim postopkom obravnave suma korupcije, kršitve integritete ali kršitev ZIntPK ugotovi, pomanjkljivosti v delovanju subjekta javnega sektorja, zaradi česar je ta izpostavljen tveganju nezakonitega poslovanja, korupcijskim tveganjem ali tveganjem za zaščito prijavitelja. Takšna tveganja je treba čim prej odpraviti, zato ni v vsakem primeru primerno čakati na formalni zaključek postopka.</w:t>
      </w:r>
    </w:p>
    <w:p w14:paraId="22D555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767DC" w14:textId="6852CF13"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12. členu (15. ZIntPK)</w:t>
      </w:r>
    </w:p>
    <w:p w14:paraId="67685D3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CC7E8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w:t>
      </w:r>
    </w:p>
    <w:p w14:paraId="251E53A3"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i/>
          <w:sz w:val="20"/>
          <w:szCs w:val="20"/>
          <w:lang w:eastAsia="ar-SA"/>
        </w:rPr>
        <w:t>Predlagano, da se v tretji odstavek doda, da postopek do odločitve vodi uslužbenec komisije, ki ima opravljen strokovni izpit iz upravnega postopka</w:t>
      </w:r>
      <w:r w:rsidRPr="005C544E">
        <w:rPr>
          <w:rFonts w:ascii="Helv" w:eastAsia="Times New Roman" w:hAnsi="Helv" w:cs="Helv"/>
          <w:sz w:val="20"/>
          <w:szCs w:val="20"/>
          <w:lang w:eastAsia="ar-SA"/>
        </w:rPr>
        <w:t>. Predloga se ne upošteva. Pogoji za vodenje upravnih postopkov so določeni že v splošnih predpisih.</w:t>
      </w:r>
    </w:p>
    <w:p w14:paraId="177B6B36"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CCA5AB" w14:textId="08F413BC"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Predlaga se črtanje trimesečnega roka v četrtem odstavku, ker ni jasno ali je predlagatelj pri določitvi tri mesečnega roka za odločitev sodišča upošteval, da se mora sodišče v okviru pripravljalnega postopka, preden lahko začne s samo vsebinsko obravnavo zadeve, ukvarjati tudi z vprašanjem plačila sodnih taks za tožbo v upravnem sporu, potencialnimi popravami tožbe</w:t>
      </w:r>
      <w:r w:rsidR="00E046FD">
        <w:rPr>
          <w:rFonts w:ascii="Arial" w:eastAsia="Times New Roman" w:hAnsi="Arial" w:cs="Arial"/>
          <w:i/>
          <w:sz w:val="20"/>
          <w:szCs w:val="20"/>
          <w:lang w:eastAsia="ar-SA"/>
        </w:rPr>
        <w:t xml:space="preserve"> …</w:t>
      </w:r>
      <w:r w:rsidRPr="005C544E">
        <w:rPr>
          <w:rFonts w:ascii="Arial" w:eastAsia="Times New Roman" w:hAnsi="Arial" w:cs="Arial"/>
          <w:i/>
          <w:sz w:val="20"/>
          <w:szCs w:val="20"/>
          <w:lang w:eastAsia="ar-SA"/>
        </w:rPr>
        <w:t xml:space="preserve"> pri čemer mora sočasno upoštevati tudi načelo kontradiktornosti postopka in vloge vedno pošiljati nasprotnim strankam v odgovor. Iz obrazložitve predloga ne izhaja noben pravno utemeljen razlog, ki bi opravičeval tak grob poseg v neodvisnost in samostojnost sodišča, kot je omejevanje sodišča z določitvijo roka, v katerem mora izvesti cel pripravljalni postopek in izdati sodno odločbo o zadevi. Tudi v interesu KPK in drugih strank je, da imajo na sodišču dejansko možnost sodelovanja v kontradiktornem postopku, ki v določenih primerih zahteva tudi izvedbo glavne obravnave (kar je sodišče v preteklosti že storilo). Z določitvijo tri mesečnega roka za odločitev sodišča o tožbi, pa bo razpisovanje glavnih obravnav v celoti onemogočeno. </w:t>
      </w:r>
      <w:r w:rsidRPr="005C544E">
        <w:rPr>
          <w:rFonts w:ascii="Arial" w:eastAsia="Times New Roman" w:hAnsi="Arial" w:cs="Arial"/>
          <w:sz w:val="20"/>
          <w:szCs w:val="20"/>
          <w:lang w:eastAsia="ar-SA"/>
        </w:rPr>
        <w:t>Predloga se ne upošteva. Rok za odločitev je bil glede na pripombe na zakon v prejšnjih krogih usklajevanja podaljšan s 15 dni na 3 mesece. Ocenjuje se, da število postopkov po ZIntPK ne bo bistveno vplivalo na obremenitev sodišča. Pri tem je treba upoštevati tako interes osebe udeležene v postopku pred KPK, da pride do odločitve kot tudi javni interes, ki je zasledovan z javno objavo odločitve KPK, ki pa je po predlogu odložena do odločitve Upravnega sodišča. Odločitev v postopku mora biti sprejeta v čim krajšem času, ker ima le objava ugotovitev KPK neposredno po obravnavanem primeru preventivni učinek. Z daljšanjem postopka in časovnim odmikom objave od obravnavanega dogodka se učinkovanje tega orodja manjša, zato se predlagatelj temu želi izogniti.</w:t>
      </w:r>
    </w:p>
    <w:p w14:paraId="69FC940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9C76A3F" w14:textId="4BDEECB6"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13. členu (15.a ZIntPK)</w:t>
      </w:r>
    </w:p>
    <w:p w14:paraId="1243B1F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0F9B6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53C9F1F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15.a, 15.b in 15.c: Ni jasno, kako se ta določba dopolnjuje s procesnimi pravili v okviru upravnega oz. prekrškovnega postopka – glede na predlagano ureditev v 13. členu. ZUP oz. ZP-1 namreč že določajo podrobno ureditev glede ugotavljanja dejanskega stanja z zaslišanjem prič. Tako iz določb v predlogu zakona 15.a – 15.c ni jasno, ali gre za ugotovitveni postopke v okviru upravnega oz. prekrškovnega postopka, kot lex specialis do splošnih ureditev – ali gre za nek poseben predhodni postopek, pred upravnim oz. prekrškovnim postopkom</w:t>
      </w:r>
      <w:r w:rsidRPr="005C544E">
        <w:rPr>
          <w:rFonts w:ascii="Arial" w:eastAsia="Times New Roman" w:hAnsi="Arial" w:cs="Arial"/>
          <w:sz w:val="20"/>
          <w:szCs w:val="20"/>
          <w:lang w:eastAsia="ar-SA"/>
        </w:rPr>
        <w:t>. Za prekrškovne postopke, ki jih vodi KPK se v celoti uporabljajo določbe Zakona o prekrških. Določbe 15.a-15.c člena se nanašajo na postopek pred KPK, v katerih se smiselno uporablja ZUP, navedene določbe pa specialno urejajo posamezna postopkovna vprašanja, ki v ZUP za delo KPK niso ustrezno rešena.</w:t>
      </w:r>
    </w:p>
    <w:p w14:paraId="0553B2D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0F1D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 in MJU</w:t>
      </w:r>
    </w:p>
    <w:p w14:paraId="7A49C799" w14:textId="422BCFAB"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Arial" w:eastAsia="Times New Roman" w:hAnsi="Arial" w:cs="Arial"/>
          <w:i/>
          <w:sz w:val="20"/>
          <w:szCs w:val="20"/>
          <w:lang w:eastAsia="ar-SA"/>
        </w:rPr>
        <w:t xml:space="preserve">Predlagano, da se v drugem odstavku doda možnost vabiti na sejo komisije, zaradi razjasnitve dejstev in okoliščin v zvezi s posamezno zadevo, ki jo obravnava, tudi predstavnike interesnih organizacij v zasebnem sektorju (KPK) in </w:t>
      </w:r>
      <w:r w:rsidRPr="005C544E">
        <w:rPr>
          <w:rFonts w:ascii="Helv" w:eastAsia="Times New Roman" w:hAnsi="Helv" w:cs="Helv"/>
          <w:i/>
          <w:sz w:val="20"/>
          <w:szCs w:val="20"/>
          <w:lang w:eastAsia="ar-SA"/>
        </w:rPr>
        <w:t>osebe, ki s subjekti javnega sektorja sodelujejo na podlagi pogodbe obligacijske ali delovnopravne narave ali v okviru postopkov javnega naročanja (MJU)</w:t>
      </w:r>
      <w:r w:rsidRPr="005C544E">
        <w:rPr>
          <w:rFonts w:ascii="Helv" w:eastAsia="Times New Roman" w:hAnsi="Helv" w:cs="Helv"/>
          <w:sz w:val="20"/>
          <w:szCs w:val="20"/>
          <w:lang w:eastAsia="ar-SA"/>
        </w:rPr>
        <w:t xml:space="preserve">. Predloga KPK se ne upošteva, ker pristojnosti KPK segajo primarno na področje javnega sektorja, med tem ko so lobisti del zasebnega sektorja. KPK jih še vedno lahko vabi, ne more jih pa siliti v udeležbo v postopkih. Predlog MJU se upošteva tako, da se doda alinejo, ki določa obvezno udeležbo na seji </w:t>
      </w:r>
      <w:r w:rsidR="001F2572" w:rsidRPr="005C544E">
        <w:rPr>
          <w:rFonts w:ascii="Helv" w:eastAsia="Times New Roman" w:hAnsi="Helv" w:cs="Helv"/>
          <w:sz w:val="20"/>
          <w:szCs w:val="20"/>
          <w:lang w:eastAsia="ar-SA"/>
        </w:rPr>
        <w:t xml:space="preserve">KPK </w:t>
      </w:r>
      <w:r w:rsidRPr="005C544E">
        <w:rPr>
          <w:rFonts w:ascii="Helv" w:eastAsia="Times New Roman" w:hAnsi="Helv" w:cs="Helv"/>
          <w:sz w:val="20"/>
          <w:szCs w:val="20"/>
          <w:lang w:eastAsia="ar-SA"/>
        </w:rPr>
        <w:t>za osebe iz drugega odstavka 40. člena.</w:t>
      </w:r>
    </w:p>
    <w:p w14:paraId="7B7B2F57"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FD41910"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u w:val="single"/>
          <w:lang w:eastAsia="ar-SA"/>
        </w:rPr>
      </w:pPr>
      <w:r w:rsidRPr="005C544E">
        <w:rPr>
          <w:rFonts w:ascii="Helv" w:eastAsia="Times New Roman" w:hAnsi="Helv" w:cs="Helv"/>
          <w:sz w:val="20"/>
          <w:szCs w:val="20"/>
          <w:u w:val="single"/>
          <w:lang w:eastAsia="ar-SA"/>
        </w:rPr>
        <w:t>IP</w:t>
      </w:r>
    </w:p>
    <w:p w14:paraId="46D2496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enajstemu odstavku: Po mnenju IP bi veljalo za posnetek razgovora kot netipični del dokumentarnega gradiva s posebnimi tveganji in nevarnostmi zlorab posebej opredeliti rok hrambe in po izteku takšnega roka posledično bodisi blokiranje dostopa bodisi izločitev tega dela gradiva iz spisa</w:t>
      </w:r>
      <w:r w:rsidRPr="005C544E">
        <w:rPr>
          <w:rFonts w:ascii="Arial" w:eastAsia="Times New Roman" w:hAnsi="Arial" w:cs="Arial"/>
          <w:sz w:val="20"/>
          <w:szCs w:val="20"/>
          <w:lang w:eastAsia="ar-SA"/>
        </w:rPr>
        <w:t>. Predloga se ne upošteva. Zvočni zapis razgovora je dokaz v upravnem postopku. Po mnenju predlagatelja ni potrebno posebej urejati načina rokovanja in hrambe teh dokazil, ker primarna zakonodaja področje že ustrezno ureja (Zakon o varstvu dokumentarnega in arhivskega gradiva ter arhivih).</w:t>
      </w:r>
    </w:p>
    <w:p w14:paraId="0C572FB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CF436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Državno odvetništvo</w:t>
      </w:r>
    </w:p>
    <w:p w14:paraId="35595C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Peti odstavek določa pravico vabljene osebe, da jo zastopa pooblaščenec. Predlagano, da se 13. odstavek dopolni z možnostjo, da je pooblaščenec prisoten na razgovoru</w:t>
      </w:r>
      <w:r w:rsidRPr="005C544E">
        <w:rPr>
          <w:rFonts w:ascii="Arial" w:eastAsia="Times New Roman" w:hAnsi="Arial" w:cs="Arial"/>
          <w:sz w:val="20"/>
          <w:szCs w:val="20"/>
          <w:lang w:eastAsia="ar-SA"/>
        </w:rPr>
        <w:t>. Predloga se ne upošteva. Možnost prisotnosti odvetnika izhaja že iz petega odstavka 15.a člena. Odstavek ureja navzočnost samo ene vabljene osebe in ne izključuje navzočnosti pooblaščenca.</w:t>
      </w:r>
    </w:p>
    <w:p w14:paraId="403C6AB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5C3A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w:t>
      </w:r>
    </w:p>
    <w:p w14:paraId="6BBF656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trinajstem odstavku doda, da se osebe, ki se jih bo soočilo, o nameravanem soočenju obvesti in jim pove, da bodo soočene iz razloga, ker se njihove izpovedbe razlikujejo</w:t>
      </w:r>
      <w:r w:rsidRPr="005C544E">
        <w:rPr>
          <w:rFonts w:ascii="Arial" w:eastAsia="Times New Roman" w:hAnsi="Arial" w:cs="Arial"/>
          <w:sz w:val="20"/>
          <w:szCs w:val="20"/>
          <w:lang w:eastAsia="ar-SA"/>
        </w:rPr>
        <w:t>. Predloga se ne upošteva ker gre za že uveljavljene procesne možnosti v upravnem postopku in poseben pouk ni potreben.</w:t>
      </w:r>
    </w:p>
    <w:p w14:paraId="28A155A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5F43E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štirinajstem odstavku tudi vse osebe, ki so do takrat sodelovale v postopku, izločijo iz nadaljnjega postopka, če ne iz drugega razloga, zaradi ohranjanja videza nepristranskosti</w:t>
      </w:r>
      <w:r w:rsidRPr="005C544E">
        <w:rPr>
          <w:rFonts w:ascii="Arial" w:eastAsia="Times New Roman" w:hAnsi="Arial" w:cs="Arial"/>
          <w:sz w:val="20"/>
          <w:szCs w:val="20"/>
          <w:lang w:eastAsia="ar-SA"/>
        </w:rPr>
        <w:t>. Predloga se ne upošteva. Izločitev članov senata, ki so sodelovali na razgovoru pred senatom v takšnem primeru bi imela za posledico, da postopka ni mogoče izpeljati, kar pa ni namen zakona.</w:t>
      </w:r>
    </w:p>
    <w:p w14:paraId="71BDC2A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E13532" w14:textId="25CAACE3"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13. členu (15.c ZIntPK)</w:t>
      </w:r>
    </w:p>
    <w:p w14:paraId="35C27F6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9D794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Državno odvetništvo</w:t>
      </w:r>
    </w:p>
    <w:p w14:paraId="1141F50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odstavek dopolni tako, da se za besedo »prijava,« doda besedilo »in njen pooblaščenec«.</w:t>
      </w:r>
      <w:r w:rsidRPr="005C544E">
        <w:rPr>
          <w:rFonts w:ascii="Arial" w:eastAsia="Times New Roman" w:hAnsi="Arial" w:cs="Arial"/>
          <w:sz w:val="20"/>
          <w:szCs w:val="20"/>
          <w:lang w:eastAsia="ar-SA"/>
        </w:rPr>
        <w:t xml:space="preserve"> Predloga se ne upošteva. Smiselno se uporabljajo določbe ZUP glede pooblaščenca in se možnost prisotnosti pooblaščenca razume tudi brez izrecne določbe.</w:t>
      </w:r>
    </w:p>
    <w:p w14:paraId="2A62DB4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82F2D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13AA311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določbi prvega odstavka predvidi tudi posebno obravnavo interesov subjekta javnega sektorja, v vlogi oškodovanca – ki opravičuje vpogled v spis tudi med samim postopkom in ne šele po koncu postopka kot za druge osebe (naslednji odstavek)</w:t>
      </w:r>
      <w:r w:rsidRPr="005C544E">
        <w:rPr>
          <w:rFonts w:ascii="Arial" w:eastAsia="Times New Roman" w:hAnsi="Arial" w:cs="Arial"/>
          <w:sz w:val="20"/>
          <w:szCs w:val="20"/>
          <w:lang w:eastAsia="ar-SA"/>
        </w:rPr>
        <w:t>. Interese organa ali organizacije javnega sektorja kot »oškodovanca« se lahko varuje tako, da se ga kot stranko pritegne v postopek na podlagi določil ZUP. V tem primeru bo imel organ ali organizacija javnega sektorja vse pravice, ki gredo stranki, vključno z vpogledom v spis.</w:t>
      </w:r>
    </w:p>
    <w:p w14:paraId="032992B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EF1CE9" w14:textId="6B574B2B"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14. členu (16. ZIntPK)</w:t>
      </w:r>
    </w:p>
    <w:p w14:paraId="2C34FA5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74ACC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22143717" w14:textId="33E6D9AA"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ureditev, ki je specialno predvidena za Banko Slovenije, določi kot splošna ureditev glede posredovanja zaupnih informacij, ki na podlagi prava EU ali specialne nacionalne ureditve zavezuje naslovne organe</w:t>
      </w:r>
      <w:r w:rsidR="00FB4E1D">
        <w:rPr>
          <w:rFonts w:ascii="Arial" w:eastAsia="Times New Roman" w:hAnsi="Arial" w:cs="Arial"/>
          <w:i/>
          <w:sz w:val="20"/>
          <w:szCs w:val="20"/>
          <w:lang w:eastAsia="ar-SA"/>
        </w:rPr>
        <w:t xml:space="preserve"> – </w:t>
      </w:r>
      <w:r w:rsidRPr="005C544E">
        <w:rPr>
          <w:rFonts w:ascii="Arial" w:eastAsia="Times New Roman" w:hAnsi="Arial" w:cs="Arial"/>
          <w:i/>
          <w:sz w:val="20"/>
          <w:szCs w:val="20"/>
          <w:lang w:eastAsia="ar-SA"/>
        </w:rPr>
        <w:t>in kot lex specialis določa pravila izmenjave zaupnih podatkov za določene namene (kot velja za Banko Slovenije, velja namreč tudi za ATVP, AZN in druge nadzorne organe v RS, za katere po pravu EU velja v bistvu enaka ureditev izmenjave nadzorniških oz. statističnih informacij, kjer so že v zakonu določeni tudi konkretni nameni, katere je dopustno posredovati podatke). Razumemo, da določba tretjega odstavka, s sklicem na "drugo osebo, ki ji zakon nalaga dolžnost varovanja podatkov iz zaupnega razmerja ", ne vključuje nadzornih institucij, ki so zavezane k varovanju poklicne skrivnosti in pravilom izmenjave na podlagi specialnih predpisov</w:t>
      </w:r>
      <w:r w:rsidRPr="005C544E">
        <w:rPr>
          <w:rFonts w:ascii="Arial" w:eastAsia="Times New Roman" w:hAnsi="Arial" w:cs="Arial"/>
          <w:sz w:val="20"/>
          <w:szCs w:val="20"/>
          <w:lang w:eastAsia="ar-SA"/>
        </w:rPr>
        <w:t>. Predloga se ne upošteva, ker se odstavek ne spreminja. Odstavek je naveden v predlogu izključno zaradi tehnike noveliranja, pri kateri so zaradi preglednosti navedeni vsi odstavki člena, ki se spreminja, tudi če v odstavku samem ni sprememb.</w:t>
      </w:r>
    </w:p>
    <w:p w14:paraId="7C92321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977F4F" w14:textId="0EEB8E23"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17. členu (21. ZIntPK)</w:t>
      </w:r>
    </w:p>
    <w:p w14:paraId="41FBB7F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CD566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10784E7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poleg obvestila iz drugega odstavka na spletu objavi tudi vsebinske podatke o premoženjskem stanju, omejitvah poslovanja, prejetih darilih, nasprotju interesov in nezdružljivosti funkcije vseh treh funkcionarjev KPK.</w:t>
      </w:r>
      <w:r w:rsidRPr="005C544E">
        <w:rPr>
          <w:rFonts w:ascii="Arial" w:eastAsia="Times New Roman" w:hAnsi="Arial" w:cs="Arial"/>
          <w:sz w:val="20"/>
          <w:szCs w:val="20"/>
          <w:lang w:eastAsia="ar-SA"/>
        </w:rPr>
        <w:t xml:space="preserve"> Podatki o premoženjskem stanju, ki jih funkcionarji KPK vpišejo v uradne evidence KPK, se skupaj s podatki ostalih zavezancev objavijo po določbah predlaganega spremenjenega 46. člena ZIntPK. Enako se objavljajo tudi omejitve poslovanja, ki veljajo za KPK in katalog daril. Glede nasprotja interesov objava ni predvidena, ker se morajo funkcionarji nasprotju izogniti, podobno tudi glede nezdružljivosti funkcije, kjer funkcionarji KPK ne smejo opravljati določenih del in funkcij.</w:t>
      </w:r>
    </w:p>
    <w:p w14:paraId="7266E2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15D071" w14:textId="7DB87C33"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18. členu (22. ZIntPK)</w:t>
      </w:r>
    </w:p>
    <w:p w14:paraId="0FEA601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4E82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78FB4143" w14:textId="6DD079FD"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w:t>
      </w:r>
      <w:r w:rsidRPr="005C544E">
        <w:rPr>
          <w:rFonts w:ascii="Arial" w:eastAsia="Times New Roman" w:hAnsi="Arial" w:cs="Arial"/>
          <w:sz w:val="20"/>
          <w:szCs w:val="20"/>
          <w:lang w:eastAsia="ar-SA"/>
        </w:rPr>
        <w:t>. Predlagatelj pojasnjuje, da za imenovanje na funkcijo in razrešitev funkcionarjev KPK veljajo enaki razlogi kot za tožilce, kjer pa je mogoča razrešitev tudi zaradi razloga osebnostne neprimernosti.</w:t>
      </w:r>
    </w:p>
    <w:p w14:paraId="5A03956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87B08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VDT in Državnotožilski svet</w:t>
      </w:r>
    </w:p>
    <w:p w14:paraId="2E8C7E5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črtanje tretjega odstavka, ker ni potreben zaradi 2. alineje prvega odstavka.</w:t>
      </w:r>
      <w:r w:rsidRPr="005C544E">
        <w:rPr>
          <w:rFonts w:ascii="Arial" w:eastAsia="Times New Roman" w:hAnsi="Arial" w:cs="Arial"/>
          <w:sz w:val="20"/>
          <w:szCs w:val="20"/>
          <w:lang w:eastAsia="ar-SA"/>
        </w:rPr>
        <w:t xml:space="preserve"> Pri določbi druge alineje prvega odstavka in določbi tretjega odstavka gre za dva različna postopka. V prvem odstavku predsednik republike postopek začne na lastno pobudo, med tem ko v primeru tretjega odstavka začne postopek na predlog državnega zbora.</w:t>
      </w:r>
    </w:p>
    <w:p w14:paraId="5ED7B22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D9BD1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Urad predsednika RS</w:t>
      </w:r>
    </w:p>
    <w:p w14:paraId="2337BCB3" w14:textId="716D6E9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črtanje besede »tudi« v tretjem in četrtem odstavku. V praksi bi to pomenilo, da lahko predsednik republike funkcionarja KPK razreši tudi brez predloga državnega zbora. Po mnenju urada je neprimerno, da predsednik republike nima možnosti sam imenovati funkcionarjev KPK, imel pa bi možnost, da jih sam razrešuje, prav tako Predsednik republike ne nadzira dela KPK, KPK o svojem delu poroča Državnem u zboru</w:t>
      </w:r>
      <w:r w:rsidRPr="005C544E">
        <w:rPr>
          <w:rFonts w:ascii="Arial" w:eastAsia="Times New Roman" w:hAnsi="Arial" w:cs="Arial"/>
          <w:sz w:val="20"/>
          <w:szCs w:val="20"/>
          <w:lang w:eastAsia="ar-SA"/>
        </w:rPr>
        <w:t>. Predlog se upošteva.,.</w:t>
      </w:r>
    </w:p>
    <w:p w14:paraId="2C4EF25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B41992" w14:textId="7777777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19. členu (30. ZIntPK-C)</w:t>
      </w:r>
    </w:p>
    <w:p w14:paraId="7745DCB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30467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Zveza občin Slovenije</w:t>
      </w:r>
    </w:p>
    <w:p w14:paraId="2D0B5CA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Izraženo nasprotovanje širjenju kroga zavezancev v zvezi z omejitvami in prepovedmi glede sprejemanja daril. Ureditev prinaša dodatne naloge in obveznosti tako za KPK, in posledično tudi za občine (večji nabor sledenja darilom …).</w:t>
      </w:r>
      <w:r w:rsidRPr="005C544E">
        <w:rPr>
          <w:rFonts w:ascii="Arial" w:eastAsia="Times New Roman" w:hAnsi="Arial" w:cs="Arial"/>
          <w:sz w:val="20"/>
          <w:szCs w:val="20"/>
          <w:lang w:eastAsia="ar-SA"/>
        </w:rPr>
        <w:t xml:space="preserve"> Predlog zakona za zavezance ne prinaša bistvenih novosti. Predlog pomeni poenotenje ureditve, ki je bila prej urejena v dveh ločenih zakonih in dodatnih podzakonskih aktih (Zakonu o integriteti in preprečevanju korupcije in v Zakonu o javnih uslužbencih, Uredba o omejitvah in dolžnostih javnih uslužbencev v zvezi s sprejemanjem daril). Nadzor nad sprejemanjem daril se zdaj s posameznih subjektov javnega sektorja prenaša na KPK, preostali subjekti pa bodo v tem delu nekoliko razbremenjeni.</w:t>
      </w:r>
    </w:p>
    <w:p w14:paraId="27EE595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E572C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6671543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drugem odstavku črta besedilo »ne glede na vrednost«</w:t>
      </w:r>
      <w:r w:rsidRPr="005C544E">
        <w:rPr>
          <w:rFonts w:ascii="Arial" w:eastAsia="Times New Roman" w:hAnsi="Arial" w:cs="Arial"/>
          <w:sz w:val="20"/>
          <w:szCs w:val="20"/>
          <w:lang w:eastAsia="ar-SA"/>
        </w:rPr>
        <w:t>. Predloga se ne upošteva, ker bi črtanje navedenega besedila besedilo pomenilo manjšo jasnost in določnost obveznosti.</w:t>
      </w:r>
    </w:p>
    <w:p w14:paraId="24B9DCD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58EEE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petem odstavku jasno navede dolžnost, da uradna oseba obvesti delodajalca o vseh prejetih darilih – tistih, ki postanejo last delodajalca ali last uradne osebe, ne glede na vrednost darila</w:t>
      </w:r>
      <w:r w:rsidRPr="005C544E">
        <w:rPr>
          <w:rFonts w:ascii="Arial" w:eastAsia="Times New Roman" w:hAnsi="Arial" w:cs="Arial"/>
          <w:sz w:val="20"/>
          <w:szCs w:val="20"/>
          <w:lang w:eastAsia="ar-SA"/>
        </w:rPr>
        <w:t>. Predlagano je že vsebovano v šestem odstavku tega člena. Daril manjših od 25 evrov sicer delodajalcu ni treba sporočati, lahko pa si to obveznost posamezna institucija uredi v lastnih internih aktih, na primer v kodeksu etike ali podobnem dokumentu.</w:t>
      </w:r>
    </w:p>
    <w:p w14:paraId="33D2F25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A87B5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šestem odstavku ohrani ureditev veljavnega 31. člena ZIntPK glede vrednostne omejitve za vpisovanje daril v seznam. V nasprotnem primeru bi bilo treba v seznam vpisovati tudi darila, ki imajo povsem simbolno vrednost (npr. voščilnice ob novem letu, koledarji, čokolada, ipd.), ki že zaradi vrednosti ne morejo predstavljajo vpliva na zaposlene in s tem ne nosijo tveganja za integriteto oz. nastanek nasprotja interesov</w:t>
      </w:r>
      <w:r w:rsidRPr="005C544E">
        <w:rPr>
          <w:rFonts w:ascii="Arial" w:eastAsia="Times New Roman" w:hAnsi="Arial" w:cs="Arial"/>
          <w:sz w:val="20"/>
          <w:szCs w:val="20"/>
          <w:lang w:eastAsia="ar-SA"/>
        </w:rPr>
        <w:t>. Predlog se upošteva.</w:t>
      </w:r>
    </w:p>
    <w:p w14:paraId="609113E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B6119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pri sprejemanju daril v 3. alineji petega odstavka predvidi izjema glede sprejemanja denarja, kadar gre za protokolarna ali priložnostna darila v obliki priložnostnih setov, ki vključujejo zlasti priložnostne ali spominske kovance, ki se pogosto izročajo v okviru sodelovanja s centralnimi bankami</w:t>
      </w:r>
      <w:r w:rsidRPr="005C544E">
        <w:rPr>
          <w:rFonts w:ascii="Arial" w:eastAsia="Times New Roman" w:hAnsi="Arial" w:cs="Arial"/>
          <w:sz w:val="20"/>
          <w:szCs w:val="20"/>
          <w:lang w:eastAsia="ar-SA"/>
        </w:rPr>
        <w:t>. Predloga se ne upošteva, ker gre za specifiko, ki je lastna le medbančnemu sodelovanju in se v tem primeru kovanci ne obravnavajo kot plačilno sredstvo pač pa kot spominski predmet.</w:t>
      </w:r>
    </w:p>
    <w:p w14:paraId="3BCE75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7C863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1635796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Predlagamo, da se peti odstavek dopolni in v njem določi, da enako velja tudi za družinske člane oziroma da tudi družinski član uradne osebe ne sme sprejeti darila ali donacije</w:t>
      </w:r>
      <w:r w:rsidRPr="005C544E">
        <w:rPr>
          <w:rFonts w:ascii="Arial" w:eastAsia="Times New Roman" w:hAnsi="Arial" w:cs="Arial"/>
          <w:sz w:val="20"/>
          <w:szCs w:val="20"/>
          <w:lang w:eastAsia="ar-SA"/>
        </w:rPr>
        <w:t>. Predlog se upošteva in sicer tako, da se poenoti ureditev za darila in druge koristi, kamor sodijo tudi donacije.</w:t>
      </w:r>
    </w:p>
    <w:p w14:paraId="1C7EDEF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3BE02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761303C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 xml:space="preserve">Predlagano, da se v 3. alineji petega odstavka med darila in donacije, ki jih ni dovoljeno sprejeti, doda tudi »ekvivalent denarja« in »storitve«. Predlaga se, da se alineja spremeni tako, da se za besedo »denar« doda besedilo »ali njegov ekvivalent«, za besedilom »darilni boni« se beseda »in« nadomesti z vejico, za besedilom »drage kovine« se doda besedilo »ali storitve«. </w:t>
      </w:r>
      <w:r w:rsidRPr="005C544E">
        <w:rPr>
          <w:rFonts w:ascii="Arial" w:eastAsia="Times New Roman" w:hAnsi="Arial" w:cs="Arial"/>
          <w:sz w:val="20"/>
          <w:szCs w:val="20"/>
          <w:lang w:eastAsia="ar-SA"/>
        </w:rPr>
        <w:t>Po mnenju predlagatelja so vse navedene dodatne oblike koristi že zajete kot »druge koristi«</w:t>
      </w:r>
    </w:p>
    <w:p w14:paraId="528480F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54933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 in KPK</w:t>
      </w:r>
    </w:p>
    <w:p w14:paraId="07A09F1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predlagatelj prouči rešitev iz tega člena, saj iz naslova člena izhaja, da ureja darila, v nadaljevanju pa se sedmi odstavek nanaša na donacije. Gre za dve različni zadevi, kjer je tudi nadaljnji postopke različen, zato predlagamo, da so donacije urejene v posebnem členu</w:t>
      </w:r>
      <w:r w:rsidRPr="005C544E">
        <w:rPr>
          <w:rFonts w:ascii="Arial" w:eastAsia="Times New Roman" w:hAnsi="Arial" w:cs="Arial"/>
          <w:sz w:val="20"/>
          <w:szCs w:val="20"/>
          <w:lang w:eastAsia="ar-SA"/>
        </w:rPr>
        <w:t>. Predlagatelj je mnenja, da sta instituta »donacija« in »darilo« dovolj podobna, da ju je smiselno urejati v enem členu.</w:t>
      </w:r>
    </w:p>
    <w:p w14:paraId="3804F83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B370A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4BF4CD1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Predlagano, da se v 4. alineji </w:t>
      </w:r>
      <w:r w:rsidRPr="005C544E">
        <w:rPr>
          <w:rFonts w:ascii="Helv" w:eastAsia="Times New Roman" w:hAnsi="Helv" w:cs="Helv"/>
          <w:i/>
          <w:sz w:val="20"/>
          <w:szCs w:val="20"/>
          <w:lang w:eastAsia="ar-SA"/>
        </w:rPr>
        <w:t>petega odstavka za »da vpliva« doda »ali lahko vpliva«</w:t>
      </w:r>
      <w:r w:rsidRPr="005C544E">
        <w:rPr>
          <w:rFonts w:ascii="Helv" w:eastAsia="Times New Roman" w:hAnsi="Helv" w:cs="Helv"/>
          <w:sz w:val="20"/>
          <w:szCs w:val="20"/>
          <w:lang w:eastAsia="ar-SA"/>
        </w:rPr>
        <w:t>. Predlagano besedilo ureja situacije, ko pri sprejemu darila pride do dejanskega nasprotja interesov ali do videza nasprotja interesov. Če bi sprejem darila »lahko vplival« na nepristransko ali objektivno opravljanje nalog (potencialno nasprotje interesov), potem najmanj ustvarja videz, da vpliva, in je tako že zajeto v pomenu predlaganega besedila.</w:t>
      </w:r>
    </w:p>
    <w:p w14:paraId="096CEE2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FA3A19" w14:textId="2BCE6EC9"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24. členu (35. ZIntPK)</w:t>
      </w:r>
    </w:p>
    <w:p w14:paraId="44938D5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1847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Zveza občin Slovenije</w:t>
      </w:r>
    </w:p>
    <w:p w14:paraId="2E64995C" w14:textId="77777777" w:rsidR="001C50C7" w:rsidRPr="005C544E" w:rsidRDefault="001C50C7" w:rsidP="001C50C7">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Arial" w:eastAsia="Times New Roman" w:hAnsi="Arial" w:cs="Arial"/>
          <w:i/>
          <w:sz w:val="20"/>
          <w:szCs w:val="20"/>
          <w:lang w:eastAsia="ar-SA"/>
        </w:rPr>
        <w:t xml:space="preserve">Predlagana ureditev prinaša dodatno delo, in sicer organi, ki jih zavezuje določba 35. člena ZIntPK, KPK sezname posredujejo preko elektronskega obrazca. Ta naloga sicer že obstaja, jo bo pa treba izvajati v večjem obsegu. </w:t>
      </w:r>
      <w:r w:rsidRPr="005C544E">
        <w:rPr>
          <w:rFonts w:ascii="Helv" w:eastAsia="Times New Roman" w:hAnsi="Helv" w:cs="Helv"/>
          <w:sz w:val="20"/>
          <w:szCs w:val="20"/>
          <w:lang w:eastAsia="ar-SA"/>
        </w:rPr>
        <w:t>Ureditev že obstaja. Glede na Trenutno veljavni zakon, se spreminja nabor postopkov, v katerih veljajo omejitve poslovanja. V trenutno veljavnem zakonu so to vsa naročila blaga, storitev ali gradenj, sklepanje javno-zasebnih partnerstev ali podeljevanje posebnih ali izključnih pravic subjektom, po predlaganem zakonu pa to velja le za postopke javnega naročanja. Pri ostalih postopkih je še vedno treba upoštevati določbe o nasprotju interesov (prvi odstavek) in omejitve poslovanja (šesti odstavek) iz 100. člena Zakona o javnih uslužbencih.</w:t>
      </w:r>
    </w:p>
    <w:p w14:paraId="645C324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013E5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0AC2193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poenotenje izraza »subjekt javnega sektorja«, namesto »organ ali organizacija javnega sektorja«</w:t>
      </w:r>
      <w:r w:rsidRPr="005C544E">
        <w:rPr>
          <w:rFonts w:ascii="Arial" w:eastAsia="Times New Roman" w:hAnsi="Arial" w:cs="Arial"/>
          <w:sz w:val="20"/>
          <w:szCs w:val="20"/>
          <w:lang w:eastAsia="ar-SA"/>
        </w:rPr>
        <w:t>. Termin »organ ali organizacija javnega sektorja« se uporablja tudi v drugih delih zakona, ki pa se ne spreminjajo z novelo, zato se predloga ne upošteva.</w:t>
      </w:r>
    </w:p>
    <w:p w14:paraId="534E9CB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DDE4E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Okrožno sodišče v Ljubljani</w:t>
      </w:r>
    </w:p>
    <w:p w14:paraId="20A2568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Določba o ničnosti pogodbe v tretjem odstavku je v nasprotju z načelom zaupanja v pravni promet. Bolj smiselno bi bilo določiti, da so tovrstni posli, zlasti glede na široko polje določenih omejitev poslovanja, izpodbojni</w:t>
      </w:r>
      <w:r w:rsidRPr="005C544E">
        <w:rPr>
          <w:rFonts w:ascii="Arial" w:eastAsia="Times New Roman" w:hAnsi="Arial" w:cs="Arial"/>
          <w:sz w:val="20"/>
          <w:szCs w:val="20"/>
          <w:lang w:eastAsia="ar-SA"/>
        </w:rPr>
        <w:t>. Določba tretjega odstavka se z novelo ne spreminja. V predlogu je navedena izključno zaradi tehnike noveliranja, kjer se zaradi jasnosti navaja celoten člen in ne le spremembe.</w:t>
      </w:r>
    </w:p>
    <w:p w14:paraId="0EDDEA6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76E0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6AC5DEB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 xml:space="preserve">Prvi odstavek spremenjenega 35. člena določa omejitev poslovanja med drugim za organe ali organizacije javnega sektorja, ki izvajajo postopek javnega naročanja. Navedeno se lahko razume v smislu, da omejitev poslovanja velja le za omenjene subjekte, če oziroma kadar ti izvajajo postopek javnega naročanja, ne pa tudi kadar oddajajo javna naročila kot evidenčno naročilo (tj. naročilo nižjih vrednosti, za katere naročnikom po ZJN-3 ni treba izvesti postopka javnega naročanja) ali kot izjemo od uporabe ZJN-3. Navedeno omejitev bi bilo smiselno vezati na zavezanca in ne na izvedbo postopka. Pri tem pa opozorjeno, da so med izjemami po ZJN-3 tudi pogodbe o zaposlitvi, kar pomeni, da bi v primeru odločitve, da omejitev poslovanja velja za vse primere, pomenilo, da bi taka obveza lahko bila pretirana, namreč ravno v primeru pogodb o zaposlitvi bi takšna omejitev poslovanja prepovedovala npr. fizični osebi ali odgovorni osebi poslovnega subjekta, ki je povezana na način iz prvega odstavka 35. člena zakona, s funkcionarjem ali njegovim družinski članom organa ali organizacije, da v njej kandidira in se zaposli, če tudi sicer legitimno izpolnjuje vse zahteve za določeno delovno mesto. </w:t>
      </w:r>
      <w:r w:rsidRPr="005C544E">
        <w:rPr>
          <w:rFonts w:ascii="Arial" w:eastAsia="Times New Roman" w:hAnsi="Arial" w:cs="Arial"/>
          <w:sz w:val="20"/>
          <w:szCs w:val="20"/>
          <w:lang w:eastAsia="ar-SA"/>
        </w:rPr>
        <w:t>Predlog se upošteva.</w:t>
      </w:r>
    </w:p>
    <w:p w14:paraId="43FEAF6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9D06C6" w14:textId="34F90CBB"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26. členu (37. ZIntPK)</w:t>
      </w:r>
    </w:p>
    <w:p w14:paraId="4F199E6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F231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1F5240B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zakon jasno opredeli tudi zahteve za preprečevanje nasprotja interesov, ki lahko nastane v zvezi z naknadno zaposlitvijo nosilcev ključnih funkcij – pri katerih se pojavlja najvišje tveganje za integriteto (vpliv na procese odločanja in varovanje zaupnih informacij oz. podatkov).</w:t>
      </w:r>
      <w:r w:rsidRPr="005C544E">
        <w:rPr>
          <w:rFonts w:ascii="Arial" w:eastAsia="Times New Roman" w:hAnsi="Arial" w:cs="Arial"/>
          <w:sz w:val="20"/>
          <w:szCs w:val="20"/>
          <w:lang w:eastAsia="ar-SA"/>
        </w:rPr>
        <w:t xml:space="preserve"> Predlog presega materijo novele ZIntPK. Predlog bo preučen ob naslednjih spremembah ZIntPK ali področne zakonodaje, saj se ureditev »</w:t>
      </w:r>
      <w:r w:rsidRPr="005C544E">
        <w:rPr>
          <w:rFonts w:ascii="Arial" w:eastAsia="Times New Roman" w:hAnsi="Arial" w:cs="Arial"/>
          <w:i/>
          <w:sz w:val="20"/>
          <w:szCs w:val="20"/>
          <w:lang w:eastAsia="ar-SA"/>
        </w:rPr>
        <w:t>revolvig door</w:t>
      </w:r>
      <w:r w:rsidRPr="005C544E">
        <w:rPr>
          <w:rFonts w:ascii="Arial" w:eastAsia="Times New Roman" w:hAnsi="Arial" w:cs="Arial"/>
          <w:sz w:val="20"/>
          <w:szCs w:val="20"/>
          <w:lang w:eastAsia="ar-SA"/>
        </w:rPr>
        <w:t>« oziroma omejitev po koncu zaposlitve (eng. »</w:t>
      </w:r>
      <w:r w:rsidRPr="005C544E">
        <w:rPr>
          <w:rFonts w:ascii="Arial" w:eastAsia="Times New Roman" w:hAnsi="Arial" w:cs="Arial"/>
          <w:i/>
          <w:sz w:val="20"/>
          <w:szCs w:val="20"/>
          <w:lang w:eastAsia="ar-SA"/>
        </w:rPr>
        <w:t>post employment restrictions</w:t>
      </w:r>
      <w:r w:rsidRPr="005C544E">
        <w:rPr>
          <w:rFonts w:ascii="Arial" w:eastAsia="Times New Roman" w:hAnsi="Arial" w:cs="Arial"/>
          <w:sz w:val="20"/>
          <w:szCs w:val="20"/>
          <w:lang w:eastAsia="ar-SA"/>
        </w:rPr>
        <w:t>«) vsebinsko nanaša tudi na določbe Zakona o funkcionarjih v državni upravi, Zakona o lokalni samoupravi in Zakona o poslancih ter v druge zakone, ki urejajo pravice in dolžnosti funkcionarjev.</w:t>
      </w:r>
    </w:p>
    <w:p w14:paraId="31895CA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4915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JAZMP</w:t>
      </w:r>
    </w:p>
    <w:p w14:paraId="1339920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obveznost iz prvega odstavka glede nasprotja interesa uredi tudi za posamezne zunanje strokovnjake, ki niso imenovani oziroma vključeni v komisije, odbore, skupine ipd.</w:t>
      </w:r>
      <w:r w:rsidRPr="005C544E">
        <w:rPr>
          <w:rFonts w:ascii="Arial" w:eastAsia="Times New Roman" w:hAnsi="Arial" w:cs="Arial"/>
          <w:sz w:val="20"/>
          <w:szCs w:val="20"/>
          <w:lang w:eastAsia="ar-SA"/>
        </w:rPr>
        <w:t xml:space="preserve"> Odgovornost za delo zunanjih strokovnjakov, ki jih najemajo subjekti javnega sektorja nosijo predstojniki samih subjektov. Obveznost upoštevanja določb glede nasprotja interesov se lahko vedno uredi v pogodbah s posameznimi strokovnjaki.</w:t>
      </w:r>
    </w:p>
    <w:p w14:paraId="22A4BA8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95145B" w14:textId="70846F21"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27. členu (38. ZIntPK)</w:t>
      </w:r>
    </w:p>
    <w:p w14:paraId="063AA0D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8C09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2640C64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prvemu odstavku: Predlagano, da se v zvezi z obveznostjo uradne osebe dosledno upošteva razlika med prekinitvijo z delom – kar je dolžnost uradne osebe, oziroma izločitvijo uradne osebe – o kateri odloča vedno organ oziroma predstojnik (nikoli pa sama oseba).</w:t>
      </w:r>
      <w:r w:rsidRPr="005C544E">
        <w:rPr>
          <w:rFonts w:ascii="Arial" w:eastAsia="Times New Roman" w:hAnsi="Arial" w:cs="Arial"/>
          <w:sz w:val="20"/>
          <w:szCs w:val="20"/>
          <w:lang w:eastAsia="ar-SA"/>
        </w:rPr>
        <w:t xml:space="preserve"> Predlog se upošteva.</w:t>
      </w:r>
    </w:p>
    <w:p w14:paraId="1E02995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C0428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drugemu odstavku: Predlagano, da se omogoči tudi uporaba drugih ukrepov, s katerimi se lahko odpravi morebitno nasprotje interesov (npr. uvedba načela štirih oči pri posameznih dejanjih, predhodna odobritev določenih dejanj ali druge dodatne kontrole v postopku).</w:t>
      </w:r>
      <w:r w:rsidRPr="005C544E">
        <w:rPr>
          <w:rFonts w:ascii="Arial" w:eastAsia="Times New Roman" w:hAnsi="Arial" w:cs="Arial"/>
          <w:sz w:val="20"/>
          <w:szCs w:val="20"/>
          <w:lang w:eastAsia="ar-SA"/>
        </w:rPr>
        <w:t xml:space="preserve"> Predlog se upošteva.</w:t>
      </w:r>
    </w:p>
    <w:p w14:paraId="3EC595F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177C9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K četrtemu odstavku: Predlagano črtanje dela četrtega odstavka, ker gre za </w:t>
      </w:r>
      <w:r w:rsidRPr="005C544E">
        <w:rPr>
          <w:rFonts w:ascii="Arial" w:eastAsia="Times New Roman" w:hAnsi="Arial" w:cs="Arial"/>
          <w:bCs/>
          <w:i/>
          <w:sz w:val="20"/>
          <w:szCs w:val="20"/>
          <w:lang w:eastAsia="ar-SA"/>
        </w:rPr>
        <w:t>nesorazmerno in nepotrebno obremenitev tako za subjekte javnega sektorja kot tudi za KPK</w:t>
      </w:r>
      <w:r w:rsidRPr="005C544E">
        <w:rPr>
          <w:rFonts w:ascii="Arial" w:eastAsia="Times New Roman" w:hAnsi="Arial" w:cs="Arial"/>
          <w:bCs/>
          <w:sz w:val="20"/>
          <w:szCs w:val="20"/>
          <w:lang w:eastAsia="ar-SA"/>
        </w:rPr>
        <w:t>. Namen obvezujoče obrazložene usmeritve za ravnanje in odločanje je, da se uslužbencu zagotovi pravna varnost v zvezi z odločitvijo. Namen posredovanja takšnih odločitev KPK je v tem, da se zmanjša možnost zlorab predvidenega instrumenta z zunanjo kontrolo odločitev.</w:t>
      </w:r>
    </w:p>
    <w:p w14:paraId="4913DF2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65F39B" w14:textId="078D707B"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28. členu (39. ZIntPK)</w:t>
      </w:r>
    </w:p>
    <w:p w14:paraId="543F398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8DEC8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BSI</w:t>
      </w:r>
    </w:p>
    <w:p w14:paraId="17B872C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V prvem odstavku ni </w:t>
      </w:r>
      <w:r w:rsidRPr="005C544E">
        <w:rPr>
          <w:rFonts w:ascii="Arial" w:eastAsia="Times New Roman" w:hAnsi="Arial" w:cs="Arial"/>
          <w:bCs/>
          <w:i/>
          <w:sz w:val="20"/>
          <w:szCs w:val="20"/>
          <w:lang w:eastAsia="ar-SA"/>
        </w:rPr>
        <w:t>jasno, kaj pomeni »uradno dejanje«.</w:t>
      </w:r>
      <w:r w:rsidRPr="005C544E">
        <w:rPr>
          <w:rFonts w:ascii="Arial" w:eastAsia="Times New Roman" w:hAnsi="Arial" w:cs="Arial"/>
          <w:bCs/>
          <w:sz w:val="20"/>
          <w:szCs w:val="20"/>
          <w:lang w:eastAsia="ar-SA"/>
        </w:rPr>
        <w:t xml:space="preserve"> Uradno dejanje je katerokoli dejanje uradne osebe v postopku.</w:t>
      </w:r>
    </w:p>
    <w:p w14:paraId="1A19084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60460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w:t>
      </w:r>
    </w:p>
    <w:p w14:paraId="016BE632" w14:textId="6202FB8F"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je črtanje četrtega odstavka. Dejanja, ki so bila izvedena, ne morejo postati nična, presojati pa je treba učinke teh ravnanja. V zvezi s tem je treba upoštevati, da učinkov dejanj praviloma ni mogoče presojati samostojno, pač pa v povezavi z drugimi dejanji v okviru dejavnosti na področju delovanja ali celo v povezavi z določenim upravnim aktom, ki je rezultat določenega procesa. Tudi se postavlja vprašanje, kako bi se ugotavljala ničnost dejanj (oz. njihovih učinki) in kako bi se morebitna ničnost (neveljavnost) teh učinkov odražala na drugih dejanjih, ki so bila izvedena ali celo na veljavnosti upravnega akta, ki ga je sprejel drug organ (in kjer veljajo posebna pravila glede izločitve in posledic neizločitve uradne osebe). Glede na to, da ni mogoče predvideti posledic "ničnosti dejanj"</w:t>
      </w:r>
      <w:r w:rsidR="00BA5D9F">
        <w:rPr>
          <w:rFonts w:ascii="Arial" w:eastAsia="Times New Roman" w:hAnsi="Arial" w:cs="Arial"/>
          <w:i/>
          <w:sz w:val="20"/>
          <w:szCs w:val="20"/>
          <w:lang w:eastAsia="ar-SA"/>
        </w:rPr>
        <w:t xml:space="preserve"> </w:t>
      </w:r>
      <w:r w:rsidRPr="005C544E">
        <w:rPr>
          <w:rFonts w:ascii="Arial" w:eastAsia="Times New Roman" w:hAnsi="Arial" w:cs="Arial"/>
          <w:i/>
          <w:sz w:val="20"/>
          <w:szCs w:val="20"/>
          <w:lang w:eastAsia="ar-SA"/>
        </w:rPr>
        <w:t>predlagamo, da se določba črta. Morebitne negativne posledice ravnanja uradne osebe, pri kateri obstaja nasprotje interesov, se obravnavajo z ukrepi za odpravo nasprotju interesov, odvisno od možnosti in upravičenosti v konkretnem primeru</w:t>
      </w:r>
      <w:r w:rsidRPr="005C544E">
        <w:rPr>
          <w:rFonts w:ascii="Arial" w:eastAsia="Times New Roman" w:hAnsi="Arial" w:cs="Arial"/>
          <w:sz w:val="20"/>
          <w:szCs w:val="20"/>
          <w:lang w:eastAsia="ar-SA"/>
        </w:rPr>
        <w:t>. Predlog se upošteva.</w:t>
      </w:r>
    </w:p>
    <w:p w14:paraId="236AC99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C5170D" w14:textId="0113BF13"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29. členu (40. ZIntPK)</w:t>
      </w:r>
    </w:p>
    <w:p w14:paraId="6E12279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8600E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34DCB1F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40. členu doda nov tretji odstavek, ki določa, da se za poslovodne osebe, člane organov upravljanja, vodenja in nadzora v subjektih javnega sektorja, ne glede na določila zakona, ki ureja gospodarske družbe, uporabljajo 37. – 39. členi ZIntPK, ki urejajo dolžnosti v zvezi z izogibanjem nasprotju interesov</w:t>
      </w:r>
      <w:r w:rsidRPr="005C544E">
        <w:rPr>
          <w:rFonts w:ascii="Arial" w:eastAsia="Times New Roman" w:hAnsi="Arial" w:cs="Arial"/>
          <w:sz w:val="20"/>
          <w:szCs w:val="20"/>
          <w:lang w:eastAsia="ar-SA"/>
        </w:rPr>
        <w:t>. Predlog je že zajet v 42. členu, v prehodnih in končnih določbah, kjer se razveljavlja 38.a člen ZGD-1, če se nanaša na poslovodne osebe in člane organov upravljanja, vodenja ter nadzora v gospodarskih družbah, v katerih ima večinski delež oziroma prevladujoč vpliv država ali lokalna skupnost.</w:t>
      </w:r>
    </w:p>
    <w:p w14:paraId="11A3749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BBCED8" w14:textId="2D0182EC"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30. členu (41. ZIntPK)</w:t>
      </w:r>
    </w:p>
    <w:p w14:paraId="2DFB0B1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E523E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7BA0529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prvem odstavku med zavezance za prijavo premoženjskega stanja doda tudi sodnike porotnike</w:t>
      </w:r>
      <w:r w:rsidRPr="005C544E">
        <w:rPr>
          <w:rFonts w:ascii="Arial" w:eastAsia="Times New Roman" w:hAnsi="Arial" w:cs="Arial"/>
          <w:sz w:val="20"/>
          <w:szCs w:val="20"/>
          <w:lang w:eastAsia="ar-SA"/>
        </w:rPr>
        <w:t>. Predloga se ne upošteva, ker sodniki porotniki niso funkcionarji.</w:t>
      </w:r>
    </w:p>
    <w:p w14:paraId="508DC26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968996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Predlagano, da se v četrtem odstavku 41. člena besedna zveza »v roku 30 dni« zapiše v obliki »v roku meseca dni«. Gre za rok za poročanje sprememb premoženjskega stanja.</w:t>
      </w:r>
      <w:r w:rsidRPr="005C544E">
        <w:rPr>
          <w:rFonts w:ascii="Arial" w:eastAsia="Times New Roman" w:hAnsi="Arial" w:cs="Arial"/>
          <w:bCs/>
          <w:sz w:val="20"/>
          <w:szCs w:val="20"/>
          <w:lang w:eastAsia="ar-SA"/>
        </w:rPr>
        <w:t xml:space="preserve"> Predloga se ne upošteva, ker se veljavna določba v tem delu ne spreminja.</w:t>
      </w:r>
    </w:p>
    <w:p w14:paraId="6CD1DB0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CCC13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besedilu petega odstavka 41. člena črta besedilo »dostopnega na spletnih straneh komisije«.</w:t>
      </w:r>
      <w:r w:rsidRPr="005C544E">
        <w:rPr>
          <w:rFonts w:ascii="Arial" w:eastAsia="Times New Roman" w:hAnsi="Arial" w:cs="Arial"/>
          <w:sz w:val="20"/>
          <w:szCs w:val="20"/>
          <w:lang w:eastAsia="ar-SA"/>
        </w:rPr>
        <w:t xml:space="preserve"> Predloga se ne upošteva. Z vidika transparentnosti in dostopnosti elektronskega obrazca za zavezance je potrebno jasno določiti, kje je obrazec dostopen, ne glede na to, kakšne so tehnične rešitve glede vzpostavitve spletnega mesta, kjer se obrazec dejansko nahaja in hrambe podatkov.</w:t>
      </w:r>
    </w:p>
    <w:p w14:paraId="4F1CFF7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818A0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52998D9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prvem odstavku med zavezance navede tudi »predsednik državnega sveta«. Alternativno predlagano naj se iz prvega odstavka predlaganega novega 46. člena izbriše »predsednik državnega sveta«, da bosta določbi usklajeni</w:t>
      </w:r>
      <w:r w:rsidRPr="005C544E">
        <w:rPr>
          <w:rFonts w:ascii="Arial" w:eastAsia="Times New Roman" w:hAnsi="Arial" w:cs="Arial"/>
          <w:sz w:val="20"/>
          <w:szCs w:val="20"/>
          <w:lang w:eastAsia="ar-SA"/>
        </w:rPr>
        <w:t>. Prvi odstavek novega 41. člena ne našteva taksativno vseh zavezancev za poročanje premoženjskega stanja, pač pa skupine zavezancev. Predsednik državnega sveta je zajet v skupino članov državnega sveta. 46. člen po drugi strani taksativno našteva, podatke katerih funkcionarjev se javno objavi, med njimi tudi podatke o premoženjskem stanju predsednika državnega sveta, ne pa tudi podatkov o premoženjskem stanju vseh članov.</w:t>
      </w:r>
    </w:p>
    <w:p w14:paraId="67DA435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55ED6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Zveza občin Slovenije</w:t>
      </w:r>
    </w:p>
    <w:p w14:paraId="6A81FE0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nepoklicne funkcionarje to je državne svetnike izvzame iz poročanja o premoženjskem stanju. Državni svet ima zelo specifičen položaj in temu primerno predstavlja majhno tveganje za to področje</w:t>
      </w:r>
      <w:r w:rsidRPr="005C544E">
        <w:rPr>
          <w:rFonts w:ascii="Arial" w:eastAsia="Times New Roman" w:hAnsi="Arial" w:cs="Arial"/>
          <w:sz w:val="20"/>
          <w:szCs w:val="20"/>
          <w:lang w:eastAsia="ar-SA"/>
        </w:rPr>
        <w:t>. Državni svetniki imajo res nekoliko poseben položaj, vendar po mnenju predlagatelja spadajo med zavezance za poročanje premoženjskega stanja, predvsem zaradi njihove vloge v zakonodajnem postopku. Glede na velik pomen vloge državnega sveta, ki lahko odločilno vpliva na zakonodajni postopek, in ob zavedanju, da v zakonodajnem postopku obstajajo tveganja za korupcijo, je nadzor nad premoženjskim stanjem tako pomembnih posameznikov, kot so člani državnega sveta, nujen.</w:t>
      </w:r>
    </w:p>
    <w:p w14:paraId="17FB62C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095F6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5C9D0C7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i/>
          <w:sz w:val="20"/>
          <w:szCs w:val="20"/>
          <w:lang w:eastAsia="ar-SA"/>
        </w:rPr>
        <w:t>Iz določb drugega odstavka novega 41. člena ZIntPK ni jasno, katero (premoženjsko) stanje (na kateri dan) poročajo zavezanci (npr. na dan nastopa funkcije, na dan poročanja).</w:t>
      </w:r>
      <w:r w:rsidRPr="005C544E">
        <w:rPr>
          <w:rFonts w:ascii="Arial" w:eastAsia="Times New Roman" w:hAnsi="Arial" w:cs="Arial"/>
          <w:sz w:val="20"/>
          <w:szCs w:val="20"/>
          <w:lang w:eastAsia="ar-SA"/>
        </w:rPr>
        <w:t xml:space="preserve"> </w:t>
      </w:r>
      <w:r w:rsidRPr="005C544E">
        <w:rPr>
          <w:rFonts w:ascii="Arial" w:eastAsia="Times New Roman" w:hAnsi="Arial" w:cs="Arial"/>
          <w:bCs/>
          <w:sz w:val="20"/>
          <w:szCs w:val="20"/>
          <w:lang w:eastAsia="ar-SA"/>
        </w:rPr>
        <w:t>Predlog se upošteva.</w:t>
      </w:r>
    </w:p>
    <w:p w14:paraId="0FF31CB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CA1BE98" w14:textId="1025DDB0"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31. členu (42. ZIntPK)</w:t>
      </w:r>
    </w:p>
    <w:p w14:paraId="6419C1C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CEDF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15B1759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doda nova 8. alineja drugega odstavka, v kateri se določi, da morajo funkcionarji poročati tudi o danih posojilih</w:t>
      </w:r>
      <w:r w:rsidRPr="005C544E">
        <w:rPr>
          <w:rFonts w:ascii="Arial" w:eastAsia="Times New Roman" w:hAnsi="Arial" w:cs="Arial"/>
          <w:sz w:val="20"/>
          <w:szCs w:val="20"/>
          <w:lang w:eastAsia="ar-SA"/>
        </w:rPr>
        <w:t>. Predloga se ne upošteva. Poročanje o vseh posojilih, ki jih da zavezanec bi bil velik odstop od preostalega sistema poročanja, kjer je treba poročati le o spremembah premoženja, večjih od 10.000 evrov. Takšen odstop po mnenju predlagatelja ni utemeljen.</w:t>
      </w:r>
    </w:p>
    <w:p w14:paraId="53FA0F4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2911A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Helv" w:eastAsia="Times New Roman" w:hAnsi="Helv" w:cs="Helv"/>
          <w:i/>
          <w:sz w:val="20"/>
          <w:szCs w:val="20"/>
          <w:lang w:eastAsia="ar-SA"/>
        </w:rPr>
        <w:t xml:space="preserve">Predlagano, da se sedma alineja drugega odstavka 42. člena predloga novele zakona, ki določa podatke o dolgovih, obveznostih spremeni tako, da se za obveznost poročanja upošteva celotna vrednost dolgov, obveznosti oziroma prevzetih jamstvih in danih posojil, in ne vsakega posebej. </w:t>
      </w:r>
      <w:r w:rsidRPr="005C544E">
        <w:rPr>
          <w:rFonts w:ascii="Helv" w:eastAsia="Times New Roman" w:hAnsi="Helv" w:cs="Helv"/>
          <w:sz w:val="20"/>
          <w:szCs w:val="20"/>
          <w:lang w:eastAsia="ar-SA"/>
        </w:rPr>
        <w:t>Predloga se ne upošteva. Celotna ureditev poročanja o obveznostih temelji na poročanju enot premoženja, katerih vrednot presega 20.000 evrov in odstop od tega koncepta ni utemeljen, prav tako pa bi seštevanje posameznih enot premoženja za zavezance pomenilo dodatno administrativno breme. KPK ima v primeru nadzora premoženjskega stanja vedno možnost pridobiti natančnejše podatke o premoženjskem stanju</w:t>
      </w:r>
      <w:r w:rsidRPr="005C544E">
        <w:rPr>
          <w:rFonts w:ascii="Helv" w:eastAsia="Times New Roman" w:hAnsi="Helv" w:cs="Helv"/>
          <w:i/>
          <w:sz w:val="20"/>
          <w:szCs w:val="20"/>
          <w:lang w:eastAsia="ar-SA"/>
        </w:rPr>
        <w:t>.</w:t>
      </w:r>
    </w:p>
    <w:p w14:paraId="3197EF7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CB7FD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15F4A83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Pri šesti alineji drugega odstavka opozorjeno na morebitne težave pri implementaciji, saj vselej ni mogoče z gotovostjo določiti vrednosti lastniških deležev</w:t>
      </w:r>
      <w:r w:rsidRPr="005C544E">
        <w:rPr>
          <w:rFonts w:ascii="Arial" w:eastAsia="Times New Roman" w:hAnsi="Arial" w:cs="Arial"/>
          <w:sz w:val="20"/>
          <w:szCs w:val="20"/>
          <w:lang w:eastAsia="ar-SA"/>
        </w:rPr>
        <w:t>. Vedno je mogoče določiti vsaj računovodsko vrednost pravnega subjekta. Kadar natančne vrednosti lastnik ne pozna, vpiše najboljšo oceno vrednosti in k temu poda opombe (osma alineja tega odstavka).</w:t>
      </w:r>
    </w:p>
    <w:p w14:paraId="65E4F2A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EF4B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593F2C2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i/>
          <w:sz w:val="20"/>
          <w:szCs w:val="20"/>
          <w:lang w:eastAsia="ar-SA"/>
        </w:rPr>
        <w:t>V tretjem odstavku v zvezi z 8. alinejo drugega odstavka vsebinsko ni povsem jasno, katero poročanje je obvezno, in kako naj se razume dejansko lastništvo glede na pravno lastništvo ter ali gre zgolj za poročanje o deležu lastništva na posamezni stvari, ki je predmet poročanja npr. 100%, 50% ipd., ali še o čem drugem</w:t>
      </w:r>
      <w:r w:rsidRPr="005C544E">
        <w:rPr>
          <w:rFonts w:ascii="Arial" w:eastAsia="Times New Roman" w:hAnsi="Arial" w:cs="Arial"/>
          <w:bCs/>
          <w:sz w:val="20"/>
          <w:szCs w:val="20"/>
          <w:lang w:eastAsia="ar-SA"/>
        </w:rPr>
        <w:t>. Zavezanec po 1-7 alineji drugega odstavka poroča lastništvo, če gre za »pravno« lastništvo. V primeru nepremičnin, vpisanih v zemljiško knjigo, jih bo poročal le, če je pri nepremičninah vpisan kot lastnik (solastnik/skupni lastnik). V primeru, ko iz kakršnega koli razloga njegov delež ni vpisan (npr. premoženje pridobljeno v času trajanja zakonske zveze, pri čemer se je v ZK vpisal samo partner; kupljena/prodana nepremičnina, kjer vknjižba spremembe lastništva še ni izvedena …), bo takšno premoženje (oz. delež na premoženju) poročal v okviru osme alineje. Poročanje po osmi alineji drugega odstavka je obvezno za premoženje iz tretjega odstavka (dejansko lastništvo), poleg tega lahko zavezanci poročajo tudi druge podatke o premoženju, ki jih ni bilo mogoče umestiti drugam.</w:t>
      </w:r>
    </w:p>
    <w:p w14:paraId="678ECBC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2CA726" w14:textId="4B0C9448"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32. členu (43. ZIntPK)</w:t>
      </w:r>
    </w:p>
    <w:p w14:paraId="0815417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C171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5D8DB58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prvem odstavku namesto besedne zveze »v roku 30 dni« zapiše »v roku meseca dni«.</w:t>
      </w:r>
      <w:r w:rsidRPr="005C544E">
        <w:rPr>
          <w:rFonts w:ascii="Arial" w:eastAsia="Times New Roman" w:hAnsi="Arial" w:cs="Arial"/>
          <w:sz w:val="20"/>
          <w:szCs w:val="20"/>
          <w:lang w:eastAsia="ar-SA"/>
        </w:rPr>
        <w:t xml:space="preserve"> Predloga se ne upošteva zaradi enotnega navajanja rokov. Prav tako se v tem delu ne spreminja veljavna ureditev.</w:t>
      </w:r>
    </w:p>
    <w:p w14:paraId="207ABBE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7C3B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Vrhovno sodišče RS, Zveza občina Slovenije in Okrožno sodišče v Ljubljani</w:t>
      </w:r>
    </w:p>
    <w:p w14:paraId="366D31A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Prvemu odstavku: Upoštevaje veljavno ureditev je na VSRS vzpostavljena praksa v skladu s katero se sodnike z dopisom opozori na dolžnost poročanja sprememb premoženjskega stanja do 31.1. za preteklo leto. Po predlagani ureditvi naj bi funkcionar za izpolnitev dolžnosti v roku skrbel sam. Predlagano, da se obstoječa ureditev ohrani</w:t>
      </w:r>
      <w:r w:rsidRPr="005C544E">
        <w:rPr>
          <w:rFonts w:ascii="Arial" w:eastAsia="Times New Roman" w:hAnsi="Arial" w:cs="Arial"/>
          <w:sz w:val="20"/>
          <w:szCs w:val="20"/>
          <w:lang w:eastAsia="ar-SA"/>
        </w:rPr>
        <w:t xml:space="preserve">. </w:t>
      </w:r>
      <w:r w:rsidRPr="005C544E">
        <w:rPr>
          <w:rFonts w:ascii="Arial" w:eastAsia="Times New Roman" w:hAnsi="Arial" w:cs="Arial"/>
          <w:i/>
          <w:sz w:val="20"/>
          <w:szCs w:val="20"/>
          <w:lang w:eastAsia="ar-SA"/>
        </w:rPr>
        <w:t>Smiselno podobno tudi Zveza občina Slovenije in Okrožno sodišče v Ljubljani</w:t>
      </w:r>
      <w:r w:rsidRPr="005C544E">
        <w:rPr>
          <w:rFonts w:ascii="Arial" w:eastAsia="Times New Roman" w:hAnsi="Arial" w:cs="Arial"/>
          <w:sz w:val="20"/>
          <w:szCs w:val="20"/>
          <w:lang w:eastAsia="ar-SA"/>
        </w:rPr>
        <w:t xml:space="preserve">. Pripomba ni bila upoštevana. </w:t>
      </w:r>
      <w:r w:rsidRPr="005C544E">
        <w:rPr>
          <w:rFonts w:ascii="Arial" w:eastAsia="Times New Roman" w:hAnsi="Arial" w:cs="Arial"/>
          <w:iCs/>
          <w:sz w:val="20"/>
          <w:szCs w:val="20"/>
          <w:lang w:eastAsia="ar-SA"/>
        </w:rPr>
        <w:t>Zaradi učinkovitega izvajanja nadzora KPK nad premoženjskim stanjem zavezancev je predlagano ažurno obveščanje o spremembah, pri čemer predlagatelj, v izogib administrativni obremenitvi, uveljavitev navedene spremembe v prehodnih določbah veže na predhodno vzpostavitev elektronske aplikacije.</w:t>
      </w:r>
    </w:p>
    <w:p w14:paraId="1616C78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F0990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632B4A0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Izpostavljena nejasnost določbe prvega odstavka, in sicer ta določa, da lahko KPK od zavezanca kadarkoli zahteva, da mora zavezanec KPK sporočiti vsako spremembo navedenih osebnih podatkov in vsako spremembo v premoženjskem stanju, pri čemer ni določeno, za katero stanje oz. glede na kateri presečni datum se računa sprememba</w:t>
      </w:r>
      <w:r w:rsidRPr="005C544E">
        <w:rPr>
          <w:rFonts w:ascii="Arial" w:eastAsia="Times New Roman" w:hAnsi="Arial" w:cs="Arial"/>
          <w:sz w:val="20"/>
          <w:szCs w:val="20"/>
          <w:lang w:eastAsia="ar-SA"/>
        </w:rPr>
        <w:t>. Spremembo premoženjskega stanja je treba poročati glede na že prijavljeno premoženjsko stanje oziroma glede na zadnjo prijavljeno spremembo premoženjskega stanja. Presečni datum v svoji zahtevi določi KPK.</w:t>
      </w:r>
    </w:p>
    <w:p w14:paraId="0EC2E58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EB47E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bCs/>
          <w:i/>
          <w:sz w:val="20"/>
          <w:szCs w:val="20"/>
          <w:lang w:eastAsia="ar-SA"/>
        </w:rPr>
        <w:t>Izpostavljena nejasnost tretjega odstavka, saj ni določeno, za katero obdobje je zavezanec dolžan posredovati podatke (npr. na dan zahteve KPK ali na dan nastopa funkcije, kot bi posredno izhajalo iz določb novega 44.a člena).</w:t>
      </w:r>
      <w:r w:rsidRPr="005C544E">
        <w:rPr>
          <w:rFonts w:ascii="Arial" w:eastAsia="Times New Roman" w:hAnsi="Arial" w:cs="Arial"/>
          <w:bCs/>
          <w:sz w:val="20"/>
          <w:szCs w:val="20"/>
          <w:lang w:eastAsia="ar-SA"/>
        </w:rPr>
        <w:t xml:space="preserve"> Pri nadzoru premoženjskega stanja KPK smiselno uporablja ZUP. Zahteva za poročanje bo tako morala biti jasna in določna, da jo bo mogoče izvesti, presečni datum bo določil nadzornik KPK v zahtevi glede na okoliščine konkretnega primera.</w:t>
      </w:r>
    </w:p>
    <w:p w14:paraId="0E31373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1F0BF9" w14:textId="17BAAC54"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33. členu (44.a. ZIntPK)</w:t>
      </w:r>
    </w:p>
    <w:p w14:paraId="6F1B19A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554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63DCA27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prvem odstavku 44.a člena predloga novele zakona izrecno doda možnost nadzora nesorazmernosti prijave premoženja.</w:t>
      </w:r>
      <w:r w:rsidRPr="005C544E">
        <w:rPr>
          <w:rFonts w:ascii="Arial" w:eastAsia="Times New Roman" w:hAnsi="Arial" w:cs="Arial"/>
          <w:sz w:val="20"/>
          <w:szCs w:val="20"/>
          <w:lang w:eastAsia="ar-SA"/>
        </w:rPr>
        <w:t xml:space="preserve"> »Nesorazmernost prijave« ni nekaj kar bi bilo mogoče nadzirati. Mogoče je nadzirati pravilnost prijave. Če zavezanec prijavi več premoženja, kot ga dejansko ima, je to napačna, lažna, nepravilna prijava. Možnost nadzora nad spremembami premoženjskega stanja že vključuje tudi morebitno ugotovitev o nesorazmerno povečanem premoženjskem stanju.</w:t>
      </w:r>
    </w:p>
    <w:p w14:paraId="2251CFA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980F6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Komisija izpostavlja tudi vprašanje, ali je osmi odstavek 44.a člena predloga novele zakona dovolj jasno zapisan, da poleg zavezancev iz drugega odstavka 41. člena ZIntPK zajame tudi zavezance iz tretjega odstavka 43. člena oziroma osebe, odgovorne za javna naročila (OJN). Dejstvo je, da OJN poročajo do 31. januarja tekočega leta za preteklo leto, če so sodelovale v postopku javnega naročanja. V praksi je nadzor (nesorazmernost povečanja premoženja) nad takšnimi zavezanci zelo problematičen in težko izvedljiv, ker imajo takšni zavezanci lahko več prekinjenih obdobij, ko niso delovali kot OJN. V nasprotju z na primer poklicnimi funkcionarji, ki so zavezanci ves čas trajanja mandata, so OJN zavezanci le takrat, če dejansko izvajajo javna naročila. V praksi se kaže, da je včasih vprašljiv že sam začetek, od katerega so dejansko zavezanci in ima komisija pravno podlago za pridobivanje podatkov o njihovem premoženjskem stanju. Običajno kot začetek predstavlja nek sklep o imenovanju OJN v konkretno komisijo za izvedbo naročila, v primeru, če takega sklepa ni, pa prva dejanska aktivnost OJN v konkretnem postopku javnega naročila. Še več problemov pa se pokaže pri ugotavljanju, kdaj OJN ni zavezanec. Če poenostavimo na konkretnem primeru imamo OJN, ki je s sklepom imenovan 1. 3. 2018 (torej takrat postane zavezanec), 1. 10. 2018 pa je javno naročilo pravnomočno zaključeno. Vprašanje torej je, ali je OJN zavezanec le do zaključka postopka ali do 31. 12. 2018. Takšne situacije so namreč zelo pogoste, v nekaterih primeri se to ponavlja vsako leto</w:t>
      </w:r>
      <w:r w:rsidRPr="005C544E">
        <w:rPr>
          <w:rFonts w:ascii="Arial" w:eastAsia="Times New Roman" w:hAnsi="Arial" w:cs="Arial"/>
          <w:sz w:val="20"/>
          <w:szCs w:val="20"/>
          <w:lang w:eastAsia="ar-SA"/>
        </w:rPr>
        <w:t xml:space="preserve">. </w:t>
      </w:r>
      <w:r w:rsidRPr="005C544E">
        <w:rPr>
          <w:rFonts w:ascii="Arial" w:eastAsia="Times New Roman" w:hAnsi="Arial" w:cs="Arial"/>
          <w:bCs/>
          <w:sz w:val="20"/>
          <w:szCs w:val="20"/>
          <w:lang w:eastAsia="ar-SA"/>
        </w:rPr>
        <w:t>Pojasnjujemo, da tretji odstavek 41. člena določa, da osebe, odgovorne za javna naročila postanejo zavezanci za poročanje, če so kadarkoli v roku koledarskega leta sodelovale v postopku javnega naročila. Njihova obveznost je poročati o celotnem premoženjskem stanju do 31. januarja. V zvezi s tem je predlagatelj mnenja, da ima KPK pristojnost preveriti resničnost navedb (pridobi podatke o premoženjskem stanju na datum poročanja oz. na datum dokazil, ki jih predloži zavezanec) in ob sumu, da je premoženje nesorazmerno povečano glede na siceršnje prihodke osebe, preveri tudi izvor premoženja (pridobi podrobnejše podatke o posameznih delih premoženja), ali pa takšno preverjanje predlaga drugim pristojnim organom.</w:t>
      </w:r>
    </w:p>
    <w:p w14:paraId="5F931B0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017F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3223F1F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TI Slovenia prosi za obrazložitev, zakaj se je rok iz četrtega odstavka 44.a člena iz treh dni podaljšal na osem</w:t>
      </w:r>
      <w:r w:rsidRPr="005C544E">
        <w:rPr>
          <w:rFonts w:ascii="Arial" w:eastAsia="Times New Roman" w:hAnsi="Arial" w:cs="Arial"/>
          <w:sz w:val="20"/>
          <w:szCs w:val="20"/>
          <w:lang w:eastAsia="ar-SA"/>
        </w:rPr>
        <w:t xml:space="preserve">. </w:t>
      </w:r>
      <w:r w:rsidRPr="005C544E">
        <w:rPr>
          <w:rFonts w:ascii="Arial" w:eastAsia="Times New Roman" w:hAnsi="Arial" w:cs="Arial"/>
          <w:bCs/>
          <w:sz w:val="20"/>
          <w:szCs w:val="20"/>
          <w:lang w:eastAsia="ar-SA"/>
        </w:rPr>
        <w:t>Rok je bil podaljšan na predlog Zakonodajno pravne službe DZ.</w:t>
      </w:r>
    </w:p>
    <w:p w14:paraId="2807448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DD1C8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729B477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Opozorjeno na nedoločen nabor evidenc, ki jih bo KPK lahko uporabila za namen nadzora nad premoženjskim stanjem. Pri sistemskem nadzoru po mnenju IP obstaja problem, ker bi lahko KPK neomejeno določbo uporabila za pridobitev poljubnih evidenc v neomejenem obsegu. IP izpostavi možnost zlorabe člena za namen pridobivanja neomejenih količin podatkov.</w:t>
      </w:r>
      <w:r w:rsidRPr="005C544E">
        <w:rPr>
          <w:rFonts w:ascii="Arial" w:eastAsia="Times New Roman" w:hAnsi="Arial" w:cs="Arial"/>
          <w:sz w:val="20"/>
          <w:szCs w:val="20"/>
          <w:lang w:eastAsia="ar-SA"/>
        </w:rPr>
        <w:t xml:space="preserve"> Predlagatelj pojasnjuje, da je KPK omejena z namenom zakona – v delu ki se nanaša na nadzor premoženjskega stanja lahko KPK pridobiva podatke iz evidenc, ki vsebujejo podatke o premoženju zavezancev. ZIntPK posebej definira »sistemski nadzor« v a13a. členu, njegov namen in pravila. Dostop do podatkov in evidenc o premoženju nadziranih zavezancev je nujen za izvedbo pristojnosti.</w:t>
      </w:r>
    </w:p>
    <w:p w14:paraId="4A10BE4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15A5F" w14:textId="7BD9668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35. členu (46. ZIntPK)</w:t>
      </w:r>
    </w:p>
    <w:p w14:paraId="54D4FCE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F5FBB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VDT, Državnotožilski svet, Okrožno sodišče v Ljubljani in IP</w:t>
      </w:r>
    </w:p>
    <w:p w14:paraId="3CC642E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VDT izraža pomislek o ustreznosti določitve kroga zavezancev, katerih podatki so predvideni za objavo. Predlagana je objava zgolj za premoženje, pridobljeno v času trajanja mandata z izjemo premoženja pridobljenega na podlagi pravnih naslovov, nepovezanih z opravljanjem funkcije (npr. iz naslova dedovanja). V zvezi s tem opozarjajo na sodbo ustavnega sodišča št. U-I-57/06-28 z dne 29.3.2007, s katero je bil razveljavljen ZNOJF-1 v delu, ki se je nanašal na objavo premoženjskega stanja funkcionarjev v obdobju, ki ni povezano z opravljanjem javne funkcije. Smiselno podobne pripombe podajajo tudi Državnotožilski svet, Okrožno sodišče v Ljubljani in IP</w:t>
      </w:r>
      <w:r w:rsidRPr="005C544E">
        <w:rPr>
          <w:rFonts w:ascii="Arial" w:eastAsia="Times New Roman" w:hAnsi="Arial" w:cs="Arial"/>
          <w:sz w:val="20"/>
          <w:szCs w:val="20"/>
          <w:lang w:eastAsia="ar-SA"/>
        </w:rPr>
        <w:t>. Predlog se upošteva. Objavi se le podatke iz obrazcev za poročanje sprememb premoženjskega stanja. Glede kroga zavezancev za katere se objavi premoženjsko stanje predlagatelj pojasnjuje, da je krog zavezancev dejansko zožen.</w:t>
      </w:r>
    </w:p>
    <w:p w14:paraId="1D01138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55D3D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70ACBDB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TI Slovenia pozdravlja širitev kroga na predsednika državnega sveta in predlaga, da se dodajo vsi člani državnega sveta</w:t>
      </w:r>
      <w:r w:rsidRPr="005C544E">
        <w:rPr>
          <w:rFonts w:ascii="Arial" w:eastAsia="Times New Roman" w:hAnsi="Arial" w:cs="Arial"/>
          <w:sz w:val="20"/>
          <w:szCs w:val="20"/>
          <w:lang w:eastAsia="ar-SA"/>
        </w:rPr>
        <w:t>. Predlagatelj je pretehtal obseg posega v zasebnost posameznikov, katerih premoženjsko stanje se objavlja. Objava podatkov se je omejila na najvišje funkcije v državi.</w:t>
      </w:r>
    </w:p>
    <w:p w14:paraId="2DF7E54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4E60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1499B50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je poenotenje izraza člani sveta Banke Slovenije</w:t>
      </w:r>
      <w:r w:rsidRPr="005C544E">
        <w:rPr>
          <w:rFonts w:ascii="Arial" w:eastAsia="Times New Roman" w:hAnsi="Arial" w:cs="Arial"/>
          <w:sz w:val="20"/>
          <w:szCs w:val="20"/>
          <w:lang w:eastAsia="ar-SA"/>
        </w:rPr>
        <w:t>. Predlog se upošteva.</w:t>
      </w:r>
    </w:p>
    <w:p w14:paraId="67C355A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BA3F7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43217080" w14:textId="5697422D"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drugemu odstavku: V delu, ki se nanaša na nabor javno objavljenih podatkov o premoženjskem stanju gre za izredno širok in deloma nedoločen nabor podatkov. Ali je glede na cilje, ki jih ta objava zasleduje, dejansko objava tako širokega (in deloma celo vnaprej neopredeljenega) nabora osebnih podatkov potrebna, oziroma ali ne bi za doseganje teh ciljev zadoščala objava skupnih vrednosti po posameznih skupinah podatkov, kot npr. skupna vrednost premičnin, denarnih sredstev pri bankah in gotovine, ali podobna, do neke mere 'agregirana' oblika objave. Zbiranje navedenih podatkov s strani KPK pomeni namreč povsem drugačne vrste poseg v zasebnost kot javna objava vseh teh posamičnih podatkov na spletu. Tudi sicer pa je razlika med premoženjskim stanjem pridobljenim pred nastopom funkcije in premoženjem, pridobljenim v času funkcije. Kot vedno, je tudi tu potrebno izhajati iz namena določbe – predlagatelj zakona mora odgovoriti na vprašanje, ali je za javnost bistvena informacija o splošnem premoženjskem stanju funkcionarja (torej tudi o premoženju, ki ga je dobil kadarkoli pred nastopom funkcije in iz kateregakoli naslova – npr. tudi dedovanja), ali je bistvena informacija o večjih spremembah v času izvajanja funkcije.</w:t>
      </w:r>
      <w:r w:rsidRPr="005C544E">
        <w:rPr>
          <w:rFonts w:ascii="Arial" w:eastAsia="Times New Roman" w:hAnsi="Arial" w:cs="Arial"/>
          <w:sz w:val="20"/>
          <w:szCs w:val="20"/>
          <w:lang w:eastAsia="ar-SA"/>
        </w:rPr>
        <w:t xml:space="preserve"> V delu gre dejansko za agregirane podatke, kot to predlaga IP (podatki o denarnih sredstvih, </w:t>
      </w:r>
      <w:r w:rsidRPr="005C544E">
        <w:rPr>
          <w:rFonts w:ascii="Helv" w:eastAsia="Times New Roman" w:hAnsi="Helv" w:cs="Helv"/>
          <w:sz w:val="20"/>
          <w:szCs w:val="20"/>
          <w:lang w:eastAsia="ar-SA"/>
        </w:rPr>
        <w:t>pri bankah, hranilnicah in hranilno</w:t>
      </w:r>
      <w:r w:rsidR="00FB4E1D">
        <w:rPr>
          <w:rFonts w:ascii="Helv" w:eastAsia="Times New Roman" w:hAnsi="Helv" w:cs="Helv"/>
          <w:sz w:val="20"/>
          <w:szCs w:val="20"/>
          <w:lang w:eastAsia="ar-SA"/>
        </w:rPr>
        <w:t xml:space="preserve"> – </w:t>
      </w:r>
      <w:r w:rsidRPr="005C544E">
        <w:rPr>
          <w:rFonts w:ascii="Helv" w:eastAsia="Times New Roman" w:hAnsi="Helv" w:cs="Helv"/>
          <w:sz w:val="20"/>
          <w:szCs w:val="20"/>
          <w:lang w:eastAsia="ar-SA"/>
        </w:rPr>
        <w:t>kreditnih službah, podatki o skupni vrednosti gotovine, podatki o dolgovih, obveznostih oziroma prevzetih jamstvih in danih posojilih). V drugem delu gre za podatke o posameznih premičninah in nepremičninah, ki se navedejo brez identifikacijskih podatkov (npr. nepremičnine se navedejo brez zemljiškoknjižnih podatkov), v delu pa gre za podatke, ki so javni in javno dostopni po drugih zakonih (npr. podatki o lastništvu deležev in delnic). Pri tem je treba upoštevati tudi tehnične omejitve. Agregirati je mogoče številske podatke o istovrstnih stvareh, npr. seštevek denarnih sredstev, dolgov, posojil itd., medtem ko takšno agregiranje pri premičninah ali nepremičninah ni mogoče.</w:t>
      </w:r>
    </w:p>
    <w:p w14:paraId="74E5C82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3C37FE" w14:textId="3B125CD8"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36. členu (63. ZIntPK)</w:t>
      </w:r>
    </w:p>
    <w:p w14:paraId="573CCB3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4BC7F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4042BB7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Predlagano, da se k poročanju zaveže lobirance in lobiste k poročanju v roku 8. dni od stika, kar bi izboljšalo transparentnost in nadzor nad lobiranjem. </w:t>
      </w:r>
      <w:r w:rsidRPr="005C544E">
        <w:rPr>
          <w:rFonts w:ascii="Arial" w:eastAsia="Times New Roman" w:hAnsi="Arial" w:cs="Arial"/>
          <w:sz w:val="20"/>
          <w:szCs w:val="20"/>
          <w:lang w:eastAsia="ar-SA"/>
        </w:rPr>
        <w:t>Predlog se smiselno delno upošteva, in sicer tako, da se interesnim organizacijam da možnost sprotnega poročanja lobističnih stikov.</w:t>
      </w:r>
    </w:p>
    <w:p w14:paraId="5B1EF70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F6F0B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GZS in Slovenian Business Club</w:t>
      </w:r>
    </w:p>
    <w:p w14:paraId="157CEF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GZS predlaga, da so iz obveznosti poročanja o lobističnih stikih še vedno izvzete reprezentativne delodajalske organizacije. V kolikor pa bi bilo poročanje obvezno, je to lahko po njihovi oceni samo v obliki lobističnega poročila, ki detajlno ne povzema vsakega posameznega sestanka, temveč v neki zbirni obliki povzame aktivnosti na tem področju v preteklem letu. Slovenian Business Club dodatno predlaga, naj se poostri nadzor nad izpolnjevanjem obveznosti lobirancev</w:t>
      </w:r>
      <w:r w:rsidRPr="005C544E">
        <w:rPr>
          <w:rFonts w:ascii="Arial" w:eastAsia="Times New Roman" w:hAnsi="Arial" w:cs="Arial"/>
          <w:sz w:val="20"/>
          <w:szCs w:val="20"/>
          <w:lang w:eastAsia="ar-SA"/>
        </w:rPr>
        <w:t>. 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 Pri tem je upoštevaje podane predloge in pripombe predvideno, da o lobističnih stikih poroča interesna organizacija. Glede na to, da veljavna ureditev že narekuje dolžnost lobiranca, da o stikih z neregistriranimi lobisti sprotno sestavi zapis, kar na strani lobiranca predstavlja bistveno večjo administrativno obremenitev, je potrebno zaradi izvajanja učinkovite nadzorne funkcije na drugi strani določiti tudi dolžnost izdelave poročila za to kategorijo lobistov. Ob upoštevanju navedenega in z vidika učinkovitega zagotavljanja zakonodajne sledi in sledljivosti drugih odločitev, ter dejstva, da se poročilo pripravi zgolj enkrat letno (omogočeno je tudi sprotno poročanje), predlagana sprememba po mnenju predlagatelja predstavlja sorazmeren (administrativen) ukrep. Pristojnosti za nadzor nad izpolnjevanjem obveznosti lobirancev ima KPK, ki lahko v prekrškovnem postopku izreče globo v višini 400-1.200 evrov, na podlagi 14. alineje prvega odstavka 77. člena trenutno veljavnega zakona.</w:t>
      </w:r>
    </w:p>
    <w:p w14:paraId="74F242A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F3346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692DBDC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interesnim organizacijam ne bi bilo treba poročati o lobiranju njihovih predstavnikov.</w:t>
      </w:r>
      <w:r w:rsidRPr="005C544E">
        <w:rPr>
          <w:rFonts w:ascii="Arial" w:eastAsia="Times New Roman" w:hAnsi="Arial" w:cs="Arial"/>
          <w:sz w:val="20"/>
          <w:szCs w:val="20"/>
          <w:lang w:eastAsia="ar-SA"/>
        </w:rPr>
        <w:t xml:space="preserve"> Predlog zakona na novo določa obveznost letnega poročanja o lobističnih stikih za interesne organizacije. Glede na to, da veljavna ureditev že narekuje dolžnost lobiranca, da o stikih s temi osebami sprotno sestavi zapis,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in KPK posreduje zgolj enkrat letno (omogočeno je tudi sprotno poročanje), predlagana sprememba po mnenju predlagatelja predstavlja sorazmeren (administrativen) ukrep.</w:t>
      </w:r>
    </w:p>
    <w:p w14:paraId="1AD5CF1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76526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Alternativno predlagano, da se določi poročanje interesnih organizacij prek elektronskega obrazca.</w:t>
      </w:r>
      <w:r w:rsidRPr="005C544E">
        <w:rPr>
          <w:rFonts w:ascii="Arial" w:eastAsia="Times New Roman" w:hAnsi="Arial" w:cs="Arial"/>
          <w:sz w:val="20"/>
          <w:szCs w:val="20"/>
          <w:lang w:eastAsia="ar-SA"/>
        </w:rPr>
        <w:t xml:space="preserve"> Predlog se upošteva.</w:t>
      </w:r>
    </w:p>
    <w:p w14:paraId="3143802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98FA8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 KPK, TI Slovenia, GZS in Slovenian Business Club</w:t>
      </w:r>
    </w:p>
    <w:p w14:paraId="58CF6E52" w14:textId="02B87A96"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črtanje četrtega odstavka, ker izjema za neprofitne interesne organizacije zasebnega sektorja, ki imajo manj kot tri zaposlene ni upravičena, nasprotno ustvarja okoliščine za obid zakonskih obveznosti v zvezi z nadzorom nad lobiranjem. TI Slovenia dodatno predlaga, naj se razbremenitev manjših interesnih organizacij doseže na kak drug način. Smiselno podobne predloge</w:t>
      </w:r>
      <w:r w:rsidR="00BA5D9F">
        <w:rPr>
          <w:rFonts w:ascii="Arial" w:eastAsia="Times New Roman" w:hAnsi="Arial" w:cs="Arial"/>
          <w:i/>
          <w:sz w:val="20"/>
          <w:szCs w:val="20"/>
          <w:lang w:eastAsia="ar-SA"/>
        </w:rPr>
        <w:t xml:space="preserve"> </w:t>
      </w:r>
      <w:r w:rsidRPr="005C544E">
        <w:rPr>
          <w:rFonts w:ascii="Arial" w:eastAsia="Times New Roman" w:hAnsi="Arial" w:cs="Arial"/>
          <w:i/>
          <w:sz w:val="20"/>
          <w:szCs w:val="20"/>
          <w:lang w:eastAsia="ar-SA"/>
        </w:rPr>
        <w:t>za črtanje so podali tudi KPK, TI Slovenia, GZS in Slovenian Business Club</w:t>
      </w:r>
      <w:r w:rsidRPr="005C544E">
        <w:rPr>
          <w:rFonts w:ascii="Arial" w:eastAsia="Times New Roman" w:hAnsi="Arial" w:cs="Arial"/>
          <w:sz w:val="20"/>
          <w:szCs w:val="20"/>
          <w:lang w:eastAsia="ar-SA"/>
        </w:rPr>
        <w:t>. Pripombe se upoštevajo.</w:t>
      </w:r>
    </w:p>
    <w:p w14:paraId="28C82DD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94243F" w14:textId="42F2EA78"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37. členu (68. ZIntPK)</w:t>
      </w:r>
    </w:p>
    <w:p w14:paraId="283F37C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B1A7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084427C6" w14:textId="259EEDF5"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smiselno uredijo tudi situacije, ko se lobist sestane z več lobiranci istočasno in lobističnega stika ne prijavljajo vsi sodelujoči na srečanju, ampak eden in ta k prijavi stika hkrati priloži</w:t>
      </w:r>
      <w:r w:rsidR="00BA5D9F">
        <w:rPr>
          <w:rFonts w:ascii="Arial" w:eastAsia="Times New Roman" w:hAnsi="Arial" w:cs="Arial"/>
          <w:i/>
          <w:sz w:val="20"/>
          <w:szCs w:val="20"/>
          <w:lang w:eastAsia="ar-SA"/>
        </w:rPr>
        <w:t xml:space="preserve"> </w:t>
      </w:r>
      <w:r w:rsidRPr="005C544E">
        <w:rPr>
          <w:rFonts w:ascii="Arial" w:eastAsia="Times New Roman" w:hAnsi="Arial" w:cs="Arial"/>
          <w:i/>
          <w:sz w:val="20"/>
          <w:szCs w:val="20"/>
          <w:lang w:eastAsia="ar-SA"/>
        </w:rPr>
        <w:t>seznam udeležencev srečanja (ali sestanka).</w:t>
      </w:r>
      <w:r w:rsidRPr="005C544E">
        <w:rPr>
          <w:rFonts w:ascii="Arial" w:eastAsia="Times New Roman" w:hAnsi="Arial" w:cs="Arial"/>
          <w:sz w:val="20"/>
          <w:szCs w:val="20"/>
          <w:lang w:eastAsia="ar-SA"/>
        </w:rPr>
        <w:t xml:space="preserve"> Poročanje lobirancev o stiku z lobistom se izvede z uporabo elektronskega obrazca. V obrazec je mogoče vpisati več sodelujočih predstavnikov na strani lobirancev in lobistov. Tako nastalo poročilo morajo podpisati vsi lobiranci, po tem pa se en sam obrazec pošlje KPK.</w:t>
      </w:r>
    </w:p>
    <w:p w14:paraId="39B67BC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B802A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364B57D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tretjem odstavku (noveliranje 68. člena) beseda »zapis« nadomesti z besedo »dopis«. Predlagano besedilo je namreč nejasno, ker se dvakrat ponavlja beseda zapis, in sicer prvič se beseda nanaša na zapis o lobističnem stiku, drugič pa na prejet dopis, dokument, sporočilo, itd. s strani posameznika</w:t>
      </w:r>
      <w:r w:rsidRPr="005C544E">
        <w:rPr>
          <w:rFonts w:ascii="Arial" w:eastAsia="Times New Roman" w:hAnsi="Arial" w:cs="Arial"/>
          <w:sz w:val="20"/>
          <w:szCs w:val="20"/>
          <w:lang w:eastAsia="ar-SA"/>
        </w:rPr>
        <w:t>. Predlog se upošteva.</w:t>
      </w:r>
    </w:p>
    <w:p w14:paraId="0376181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8718A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četrtem odstavku spremeni oseba, ki je dolžna poročati o lobističnem stiku, do katerega pride po elektronski pošti, naslovljeni na več prejemnikov. Predlagano, da poroča »eden izmed naslovnikov« namesto »prvo naslovljeni lobiranec«.</w:t>
      </w:r>
      <w:r w:rsidRPr="005C544E">
        <w:rPr>
          <w:rFonts w:ascii="Arial" w:eastAsia="Times New Roman" w:hAnsi="Arial" w:cs="Arial"/>
          <w:sz w:val="20"/>
          <w:szCs w:val="20"/>
          <w:lang w:eastAsia="ar-SA"/>
        </w:rPr>
        <w:t xml:space="preserve"> Predlagana rešitev pomeni, da ne bi bilo jasno določeno, kdo ima obveznost poročanja, kar pomeni, da bi bil KPK onemogočen nadzor nad izvajanjem obveznosti. Predloga se ne upošteva.</w:t>
      </w:r>
    </w:p>
    <w:p w14:paraId="2DC9808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4AE4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peti odstavek dopolni z omejitvijo možnosti zahteve po dopolnitvi s sklicem na podatke iz drugega odstavka tega člena, torej da bi se peti odstavek glasil: »Komisija lahko od lobiranca zahteva, da v osmih dneh dopolni zapis lobiranja s podatki iz drugega odstavka tega člena.«.</w:t>
      </w:r>
      <w:r w:rsidRPr="005C544E">
        <w:rPr>
          <w:rFonts w:ascii="Arial" w:eastAsia="Times New Roman" w:hAnsi="Arial" w:cs="Arial"/>
          <w:sz w:val="20"/>
          <w:szCs w:val="20"/>
          <w:lang w:eastAsia="ar-SA"/>
        </w:rPr>
        <w:t xml:space="preserve"> Predlagana sprememba bi pomenila omejevanje možnosti zahtev za dopolnitve, ki jih lahko zahteva KPK. Peti odstavek, kot je zapisan v predlogu, daje možnost za zahtevo po dopolnitvi s podatki iz drugega odstavka, kot predlaga KPK in tudi za dopolnitve z drugimi morebiti potrebnimi podatki, zato se predloga ne upošteva.</w:t>
      </w:r>
    </w:p>
    <w:p w14:paraId="19AEE7E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048540" w14:textId="04AD030C"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38. členu (75.a. ZIntPK)</w:t>
      </w:r>
    </w:p>
    <w:p w14:paraId="5678E8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85FB4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IP</w:t>
      </w:r>
    </w:p>
    <w:p w14:paraId="6A065B83" w14:textId="79C7C2E2"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V zvezi z določbami 75.a člena IP ugotavlja, da gre še vedno za izredno splošno in široko pooblastilo KPK za posredno ustvarjanje (in objavljanje) nove 'nad' zbirke osebnih podatkov – tj. pridobivanje in povezovanje podatkov iz v 75.a členu neizčrpno navedenih evidenc za namene zagotavljanja transparentnosti delovanja javnega sektorja ter izvajanja ukrepov in metod za krepitev integritete in preprečevanje korupcije za zadnjih 30 let, pri čemer predlog ZIntPK-C izrecno izključuje določbe ZVOP-1 in ZDIJZ (ter drugih zakonov).</w:t>
      </w:r>
    </w:p>
    <w:p w14:paraId="10F1A6C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2196FE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V posameznih delih ni jasno določeno, katere osebne podatke iz posameznih zbirk naj bi za posamezne namene pridobivala KPK, npr. govora je o: podatkih iz registrov, ki jih vodi Agencija Republike Slovenije za javnopravne evidence in storitve (AJPES), podatkih iz računovodskih evidenc subjektov javnega sektorja v zvezi s plačilnimi transakcijami v breme transakcijskih računov subjektov javnega sektorja, pri čemer je predvideno neomejeno povezovanje vseh v tem členu navedenih evidenc.</w:t>
      </w:r>
    </w:p>
    <w:p w14:paraId="38B7CDE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E634C6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Glede na to, da besedilo predloga sprememb ZIntPK v drugem odstavku 75.a člena govori o pridobivanju, obdelovanju in povezovanju vseh v tem odstavku navedenih podatkov, teoretično to pomeni zakonsko pooblastilo za oblikovanje 'nad zbirke' na zalogo, torej ne nujno vezano na konkretno odprto zadevo KPK. Predlog zakona namreč nikjer ne določa, katere podatke naj bi KPK pridobivala samodejno, torej dnevno za namen objave (iz določb o dnevnem osveževanju objave v 7. odstavku tega člena je mogoče sklepati, da vse) in ne nujno vezano, na konkretno odprto zadevo KPK, in katere naj bi pridobivala zgolj na konkretno zahtevo. Prav tako predlog zakona ne vsebuje nobene določbe, o potrebi po ustrezni utemeljenosti zahteve v povezavi z obravnavo posamezne zadeve, preiskave ipd. Z vidika zakonske določnosti, sorazmernosti in ustavnopravne dopustnosti posega v zasebnost posameznikov je namreč bistvena razlika, ali se podatke pridobiva za konkreten namen v povezavi s konkretno zadevo, ali pa gre za 'odprto' pooblastilo KPK za pridobivanje podatkov na zalogo za morebiten kasnejši (v trenutku zahteve torej dejansko še neobstoječ) namen.</w:t>
      </w:r>
    </w:p>
    <w:p w14:paraId="427695F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A64AF8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V tem delu IP zato ponovno predlaga, da predlagatelj zakona opravi ustrezno oceno in tehtanje, kateri izmed podatkov naj bi se glede na namene vodenja evidence finančnih transakcij pridobivali samodejno (torej s povezovanjem zbirk, pri čemer ni določen povezovalni znak) in brez konkretne zahteve) in kateri na utemeljeno zahtevo.</w:t>
      </w:r>
    </w:p>
    <w:p w14:paraId="63AF873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5FE4394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Nabor (osebnih) podatkov, ki naj bi bili zajeti v navedeni posredni 'evidenci', je izredno širok, kot npr. »podatki iz plačilnih nalogov«, »vsebina e-računov«, »podatki iz računovodskih evidenc«, in torej ni specificiran (nabor posledično ni določen) niti iz takšnih določb ni mogoče z gotovostjo vnaprej sklepati, ali oziroma v kakšnem obsegu se bodo v posameznih primerih pod posamezniki točkami obdelovali tudi osebni podatki, ki so sicer na podlagi ZVOP-1 in ZDIJZ varovani podatki in ne prosto dostopne informacije javnega značaja. Zato se IP sprašuje o razlogu in ustavni skladnosti, odločitve predlagatelja zakona, da vnaprej neznani nabor osebnih podatkov, avtomatično izključi iz varstva osebnih podatkov, kot ga predvideva 38. člen Ustave RS. Z vidika zakonitosti obdelave osebnih podatkov, predvidljivosti posegov v zasebnost in varstvo osebnih podatkov posameznika, se IP sprašuje o dejanski nujnosti takšne določbe in kot pojasnjujemo v nadaljevanju morebitnih posledicah takšne objave.</w:t>
      </w:r>
    </w:p>
    <w:p w14:paraId="5175436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AA6FF7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Zato predlagamo ponoven razmislek o tem, ali je res nujno glede na namene vodenja evidence, da so v okvir samodejnega pridobivanja vključeni tudi osebni podatki oziroma kateri osebni podatki bi se pridobivali zgolj na zahtevo KPK v zvezi s konkretno odprto preiskavo oz. drugo zadevo. Predlagamo, da se na tej podlagi zakon ustrezno dopolni.</w:t>
      </w:r>
    </w:p>
    <w:p w14:paraId="13A32B2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BC7154" w14:textId="0C1241FE"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Predlagatelj pojasnjuje, da je temeljno izhodišče predlagane ureditve v tem, da morajo biti podatki o finančnih transakcijah in porabi države ne samo javni, temveč tudi dejansko dostopni vsakomur, saj gre v takšni ali drugačni obliki za razpolaganje z davkoplačevalskim denarjem (pri porabi javnih sredstev transparentnost pripomore k preprečevanju korupcije). Pri obravnavani vsebini tudi ne gre za oblikovanje 'nad' zbirke na zalogo, temveč le za objavo že do sedaj javnih podatkov, zaradi česar določba tudi ne predvideva odpiranja posebnih postopkov, saj zakon javno objavo naštetih podatkov po novem </w:t>
      </w:r>
      <w:r w:rsidRPr="005C544E">
        <w:rPr>
          <w:rFonts w:ascii="Arial" w:eastAsia="Times New Roman" w:hAnsi="Arial" w:cs="Arial"/>
          <w:i/>
          <w:sz w:val="20"/>
          <w:szCs w:val="20"/>
          <w:lang w:eastAsia="ar-SA"/>
        </w:rPr>
        <w:t>uveljavlja</w:t>
      </w:r>
      <w:r w:rsidRPr="005C544E">
        <w:rPr>
          <w:rFonts w:ascii="Arial" w:eastAsia="Times New Roman" w:hAnsi="Arial" w:cs="Arial"/>
          <w:bCs/>
          <w:sz w:val="20"/>
          <w:szCs w:val="20"/>
          <w:lang w:eastAsia="ar-SA"/>
        </w:rPr>
        <w:t xml:space="preserve"> kot samostojno nalogo komisije v sedmi alineji prvega odstavka 12. člena ZIntPK. Opravljena je bila tudi ustrezna ocena in tehtanje katere izmed podatkov naj bi se glede na namene vodenja evidence finančnih transakcij pridobivalo samodejno, pri čemer se je predlagatelj na podlagi izkušenj pri uporabi tretjega odstavka 6. člena ZDIJZ odločil, da se podatki pridobivajo in objavljajo v celoti. Predlagatelj se ne strinja z navedbami, da gre za vnaprej neznan nabor osebnih podatkov, iz nabora varovanih podatkov se izključujejo le podatki v zvezi z porabo javnih sredstev. Tako se tudi ne posega v pristojnosti IP v delu v katerem bo ta pri zavezancih ugotavljal, ali je bilo z zapisom kakšnega podatka v javne zbirke podatkov kršeno varstvo kakšnih osebnih podatkov. Določeno je le, da so podatki v zvezi s porabo javnih sredstev javni</w:t>
      </w:r>
      <w:r w:rsidR="00FB4E1D">
        <w:rPr>
          <w:rFonts w:ascii="Arial" w:eastAsia="Times New Roman" w:hAnsi="Arial" w:cs="Arial"/>
          <w:bCs/>
          <w:sz w:val="20"/>
          <w:szCs w:val="20"/>
          <w:lang w:eastAsia="ar-SA"/>
        </w:rPr>
        <w:t xml:space="preserve"> – </w:t>
      </w:r>
      <w:r w:rsidRPr="005C544E">
        <w:rPr>
          <w:rFonts w:ascii="Arial" w:eastAsia="Times New Roman" w:hAnsi="Arial" w:cs="Arial"/>
          <w:bCs/>
          <w:sz w:val="20"/>
          <w:szCs w:val="20"/>
          <w:lang w:eastAsia="ar-SA"/>
        </w:rPr>
        <w:t>se pravi gre zgolj za javno objavo podatkov glede katerih je zakonodajalec že v matičnih predpisih opravil ustrezno tehtanje. Predlagatelj zavrača tudi tezo, da olajšanje dostopa do podatkov, ki so že tako ali tako na podlagi obstoječe zakonodaje javni, predstavlja dodaten poseg v pravice posameznikov.</w:t>
      </w:r>
    </w:p>
    <w:p w14:paraId="595499C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9B4CD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Nadalje 75.a člen v 1., 4, 5., 6, 7. in 9. odstavku določa javno objavo za obdobje 30 let in celo brezplačno in neomejeno ponovno uporabo tako pridobljenih podatkov (razen, ko ima organ, od katerega je komisija pridobila podatke, po ZDIJZ pravico določiti ceno za uporabo teh podatkov), katere izvedba bo po mnenju IP z vidika ZVOP-1 posebej problematična, saj bo po eni strani v primeru objave netočnih podatkov ali nezakonite objave pomenila legalizacijo nadaljnje objave tako (posredno nezakonito) pridobljenih osebnih podatkov, po drugi strani pa določba 4. odstavka novega 75.a člena (enako velja za določbo novega tretjega odstavka 76. člena ZIntPK) ni skladna z določbami ZDIJZ v delu, ki se nanaša na pogoje in opredelitev postopka za ponovno uporabo prosto dostopnih informacij javnega značaja. Posledično bi določbi 4. odstavka novega 75.a člena in novega 3. odstavka 76. člena ZIntPK pomenili tudi kršitev Direktive 2003/98/ES Evropskega parlamenta in Sveta z dne 17. novembra 2003 o ponovni uporabi informacij javnega sektorja (UL L št. 345 z dne 31. 12. 2003, str. 90), zadnjič spremenjene z Direktivo 2013/37/EU Evropskega parlamenta in Sveta z dne 26. junija 2013 o spremembi Direktive 2003/98/ES o ponovni uporabi informacij javnega sektorja (UL L št. 175 z dne 27. 6. 2013, str. 1).</w:t>
      </w:r>
    </w:p>
    <w:p w14:paraId="69E0ACA0" w14:textId="77777777" w:rsidR="001C50C7" w:rsidRPr="005C544E" w:rsidRDefault="001C50C7" w:rsidP="001C50C7">
      <w:pPr>
        <w:suppressAutoHyphens/>
        <w:overflowPunct w:val="0"/>
        <w:autoSpaceDE w:val="0"/>
        <w:spacing w:after="0" w:line="240" w:lineRule="auto"/>
        <w:ind w:left="-58"/>
        <w:jc w:val="both"/>
        <w:textAlignment w:val="baseline"/>
        <w:rPr>
          <w:rFonts w:ascii="Arial" w:eastAsia="Times New Roman" w:hAnsi="Arial" w:cs="Arial"/>
          <w:i/>
          <w:sz w:val="20"/>
          <w:szCs w:val="20"/>
          <w:lang w:eastAsia="ar-SA"/>
        </w:rPr>
      </w:pPr>
    </w:p>
    <w:p w14:paraId="6B4B570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Ob tem izpostavljajo, da je zakonodajalec v letu 2016 prav z namenom zagotavljanja transparentnosti, zakonitosti in spodbujanja ponovne uporabe z ZDIJZ-E opredelil postopek in pogoje ponovne uporabe informacij javnega značaja. S tem namenom je država, na podlagi 10.b člena ZDIJZ, vzpostavila nacionalni portal odprtih podatkov javnega sektorja, na katerem so zavezanci dolžni zagotavljati odprte podatke za ponovno uporabo, in sicer z objavo v odprtih formatih, ki upoštevajo formalne odprte standarde, v strojno berljivi obliki, skupaj z metapodatki, ta določba pa zavezuje tudi KPK. Povedano drugače, KPK lahko že sedaj omogoča brezplačno in neomejeno ponovno uporabo vseh svojih podatkov, ki so primerni za ponovno uporabo, na podlagi že veljavnih določb ZDIJZ. Ni torej jasno, kaj je namen predlagatelja zakona, ki bi s predlaganimi določbami brez jasne utemeljitve dejansko obšel veljavne predpise s področja ponovne uporabe, brez zagotavljanja ustrezne pravne varnosti in pravnega varstva pri tem.</w:t>
      </w:r>
    </w:p>
    <w:p w14:paraId="4455BC3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23928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primeru objave netočnih podatkov predlagana ureditev omogoča prizadetim osebam, da v upravnem postopku dosežejo popravek. Verjetnost, da bi do tovrstnih napak prišlo je zanemarljiva, saj gre v večini primerov navedenih v tem členu (vsaj v delu, ki vsebuje osebne podatke) za objave, ki imajo po področnih zakonih publicitetne učinke (zaradi tega se domneva, da so objavljeni podatki ne glede na dejansko stanje popolni, ažurni in resnični). Zavajajoče je tudi navajanje, da predlog krši Direktivo o ponovni uporabi informacij javnega sektorja, saj le-ta med drugim zahteva, da se podatki čimbolj odprejo, ne zaračunajo več kot v dejanskih stroških ter da so dodatni pogoji določeni nediskriminatorno. Prost dostop brez omejitev, tovrstne kriterije zagotovo izpolnjuje. KPK lahko podatke kljub drugačni ureditvi v ZIntPK objavi tudi na drugih podlagah. Tako lahko podatke (kot jih sicer že) objavlja tudi v državnem portalu za odprte podatke.</w:t>
      </w:r>
    </w:p>
    <w:p w14:paraId="77B9367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6C0D0A" w14:textId="269D6D03"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K četrtemu odstavku: V zvezi z neomejeno brezplačno ponovno uporabo, kot jo predvideva predlog 75.a člena v četrtem odstavku, pa je treba nadalje opozoriti, da je predvidena določba tudi neizvršljiva v praksi in v celoti v nasprotju s procesnimi predpisi s področja upravnega prava. Postopek v zvezi z zahtevo za ponovno uporabo je namreč v ZDIJZ (glej člene od 15. do 26.) urejen kot posebne vrste upravni postopek, ki se vodi na zahtevo posameznega prosilca. To pomeni, da mora prosilec za ponovno uporabo določenih podatkov (ki niso na voljo na portalu odprtih podatkov po 10.b členu ZDIJZ) zaprositi v vsakem konkretnem primeru, organ pa mora o njegovi zahtevi, upoštevajoč tudi vsakokratni namen ponovne uporabe, odločiti z individualnim upravnim aktom</w:t>
      </w:r>
      <w:r w:rsidR="00FB4E1D">
        <w:rPr>
          <w:rFonts w:ascii="Arial" w:eastAsia="Times New Roman" w:hAnsi="Arial" w:cs="Arial"/>
          <w:i/>
          <w:sz w:val="20"/>
          <w:szCs w:val="20"/>
          <w:lang w:eastAsia="ar-SA"/>
        </w:rPr>
        <w:t xml:space="preserve"> – </w:t>
      </w:r>
      <w:r w:rsidRPr="005C544E">
        <w:rPr>
          <w:rFonts w:ascii="Arial" w:eastAsia="Times New Roman" w:hAnsi="Arial" w:cs="Arial"/>
          <w:i/>
          <w:sz w:val="20"/>
          <w:szCs w:val="20"/>
          <w:lang w:eastAsia="ar-SA"/>
        </w:rPr>
        <w:t>upravno odločbo, pri čemer mora popolno ugotoviti dejansko stanje, med drugim tudi glede vprašanja, ali se v zbirki, ki jo nudi za ponovno uporabo, nahajajo izjeme od proste ponovne uporabe (npr. osebni podatki). V primeru, da takšne izjeme obstajajo (odgovornost glede tega pa je pri organu, ki o zahtevi odloča), mora organ, v skladu s šestim odstavkom 6. člena ZDIJZ, ponovno uporabo zavrniti. Za ponovno uporabo lahko organ, v skladu s 34.a členom ZDIJZ, upoštevajoč okoliščine vsakega konkretnega primera, določi tudi druge pogoje ponovne uporabe (npr. zaradi zagotavljanja ažurnosti in pravilnega razumevanja informacij), ki se določijo v upravni odločbi, s katero organ odobri ponovno uporabo. Povedano drugače, ZDIJZ, izven podatkov, ki so dostopni za ponovno uporabo v okviru 10.b člena ZDIJZ, na portalu odprtih podatkov, ne predvideva neomejene in proste ponovne uporabe sicer že javno dostopnih podatkov, ampak mora prosilec za ponovno uporabo vsakokrat zaprositi. Le tako lahko ima organ, kot upravljavec zbirke podatkov, nadzor nad tem, kdo te podatke nadalje uporablja, obdeluje, na kakšne načine in za kakšne namene. Kot že navedeno zgoraj, je organ, tudi pri sicer prosto javno dostopnih podatkih, odgovoren za ažurnost, pravilno razumevanje in zagotavljanje povratnih informacij uporabniku tudi iz zbirk, glede katerih se dovoli ponovna uporaba. Z določbo, kot jo predvideva predlog četrtega odstavka 75.a člena, se te določbe ZDIJZ v celoti izključujejo, pri čemer ni jasno, kdo bo v tem primeru nosil odgovornost za zakonitost take ponovne uporabe in za posledice, ki bodo iz tega nastale.</w:t>
      </w:r>
    </w:p>
    <w:p w14:paraId="273CF1F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681AF5C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Ker predlog te določbe v celoti izključuje postopek po ZDIJZ (torej tudi odločanje o ponovni uporabi v posameznih primerih), tudi ni jasno, ali bi se zainteresirani prosilec za ponovno uporabo v takšnih primerih lahko pritožil k IP, kot pritožbenemu organu. IP namreč kot drugostopenjski organ odloča le v upravnih postopkih, torej ko je z upravnim aktom prve stopnje (ki pa se v teh primerih ne bi izdajal) poseženo v pravico posameznika do ponovne uporabe. Ob tem je treba izpostaviti, da vsi podatki, ki jih bo KPK javno objavljala v okviru 75.a člena, nujno ne bodo primerni za ponovno uporabo s tehničnega vidika – predlog 75.a člena namreč ne predvideva, da bi se ti podatki objavljali v odprtih formatih in skupaj z metapodatki. Poleg tega velja opozoriti, da organ, v skladu s četrtim odstavkom 5. člena ZDIJZ, za potrebe ponovne uporabe ni dolžan zagotavljati pretvorbe iz ene oblike v drugo ali zagotavljati delnega dostopa, kadar bi to pomenilo nesorazmeren napor izven preprostega postopka.</w:t>
      </w:r>
    </w:p>
    <w:p w14:paraId="6D52DE5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F2827F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Glede na to, da se bodo podatki za vzpostavitev zbirke po 75.a členu predloga zakona pridobivali iz drugih zbirk, pa IP opozarja še na vprašanje, da se presoja dopustnost ponovne uporabe tako vzpostavljene zbirke ne more presojati ločeno od presoje dopustnosti ponovne uporabe podatkov iz osnovnih zbirk podatkov. V letu 2016 je IP, kot pritožbeni organ, v zadevi pod opr. št. 090-47/2016, vodil postopek v zvezi z vprašanjem, ali je dovoljena ponovna uporaba elektronske kopije celotne baze transakcij zavezancev informacij javnega značaja (baza TZIJZ), pri čemer je zavzel stališče, da ponovna uporaba ni mogoča, ker baza lahko vsebuje tudi varovane osebne podatke, delni dostop pa ni mogoč. Ugotovljeno je namreč bilo, da organ (UJP) na leto opravi cca. 23 milijonov domačih transakcij in 17000 tujih. Zavezanci v rubriko »namen plačila« lahko napišejo karkoli, torej tudi osebne podatke, to pomeni, da bi moral organ ročno pregledati prav vse transakcije, kar bi pomenilo, da bi za pregled vseh transakcij v enem mesecu potrebovali približno 16000 ur dela. IP si ne zna predstavljati smisla in namena, ki ga predlagatelj zasleduje z določbo četrtega odstavka 75.a člena predloga. Glede na odločitev Upravnega sodišča, da ponovna uporaba teh podatkov ni dovoljena, bi v praksi to lahko vodilo do situacije, ko zainteresirani ponovni uporabniki teh podatkov ne bodo imeli pravice pridobivati od matičnega upravljavca zbirke, torej od AJPES, lahko pa jih bodo »brezplačno in neomejeno« uporabljali za ponovno uporabo, če bodo le javno objavljeni v okviru novonastale zbirke po 75.a členu. Takšna rešitev bi bila nesistemska in v celoti v nasprotju z režimom ponovne uporabe, ki ga vzpostavlja ZDIJZ, pa tudi v nasprotju s pravnomočnimi odločitvami Upravnega sodišča RS.</w:t>
      </w:r>
    </w:p>
    <w:p w14:paraId="6291F47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45D3D6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Na podlagi vsega navedenega IP predlaga, da se določba četrtega odstavka 75.a člena predloga zakona črta. V kolikor predlagatelj zakona temu ne bi sledil, pa IP predlaga, da se pridobi še stališče ministrstva za javno upravo, kot resornega ministrstva na področju dostopa in ponovne uporabe informacij javnega značaja.</w:t>
      </w:r>
    </w:p>
    <w:p w14:paraId="580836C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4E2B801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Gre za ponovljeno pripombo, glede katere je že bila podana opredelitev v vladnem gradivu z dne 18.1.2018. Vsebina določbe je usklajena z Ministrstvom za javno upravo, ki je resorno pristojno na področju dostopa in ponovne uporabe informacij javnega značaja.</w:t>
      </w:r>
    </w:p>
    <w:p w14:paraId="75DE950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07113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K šestemu odstavku: Dodatno IP v zvezi z določbo 6. odstavka 75.a člena opozarja na praktično neizvedljivost celovite anonimizacije podatkov za namene objave v okviru analiz, potem, ko so bili nekateri izmed teh podatkov 30 let javno objavljeni na spletu</w:t>
      </w:r>
      <w:r w:rsidRPr="005C544E">
        <w:rPr>
          <w:rFonts w:ascii="Arial" w:eastAsia="Times New Roman" w:hAnsi="Arial" w:cs="Arial"/>
          <w:sz w:val="20"/>
          <w:szCs w:val="20"/>
          <w:lang w:eastAsia="ar-SA"/>
        </w:rPr>
        <w:t>. Predlagatelj pojasni, da gre za objavo statističnih analiz, ki izvirajo iz podatkov, pridobljenih na podlagi tega člena. Anonimizacija zato ne bi smela predstavljati težav.</w:t>
      </w:r>
    </w:p>
    <w:p w14:paraId="652D554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CA7C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Banka Slovenije</w:t>
      </w:r>
    </w:p>
    <w:p w14:paraId="272E7A1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je črtanje besedila »ne glede na določbe zakona, ki ureja varstvo osebnih podatkov, zakona, ki ureja dostop do informacij javnega značaja, in drugih zakonov«.</w:t>
      </w:r>
      <w:r w:rsidRPr="005C544E">
        <w:rPr>
          <w:rFonts w:ascii="Arial" w:eastAsia="Times New Roman" w:hAnsi="Arial" w:cs="Arial"/>
          <w:sz w:val="20"/>
          <w:szCs w:val="20"/>
          <w:lang w:eastAsia="ar-SA"/>
        </w:rPr>
        <w:t xml:space="preserve"> Predloga se ne upošteva, saj predlagana ureditev uvaja drugačen pristop k obravnavi podatkov o javni porabi, kot je tisti, ki je v siceršnji veljavi. Korupcija je nesistemski problem, ki ga ni mogoče obravnavati le z obstoječimi sistemskimi orodji.</w:t>
      </w:r>
    </w:p>
    <w:p w14:paraId="3D0E2ED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28360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75AD029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V drugem odstavku ni točno določeno, kako se bo meril čas 24-ih ur; npr., ali ko se bo poslalo e-sporočilo s podatki? Kako se bo spremljalo uro in čas, ko je oseba odprla pošto s temi podatki? Sicer pa je ta čas absolutno prekratek. Če gre za zahtevne ali časovno kompleksne poizvedbe lahko sama poizvedba traja več kot 24 ur, in to brez časa, potrebnega za pripravo takšne poizvedbe. Menimo, da bi bilo potrebno določiti daljši čas, npr. 1 mesec. Komisiji s tem v zvezi tudi ni jasno, o kakšnih identifikatorjih je govora. Ali je pri transakcijah to identifikator transakcije? Pri poslovnem subjektu je npr. identifikator tudi davčna številka, a ni edini identifikator. Če bi ga brisali, bi bili podatki za Erar neuporabni. Iz navedenega razloga komisiji ni jasno, zakaj bi identifikatorje brisali, in zakaj na bi bili »varnostno« sporni. Na podlagi tega se lahko izvajajo pripombe in olajšajo poizvedbe.</w:t>
      </w:r>
    </w:p>
    <w:p w14:paraId="0949D54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70876D56" w14:textId="7C5A890C"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V 75.a členu so zajeti predvsem podatki, ki jih KPK uporablja za namene objave v aplikaciji Erar, ti podatki pa so uporabni tudi za druge analitične namene, za podporo preiskovalnim, nadzornim in preventivnim nalogam, ki jih </w:t>
      </w:r>
      <w:r w:rsidR="001F2572" w:rsidRPr="005C544E">
        <w:rPr>
          <w:rFonts w:ascii="Arial" w:eastAsia="Times New Roman" w:hAnsi="Arial" w:cs="Arial"/>
          <w:sz w:val="20"/>
          <w:szCs w:val="20"/>
          <w:lang w:eastAsia="ar-SA"/>
        </w:rPr>
        <w:t xml:space="preserve">KPK </w:t>
      </w:r>
      <w:r w:rsidRPr="005C544E">
        <w:rPr>
          <w:rFonts w:ascii="Arial" w:eastAsia="Times New Roman" w:hAnsi="Arial" w:cs="Arial"/>
          <w:sz w:val="20"/>
          <w:szCs w:val="20"/>
          <w:lang w:eastAsia="ar-SA"/>
        </w:rPr>
        <w:t>izvaja na podlagi zakona.</w:t>
      </w:r>
    </w:p>
    <w:p w14:paraId="167A821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C898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Pojasnjujemo, da je kratek rok 24 ur v drugem odstavku namenjen avtomatiziranemu pridobivanju, obdelavi in objavi podatkov. KPK načeloma objavlja podatke, ki so že javni na kakšni drugi pravni podlagi, lahko pa pridobi tudi podatke, ki niso javni. Načeloma gre za različne povezovalne znake, ki omogočajo povezovanje različnih zbirk podatkov. KPK lahko te podatke pridobi, jih obdela in po zaključeni obdelavi izbriše.</w:t>
      </w:r>
    </w:p>
    <w:p w14:paraId="4B9531E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90CF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Kot primer lahko navedemo, da ta odstavek omogoča KPK pridobitev zbirke transakcij, vključno s podatkom o davčni številki prejemnika – fizične osebe (davčna številka ni podatek iz plačilnega naloga in ni javen podatek). Podatek se lahko ob vnosu v sistem preračuna v notranji identifikator (»hashirana« vrednost), ki ga aplikacija uporablja za povezovanje z drugimi zbirkami, pri čemer se originalni podatek o davčni številki izbriše. Podobno velja za številne druge identifikatorje v zvezi s podatki o plačilnih transakcijah, ki omogočajo povezovanje med transakcijo, javnim naročilom, transakcijo in finančnim elementom predobremenitve (FEP) ter pogodbo in podobno.</w:t>
      </w:r>
    </w:p>
    <w:p w14:paraId="31633E9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64FF0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Komisija se glede vsebine četrtega odstavka v povezavi z devetim odstavkom sprašuje, zakaj za Erar, za podatke AJPES-a (npr. letna poročila), ne sme biti uporabljen API? Prav tako ni določeno kakšna mora biti zaščita. Tudi HTML se lahko brez težav »parsa« in celo slike.</w:t>
      </w:r>
    </w:p>
    <w:p w14:paraId="0899412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66690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Pojasnjujemo, da četrti odstavek določa možnost, da zunanji uporabniki brez pravnih zadržkov uporabljajo podatke, ki jih objavi KPK. Način objave podatkov je prepuščen KPK, ki lahko dostop do podatkov zagotovi z objavo datotek s strojno berljivimi podatki ali s tako, da za dostop do podatkov izdela aplikacijski programski vmesnik (API). Način pridobivanja in uporabe podatkov, vključno s pogoji objave, bo kot doslej, KPK morala dogovoriti sama, v sodelovanju s subjektom, ki ji podatke posreduje. Običajno bo to v pogodbi oziroma dogovoru o posredovanju podatkov v strojno berljivi obliki.</w:t>
      </w:r>
    </w:p>
    <w:p w14:paraId="45D86A9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EFC0D" w14:textId="153A2700"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Četrti odstavek daje KPK možnost, da podatke, ki jih je pridobila na podlagi 75.a člena, objavi. Izjema so podatki, za dostop do katerih imajo organi pravico določiti cenik (tržna dejavnost). Primer takšnega organa je AJPES, ki KPK posreduje podatke iz poslovnega registra, registra transakcijskih računov in javne objave letnih poročil. Teh podatkov KPK ne objavi v obliki strojno berljivih datotek ali API, pač pa jih lahko zgolj prikazuje v aplika</w:t>
      </w:r>
      <w:r w:rsidR="00FB4E1D">
        <w:rPr>
          <w:rFonts w:ascii="Arial" w:eastAsia="Times New Roman" w:hAnsi="Arial" w:cs="Arial"/>
          <w:sz w:val="20"/>
          <w:szCs w:val="20"/>
          <w:lang w:eastAsia="ar-SA"/>
        </w:rPr>
        <w:t>ciji.</w:t>
      </w:r>
    </w:p>
    <w:p w14:paraId="1498519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7F0A0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KPK ima v 75.a členu pravno podlago za objavo podatkov v spletni aplikaciji. Tehnično je mogoče strojno »izluščiti« podatke iz izvorne kode spletnih strani. Če takšno avtomatizirano »luščenje« podatkov iz spletnih strani predstavlja težavo, lahko KPK vedno uvede tehnične zaščitne ukrepe (npr. omejitve dostopa, pretvorba podatkov v slike in podobno), prav tako pa lahko dostop in uporabo spletne aplikacije regulira s pogoji uporabe spletne aplikacije.</w:t>
      </w:r>
    </w:p>
    <w:p w14:paraId="4EAFEE1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4E538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2DE84EF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premisli, ali je za potrebe omenjenega člena smiselno vključiti tudi podatke s področja podeljevanja koncesij in sklepanja javno-zasebnih partnerstev. Če predlagatelj oceni to kot pomembno, bi po isti analogiji kot je to določeno za področje javnih naročil kazalo dodati še nove alineje s primerljivo vsebino za omenjeni dve področji ali pa jih ustrezno vključiti kar v obstoječe tri alineje</w:t>
      </w:r>
      <w:r w:rsidRPr="005C544E">
        <w:rPr>
          <w:rFonts w:ascii="Arial" w:eastAsia="Times New Roman" w:hAnsi="Arial" w:cs="Arial"/>
          <w:sz w:val="20"/>
          <w:szCs w:val="20"/>
          <w:lang w:eastAsia="ar-SA"/>
        </w:rPr>
        <w:t>. Predlog se upošteva.</w:t>
      </w:r>
    </w:p>
    <w:p w14:paraId="4429640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EEDFF3" w14:textId="1D7618F4"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Dodatno MJU meni, da je problematična izključitev uporabe ZDIJZ, kar pomeni, da bi se na podlagi predvidenih določb, kakršnokoli pridobivanje, uporaba, obdelovanje, povezovanje, predvsem pa objava podatkov s strani KPK izvajala izven okvirov, ki jih za navedeno določa ZDIJZ. Dodatno, je predvidena splošna in pavšalna pravna podlaga za neomejeno ponovno uporabo (torej s strani kogarkoli) vseh podatkov, ki bi jih KPK na tej osnovi spletno objavljala. MJU opozarja, da ZDIJZ definira kaj sploh je »informacija javnega značaja«</w:t>
      </w:r>
      <w:r w:rsidR="00FB4E1D">
        <w:rPr>
          <w:rFonts w:ascii="Arial" w:eastAsia="Times New Roman" w:hAnsi="Arial" w:cs="Arial"/>
          <w:i/>
          <w:sz w:val="20"/>
          <w:szCs w:val="20"/>
          <w:lang w:eastAsia="ar-SA"/>
        </w:rPr>
        <w:t xml:space="preserve"> – </w:t>
      </w:r>
      <w:r w:rsidRPr="005C544E">
        <w:rPr>
          <w:rFonts w:ascii="Arial" w:eastAsia="Times New Roman" w:hAnsi="Arial" w:cs="Arial"/>
          <w:i/>
          <w:sz w:val="20"/>
          <w:szCs w:val="20"/>
          <w:lang w:eastAsia="ar-SA"/>
        </w:rPr>
        <w:t>v splošnem so to vsi dokumenti, s katerimi organi razpolagajo (4. člen ZDIJZ). Nadalje določa, kaj v množici informacij javnega značaja je javno-dostopno oziroma kaj ni javno-dostopno (izjeme v 6. in 5.a členu ZDIJZ). Določa tudi postopek pridobitve informacij s strani prosilcev (upravni postopek z zahtevo za dostop ali z zahtevo za ponovno uporabo podatkov), pritožbeni postopek in pritožbeni organ (IP) ter sodno varstvo (Upravno sodišče). Ravno v okviru sodnega varstva se dostikrat rešujejo mejni primeri, povezani tudi z osebnimi podatki, ko ni vedno jasno ali so določeni podatki lahko »javni« oziroma ali gre za podatke, ki so »po zakonu javni« oziroma ali se določeni podatki lahko uporabljajo za neomejeno ponovno uporabo</w:t>
      </w:r>
      <w:r w:rsidRPr="005C544E">
        <w:rPr>
          <w:rFonts w:ascii="Arial" w:eastAsia="Times New Roman" w:hAnsi="Arial" w:cs="Arial"/>
          <w:sz w:val="20"/>
          <w:szCs w:val="20"/>
          <w:lang w:eastAsia="ar-SA"/>
        </w:rPr>
        <w:t>. Predlagatelj se strinja, da ZDIJZ definira informacijo javnega značaja in postavlja sistemske okvire znotraj katerih je mogoče pridobivati in uporabljati informacije javnega značaja. Predlagana ureditev v ZIntPK je vsekakor odstop od splošne z namenom, da se izpolnijo naloge, ki jih določa ZIntPK in da se doseže namen zakona – preprečevanje korupcije. Korupcija je nesistemski problem, katerega reševanje znotraj sistemskih okvirjev zelo oteženo – določbe ZDJIZ namreč niso prvenstveno namenjene preprečevanju korupcije. Izključitev ZDIJZ in ZVOP v ZIntPK je določeno, ker se v predlogu zakona za zelo ozko zamejeno področje in za ozko zamejen nabor podatkov ustvarja nov režim, ki v širšem smislu sledi tudi namenu ZDIJZ in ZVOP (čim večja odprtost dostopa do podatkov, še posebej teh, ki se nanašajo na porabo javnih sredstev in varstvo osebnih podatkov).</w:t>
      </w:r>
    </w:p>
    <w:p w14:paraId="21120F5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E47BC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Nadalje MJU pojasnjuje, da glede osebnih podatkov praviloma ni avtomatizma, v smislu, da ko so določeni osebni podatki (po zakonu) »javni«, da to pomeni, da so hkrati lahko »neomejeno na voljo za ponovno uporabo«. To izhaja tudi iz sodbe Sodišča Evropske unije (v združenih zadevah C-92/09 in C-93/09). Na podlagi navedene sodbe se osebni podatki fizičnih oseb ne smejo (v celoti) objaviti na spletu (čeprav gre za podatke, ki jih vsakdo lahko pridobi na podlagi individualne zahteve za dostop po ZDIJZ), temveč je pri spletni objavi potrebno zasledovati načelo sorazmernosti</w:t>
      </w:r>
      <w:r w:rsidRPr="005C544E">
        <w:rPr>
          <w:rFonts w:ascii="Arial" w:eastAsia="Times New Roman" w:hAnsi="Arial" w:cs="Arial"/>
          <w:sz w:val="20"/>
          <w:szCs w:val="20"/>
          <w:lang w:eastAsia="ar-SA"/>
        </w:rPr>
        <w:t>. Pripomba je bila smiselno upoštevana in sicer tako, da se je povečala sorazmernost objave podatkov. Skrajšalo se je obdobje v katerem KPK zagotavlja javno objavo podatkov in skrajšalo se je obdobje za katero KPK pridobiva podatke. Prav tako se je omogočilo, da posamezniki, na katere se podatki nanašajo, dosežejo njihovo popravo ali da dosežejo, da se ob podatkih objavijo tudi njihova pojasnila. Na ta način se po mnenju predlagatelja zagotavlja načelo sorazmernosti, kakor izhaja iz citirane sodbe.</w:t>
      </w:r>
    </w:p>
    <w:p w14:paraId="746DE1C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7B70A0" w14:textId="4F5EDD2A"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39. členu (76. ZIntPK)</w:t>
      </w:r>
    </w:p>
    <w:p w14:paraId="389C822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3A6F8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47D4976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je črtanje prvega odstavka, ki se nanaša na hrambo in arhiviranje podatkov, informacij in dokumentacije, ker gre za nepotrebno podvajanje vsebin, ki so že urejene v predpisih, ki urejajo arhivsko in dokumentarno gradivo</w:t>
      </w:r>
      <w:r w:rsidRPr="005C544E">
        <w:rPr>
          <w:rFonts w:ascii="Arial" w:eastAsia="Times New Roman" w:hAnsi="Arial" w:cs="Arial"/>
          <w:sz w:val="20"/>
          <w:szCs w:val="20"/>
          <w:lang w:eastAsia="ar-SA"/>
        </w:rPr>
        <w:t>. Prvi odstavek je naveden izključno zaradi tehnike priprave novele, kjer je zapisan celoten člen, ki se spreminja in ne zgolj njegove spremembe. Glede na to, da se odstavek ne spreminja, predlog ni upoštevan.</w:t>
      </w:r>
    </w:p>
    <w:p w14:paraId="41C2428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803B7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56773EE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bi bilo v tretjem odstavku ravno zaradi novejše sodne prakse glede ponovne uporabe podatkov, smiselno določiti prvenstveno, da gre za javno-dostopne informacije javnega značaja in da jih KPK spletno objavlja; v zvezi s ponovno uporabo pa narediti dodatni poglobljeni premislek</w:t>
      </w:r>
      <w:r w:rsidRPr="005C544E">
        <w:rPr>
          <w:rFonts w:ascii="Arial" w:eastAsia="Times New Roman" w:hAnsi="Arial" w:cs="Arial"/>
          <w:sz w:val="20"/>
          <w:szCs w:val="20"/>
          <w:lang w:eastAsia="ar-SA"/>
        </w:rPr>
        <w:t>. Predlog se upošteva.</w:t>
      </w:r>
    </w:p>
    <w:p w14:paraId="37B597A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80383" w14:textId="07AB954C"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40. členu (77. ZIntPK)</w:t>
      </w:r>
    </w:p>
    <w:p w14:paraId="18FB9F9E"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2740E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Zveza občina Slovenije in Okrožno sodišče v Ljubljani</w:t>
      </w:r>
    </w:p>
    <w:p w14:paraId="64F087F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ZOS izraža mnenje, da so kazenske določbe v celotni noveli zakona, kot tudi že v obstoječem zakonu, previsoke tako za odgovorne osebe kot za organe</w:t>
      </w:r>
      <w:r w:rsidRPr="005C544E">
        <w:rPr>
          <w:rFonts w:ascii="Arial" w:eastAsia="Times New Roman" w:hAnsi="Arial" w:cs="Arial"/>
          <w:sz w:val="20"/>
          <w:szCs w:val="20"/>
          <w:lang w:eastAsia="ar-SA"/>
        </w:rPr>
        <w:t>. Po mnenju predlagatelja so predvidene globe ustrezno določene.</w:t>
      </w:r>
    </w:p>
    <w:p w14:paraId="7A9E2B6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F52D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i/>
          <w:sz w:val="20"/>
          <w:szCs w:val="20"/>
          <w:lang w:eastAsia="ar-SA"/>
        </w:rPr>
      </w:pPr>
      <w:r w:rsidRPr="005C544E">
        <w:rPr>
          <w:rFonts w:ascii="Arial" w:eastAsia="Times New Roman" w:hAnsi="Arial" w:cs="Arial"/>
          <w:i/>
          <w:sz w:val="20"/>
          <w:szCs w:val="20"/>
          <w:lang w:eastAsia="ar-SA"/>
        </w:rPr>
        <w:t>OŽLJ predlaga, da se za kršitve ZIntPK določijo globe v večjem razponu, zlasti nižjo spodnjo mejo in višjo zgornjo mejo. To bi KPK omogočilo, da v konkretnem primeru, ko so podani pogoji za izrek globe, upošteva vse relevantne okoliščine.</w:t>
      </w:r>
    </w:p>
    <w:p w14:paraId="78DD4C7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CAB00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Višina glob se glede na veljavni zakon ne spreminjajo, se pa zaradi novih oziroma spremenjenih določb dodajajo in spreminjajo tudi prekrški.</w:t>
      </w:r>
    </w:p>
    <w:p w14:paraId="66D06EE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3CB7F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TI Slovenia</w:t>
      </w:r>
    </w:p>
    <w:p w14:paraId="656A633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Pri prvi alineji prvega odstavka opozarjamo na napačen sklic (drugi odstavek 15.b člena nima alinej).</w:t>
      </w:r>
      <w:r w:rsidRPr="005C544E">
        <w:rPr>
          <w:rFonts w:ascii="Arial" w:eastAsia="Times New Roman" w:hAnsi="Arial" w:cs="Arial"/>
          <w:sz w:val="20"/>
          <w:szCs w:val="20"/>
          <w:lang w:eastAsia="ar-SA"/>
        </w:rPr>
        <w:t xml:space="preserve"> Predlog se upošteva.</w:t>
      </w:r>
    </w:p>
    <w:p w14:paraId="3D6CD85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B49DF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131D833F"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glede na predlagane spremembe v šestnajsti alineji prvega odstavka 77. člena ZIntPK (30. člen novele ZIntPK-C) besedi »četrti odstavek« nadomestiti z besedama »peti odstavek«.</w:t>
      </w:r>
      <w:r w:rsidRPr="005C544E">
        <w:rPr>
          <w:rFonts w:ascii="Arial" w:eastAsia="Times New Roman" w:hAnsi="Arial" w:cs="Arial"/>
          <w:sz w:val="20"/>
          <w:szCs w:val="20"/>
          <w:lang w:eastAsia="ar-SA"/>
        </w:rPr>
        <w:t xml:space="preserve"> Predlog se upošteva.</w:t>
      </w:r>
    </w:p>
    <w:p w14:paraId="6E40D24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D048E2"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Upravno sodišče</w:t>
      </w:r>
    </w:p>
    <w:p w14:paraId="1C88E47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V prvi alineji drugega odstavka je napisano »prijavno« namesto »prijavo«.</w:t>
      </w:r>
      <w:r w:rsidRPr="005C544E">
        <w:rPr>
          <w:rFonts w:ascii="Arial" w:eastAsia="Times New Roman" w:hAnsi="Arial" w:cs="Arial"/>
          <w:sz w:val="20"/>
          <w:szCs w:val="20"/>
          <w:lang w:eastAsia="ar-SA"/>
        </w:rPr>
        <w:t xml:space="preserve"> Predlog se upošteva.</w:t>
      </w:r>
    </w:p>
    <w:p w14:paraId="4AB06A7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F11F89" w14:textId="5C8B4ABE"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42. členu (79. člen ZIntPK)</w:t>
      </w:r>
    </w:p>
    <w:p w14:paraId="7953AF7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7F939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2B4DF19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črtanje novega drugega odstavka – v zvezi s pripombami k 26. členu novele</w:t>
      </w:r>
      <w:r w:rsidRPr="005C544E">
        <w:rPr>
          <w:rFonts w:ascii="Arial" w:eastAsia="Times New Roman" w:hAnsi="Arial" w:cs="Arial"/>
          <w:sz w:val="20"/>
          <w:szCs w:val="20"/>
          <w:lang w:eastAsia="ar-SA"/>
        </w:rPr>
        <w:t>. Ker se ne upoštevajo predlogi k 26. členu, se ne upošteva tudi predlog k 32. členu.</w:t>
      </w:r>
    </w:p>
    <w:p w14:paraId="68399FE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B8DC75" w14:textId="66BF3576"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44. členu (Pravilnik o načinu razpolaganja z darili)</w:t>
      </w:r>
    </w:p>
    <w:p w14:paraId="1FEE1F11"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2A894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33E006F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 xml:space="preserve">Izdajanje upravnih aktov ureja 74. člen Zakona o državni upravi (ZDU-1),1 ki ločuje med podzakonskimi akti, ki jih izdaja minister, in splošnimi akti za izvrševanje javnih pooblastil, ki jih izdajajo nosilci javnih pooblastil. Za izvrševanje zakonov, drugih predpisov državnega zbora, predpisov vlade ter predpisov Evropske unije ministri izdajajo pravilnike, odredbe in navodila (prvi odstavek 74. člena ZDU-1). Pravilnik, s katerim se podrobneje razčlenijo posamezne določbe zakona ali drugega predpisa, se izda, če tako določa zakon ali uredba, izdana za izvrševanje zakona, ali če minister oceni, da je to potrebno za izvrševanje zakona ali predpisa EU (drugi in tretji odstavek 74. člena ZDU-1). Glede na navedeno sistemsko določbo ZDU-1, komisija ni organ, ki bi sprejemala pravilnik, saj gre to pooblastilo, v skladu s citirano določbo le ministru. </w:t>
      </w:r>
      <w:r w:rsidRPr="005C544E">
        <w:rPr>
          <w:rFonts w:ascii="Arial" w:eastAsia="Times New Roman" w:hAnsi="Arial" w:cs="Arial"/>
          <w:sz w:val="20"/>
          <w:szCs w:val="20"/>
          <w:lang w:eastAsia="ar-SA"/>
        </w:rPr>
        <w:t>74. člen Zakona o državni upravi določa akte, ki jih izdaja ministrstvo, ne določa pa, da je izdajanje takšnih aktov pridržano izključno ministrstvu. Konkretno s pravilniki zadeve iz svoje pristojnosti urejajo tudi na primer občine (65. člen Zakona o lokalni samoupravi). Pravilnike lahko izdajajo tudi nosilci javnih pooblastil, če tako določa zakon (osmi odstavek 74. člena ZDU-1). Iz zapisanega sledi, da ni razloga, da zakon ne bi naložil sprejetja pravilnika KPK.</w:t>
      </w:r>
    </w:p>
    <w:p w14:paraId="3477D360"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4D2B4" w14:textId="5072D2EC"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K 50. členu (Financiranje neprofitnih organizacij zasebnega sektorja)</w:t>
      </w:r>
    </w:p>
    <w:p w14:paraId="1244328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528D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MJU</w:t>
      </w:r>
    </w:p>
    <w:p w14:paraId="43096804"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predlogu zakona izraz »neprofitna interesna organizacija zasebnega sektorja« nadomesti z izrazom »nevladna organizacija v javnem interesu«.</w:t>
      </w:r>
      <w:r w:rsidRPr="005C544E">
        <w:rPr>
          <w:rFonts w:ascii="Arial" w:eastAsia="Times New Roman" w:hAnsi="Arial" w:cs="Arial"/>
          <w:sz w:val="20"/>
          <w:szCs w:val="20"/>
          <w:lang w:eastAsia="ar-SA"/>
        </w:rPr>
        <w:t xml:space="preserve"> Glede na to, da se izraz »neprofitna organizacija« uporablja tudi v členih, ki se z novelo ne spreminjajo, se pripomba ne upošteva, da se ohrani notranja usklajenost zakonskega besedila.</w:t>
      </w:r>
    </w:p>
    <w:p w14:paraId="5AE8493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4E25DE" w14:textId="77777777" w:rsidR="001C50C7" w:rsidRPr="005C544E" w:rsidRDefault="001C50C7" w:rsidP="001C50C7">
      <w:pPr>
        <w:suppressAutoHyphens/>
        <w:overflowPunct w:val="0"/>
        <w:autoSpaceDE w:val="0"/>
        <w:spacing w:after="0" w:line="240" w:lineRule="auto"/>
        <w:jc w:val="both"/>
        <w:textAlignment w:val="baseline"/>
        <w:outlineLvl w:val="3"/>
        <w:rPr>
          <w:rFonts w:ascii="Arial" w:eastAsia="Times New Roman" w:hAnsi="Arial" w:cs="Arial"/>
          <w:b/>
          <w:sz w:val="20"/>
          <w:szCs w:val="20"/>
          <w:u w:val="single"/>
          <w:lang w:eastAsia="ar-SA"/>
        </w:rPr>
      </w:pPr>
      <w:r w:rsidRPr="005C544E">
        <w:rPr>
          <w:rFonts w:ascii="Arial" w:eastAsia="Times New Roman" w:hAnsi="Arial" w:cs="Arial"/>
          <w:b/>
          <w:sz w:val="20"/>
          <w:szCs w:val="20"/>
          <w:u w:val="single"/>
          <w:lang w:eastAsia="ar-SA"/>
        </w:rPr>
        <w:t>Predlogi za dodatne spremembe</w:t>
      </w:r>
    </w:p>
    <w:p w14:paraId="7D0F696C"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4C41C7"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BSI</w:t>
      </w:r>
    </w:p>
    <w:p w14:paraId="2F845EB6"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 se podrobnejša ureditev nezdružljivosti opravljanja funkcije. Pojem dejavnosti v veljavni ureditvi ustvarja dvom glede obsega prepovedi, ki veljajo za funkcionarje</w:t>
      </w:r>
      <w:r w:rsidRPr="005C544E">
        <w:rPr>
          <w:rFonts w:ascii="Arial" w:eastAsia="Times New Roman" w:hAnsi="Arial" w:cs="Arial"/>
          <w:sz w:val="20"/>
          <w:szCs w:val="20"/>
          <w:lang w:eastAsia="ar-SA"/>
        </w:rPr>
        <w:t>. Sprememba ureditve nezdružljivosti funkcij ni predvidena v tej noveli. Predlog bo obravnavan v okviru morebitne prihodnje priprave novega zakona oziroma novele ZIntPK.</w:t>
      </w:r>
    </w:p>
    <w:p w14:paraId="043249C8"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453315"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Predlagano, da se v 28. in 29. členu ZIntPK uporaba določb glede uskladitve dejavnosti funkcionarja z zahtevami glede nezdružljivosti, veže na primere, če drug zakon ne določa drugačnih oziroma posebnih pravil. ZBS-1 namreč v 38. členu določa posebna pravila glede uskladitve (pogoj za nastop funkcije) in ugotavljanja morebitne nezdružljivosti funkcije.</w:t>
      </w:r>
      <w:r w:rsidRPr="005C544E">
        <w:rPr>
          <w:rFonts w:ascii="Arial" w:eastAsia="Times New Roman" w:hAnsi="Arial" w:cs="Arial"/>
          <w:sz w:val="20"/>
          <w:szCs w:val="20"/>
          <w:lang w:eastAsia="ar-SA"/>
        </w:rPr>
        <w:t xml:space="preserve"> Sprememba ni potrebna, ker zakon že predvideva subsidiarno uporabo določb.</w:t>
      </w:r>
    </w:p>
    <w:p w14:paraId="31C573A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F2FBB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JAZMP in KPK</w:t>
      </w:r>
    </w:p>
    <w:p w14:paraId="4AAFE689"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Predlagana dopolnitev veljavnega 14. člena ZIntPK v delu, ki se nanaša na obveznost pridobitve izjave o lastniški strukturi, in sicer tako, da bi lahko KPK izdala dovoljenje, skladno s katerim za določen posel ne bi bilo treba pridobiti izjave o lastniški strukturi</w:t>
      </w:r>
      <w:r w:rsidRPr="005C544E">
        <w:rPr>
          <w:rFonts w:ascii="Arial" w:eastAsia="Times New Roman" w:hAnsi="Arial" w:cs="Arial"/>
          <w:sz w:val="20"/>
          <w:szCs w:val="20"/>
          <w:lang w:eastAsia="ar-SA"/>
        </w:rPr>
        <w:t>. Predlog bo obravnavan v okviru morebitne prihodnje priprave novega zakona oziroma novele ZIntPK.</w:t>
      </w:r>
    </w:p>
    <w:p w14:paraId="592BF93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03F4CB"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KPK</w:t>
      </w:r>
    </w:p>
    <w:p w14:paraId="3DD2CC5D"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Predlagana sprememba 25. člena ZIntPK, in sicer tako, da bi KPK imela možnost uvesti ukrepe za zaščito prijavitelja, s katerimi bi lahko zahtevala takojšnji odvzem vodstvenih pristojnosti izvajalcu povračilnih ukrepov, premestitev takšne osebe na drugo delovno mesto, začasno prepoved opravljanja dela ali odpoved pogodbe o zaposlitvi. Predlagano še, da bi KPK imela možnost sodišču predlagati izdajo začasne odredbe, s katero bo zadržalo ali odpravilo učinke odločitev delodajalcev, ki pomenijo povračilne ukrepe. Poleg tega predlagano, da bi imela KPK možnost sodelovati v pravdi glede odškodnine zaradi povračilnih ukrepov kot stranski udeleženec na strani prijavitelja</w:t>
      </w:r>
      <w:r w:rsidRPr="005C544E">
        <w:rPr>
          <w:rFonts w:ascii="Arial" w:eastAsia="Times New Roman" w:hAnsi="Arial" w:cs="Arial"/>
          <w:sz w:val="20"/>
          <w:szCs w:val="20"/>
          <w:lang w:eastAsia="ar-SA"/>
        </w:rPr>
        <w:t>. Predlog bo obravnavan v okviru morebitne prihodnje priprave novega zakona oziroma novele ZIntPK.</w:t>
      </w:r>
    </w:p>
    <w:p w14:paraId="5AF6E39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86604A"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5C544E">
        <w:rPr>
          <w:rFonts w:ascii="Arial" w:eastAsia="Times New Roman" w:hAnsi="Arial" w:cs="Arial"/>
          <w:sz w:val="20"/>
          <w:szCs w:val="20"/>
          <w:u w:val="single"/>
          <w:lang w:eastAsia="ar-SA"/>
        </w:rPr>
        <w:t>MC Public Affairs Ldt.</w:t>
      </w:r>
    </w:p>
    <w:p w14:paraId="5A28CC73" w14:textId="77777777" w:rsidR="001C50C7" w:rsidRPr="005C544E" w:rsidRDefault="001C50C7" w:rsidP="001C50C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i/>
          <w:sz w:val="20"/>
          <w:szCs w:val="20"/>
          <w:lang w:eastAsia="ar-SA"/>
        </w:rPr>
        <w:t>Predlagana ureditev definicije zbornice lobistov – poklicne ustanove lobistov, akademije kot izobraževalne ustanove znotraj zbornice lobistov in licence za lobiranje kot potrdilo o pridobitvi ustreznega znanja za opravljanje poklica lobista. Predlaga se še ureditev materialnih določb glede navedenih institutov</w:t>
      </w:r>
      <w:r w:rsidRPr="005C544E">
        <w:rPr>
          <w:rFonts w:ascii="Arial" w:eastAsia="Times New Roman" w:hAnsi="Arial" w:cs="Arial"/>
          <w:sz w:val="20"/>
          <w:szCs w:val="20"/>
          <w:lang w:eastAsia="ar-SA"/>
        </w:rPr>
        <w:t>. Predlog bo obravnavan v okviru morebitne prihodnje priprave novega zakona oziroma novele ZIntPK.</w:t>
      </w:r>
    </w:p>
    <w:p w14:paraId="270092E7" w14:textId="55536E3A" w:rsidR="001C50C7"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CB898E2" w14:textId="44382DB7" w:rsidR="00DC1214" w:rsidRPr="00D529BE" w:rsidRDefault="00DC1214" w:rsidP="0055047E">
      <w:pPr>
        <w:suppressAutoHyphens/>
        <w:overflowPunct w:val="0"/>
        <w:autoSpaceDE w:val="0"/>
        <w:spacing w:after="0" w:line="240" w:lineRule="auto"/>
        <w:jc w:val="both"/>
        <w:textAlignment w:val="baseline"/>
        <w:rPr>
          <w:rFonts w:ascii="Arial" w:eastAsia="Times New Roman" w:hAnsi="Arial" w:cs="Arial"/>
          <w:b/>
          <w:sz w:val="20"/>
          <w:szCs w:val="20"/>
          <w:lang w:eastAsia="sl-SI"/>
        </w:rPr>
      </w:pPr>
      <w:r w:rsidRPr="00D529BE">
        <w:rPr>
          <w:rFonts w:ascii="Arial" w:eastAsia="Times New Roman" w:hAnsi="Arial" w:cs="Arial"/>
          <w:b/>
          <w:sz w:val="20"/>
          <w:szCs w:val="20"/>
          <w:lang w:eastAsia="sl-SI"/>
        </w:rPr>
        <w:t>V času medresorskega usklajevanja, ki je potekalo med 12. 4. 2019 in 26. 4. 2019, je predlagatelj prejel še dodatne pripombe na osnutek predloga zakona. Opredelitve do pripomb so podane spodaj:</w:t>
      </w:r>
    </w:p>
    <w:p w14:paraId="7FE745CD" w14:textId="56FBA854" w:rsidR="001C50C7" w:rsidRPr="00DC1214" w:rsidRDefault="001C50C7"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67934C34" w14:textId="7EC2F67E" w:rsidR="00DC1214" w:rsidRDefault="00DC1214" w:rsidP="00DC1214">
      <w:pPr>
        <w:spacing w:after="0" w:line="240" w:lineRule="auto"/>
        <w:jc w:val="both"/>
        <w:rPr>
          <w:rFonts w:ascii="Arial" w:hAnsi="Arial" w:cs="Arial"/>
          <w:b/>
          <w:sz w:val="20"/>
          <w:szCs w:val="20"/>
          <w:u w:val="single"/>
        </w:rPr>
      </w:pPr>
      <w:r w:rsidRPr="003D757B">
        <w:rPr>
          <w:rFonts w:ascii="Arial" w:hAnsi="Arial" w:cs="Arial"/>
          <w:b/>
          <w:sz w:val="20"/>
          <w:szCs w:val="20"/>
          <w:u w:val="single"/>
        </w:rPr>
        <w:t>Splošne pripombe</w:t>
      </w:r>
    </w:p>
    <w:p w14:paraId="1877393C" w14:textId="77777777" w:rsidR="00FA5EB7" w:rsidRPr="003D757B" w:rsidRDefault="00FA5EB7" w:rsidP="00DC1214">
      <w:pPr>
        <w:spacing w:after="0" w:line="240" w:lineRule="auto"/>
        <w:jc w:val="both"/>
        <w:rPr>
          <w:rFonts w:ascii="Arial" w:hAnsi="Arial" w:cs="Arial"/>
          <w:b/>
          <w:sz w:val="20"/>
          <w:szCs w:val="20"/>
          <w:u w:val="single"/>
        </w:rPr>
      </w:pPr>
    </w:p>
    <w:p w14:paraId="18DF436E" w14:textId="77777777" w:rsidR="00DC1214" w:rsidRPr="003D757B" w:rsidRDefault="00DC1214" w:rsidP="00DC1214">
      <w:pPr>
        <w:spacing w:after="0" w:line="240" w:lineRule="auto"/>
        <w:jc w:val="both"/>
        <w:rPr>
          <w:rFonts w:ascii="Arial" w:hAnsi="Arial" w:cs="Arial"/>
          <w:sz w:val="20"/>
          <w:szCs w:val="20"/>
          <w:u w:val="single"/>
        </w:rPr>
      </w:pPr>
      <w:r w:rsidRPr="003D757B">
        <w:rPr>
          <w:rFonts w:ascii="Arial" w:hAnsi="Arial" w:cs="Arial"/>
          <w:sz w:val="20"/>
          <w:szCs w:val="20"/>
          <w:u w:val="single"/>
        </w:rPr>
        <w:t>Evropski inštitut za skladnost in etiko poslovanja (EISEP)</w:t>
      </w:r>
    </w:p>
    <w:p w14:paraId="482A92F3" w14:textId="77777777" w:rsidR="00DC1214" w:rsidRPr="003D757B" w:rsidRDefault="00DC1214" w:rsidP="00DC1214">
      <w:pPr>
        <w:spacing w:after="0" w:line="240" w:lineRule="auto"/>
        <w:jc w:val="both"/>
        <w:rPr>
          <w:rFonts w:ascii="Arial" w:hAnsi="Arial" w:cs="Arial"/>
          <w:i/>
          <w:sz w:val="20"/>
          <w:szCs w:val="20"/>
        </w:rPr>
      </w:pPr>
      <w:r w:rsidRPr="003D757B">
        <w:rPr>
          <w:rFonts w:ascii="Arial" w:hAnsi="Arial" w:cs="Arial"/>
          <w:i/>
          <w:sz w:val="20"/>
          <w:szCs w:val="20"/>
        </w:rPr>
        <w:t>Predlagano, da se k omejevanju korupcije pristopi celovito, tako da se ukrepov ne omejuje na javni sektor in na javne uslužbence. Predlagan pristop, podoben Britanskemu Bribery Act in francoskemu Sapin II.</w:t>
      </w:r>
    </w:p>
    <w:p w14:paraId="245452C4" w14:textId="77777777" w:rsidR="00DC1214" w:rsidRPr="003D757B" w:rsidRDefault="00DC1214" w:rsidP="00DC1214">
      <w:pPr>
        <w:spacing w:after="0" w:line="240" w:lineRule="auto"/>
        <w:jc w:val="both"/>
        <w:rPr>
          <w:rFonts w:ascii="Arial" w:hAnsi="Arial" w:cs="Arial"/>
          <w:b/>
          <w:sz w:val="20"/>
          <w:szCs w:val="20"/>
        </w:rPr>
      </w:pPr>
    </w:p>
    <w:p w14:paraId="51F7DE8D" w14:textId="4C97075B" w:rsidR="00DC1214" w:rsidRPr="003D757B" w:rsidRDefault="00DC1214" w:rsidP="00DC1214">
      <w:pPr>
        <w:autoSpaceDE w:val="0"/>
        <w:autoSpaceDN w:val="0"/>
        <w:adjustRightInd w:val="0"/>
        <w:spacing w:after="0" w:line="240" w:lineRule="auto"/>
        <w:jc w:val="both"/>
        <w:rPr>
          <w:rFonts w:ascii="Arial" w:hAnsi="Arial" w:cs="Arial"/>
          <w:sz w:val="20"/>
          <w:szCs w:val="20"/>
          <w:u w:val="single"/>
        </w:rPr>
      </w:pPr>
      <w:r w:rsidRPr="003D757B">
        <w:rPr>
          <w:rFonts w:ascii="Arial" w:hAnsi="Arial" w:cs="Arial"/>
          <w:sz w:val="20"/>
          <w:szCs w:val="20"/>
          <w:u w:val="single"/>
        </w:rPr>
        <w:t>KPK</w:t>
      </w:r>
    </w:p>
    <w:p w14:paraId="724A5011" w14:textId="41BF6D8A"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KPK zagotovi zakonska podlaga za neposredno vpogledovanje v bančne podatke, ki jih KPK potrebuje za nadzor nad premoženjskim stanjem.</w:t>
      </w:r>
      <w:r w:rsidR="00FB4E1D">
        <w:rPr>
          <w:rFonts w:ascii="Arial" w:hAnsi="Arial" w:cs="Arial"/>
          <w:i/>
          <w:sz w:val="20"/>
          <w:szCs w:val="20"/>
        </w:rPr>
        <w:t xml:space="preserve"> </w:t>
      </w:r>
      <w:r w:rsidRPr="003D757B">
        <w:rPr>
          <w:rFonts w:ascii="Arial" w:hAnsi="Arial" w:cs="Arial"/>
          <w:sz w:val="20"/>
          <w:szCs w:val="20"/>
        </w:rPr>
        <w:t>Predlog presega okvir novele. Predlagatelj bo predlog preučil v okviru priprave naslednje novele oziroma priprave novega zakona.</w:t>
      </w:r>
    </w:p>
    <w:p w14:paraId="27EE82FB"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0423A08B" w14:textId="718C551B"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Finančne posledice</w:t>
      </w:r>
    </w:p>
    <w:p w14:paraId="2FA9E9DE"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00F44162" w14:textId="24CA3B3B" w:rsidR="00DC1214" w:rsidRPr="003D757B" w:rsidRDefault="00DC1214" w:rsidP="00DC1214">
      <w:pPr>
        <w:autoSpaceDE w:val="0"/>
        <w:autoSpaceDN w:val="0"/>
        <w:adjustRightInd w:val="0"/>
        <w:spacing w:after="0" w:line="240" w:lineRule="auto"/>
        <w:jc w:val="both"/>
        <w:rPr>
          <w:rFonts w:ascii="Arial" w:hAnsi="Arial" w:cs="Arial"/>
          <w:sz w:val="20"/>
          <w:szCs w:val="20"/>
          <w:u w:val="single"/>
        </w:rPr>
      </w:pPr>
      <w:r w:rsidRPr="003D757B">
        <w:rPr>
          <w:rFonts w:ascii="Arial" w:hAnsi="Arial" w:cs="Arial"/>
          <w:sz w:val="20"/>
          <w:szCs w:val="20"/>
          <w:u w:val="single"/>
        </w:rPr>
        <w:t>KPK</w:t>
      </w:r>
    </w:p>
    <w:p w14:paraId="4C56913F" w14:textId="6D5B95DB" w:rsidR="00DC1214" w:rsidRPr="004B2772" w:rsidRDefault="00DC1214" w:rsidP="00387B84">
      <w:pPr>
        <w:spacing w:after="0" w:line="240" w:lineRule="auto"/>
        <w:jc w:val="both"/>
        <w:rPr>
          <w:rFonts w:ascii="Arial" w:hAnsi="Arial" w:cs="Arial"/>
          <w:i/>
          <w:sz w:val="20"/>
          <w:szCs w:val="20"/>
        </w:rPr>
      </w:pPr>
      <w:r w:rsidRPr="004B2772">
        <w:rPr>
          <w:rFonts w:ascii="Arial" w:hAnsi="Arial" w:cs="Arial"/>
          <w:i/>
          <w:sz w:val="20"/>
          <w:szCs w:val="20"/>
        </w:rPr>
        <w:t>KPK</w:t>
      </w:r>
      <w:r w:rsidR="00C63BD1" w:rsidRPr="004B2772">
        <w:rPr>
          <w:rFonts w:ascii="Arial" w:hAnsi="Arial" w:cs="Arial"/>
          <w:i/>
          <w:sz w:val="20"/>
          <w:szCs w:val="20"/>
        </w:rPr>
        <w:t xml:space="preserve"> je v pripombah na besedilo predloga novele z dne z dne 26. 4. 2019 predlagala, da se ji za nemoteno opravljanje pristojnosti in nalog, ki se s predlagano novelo širijo, zagotovi </w:t>
      </w:r>
      <w:r w:rsidRPr="004B2772">
        <w:rPr>
          <w:rFonts w:ascii="Arial" w:hAnsi="Arial" w:cs="Arial"/>
          <w:i/>
          <w:sz w:val="20"/>
          <w:szCs w:val="20"/>
        </w:rPr>
        <w:t>sedem novih zaposlitev</w:t>
      </w:r>
      <w:r w:rsidR="00C63BD1" w:rsidRPr="004B2772">
        <w:rPr>
          <w:rFonts w:ascii="Arial" w:hAnsi="Arial" w:cs="Arial"/>
          <w:i/>
          <w:sz w:val="20"/>
          <w:szCs w:val="20"/>
        </w:rPr>
        <w:t>.</w:t>
      </w:r>
      <w:r w:rsidRPr="004B2772">
        <w:rPr>
          <w:rFonts w:ascii="Arial" w:hAnsi="Arial" w:cs="Arial"/>
          <w:i/>
          <w:sz w:val="20"/>
          <w:szCs w:val="20"/>
        </w:rPr>
        <w:t xml:space="preserve"> </w:t>
      </w:r>
      <w:r w:rsidR="00C63BD1" w:rsidRPr="004B2772">
        <w:rPr>
          <w:rFonts w:ascii="Arial" w:hAnsi="Arial" w:cs="Arial"/>
          <w:i/>
          <w:sz w:val="20"/>
          <w:szCs w:val="20"/>
        </w:rPr>
        <w:t>Finančne posledice</w:t>
      </w:r>
      <w:r w:rsidR="00FA364E">
        <w:rPr>
          <w:rFonts w:ascii="Arial" w:hAnsi="Arial" w:cs="Arial"/>
          <w:i/>
          <w:sz w:val="20"/>
          <w:szCs w:val="20"/>
        </w:rPr>
        <w:t xml:space="preserve"> sedmih zaposlitev</w:t>
      </w:r>
      <w:r w:rsidR="00C63BD1" w:rsidRPr="004B2772">
        <w:rPr>
          <w:rFonts w:ascii="Arial" w:hAnsi="Arial" w:cs="Arial"/>
          <w:i/>
          <w:sz w:val="20"/>
          <w:szCs w:val="20"/>
        </w:rPr>
        <w:t xml:space="preserve"> je KPK ocenila </w:t>
      </w:r>
      <w:r w:rsidRPr="004B2772">
        <w:rPr>
          <w:rFonts w:ascii="Arial" w:hAnsi="Arial" w:cs="Arial"/>
          <w:i/>
          <w:sz w:val="20"/>
          <w:szCs w:val="20"/>
        </w:rPr>
        <w:t xml:space="preserve">na 220.000,00 EUR. Še dodatno </w:t>
      </w:r>
      <w:r w:rsidR="00FA364E">
        <w:rPr>
          <w:rFonts w:ascii="Arial" w:hAnsi="Arial" w:cs="Arial"/>
          <w:i/>
          <w:sz w:val="20"/>
          <w:szCs w:val="20"/>
        </w:rPr>
        <w:t xml:space="preserve">je </w:t>
      </w:r>
      <w:r w:rsidR="00C63BD1" w:rsidRPr="004B2772">
        <w:rPr>
          <w:rFonts w:ascii="Arial" w:hAnsi="Arial" w:cs="Arial"/>
          <w:i/>
          <w:sz w:val="20"/>
          <w:szCs w:val="20"/>
        </w:rPr>
        <w:t>KPK predlaga</w:t>
      </w:r>
      <w:r w:rsidR="00FA364E">
        <w:rPr>
          <w:rFonts w:ascii="Arial" w:hAnsi="Arial" w:cs="Arial"/>
          <w:i/>
          <w:sz w:val="20"/>
          <w:szCs w:val="20"/>
        </w:rPr>
        <w:t>le</w:t>
      </w:r>
      <w:r w:rsidR="00C63BD1" w:rsidRPr="004B2772">
        <w:rPr>
          <w:rFonts w:ascii="Arial" w:hAnsi="Arial" w:cs="Arial"/>
          <w:i/>
          <w:sz w:val="20"/>
          <w:szCs w:val="20"/>
        </w:rPr>
        <w:t xml:space="preserve"> </w:t>
      </w:r>
      <w:r w:rsidRPr="004B2772">
        <w:rPr>
          <w:rFonts w:ascii="Arial" w:hAnsi="Arial" w:cs="Arial"/>
          <w:i/>
          <w:sz w:val="20"/>
          <w:szCs w:val="20"/>
        </w:rPr>
        <w:t xml:space="preserve">dve </w:t>
      </w:r>
      <w:r w:rsidR="00FA364E">
        <w:rPr>
          <w:rFonts w:ascii="Arial" w:hAnsi="Arial" w:cs="Arial"/>
          <w:i/>
          <w:sz w:val="20"/>
          <w:szCs w:val="20"/>
        </w:rPr>
        <w:t>dodatni</w:t>
      </w:r>
      <w:r w:rsidRPr="004B2772">
        <w:rPr>
          <w:rFonts w:ascii="Arial" w:hAnsi="Arial" w:cs="Arial"/>
          <w:i/>
          <w:sz w:val="20"/>
          <w:szCs w:val="20"/>
        </w:rPr>
        <w:t xml:space="preserve"> zaposlitvi</w:t>
      </w:r>
      <w:r w:rsidR="00FA364E">
        <w:rPr>
          <w:rFonts w:ascii="Arial" w:hAnsi="Arial" w:cs="Arial"/>
          <w:i/>
          <w:sz w:val="20"/>
          <w:szCs w:val="20"/>
        </w:rPr>
        <w:t xml:space="preserve"> </w:t>
      </w:r>
      <w:r w:rsidRPr="004B2772">
        <w:rPr>
          <w:rFonts w:ascii="Arial" w:hAnsi="Arial" w:cs="Arial"/>
          <w:i/>
          <w:sz w:val="20"/>
          <w:szCs w:val="20"/>
        </w:rPr>
        <w:t>na področju načrtov integritete, ki pa ni predmet urejanja v noveli</w:t>
      </w:r>
      <w:r w:rsidR="00FA364E">
        <w:rPr>
          <w:rFonts w:ascii="Arial" w:hAnsi="Arial" w:cs="Arial"/>
          <w:i/>
          <w:sz w:val="20"/>
          <w:szCs w:val="20"/>
        </w:rPr>
        <w:t xml:space="preserve"> in sicer v </w:t>
      </w:r>
      <w:r w:rsidR="00FA364E" w:rsidRPr="00A5546C">
        <w:rPr>
          <w:rFonts w:ascii="Arial" w:hAnsi="Arial" w:cs="Arial"/>
          <w:i/>
          <w:sz w:val="20"/>
          <w:szCs w:val="20"/>
        </w:rPr>
        <w:t>višini 62.000,00 EUR</w:t>
      </w:r>
      <w:r w:rsidRPr="004B2772">
        <w:rPr>
          <w:rFonts w:ascii="Arial" w:hAnsi="Arial" w:cs="Arial"/>
          <w:i/>
          <w:sz w:val="20"/>
          <w:szCs w:val="20"/>
        </w:rPr>
        <w:t>.</w:t>
      </w:r>
      <w:r w:rsidR="00387B84" w:rsidRPr="004B2772">
        <w:rPr>
          <w:rFonts w:ascii="Arial" w:hAnsi="Arial" w:cs="Arial"/>
          <w:i/>
          <w:sz w:val="20"/>
          <w:szCs w:val="20"/>
        </w:rPr>
        <w:t xml:space="preserve"> </w:t>
      </w:r>
      <w:r w:rsidRPr="004B2772">
        <w:rPr>
          <w:rFonts w:ascii="Arial" w:hAnsi="Arial" w:cs="Arial"/>
          <w:i/>
          <w:sz w:val="20"/>
          <w:szCs w:val="20"/>
        </w:rPr>
        <w:t xml:space="preserve">V </w:t>
      </w:r>
      <w:r w:rsidR="00387B84" w:rsidRPr="004B2772">
        <w:rPr>
          <w:rFonts w:ascii="Arial" w:hAnsi="Arial" w:cs="Arial"/>
          <w:i/>
          <w:sz w:val="20"/>
          <w:szCs w:val="20"/>
        </w:rPr>
        <w:t xml:space="preserve">pripombah </w:t>
      </w:r>
      <w:r w:rsidRPr="004B2772">
        <w:rPr>
          <w:rFonts w:ascii="Arial" w:hAnsi="Arial" w:cs="Arial"/>
          <w:i/>
          <w:sz w:val="20"/>
          <w:szCs w:val="20"/>
        </w:rPr>
        <w:t xml:space="preserve">z dne 16.5.2019 </w:t>
      </w:r>
      <w:r w:rsidR="00FA364E">
        <w:rPr>
          <w:rFonts w:ascii="Arial" w:hAnsi="Arial" w:cs="Arial"/>
          <w:i/>
          <w:sz w:val="20"/>
          <w:szCs w:val="20"/>
        </w:rPr>
        <w:t xml:space="preserve">je </w:t>
      </w:r>
      <w:r w:rsidRPr="004B2772">
        <w:rPr>
          <w:rFonts w:ascii="Arial" w:hAnsi="Arial" w:cs="Arial"/>
          <w:i/>
          <w:sz w:val="20"/>
          <w:szCs w:val="20"/>
        </w:rPr>
        <w:t>KPK predlaga</w:t>
      </w:r>
      <w:r w:rsidR="00FA364E">
        <w:rPr>
          <w:rFonts w:ascii="Arial" w:hAnsi="Arial" w:cs="Arial"/>
          <w:i/>
          <w:sz w:val="20"/>
          <w:szCs w:val="20"/>
        </w:rPr>
        <w:t>la</w:t>
      </w:r>
      <w:r w:rsidRPr="004B2772">
        <w:rPr>
          <w:rFonts w:ascii="Arial" w:hAnsi="Arial" w:cs="Arial"/>
          <w:i/>
          <w:sz w:val="20"/>
          <w:szCs w:val="20"/>
        </w:rPr>
        <w:t xml:space="preserve"> deset novih zaposlitev s finančno posledico 220.000,00 EUR</w:t>
      </w:r>
      <w:r w:rsidR="003F1A64">
        <w:rPr>
          <w:rFonts w:ascii="Arial" w:hAnsi="Arial" w:cs="Arial"/>
          <w:i/>
          <w:sz w:val="20"/>
          <w:szCs w:val="20"/>
        </w:rPr>
        <w:t>, d</w:t>
      </w:r>
      <w:r w:rsidRPr="004B2772">
        <w:rPr>
          <w:rFonts w:ascii="Arial" w:hAnsi="Arial" w:cs="Arial"/>
          <w:i/>
          <w:sz w:val="20"/>
          <w:szCs w:val="20"/>
        </w:rPr>
        <w:t xml:space="preserve">odatno </w:t>
      </w:r>
      <w:r w:rsidR="00387B84" w:rsidRPr="004B2772">
        <w:rPr>
          <w:rFonts w:ascii="Arial" w:hAnsi="Arial" w:cs="Arial"/>
          <w:i/>
          <w:sz w:val="20"/>
          <w:szCs w:val="20"/>
        </w:rPr>
        <w:t xml:space="preserve">pa tudi </w:t>
      </w:r>
      <w:r w:rsidRPr="004B2772">
        <w:rPr>
          <w:rFonts w:ascii="Arial" w:hAnsi="Arial" w:cs="Arial"/>
          <w:i/>
          <w:sz w:val="20"/>
          <w:szCs w:val="20"/>
        </w:rPr>
        <w:t>dve novi zaposlitvi na področju načrtov integritete s finančnimi posledicami v višini 62.000,00 EUR.</w:t>
      </w:r>
      <w:r w:rsidR="00387B84" w:rsidRPr="004B2772">
        <w:rPr>
          <w:rFonts w:ascii="Arial" w:hAnsi="Arial" w:cs="Arial"/>
          <w:i/>
          <w:sz w:val="20"/>
          <w:szCs w:val="20"/>
        </w:rPr>
        <w:t xml:space="preserve"> Zaradi nabave IT opreme, </w:t>
      </w:r>
      <w:r w:rsidRPr="004B2772">
        <w:rPr>
          <w:rFonts w:ascii="Arial" w:hAnsi="Arial" w:cs="Arial"/>
          <w:i/>
          <w:sz w:val="20"/>
          <w:szCs w:val="20"/>
        </w:rPr>
        <w:t>KPK predlaga, naj se ji zagotovi 100.000 EUR.</w:t>
      </w:r>
      <w:r w:rsidR="00387B84" w:rsidRPr="004B2772">
        <w:rPr>
          <w:rFonts w:ascii="Arial" w:hAnsi="Arial" w:cs="Arial"/>
          <w:i/>
          <w:sz w:val="20"/>
          <w:szCs w:val="20"/>
        </w:rPr>
        <w:t xml:space="preserve"> Za izvedbo financiranja projektov neprofitnih organizacij </w:t>
      </w:r>
      <w:r w:rsidRPr="004B2772">
        <w:rPr>
          <w:rFonts w:ascii="Arial" w:hAnsi="Arial" w:cs="Arial"/>
          <w:i/>
          <w:sz w:val="20"/>
          <w:szCs w:val="20"/>
        </w:rPr>
        <w:t>KPK predlaga, naj se ji zagotovi 60.000,00 EUR.</w:t>
      </w:r>
    </w:p>
    <w:p w14:paraId="5D57E071" w14:textId="7729F103" w:rsidR="00387B84" w:rsidRPr="004B2772" w:rsidRDefault="00387B84" w:rsidP="00387B84">
      <w:pPr>
        <w:spacing w:after="0" w:line="240" w:lineRule="auto"/>
        <w:jc w:val="both"/>
        <w:rPr>
          <w:rFonts w:ascii="Arial" w:hAnsi="Arial" w:cs="Arial"/>
          <w:i/>
          <w:sz w:val="20"/>
          <w:szCs w:val="20"/>
        </w:rPr>
      </w:pPr>
    </w:p>
    <w:p w14:paraId="27D840D2" w14:textId="38CDACFE" w:rsidR="00387B84" w:rsidRPr="004B2772" w:rsidRDefault="00387B84" w:rsidP="00387B84">
      <w:pPr>
        <w:spacing w:after="0" w:line="240" w:lineRule="auto"/>
        <w:jc w:val="both"/>
        <w:rPr>
          <w:rFonts w:ascii="Arial" w:hAnsi="Arial" w:cs="Arial"/>
          <w:i/>
          <w:sz w:val="20"/>
          <w:szCs w:val="20"/>
        </w:rPr>
      </w:pPr>
      <w:r w:rsidRPr="004B2772">
        <w:rPr>
          <w:rFonts w:ascii="Arial" w:hAnsi="Arial" w:cs="Arial"/>
          <w:i/>
          <w:sz w:val="20"/>
          <w:szCs w:val="20"/>
        </w:rPr>
        <w:t>Dodatno KPK v pripombah z dne 26. 4. 2019 predlaga, naj se ji za namen vzpostavitve novega informacijskega sistema za izvajanje nadzora nad vsemi instituti ZIntPK (lobiranje, nasprotje interesov, darila, nezdružljivost funkcij, omejitve poslovanja, opravljanje dodatne dejavnosti, premoženjsko stanje, načrti integritete) zagotovi še dodatnih 400.000,00 EUR.</w:t>
      </w:r>
    </w:p>
    <w:p w14:paraId="300EF388" w14:textId="77777777" w:rsidR="00DC1214" w:rsidRPr="003D757B" w:rsidRDefault="00DC1214" w:rsidP="00DC1214">
      <w:pPr>
        <w:spacing w:after="0" w:line="240" w:lineRule="auto"/>
        <w:jc w:val="both"/>
        <w:rPr>
          <w:rFonts w:ascii="Arial" w:hAnsi="Arial" w:cs="Arial"/>
          <w:sz w:val="20"/>
          <w:szCs w:val="20"/>
        </w:rPr>
      </w:pPr>
    </w:p>
    <w:p w14:paraId="4D746132" w14:textId="70A70AE6" w:rsidR="00FB4E1D" w:rsidRPr="004B2772" w:rsidRDefault="00DC1214" w:rsidP="00FA364E">
      <w:pPr>
        <w:spacing w:after="0" w:line="240" w:lineRule="auto"/>
        <w:jc w:val="both"/>
        <w:rPr>
          <w:rFonts w:ascii="Arial" w:hAnsi="Arial" w:cs="Arial"/>
          <w:sz w:val="20"/>
          <w:szCs w:val="20"/>
        </w:rPr>
      </w:pPr>
      <w:r w:rsidRPr="004B2772">
        <w:rPr>
          <w:rFonts w:ascii="Arial" w:hAnsi="Arial" w:cs="Arial"/>
          <w:sz w:val="20"/>
          <w:szCs w:val="20"/>
        </w:rPr>
        <w:t>MP vztraja pri oceni finančnih posledic zakona, kot so bile opredeljen že v predlogu novele, ki je bil na vladi sprejet 18. 1. 2018. Vsebina predloga novele ne odstopa od že predvidenih dodatnih nalog in pristojnosti KPK, zato povišanje finančnih posledic ni utemeljeno, prav tako pa KPK ni konkretizirano utemeljila predloga za povečanje števila zaposlitev, nadgradnje IT sistema in financiranje projektov neprofitnih organizacij.</w:t>
      </w:r>
      <w:r w:rsidR="00387B84">
        <w:rPr>
          <w:rFonts w:ascii="Arial" w:hAnsi="Arial" w:cs="Arial"/>
          <w:sz w:val="20"/>
          <w:szCs w:val="20"/>
        </w:rPr>
        <w:t xml:space="preserve"> </w:t>
      </w:r>
      <w:r w:rsidRPr="004B2772">
        <w:rPr>
          <w:rFonts w:ascii="Arial" w:hAnsi="Arial" w:cs="Arial"/>
          <w:sz w:val="20"/>
          <w:szCs w:val="20"/>
        </w:rPr>
        <w:t>Glede na pojasnila, ki so jih dali predstavniki KPK je KPK obstoječi informacijski sistem vzpostavila sama</w:t>
      </w:r>
      <w:r w:rsidR="00FA364E">
        <w:rPr>
          <w:rFonts w:ascii="Arial" w:hAnsi="Arial" w:cs="Arial"/>
          <w:sz w:val="20"/>
          <w:szCs w:val="20"/>
        </w:rPr>
        <w:t>, novela pa ne terja prenove celotnega sistema</w:t>
      </w:r>
      <w:r w:rsidRPr="004B2772">
        <w:rPr>
          <w:rFonts w:ascii="Arial" w:hAnsi="Arial" w:cs="Arial"/>
          <w:sz w:val="20"/>
          <w:szCs w:val="20"/>
        </w:rPr>
        <w:t>. V predvidenih finančnih posledicah je že upoštevana zaposlitev programerja, prav tako pa je bil na predlog KPK podaljšan rok za prilagoditev informacijskih rešitev s 6 na 12. mesecev.</w:t>
      </w:r>
    </w:p>
    <w:p w14:paraId="2F6F4F4C" w14:textId="77777777" w:rsidR="00DC1214" w:rsidRPr="003D757B" w:rsidRDefault="00DC1214" w:rsidP="00DC1214">
      <w:pPr>
        <w:spacing w:after="0" w:line="240" w:lineRule="auto"/>
        <w:jc w:val="both"/>
        <w:rPr>
          <w:rFonts w:ascii="Arial" w:hAnsi="Arial" w:cs="Arial"/>
          <w:b/>
          <w:sz w:val="20"/>
          <w:szCs w:val="20"/>
        </w:rPr>
      </w:pPr>
    </w:p>
    <w:p w14:paraId="5C41D5D9" w14:textId="39C7D29D"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1. členu</w:t>
      </w:r>
      <w:r w:rsidR="0056044F">
        <w:rPr>
          <w:rFonts w:ascii="Arial" w:hAnsi="Arial" w:cs="Arial"/>
          <w:b/>
          <w:sz w:val="20"/>
          <w:szCs w:val="20"/>
          <w:u w:val="single"/>
        </w:rPr>
        <w:t xml:space="preserve"> (4. člen ZIntPK)</w:t>
      </w:r>
    </w:p>
    <w:p w14:paraId="41E7954C"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64B5CB5C" w14:textId="2BAAD4EF" w:rsidR="00DC1214" w:rsidRPr="003D757B"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58BD3997" w14:textId="4FA65F93" w:rsidR="00DC1214" w:rsidRPr="00FA5EB7" w:rsidRDefault="00DC1214" w:rsidP="00DC1214">
      <w:pPr>
        <w:autoSpaceDE w:val="0"/>
        <w:autoSpaceDN w:val="0"/>
        <w:adjustRightInd w:val="0"/>
        <w:spacing w:after="0" w:line="240" w:lineRule="auto"/>
        <w:jc w:val="both"/>
        <w:rPr>
          <w:rFonts w:ascii="Arial" w:hAnsi="Arial" w:cs="Arial"/>
          <w:sz w:val="20"/>
          <w:szCs w:val="20"/>
        </w:rPr>
      </w:pPr>
      <w:r w:rsidRPr="00FA5EB7">
        <w:rPr>
          <w:rFonts w:ascii="Arial" w:hAnsi="Arial" w:cs="Arial"/>
          <w:i/>
          <w:sz w:val="20"/>
          <w:szCs w:val="20"/>
        </w:rPr>
        <w:t xml:space="preserve">Izpostavljena problematika definicije družinskega člana, ki je glede na veljavno nekoliko razširjena. Razširitev definicije vpliva na več institutov, med drugim na omejitve poslovanja, nasprotje interesov in darila. </w:t>
      </w:r>
      <w:r w:rsidRPr="00FA5EB7">
        <w:rPr>
          <w:rFonts w:ascii="Arial" w:hAnsi="Arial" w:cs="Arial"/>
          <w:sz w:val="20"/>
          <w:szCs w:val="20"/>
        </w:rPr>
        <w:t>Predlog je upoštevan. V predlogu</w:t>
      </w:r>
      <w:r w:rsidR="00815545">
        <w:rPr>
          <w:rFonts w:ascii="Arial" w:hAnsi="Arial" w:cs="Arial"/>
          <w:sz w:val="20"/>
          <w:szCs w:val="20"/>
        </w:rPr>
        <w:t xml:space="preserve"> je ohranjena </w:t>
      </w:r>
      <w:r w:rsidR="00BF2DAE">
        <w:rPr>
          <w:rFonts w:ascii="Arial" w:hAnsi="Arial" w:cs="Arial"/>
          <w:sz w:val="20"/>
          <w:szCs w:val="20"/>
        </w:rPr>
        <w:t xml:space="preserve">veljavna </w:t>
      </w:r>
      <w:r w:rsidRPr="00FA5EB7">
        <w:rPr>
          <w:rFonts w:ascii="Arial" w:hAnsi="Arial" w:cs="Arial"/>
          <w:sz w:val="20"/>
          <w:szCs w:val="20"/>
        </w:rPr>
        <w:t xml:space="preserve">definicija, </w:t>
      </w:r>
      <w:r w:rsidR="00815545">
        <w:rPr>
          <w:rFonts w:ascii="Arial" w:hAnsi="Arial" w:cs="Arial"/>
          <w:sz w:val="20"/>
          <w:szCs w:val="20"/>
        </w:rPr>
        <w:t xml:space="preserve">ki pa je </w:t>
      </w:r>
      <w:r w:rsidRPr="00FA5EB7">
        <w:rPr>
          <w:rFonts w:ascii="Arial" w:hAnsi="Arial" w:cs="Arial"/>
          <w:sz w:val="20"/>
          <w:szCs w:val="20"/>
        </w:rPr>
        <w:t xml:space="preserve">razširjena </w:t>
      </w:r>
      <w:r w:rsidR="00815545">
        <w:rPr>
          <w:rFonts w:ascii="Arial" w:hAnsi="Arial" w:cs="Arial"/>
          <w:sz w:val="20"/>
          <w:szCs w:val="20"/>
        </w:rPr>
        <w:t xml:space="preserve">še </w:t>
      </w:r>
      <w:r w:rsidRPr="00FA5EB7">
        <w:rPr>
          <w:rFonts w:ascii="Arial" w:hAnsi="Arial" w:cs="Arial"/>
          <w:sz w:val="20"/>
          <w:szCs w:val="20"/>
        </w:rPr>
        <w:t>na posameznike, ki z zavezancem živijo na istem naslovu (sobivanje).</w:t>
      </w:r>
    </w:p>
    <w:p w14:paraId="6E573BAE" w14:textId="77777777" w:rsidR="00DC1214" w:rsidRPr="00FA5EB7" w:rsidRDefault="00DC1214" w:rsidP="00DC1214">
      <w:pPr>
        <w:autoSpaceDE w:val="0"/>
        <w:autoSpaceDN w:val="0"/>
        <w:adjustRightInd w:val="0"/>
        <w:spacing w:after="0" w:line="240" w:lineRule="auto"/>
        <w:jc w:val="both"/>
        <w:rPr>
          <w:rFonts w:ascii="Arial" w:hAnsi="Arial" w:cs="Arial"/>
          <w:sz w:val="20"/>
          <w:szCs w:val="20"/>
        </w:rPr>
      </w:pPr>
    </w:p>
    <w:p w14:paraId="52921A43" w14:textId="63D72597" w:rsidR="00DC1214" w:rsidRPr="00FA5EB7" w:rsidRDefault="00DC1214" w:rsidP="00DC1214">
      <w:pPr>
        <w:autoSpaceDE w:val="0"/>
        <w:autoSpaceDN w:val="0"/>
        <w:adjustRightInd w:val="0"/>
        <w:spacing w:after="0" w:line="240" w:lineRule="auto"/>
        <w:jc w:val="both"/>
        <w:rPr>
          <w:rFonts w:ascii="Arial" w:hAnsi="Arial" w:cs="Arial"/>
          <w:sz w:val="20"/>
          <w:szCs w:val="20"/>
        </w:rPr>
      </w:pPr>
      <w:r w:rsidRPr="00FA5EB7">
        <w:rPr>
          <w:rFonts w:ascii="Arial" w:hAnsi="Arial" w:cs="Arial"/>
          <w:i/>
          <w:sz w:val="20"/>
          <w:szCs w:val="20"/>
        </w:rPr>
        <w:t>Predlagano, da se definicija termina »zasebni interes« spremeni tako, da se črta del besedila, ki se nanaša na družinske člane.</w:t>
      </w:r>
      <w:r w:rsidR="00FB4E1D">
        <w:rPr>
          <w:rFonts w:ascii="Arial" w:hAnsi="Arial" w:cs="Arial"/>
          <w:i/>
          <w:sz w:val="20"/>
          <w:szCs w:val="20"/>
        </w:rPr>
        <w:t xml:space="preserve"> </w:t>
      </w:r>
      <w:r w:rsidRPr="00FA5EB7">
        <w:rPr>
          <w:rFonts w:ascii="Arial" w:hAnsi="Arial" w:cs="Arial"/>
          <w:sz w:val="20"/>
          <w:szCs w:val="20"/>
        </w:rPr>
        <w:t>Predlog se ne upošteva. Korist za družinske člane uradne osebe je po mnenju predlagatelja tipičen primer zasebnega interesa, ki se mu je treba pri opravljanju javnih nalog izogibati, zato je ključno, da ostane v definiciji »zasebnega interesa«.</w:t>
      </w:r>
    </w:p>
    <w:p w14:paraId="4A064BD7" w14:textId="77777777" w:rsidR="00DC1214" w:rsidRPr="00FA5EB7" w:rsidRDefault="00DC1214" w:rsidP="00DC1214">
      <w:pPr>
        <w:spacing w:after="0" w:line="240" w:lineRule="auto"/>
        <w:jc w:val="both"/>
        <w:rPr>
          <w:rFonts w:ascii="Arial" w:hAnsi="Arial" w:cs="Arial"/>
          <w:b/>
          <w:sz w:val="20"/>
          <w:szCs w:val="20"/>
        </w:rPr>
      </w:pPr>
    </w:p>
    <w:p w14:paraId="6E98463A" w14:textId="0ECC1371"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3. členu</w:t>
      </w:r>
      <w:r w:rsidR="0056044F">
        <w:rPr>
          <w:rFonts w:ascii="Arial" w:hAnsi="Arial" w:cs="Arial"/>
          <w:b/>
          <w:sz w:val="20"/>
          <w:szCs w:val="20"/>
          <w:u w:val="single"/>
        </w:rPr>
        <w:t xml:space="preserve"> (7.a člen ZIntPK)</w:t>
      </w:r>
    </w:p>
    <w:p w14:paraId="46127E10"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5D37D1D9"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34EDDE65" w14:textId="116C5171"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členu, ki ureja izločitev funkcionarja ali uslužbenca komisije, dosledno navaja oba (drugi in tretji odstavek).</w:t>
      </w:r>
      <w:r w:rsidR="00FB4E1D">
        <w:rPr>
          <w:rFonts w:ascii="Arial" w:hAnsi="Arial" w:cs="Arial"/>
          <w:sz w:val="20"/>
          <w:szCs w:val="20"/>
        </w:rPr>
        <w:t xml:space="preserve"> </w:t>
      </w:r>
      <w:r w:rsidRPr="003D757B">
        <w:rPr>
          <w:rFonts w:ascii="Arial" w:hAnsi="Arial" w:cs="Arial"/>
          <w:sz w:val="20"/>
          <w:szCs w:val="20"/>
        </w:rPr>
        <w:t>Predlog se upošteva.</w:t>
      </w:r>
    </w:p>
    <w:p w14:paraId="24798DA1"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51743FAF" w14:textId="7064B8BB"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določi obvezna pisna oblika in obvezna obrazložitev predloga za izločitev.</w:t>
      </w:r>
      <w:r w:rsidR="00FB4E1D">
        <w:rPr>
          <w:rFonts w:ascii="Arial" w:hAnsi="Arial" w:cs="Arial"/>
          <w:i/>
          <w:sz w:val="20"/>
          <w:szCs w:val="20"/>
        </w:rPr>
        <w:t xml:space="preserve"> </w:t>
      </w:r>
      <w:r w:rsidRPr="003D757B">
        <w:rPr>
          <w:rFonts w:ascii="Arial" w:hAnsi="Arial" w:cs="Arial"/>
          <w:sz w:val="20"/>
          <w:szCs w:val="20"/>
        </w:rPr>
        <w:t>Predloga se ne upošteva. Predlog za izločitev je lahko podana kadarkoli, tudi na primer ob začetku seje na kateri se vodi razgovor z obravnavano osebo. O takšnih predlogih je treba odločiti brez odlašanja, ki bi ga pomenila zahteva po pisni obliki. Po mnenju predlagatelja je jasno, da mora biti razlog za izločitev utemeljen, kar pomeni, da zahteve za izločitev, ki ni primerno obrazložena, sploh ni mogoče obravnavati.</w:t>
      </w:r>
    </w:p>
    <w:p w14:paraId="73BBFFC7" w14:textId="359762E0" w:rsidR="00DC1214" w:rsidRDefault="00DC1214" w:rsidP="00DC1214">
      <w:pPr>
        <w:spacing w:after="0" w:line="240" w:lineRule="auto"/>
        <w:jc w:val="both"/>
        <w:rPr>
          <w:rFonts w:ascii="Arial" w:hAnsi="Arial" w:cs="Arial"/>
          <w:b/>
          <w:sz w:val="20"/>
          <w:szCs w:val="20"/>
        </w:rPr>
      </w:pPr>
    </w:p>
    <w:p w14:paraId="378FD68F" w14:textId="195FCF70" w:rsidR="00E0431D" w:rsidRPr="00E0431D" w:rsidRDefault="00E0431D" w:rsidP="00E0431D">
      <w:pPr>
        <w:spacing w:after="0" w:line="240" w:lineRule="auto"/>
        <w:jc w:val="both"/>
        <w:rPr>
          <w:rFonts w:ascii="Arial" w:hAnsi="Arial" w:cs="Arial"/>
          <w:b/>
          <w:sz w:val="20"/>
          <w:szCs w:val="20"/>
          <w:u w:val="single"/>
        </w:rPr>
      </w:pPr>
      <w:bookmarkStart w:id="3" w:name="_Hlk11679006"/>
      <w:r w:rsidRPr="00E0431D">
        <w:rPr>
          <w:rFonts w:ascii="Arial" w:hAnsi="Arial" w:cs="Arial"/>
          <w:b/>
          <w:sz w:val="20"/>
          <w:szCs w:val="20"/>
          <w:u w:val="single"/>
        </w:rPr>
        <w:t>K 4. členu (9 člen ZIntPK)</w:t>
      </w:r>
    </w:p>
    <w:p w14:paraId="0BA5C858" w14:textId="72038479" w:rsidR="00E0431D" w:rsidRDefault="00E0431D" w:rsidP="00E0431D">
      <w:pPr>
        <w:spacing w:after="0" w:line="240" w:lineRule="auto"/>
        <w:jc w:val="both"/>
        <w:rPr>
          <w:rFonts w:ascii="Arial" w:hAnsi="Arial" w:cs="Arial"/>
          <w:sz w:val="20"/>
          <w:szCs w:val="20"/>
        </w:rPr>
      </w:pPr>
    </w:p>
    <w:p w14:paraId="696FC1D7" w14:textId="49C94F88" w:rsidR="00E0431D" w:rsidRPr="00E0431D" w:rsidRDefault="00E0431D" w:rsidP="00E0431D">
      <w:pPr>
        <w:spacing w:after="0" w:line="240" w:lineRule="auto"/>
        <w:jc w:val="both"/>
        <w:rPr>
          <w:rFonts w:ascii="Arial" w:hAnsi="Arial" w:cs="Arial"/>
          <w:sz w:val="20"/>
          <w:szCs w:val="20"/>
          <w:u w:val="single"/>
        </w:rPr>
      </w:pPr>
      <w:r w:rsidRPr="00E0431D">
        <w:rPr>
          <w:rFonts w:ascii="Arial" w:hAnsi="Arial" w:cs="Arial"/>
          <w:sz w:val="20"/>
          <w:szCs w:val="20"/>
          <w:u w:val="single"/>
        </w:rPr>
        <w:t>KPK</w:t>
      </w:r>
    </w:p>
    <w:p w14:paraId="24270172" w14:textId="23535554" w:rsidR="00E0431D" w:rsidRPr="00E0431D" w:rsidRDefault="00E0431D" w:rsidP="00E0431D">
      <w:pPr>
        <w:spacing w:after="0" w:line="240" w:lineRule="auto"/>
        <w:jc w:val="both"/>
        <w:rPr>
          <w:rFonts w:ascii="Arial" w:hAnsi="Arial" w:cs="Arial"/>
          <w:i/>
          <w:sz w:val="20"/>
          <w:szCs w:val="20"/>
        </w:rPr>
      </w:pPr>
      <w:r w:rsidRPr="00E0431D">
        <w:rPr>
          <w:rFonts w:ascii="Arial" w:hAnsi="Arial" w:cs="Arial"/>
          <w:i/>
          <w:sz w:val="20"/>
          <w:szCs w:val="20"/>
        </w:rPr>
        <w:t>Predlagano, naj se v 3. alineji prvega odstavka 9. člena</w:t>
      </w:r>
      <w:r w:rsidR="004E667E">
        <w:rPr>
          <w:rFonts w:ascii="Arial" w:hAnsi="Arial" w:cs="Arial"/>
          <w:i/>
          <w:sz w:val="20"/>
          <w:szCs w:val="20"/>
        </w:rPr>
        <w:t xml:space="preserve"> natančneje določi, kaj se upošteva</w:t>
      </w:r>
      <w:r w:rsidRPr="00E0431D">
        <w:rPr>
          <w:rFonts w:ascii="Arial" w:hAnsi="Arial" w:cs="Arial"/>
          <w:i/>
          <w:sz w:val="20"/>
          <w:szCs w:val="20"/>
        </w:rPr>
        <w:t xml:space="preserve"> kot delovne izkušnje</w:t>
      </w:r>
      <w:r w:rsidR="004E667E">
        <w:rPr>
          <w:rFonts w:ascii="Arial" w:hAnsi="Arial" w:cs="Arial"/>
          <w:i/>
          <w:sz w:val="20"/>
          <w:szCs w:val="20"/>
        </w:rPr>
        <w:t xml:space="preserve"> pri opravljanju nalog za katere je zahtevana izobrazba. Po mnenju KPK naj se ne upoštevajo</w:t>
      </w:r>
      <w:r w:rsidRPr="00E0431D">
        <w:rPr>
          <w:rFonts w:ascii="Arial" w:hAnsi="Arial" w:cs="Arial"/>
          <w:i/>
          <w:sz w:val="20"/>
          <w:szCs w:val="20"/>
        </w:rPr>
        <w:t xml:space="preserve"> izkušnje pridobljene pred pridobitvijo predpisane izobrazbe, četudi so bile pridobljene na delovnem mestu, za katero se zahteva predpisana izobrazba.</w:t>
      </w:r>
    </w:p>
    <w:p w14:paraId="076F2F8F" w14:textId="77777777" w:rsidR="00E0431D" w:rsidRPr="00E0431D" w:rsidRDefault="00E0431D" w:rsidP="00E0431D">
      <w:pPr>
        <w:spacing w:after="0" w:line="240" w:lineRule="auto"/>
        <w:jc w:val="both"/>
        <w:rPr>
          <w:rFonts w:ascii="Arial" w:hAnsi="Arial" w:cs="Arial"/>
          <w:sz w:val="20"/>
          <w:szCs w:val="20"/>
        </w:rPr>
      </w:pPr>
    </w:p>
    <w:p w14:paraId="65538335" w14:textId="52D73107" w:rsidR="00E0431D" w:rsidRPr="00E0431D" w:rsidRDefault="004E667E" w:rsidP="004E667E">
      <w:pPr>
        <w:spacing w:after="0" w:line="240" w:lineRule="auto"/>
        <w:jc w:val="both"/>
        <w:rPr>
          <w:rFonts w:ascii="Arial" w:hAnsi="Arial" w:cs="Arial"/>
          <w:sz w:val="20"/>
          <w:szCs w:val="20"/>
        </w:rPr>
      </w:pPr>
      <w:r>
        <w:rPr>
          <w:rFonts w:ascii="Arial" w:hAnsi="Arial" w:cs="Arial"/>
          <w:sz w:val="20"/>
          <w:szCs w:val="20"/>
        </w:rPr>
        <w:t>Po mnenju predlagatelja predlagano besedilo natančneje določa</w:t>
      </w:r>
      <w:r w:rsidR="00E0431D" w:rsidRPr="00E0431D">
        <w:rPr>
          <w:rFonts w:ascii="Arial" w:hAnsi="Arial" w:cs="Arial"/>
          <w:sz w:val="20"/>
          <w:szCs w:val="20"/>
        </w:rPr>
        <w:t>, da se pri presoji delovnih izkušenj uporabljajo enaki kriteriji kot za javne uslužbence, Izbirna komisije pa je takšno stališče že sprejela tudi v preteklih postopkih. Z novelo se pogoji vsebinsko sicer dodatno višajo, saj se dodaja zahtevane izkušnje 3 leta na področju preprečevanja korupcije.</w:t>
      </w:r>
    </w:p>
    <w:p w14:paraId="4FDD8070" w14:textId="77777777" w:rsidR="00E0431D" w:rsidRPr="00E0431D" w:rsidRDefault="00E0431D" w:rsidP="00E0431D">
      <w:pPr>
        <w:spacing w:after="0" w:line="240" w:lineRule="auto"/>
        <w:jc w:val="both"/>
        <w:rPr>
          <w:rFonts w:ascii="Arial" w:hAnsi="Arial" w:cs="Arial"/>
          <w:sz w:val="20"/>
          <w:szCs w:val="20"/>
        </w:rPr>
      </w:pPr>
    </w:p>
    <w:p w14:paraId="0BB8EF57" w14:textId="7F953003" w:rsidR="00E0431D" w:rsidRPr="00E0431D" w:rsidRDefault="00E0431D" w:rsidP="00E0431D">
      <w:pPr>
        <w:spacing w:after="0" w:line="240" w:lineRule="auto"/>
        <w:jc w:val="both"/>
        <w:rPr>
          <w:rFonts w:ascii="Arial" w:hAnsi="Arial" w:cs="Arial"/>
          <w:sz w:val="20"/>
          <w:szCs w:val="20"/>
        </w:rPr>
      </w:pPr>
      <w:r w:rsidRPr="00E0431D">
        <w:rPr>
          <w:rFonts w:ascii="Arial" w:hAnsi="Arial" w:cs="Arial"/>
          <w:sz w:val="20"/>
          <w:szCs w:val="20"/>
        </w:rPr>
        <w:t>Glede na navedeno predlog ni bil upoštevan.</w:t>
      </w:r>
    </w:p>
    <w:bookmarkEnd w:id="3"/>
    <w:p w14:paraId="51AB77FC" w14:textId="77777777" w:rsidR="00E0431D" w:rsidRPr="003D757B" w:rsidRDefault="00E0431D" w:rsidP="00DC1214">
      <w:pPr>
        <w:spacing w:after="0" w:line="240" w:lineRule="auto"/>
        <w:jc w:val="both"/>
        <w:rPr>
          <w:rFonts w:ascii="Arial" w:hAnsi="Arial" w:cs="Arial"/>
          <w:b/>
          <w:sz w:val="20"/>
          <w:szCs w:val="20"/>
        </w:rPr>
      </w:pPr>
    </w:p>
    <w:p w14:paraId="0E507905" w14:textId="6EA3548B"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705E95">
        <w:rPr>
          <w:rFonts w:ascii="Arial" w:hAnsi="Arial" w:cs="Arial"/>
          <w:b/>
          <w:sz w:val="20"/>
          <w:szCs w:val="20"/>
          <w:u w:val="single"/>
        </w:rPr>
        <w:t>5</w:t>
      </w:r>
      <w:r w:rsidRPr="003D757B">
        <w:rPr>
          <w:rFonts w:ascii="Arial" w:hAnsi="Arial" w:cs="Arial"/>
          <w:b/>
          <w:sz w:val="20"/>
          <w:szCs w:val="20"/>
          <w:u w:val="single"/>
        </w:rPr>
        <w:t>. členu</w:t>
      </w:r>
      <w:r w:rsidR="0056044F">
        <w:rPr>
          <w:rFonts w:ascii="Arial" w:hAnsi="Arial" w:cs="Arial"/>
          <w:b/>
          <w:sz w:val="20"/>
          <w:szCs w:val="20"/>
          <w:u w:val="single"/>
        </w:rPr>
        <w:t xml:space="preserve"> (9.a člen ZIntPK)</w:t>
      </w:r>
    </w:p>
    <w:p w14:paraId="0CE7B646"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02EDBEAC"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44CA7F21" w14:textId="0CFD9AB6" w:rsidR="00DC1214" w:rsidRPr="003D757B" w:rsidRDefault="00FA5EB7" w:rsidP="00DC1214">
      <w:pPr>
        <w:autoSpaceDE w:val="0"/>
        <w:autoSpaceDN w:val="0"/>
        <w:adjustRightInd w:val="0"/>
        <w:spacing w:after="0" w:line="240" w:lineRule="auto"/>
        <w:jc w:val="both"/>
        <w:rPr>
          <w:rFonts w:ascii="Arial" w:hAnsi="Arial" w:cs="Arial"/>
          <w:sz w:val="20"/>
          <w:szCs w:val="20"/>
        </w:rPr>
      </w:pPr>
      <w:r>
        <w:rPr>
          <w:rFonts w:ascii="Arial" w:hAnsi="Arial" w:cs="Arial"/>
          <w:i/>
          <w:sz w:val="20"/>
          <w:szCs w:val="20"/>
        </w:rPr>
        <w:t>KPK meni, da ni</w:t>
      </w:r>
      <w:r w:rsidR="00DC1214" w:rsidRPr="003D757B">
        <w:rPr>
          <w:rFonts w:ascii="Arial" w:hAnsi="Arial" w:cs="Arial"/>
          <w:i/>
          <w:sz w:val="20"/>
          <w:szCs w:val="20"/>
        </w:rPr>
        <w:t xml:space="preserve"> jasno, zakaj po določbi osmega odstavka kandidacijska komisija pošlje predsedniku republike tudi seznam kandidatov, ki ne izpolnjujejo formalnih pogojev. Predlagana </w:t>
      </w:r>
      <w:r>
        <w:rPr>
          <w:rFonts w:ascii="Arial" w:hAnsi="Arial" w:cs="Arial"/>
          <w:i/>
          <w:sz w:val="20"/>
          <w:szCs w:val="20"/>
        </w:rPr>
        <w:t xml:space="preserve">je </w:t>
      </w:r>
      <w:r w:rsidR="00DC1214" w:rsidRPr="003D757B">
        <w:rPr>
          <w:rFonts w:ascii="Arial" w:hAnsi="Arial" w:cs="Arial"/>
          <w:i/>
          <w:sz w:val="20"/>
          <w:szCs w:val="20"/>
        </w:rPr>
        <w:t>dopolnitev obrazložitve.</w:t>
      </w:r>
      <w:r w:rsidR="00FB4E1D">
        <w:rPr>
          <w:rFonts w:ascii="Arial" w:hAnsi="Arial" w:cs="Arial"/>
          <w:i/>
          <w:sz w:val="20"/>
          <w:szCs w:val="20"/>
        </w:rPr>
        <w:t xml:space="preserve"> </w:t>
      </w:r>
      <w:r w:rsidR="00DC1214" w:rsidRPr="003D757B">
        <w:rPr>
          <w:rFonts w:ascii="Arial" w:hAnsi="Arial" w:cs="Arial"/>
          <w:sz w:val="20"/>
          <w:szCs w:val="20"/>
        </w:rPr>
        <w:t>Predlog je upoštevan, obrazložitev je dopolnjena.</w:t>
      </w:r>
    </w:p>
    <w:p w14:paraId="277BF6EC" w14:textId="77777777" w:rsidR="00DC1214" w:rsidRPr="003D757B" w:rsidRDefault="00DC1214" w:rsidP="00DC1214">
      <w:pPr>
        <w:spacing w:after="0" w:line="240" w:lineRule="auto"/>
        <w:jc w:val="both"/>
        <w:rPr>
          <w:rFonts w:ascii="Arial" w:hAnsi="Arial" w:cs="Arial"/>
          <w:b/>
          <w:sz w:val="20"/>
          <w:szCs w:val="20"/>
        </w:rPr>
      </w:pPr>
    </w:p>
    <w:p w14:paraId="59BC7EB8" w14:textId="78F3AE50"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7. členu</w:t>
      </w:r>
      <w:r w:rsidR="0056044F">
        <w:rPr>
          <w:rFonts w:ascii="Arial" w:hAnsi="Arial" w:cs="Arial"/>
          <w:b/>
          <w:sz w:val="20"/>
          <w:szCs w:val="20"/>
          <w:u w:val="single"/>
        </w:rPr>
        <w:t xml:space="preserve"> (11. člen ZIntPK)</w:t>
      </w:r>
    </w:p>
    <w:p w14:paraId="37733A9C"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1B9BDD59"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21B7F92B" w14:textId="3E7CD4B7"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drugi odstavek doda nova šesta alineja, ki kot pooblastilo senata določa odreditev izdelave, uresničitev in dopolnitev načrta integritete iz drugega odstavka 47. člena tega zakona.</w:t>
      </w:r>
      <w:r w:rsidR="00FB4E1D">
        <w:rPr>
          <w:rFonts w:ascii="Arial" w:hAnsi="Arial" w:cs="Arial"/>
          <w:i/>
          <w:sz w:val="20"/>
          <w:szCs w:val="20"/>
        </w:rPr>
        <w:t xml:space="preserve"> </w:t>
      </w:r>
      <w:r w:rsidRPr="003D757B">
        <w:rPr>
          <w:rFonts w:ascii="Arial" w:hAnsi="Arial" w:cs="Arial"/>
          <w:sz w:val="20"/>
          <w:szCs w:val="20"/>
        </w:rPr>
        <w:t>Predlog je upoštevan.</w:t>
      </w:r>
    </w:p>
    <w:p w14:paraId="29DEABA2" w14:textId="77777777" w:rsidR="00DC1214" w:rsidRPr="003D757B" w:rsidRDefault="00DC1214" w:rsidP="00DC1214">
      <w:pPr>
        <w:spacing w:after="0" w:line="240" w:lineRule="auto"/>
        <w:jc w:val="both"/>
        <w:rPr>
          <w:rFonts w:ascii="Arial" w:hAnsi="Arial" w:cs="Arial"/>
          <w:b/>
          <w:sz w:val="20"/>
          <w:szCs w:val="20"/>
        </w:rPr>
      </w:pPr>
    </w:p>
    <w:p w14:paraId="5E6B247D" w14:textId="438F4F40"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8. členu</w:t>
      </w:r>
      <w:r w:rsidR="0056044F">
        <w:rPr>
          <w:rFonts w:ascii="Arial" w:hAnsi="Arial" w:cs="Arial"/>
          <w:b/>
          <w:sz w:val="20"/>
          <w:szCs w:val="20"/>
          <w:u w:val="single"/>
        </w:rPr>
        <w:t xml:space="preserve"> (12. člen ZIntPK)</w:t>
      </w:r>
    </w:p>
    <w:p w14:paraId="6BE0256F"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5C008395"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5D122241" w14:textId="77B475F0"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Pripomba</w:t>
      </w:r>
      <w:r w:rsidR="00F93BA1">
        <w:rPr>
          <w:rFonts w:ascii="Arial" w:hAnsi="Arial" w:cs="Arial"/>
          <w:i/>
          <w:sz w:val="20"/>
          <w:szCs w:val="20"/>
        </w:rPr>
        <w:t xml:space="preserve"> v zvezi s šestim odstavkom</w:t>
      </w:r>
      <w:r w:rsidRPr="003D757B">
        <w:rPr>
          <w:rFonts w:ascii="Arial" w:hAnsi="Arial" w:cs="Arial"/>
          <w:i/>
          <w:sz w:val="20"/>
          <w:szCs w:val="20"/>
        </w:rPr>
        <w:t>, da KPK ni pristojna za določanje kategorizacije kaznivih dejanj, da bi lahko organom iz četrtega odstavka 12. člena sporočala seznam kaznivih dejanj korupcije v zvezi s katerimi ji morajo sporočati podatke. KPK predlaga, da organi v tem primeru ravnajo v skladu z določbami področnih zakonov, ki urejajo kazniva dejanja korupcije.</w:t>
      </w:r>
      <w:r w:rsidR="00FB4E1D">
        <w:rPr>
          <w:rFonts w:ascii="Arial" w:hAnsi="Arial" w:cs="Arial"/>
          <w:i/>
          <w:sz w:val="20"/>
          <w:szCs w:val="20"/>
        </w:rPr>
        <w:t xml:space="preserve"> </w:t>
      </w:r>
      <w:r w:rsidR="00F93BA1">
        <w:rPr>
          <w:rFonts w:ascii="Arial" w:hAnsi="Arial" w:cs="Arial"/>
          <w:sz w:val="20"/>
          <w:szCs w:val="20"/>
        </w:rPr>
        <w:t>Pripomba</w:t>
      </w:r>
      <w:r w:rsidRPr="003D757B">
        <w:rPr>
          <w:rFonts w:ascii="Arial" w:hAnsi="Arial" w:cs="Arial"/>
          <w:sz w:val="20"/>
          <w:szCs w:val="20"/>
        </w:rPr>
        <w:t xml:space="preserve"> se ne upošteva. KPK bo izmed kaznivih dejanj, ki jih določa Kazenski zakonik izbrala tista, ki se po znakih ujemajo z definicijo korupcije, </w:t>
      </w:r>
      <w:r w:rsidR="00A958DD">
        <w:rPr>
          <w:rFonts w:ascii="Arial" w:hAnsi="Arial" w:cs="Arial"/>
          <w:sz w:val="20"/>
          <w:szCs w:val="20"/>
        </w:rPr>
        <w:t>ob upoštevanju različnih metodologij zahtevanega poročanja, tudi mednarodnim organizacijam.</w:t>
      </w:r>
    </w:p>
    <w:p w14:paraId="73A9D2D6" w14:textId="77777777" w:rsidR="00DC1214" w:rsidRPr="003D757B" w:rsidRDefault="00DC1214" w:rsidP="00DC1214">
      <w:pPr>
        <w:spacing w:after="0" w:line="240" w:lineRule="auto"/>
        <w:jc w:val="both"/>
        <w:rPr>
          <w:rFonts w:ascii="Arial" w:hAnsi="Arial" w:cs="Arial"/>
          <w:b/>
          <w:sz w:val="20"/>
          <w:szCs w:val="20"/>
        </w:rPr>
      </w:pPr>
    </w:p>
    <w:p w14:paraId="550A5221" w14:textId="611D67AE"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9. členu</w:t>
      </w:r>
      <w:r w:rsidR="0056044F">
        <w:rPr>
          <w:rFonts w:ascii="Arial" w:hAnsi="Arial" w:cs="Arial"/>
          <w:b/>
          <w:sz w:val="20"/>
          <w:szCs w:val="20"/>
          <w:u w:val="single"/>
        </w:rPr>
        <w:t xml:space="preserve"> (13. členu ZIntPK)</w:t>
      </w:r>
    </w:p>
    <w:p w14:paraId="4B746325"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62DAACB2"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7BB987ED" w14:textId="0F1FA9C6"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četrti odstavek 13. člena spremeni tako, da ob obravnavi suma koruptivnega ravnanja, kjer ni podan sum kaznivega dejanja, KPK lahko izda ugotovitve o konkretnem primeru, ne da bi predhodno pridobila mnenje državnega tožilstva o obstoju znakov kaznivega dejanja.</w:t>
      </w:r>
      <w:r w:rsidR="00FB4E1D">
        <w:rPr>
          <w:rFonts w:ascii="Arial" w:hAnsi="Arial" w:cs="Arial"/>
          <w:i/>
          <w:sz w:val="20"/>
          <w:szCs w:val="20"/>
        </w:rPr>
        <w:t xml:space="preserve"> </w:t>
      </w:r>
      <w:r w:rsidRPr="003D757B">
        <w:rPr>
          <w:rFonts w:ascii="Arial" w:hAnsi="Arial" w:cs="Arial"/>
          <w:sz w:val="20"/>
          <w:szCs w:val="20"/>
        </w:rPr>
        <w:t>Predlog je upoštevan</w:t>
      </w:r>
      <w:r w:rsidR="00815545">
        <w:rPr>
          <w:rFonts w:ascii="Arial" w:hAnsi="Arial" w:cs="Arial"/>
          <w:sz w:val="20"/>
          <w:szCs w:val="20"/>
        </w:rPr>
        <w:t>, predlagan četrti odstavek je bil črtan</w:t>
      </w:r>
      <w:r w:rsidRPr="003D757B">
        <w:rPr>
          <w:rFonts w:ascii="Arial" w:hAnsi="Arial" w:cs="Arial"/>
          <w:sz w:val="20"/>
          <w:szCs w:val="20"/>
        </w:rPr>
        <w:t>.</w:t>
      </w:r>
    </w:p>
    <w:p w14:paraId="17A08F4E"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630199FE" w14:textId="1D38390E" w:rsidR="00DC1214"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podaljšanje roka v trinajstem odstavku s pet let na osem.</w:t>
      </w:r>
      <w:r w:rsidR="00FB4E1D">
        <w:rPr>
          <w:rFonts w:ascii="Arial" w:hAnsi="Arial" w:cs="Arial"/>
          <w:i/>
          <w:sz w:val="20"/>
          <w:szCs w:val="20"/>
        </w:rPr>
        <w:t xml:space="preserve"> </w:t>
      </w:r>
      <w:r w:rsidRPr="003D757B">
        <w:rPr>
          <w:rFonts w:ascii="Arial" w:hAnsi="Arial" w:cs="Arial"/>
          <w:sz w:val="20"/>
          <w:szCs w:val="20"/>
        </w:rPr>
        <w:t>Predloga se ne upošteva. Predlog ni obrazložen, predlagatelj pa je mnenja, da obravnava ravnanja, ki je starejše od pet let nima preventivnih učinkov, ki jih zasleduje zakon. Ravnanje, ki ustreza definiciji korupcije ali kršitvi integritete po ZIntPK je treba obravnavati hitro in se do njega opredeliti v obdobju, ko je to ravnanje še aktualno, da se z mnenjem KPK doseže preventivni učinek. Obravnavanje ravnanj, ki so se zgodila pred osmimi leti, tega cilja ne doseže.</w:t>
      </w:r>
    </w:p>
    <w:p w14:paraId="51E7960F" w14:textId="3C749005" w:rsidR="00F93BA1" w:rsidRDefault="00F93BA1" w:rsidP="00DC1214">
      <w:pPr>
        <w:autoSpaceDE w:val="0"/>
        <w:autoSpaceDN w:val="0"/>
        <w:adjustRightInd w:val="0"/>
        <w:spacing w:after="0" w:line="240" w:lineRule="auto"/>
        <w:jc w:val="both"/>
        <w:rPr>
          <w:rFonts w:ascii="Arial" w:hAnsi="Arial" w:cs="Arial"/>
          <w:sz w:val="20"/>
          <w:szCs w:val="20"/>
        </w:rPr>
      </w:pPr>
    </w:p>
    <w:p w14:paraId="4E46F148" w14:textId="77777777" w:rsidR="00F93BA1" w:rsidRPr="003D757B" w:rsidRDefault="00F93BA1" w:rsidP="00F93BA1">
      <w:pPr>
        <w:spacing w:after="0" w:line="240" w:lineRule="auto"/>
        <w:jc w:val="both"/>
        <w:rPr>
          <w:rFonts w:ascii="Arial" w:hAnsi="Arial" w:cs="Arial"/>
          <w:sz w:val="20"/>
          <w:szCs w:val="20"/>
          <w:u w:val="single"/>
        </w:rPr>
      </w:pPr>
      <w:r w:rsidRPr="003D757B">
        <w:rPr>
          <w:rFonts w:ascii="Arial" w:hAnsi="Arial" w:cs="Arial"/>
          <w:sz w:val="20"/>
          <w:szCs w:val="20"/>
          <w:u w:val="single"/>
        </w:rPr>
        <w:t>VDT</w:t>
      </w:r>
    </w:p>
    <w:p w14:paraId="4F7D97C3" w14:textId="1C96FA32" w:rsidR="00DC1214" w:rsidRDefault="00F93BA1" w:rsidP="00DC1214">
      <w:pPr>
        <w:spacing w:after="0" w:line="240" w:lineRule="auto"/>
        <w:jc w:val="both"/>
        <w:rPr>
          <w:rFonts w:ascii="Arial" w:hAnsi="Arial" w:cs="Arial"/>
          <w:sz w:val="20"/>
          <w:szCs w:val="20"/>
        </w:rPr>
      </w:pPr>
      <w:r w:rsidRPr="003D757B">
        <w:rPr>
          <w:rFonts w:ascii="Arial" w:hAnsi="Arial" w:cs="Arial"/>
          <w:i/>
          <w:sz w:val="20"/>
          <w:szCs w:val="20"/>
        </w:rPr>
        <w:t>Predlagano, da se državnemu tožilcu ne nalaga pristojnosti izven Zakona o kazenskem postopku.</w:t>
      </w:r>
      <w:r w:rsidR="00FB4E1D">
        <w:rPr>
          <w:rFonts w:ascii="Arial" w:hAnsi="Arial" w:cs="Arial"/>
          <w:i/>
          <w:sz w:val="20"/>
          <w:szCs w:val="20"/>
        </w:rPr>
        <w:t xml:space="preserve"> </w:t>
      </w:r>
      <w:r w:rsidRPr="003D757B">
        <w:rPr>
          <w:rFonts w:ascii="Arial" w:hAnsi="Arial" w:cs="Arial"/>
          <w:sz w:val="20"/>
          <w:szCs w:val="20"/>
        </w:rPr>
        <w:t>Pripomba je upoštevana, predlagani 4. odstavek je bil črtan peti (po novem četrti) pa je bil preoblikovan tako, da KPK ne pridobiva več mnenja tožilstva o obstoju kaznivega dejanja.</w:t>
      </w:r>
    </w:p>
    <w:p w14:paraId="51CD3ABD" w14:textId="77777777" w:rsidR="00F93BA1" w:rsidRPr="003D757B" w:rsidRDefault="00F93BA1" w:rsidP="00DC1214">
      <w:pPr>
        <w:spacing w:after="0" w:line="240" w:lineRule="auto"/>
        <w:jc w:val="both"/>
        <w:rPr>
          <w:rFonts w:ascii="Arial" w:hAnsi="Arial" w:cs="Arial"/>
          <w:b/>
          <w:sz w:val="20"/>
          <w:szCs w:val="20"/>
        </w:rPr>
      </w:pPr>
    </w:p>
    <w:p w14:paraId="203402A9" w14:textId="5530D50C"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11. členu</w:t>
      </w:r>
      <w:r w:rsidR="00FA5EB7">
        <w:rPr>
          <w:rFonts w:ascii="Arial" w:hAnsi="Arial" w:cs="Arial"/>
          <w:b/>
          <w:sz w:val="20"/>
          <w:szCs w:val="20"/>
          <w:u w:val="single"/>
        </w:rPr>
        <w:t xml:space="preserve"> (13.</w:t>
      </w:r>
      <w:r w:rsidR="00F93BA1">
        <w:rPr>
          <w:rFonts w:ascii="Arial" w:hAnsi="Arial" w:cs="Arial"/>
          <w:b/>
          <w:sz w:val="20"/>
          <w:szCs w:val="20"/>
          <w:u w:val="single"/>
        </w:rPr>
        <w:t>b</w:t>
      </w:r>
      <w:r w:rsidR="00FA5EB7">
        <w:rPr>
          <w:rFonts w:ascii="Arial" w:hAnsi="Arial" w:cs="Arial"/>
          <w:b/>
          <w:sz w:val="20"/>
          <w:szCs w:val="20"/>
          <w:u w:val="single"/>
        </w:rPr>
        <w:t xml:space="preserve"> člen ZIntPK)</w:t>
      </w:r>
    </w:p>
    <w:p w14:paraId="718FA0F8"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4BD88208"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6C05EB12" w14:textId="068EABF0"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Pripomba KPK, da člen ne določa možnih ukrepov v primeru, ko se enake kršitve kot jih določa prvi odstavek 13. člena nanašajo na neposredno voljene funkcionarje, ki nimajo »nadrejenega organa«, kar pomeni neenakopravno obravnavo funkcionarjev v primerih enakih zaznanih kršitev.</w:t>
      </w:r>
      <w:r w:rsidR="00FB4E1D">
        <w:rPr>
          <w:rFonts w:ascii="Arial" w:hAnsi="Arial" w:cs="Arial"/>
          <w:i/>
          <w:sz w:val="20"/>
          <w:szCs w:val="20"/>
        </w:rPr>
        <w:t xml:space="preserve"> </w:t>
      </w:r>
      <w:r w:rsidRPr="003D757B">
        <w:rPr>
          <w:rFonts w:ascii="Arial" w:hAnsi="Arial" w:cs="Arial"/>
          <w:sz w:val="20"/>
          <w:szCs w:val="20"/>
        </w:rPr>
        <w:t>Pripomba se ne upošteva. Med funkcionarji, ki so neposredno voljeni in funkcionarji, ki so na svojo funkcijo imenovani, so bistvene razlike. Npr. pri funkcionarjih, ki so imenovani, obstaja organ ali oseba, ki lahko odloča o njihovi razrešitvi, med tem ko pri funkcionarjih, ki so v funkcijo izvoljeni na neposrednih volitvah, takšne osebe ni. Po mnenju predlagatelja je treba podobne situacije obravnavati podobno, različne pa različno, zato v tem primeru ne gre za neenakopravno obravnavo.</w:t>
      </w:r>
    </w:p>
    <w:p w14:paraId="7CE4AE25" w14:textId="77777777" w:rsidR="00DC1214" w:rsidRPr="003D757B" w:rsidRDefault="00DC1214" w:rsidP="00DC1214">
      <w:pPr>
        <w:spacing w:after="0" w:line="240" w:lineRule="auto"/>
        <w:jc w:val="both"/>
        <w:rPr>
          <w:rFonts w:ascii="Arial" w:hAnsi="Arial" w:cs="Arial"/>
          <w:b/>
          <w:sz w:val="20"/>
          <w:szCs w:val="20"/>
        </w:rPr>
      </w:pPr>
    </w:p>
    <w:p w14:paraId="6BF9B4E7" w14:textId="684F09CA"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18. členu</w:t>
      </w:r>
      <w:r w:rsidR="00F93BA1">
        <w:rPr>
          <w:rFonts w:ascii="Arial" w:hAnsi="Arial" w:cs="Arial"/>
          <w:b/>
          <w:sz w:val="20"/>
          <w:szCs w:val="20"/>
          <w:u w:val="single"/>
        </w:rPr>
        <w:t xml:space="preserve"> (22. člen ZIntPK)</w:t>
      </w:r>
    </w:p>
    <w:p w14:paraId="776175FE"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6CB5CF91"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4E087EC5" w14:textId="2032A8E1"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Predlagana dopolnitev člena, in sicer tako, da bo jasno, za kakšno obdobje se po predčasni razrešitvi imenuje nov funkcionar (ali samo do konca trajanja mandata predčasno razrešenega funkcionarja komisije ali za celoten mandat).</w:t>
      </w:r>
      <w:r w:rsidR="00FB4E1D">
        <w:rPr>
          <w:rFonts w:ascii="Arial" w:hAnsi="Arial" w:cs="Arial"/>
          <w:i/>
          <w:sz w:val="20"/>
          <w:szCs w:val="20"/>
        </w:rPr>
        <w:t xml:space="preserve"> </w:t>
      </w:r>
      <w:r w:rsidRPr="003D757B">
        <w:rPr>
          <w:rFonts w:ascii="Arial" w:hAnsi="Arial" w:cs="Arial"/>
          <w:sz w:val="20"/>
          <w:szCs w:val="20"/>
        </w:rPr>
        <w:t>Predloga se ne upošteva. Imenovanje za preostanek mandata bi bilo smiselno, če bi se mandat celotnega senata začel in končal hkrati. Ker se ne, je ob upoštevanju predlaganega besedila jasno, da je nov funkcionar imenovan za celoten mandat.</w:t>
      </w:r>
    </w:p>
    <w:p w14:paraId="36F4203C" w14:textId="77777777" w:rsidR="00DC1214" w:rsidRPr="003D757B" w:rsidRDefault="00DC1214" w:rsidP="00DC1214">
      <w:pPr>
        <w:spacing w:after="0" w:line="240" w:lineRule="auto"/>
        <w:jc w:val="both"/>
        <w:rPr>
          <w:rFonts w:ascii="Arial" w:hAnsi="Arial" w:cs="Arial"/>
          <w:b/>
          <w:sz w:val="20"/>
          <w:szCs w:val="20"/>
        </w:rPr>
      </w:pPr>
    </w:p>
    <w:p w14:paraId="4E858160" w14:textId="6823CF1A"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19. členu</w:t>
      </w:r>
      <w:r w:rsidR="0052517B">
        <w:rPr>
          <w:rFonts w:ascii="Arial" w:hAnsi="Arial" w:cs="Arial"/>
          <w:b/>
          <w:sz w:val="20"/>
          <w:szCs w:val="20"/>
          <w:u w:val="single"/>
        </w:rPr>
        <w:t xml:space="preserve"> (30. člen ZIntPK)</w:t>
      </w:r>
    </w:p>
    <w:p w14:paraId="3D0814CD"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0E5AA990"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59FDCDB0" w14:textId="666AE216"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 xml:space="preserve">Predlagano, da se, glede na to, da donacij člen ne ureja več, sedmi odstavek črta. </w:t>
      </w:r>
      <w:r w:rsidRPr="003D757B">
        <w:rPr>
          <w:rFonts w:ascii="Arial" w:hAnsi="Arial" w:cs="Arial"/>
          <w:sz w:val="20"/>
          <w:szCs w:val="20"/>
        </w:rPr>
        <w:t>Predlog se upošteva.</w:t>
      </w:r>
    </w:p>
    <w:p w14:paraId="78C8AE81" w14:textId="77777777" w:rsidR="00DC1214" w:rsidRPr="003D757B" w:rsidRDefault="00DC1214" w:rsidP="00DC1214">
      <w:pPr>
        <w:spacing w:after="0" w:line="240" w:lineRule="auto"/>
        <w:jc w:val="both"/>
        <w:rPr>
          <w:rFonts w:ascii="Arial" w:hAnsi="Arial" w:cs="Arial"/>
          <w:b/>
          <w:sz w:val="20"/>
          <w:szCs w:val="20"/>
        </w:rPr>
      </w:pPr>
    </w:p>
    <w:p w14:paraId="45DB7556" w14:textId="2D7062AD"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2</w:t>
      </w:r>
      <w:r w:rsidR="0052517B">
        <w:rPr>
          <w:rFonts w:ascii="Arial" w:hAnsi="Arial" w:cs="Arial"/>
          <w:b/>
          <w:sz w:val="20"/>
          <w:szCs w:val="20"/>
          <w:u w:val="single"/>
        </w:rPr>
        <w:t>7</w:t>
      </w:r>
      <w:r w:rsidRPr="003D757B">
        <w:rPr>
          <w:rFonts w:ascii="Arial" w:hAnsi="Arial" w:cs="Arial"/>
          <w:b/>
          <w:sz w:val="20"/>
          <w:szCs w:val="20"/>
          <w:u w:val="single"/>
        </w:rPr>
        <w:t>. členu (38</w:t>
      </w:r>
      <w:r w:rsidR="0052517B">
        <w:rPr>
          <w:rFonts w:ascii="Arial" w:hAnsi="Arial" w:cs="Arial"/>
          <w:b/>
          <w:sz w:val="20"/>
          <w:szCs w:val="20"/>
          <w:u w:val="single"/>
        </w:rPr>
        <w:t>. člen ZIntPK</w:t>
      </w:r>
      <w:r w:rsidRPr="003D757B">
        <w:rPr>
          <w:rFonts w:ascii="Arial" w:hAnsi="Arial" w:cs="Arial"/>
          <w:b/>
          <w:sz w:val="20"/>
          <w:szCs w:val="20"/>
          <w:u w:val="single"/>
        </w:rPr>
        <w:t>)</w:t>
      </w:r>
    </w:p>
    <w:p w14:paraId="79C69088"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0FD5FF73"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013D05DA" w14:textId="78E84344"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podaljšanje roka v petem odstavku 38. člena. KPK predlaga podaljšanje roka na 15 dni zaradi zahtev procesnega vodenja (dopolnitve nepopolnih obvestil, tedensko odločanje na sejah senata ipd.).</w:t>
      </w:r>
      <w:r w:rsidR="00FB4E1D">
        <w:rPr>
          <w:rFonts w:ascii="Arial" w:hAnsi="Arial" w:cs="Arial"/>
          <w:i/>
          <w:sz w:val="20"/>
          <w:szCs w:val="20"/>
        </w:rPr>
        <w:t xml:space="preserve"> </w:t>
      </w:r>
      <w:r w:rsidRPr="003D757B">
        <w:rPr>
          <w:rFonts w:ascii="Arial" w:hAnsi="Arial" w:cs="Arial"/>
          <w:sz w:val="20"/>
          <w:szCs w:val="20"/>
        </w:rPr>
        <w:t>Predloga se ne upošteva. KPK skladno z ZUP obravnava vloge, ki so popolne, kar pomeni, da roki za obravnavo začnejo teči, ko je vloga popolna. Hitra odločitev o nasprotju interesov je po mnenju predlagatelja bistven del določbe, saj bi daljše odlašanje z odločitvijo lahko pomenilo hujše posledice za delo organa, ki se je z obvestilom obrnil na KPK, še posebej ker bo v teh primerih šlo za organe, ki nimajo svojih »nadrejenih« organov, ki bi odločali o nasprotju in načinu odpravljanja.</w:t>
      </w:r>
    </w:p>
    <w:p w14:paraId="1D161C1E" w14:textId="77777777" w:rsidR="00DC1214" w:rsidRPr="003D757B" w:rsidRDefault="00DC1214" w:rsidP="00DC1214">
      <w:pPr>
        <w:spacing w:after="0" w:line="240" w:lineRule="auto"/>
        <w:jc w:val="both"/>
        <w:rPr>
          <w:rFonts w:ascii="Arial" w:hAnsi="Arial" w:cs="Arial"/>
          <w:b/>
          <w:sz w:val="20"/>
          <w:szCs w:val="20"/>
        </w:rPr>
      </w:pPr>
    </w:p>
    <w:p w14:paraId="74416CE9" w14:textId="0169910D"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2</w:t>
      </w:r>
      <w:r w:rsidR="0052517B">
        <w:rPr>
          <w:rFonts w:ascii="Arial" w:hAnsi="Arial" w:cs="Arial"/>
          <w:b/>
          <w:sz w:val="20"/>
          <w:szCs w:val="20"/>
          <w:u w:val="single"/>
        </w:rPr>
        <w:t>9</w:t>
      </w:r>
      <w:r w:rsidRPr="003D757B">
        <w:rPr>
          <w:rFonts w:ascii="Arial" w:hAnsi="Arial" w:cs="Arial"/>
          <w:b/>
          <w:sz w:val="20"/>
          <w:szCs w:val="20"/>
          <w:u w:val="single"/>
        </w:rPr>
        <w:t>. členu (40</w:t>
      </w:r>
      <w:r w:rsidR="0052517B">
        <w:rPr>
          <w:rFonts w:ascii="Arial" w:hAnsi="Arial" w:cs="Arial"/>
          <w:b/>
          <w:sz w:val="20"/>
          <w:szCs w:val="20"/>
          <w:u w:val="single"/>
        </w:rPr>
        <w:t>. člen ZIntPK</w:t>
      </w:r>
      <w:r w:rsidRPr="003D757B">
        <w:rPr>
          <w:rFonts w:ascii="Arial" w:hAnsi="Arial" w:cs="Arial"/>
          <w:b/>
          <w:sz w:val="20"/>
          <w:szCs w:val="20"/>
          <w:u w:val="single"/>
        </w:rPr>
        <w:t>)</w:t>
      </w:r>
    </w:p>
    <w:p w14:paraId="2CEE9BAE"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18818E77"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49F37CBA" w14:textId="56AFE090"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besedilo »ali z drugim zakonom, ki ureja izločitev iz odločanja v pravnem postopku« črta, saj ni jasno, kaj vse se šteje za pravni postopek, ki bi bil že urejen z drugim zakonom.</w:t>
      </w:r>
      <w:r w:rsidR="00FB4E1D">
        <w:rPr>
          <w:rFonts w:ascii="Arial" w:hAnsi="Arial" w:cs="Arial"/>
          <w:i/>
          <w:sz w:val="20"/>
          <w:szCs w:val="20"/>
        </w:rPr>
        <w:t xml:space="preserve"> </w:t>
      </w:r>
      <w:r w:rsidRPr="003D757B">
        <w:rPr>
          <w:rFonts w:ascii="Arial" w:hAnsi="Arial" w:cs="Arial"/>
          <w:sz w:val="20"/>
          <w:szCs w:val="20"/>
        </w:rPr>
        <w:t>Predloga se ne upošteva. S terminom »pravni postopek« so mišljeni vsi postopki, ki so urejeni v kateremkoli zakonu. Zgolj primeroma navajamo: davčni postopek, inšpekcijski postopek, prekrškovni postopek itd.</w:t>
      </w:r>
    </w:p>
    <w:p w14:paraId="1D04D2F9" w14:textId="77777777" w:rsidR="00DC1214" w:rsidRPr="003D757B" w:rsidRDefault="00DC1214" w:rsidP="00DC1214">
      <w:pPr>
        <w:spacing w:after="0" w:line="240" w:lineRule="auto"/>
        <w:jc w:val="both"/>
        <w:rPr>
          <w:rFonts w:ascii="Arial" w:hAnsi="Arial" w:cs="Arial"/>
          <w:b/>
          <w:sz w:val="20"/>
          <w:szCs w:val="20"/>
        </w:rPr>
      </w:pPr>
    </w:p>
    <w:p w14:paraId="5D1E6768" w14:textId="3446D13A"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30</w:t>
      </w:r>
      <w:r w:rsidRPr="003D757B">
        <w:rPr>
          <w:rFonts w:ascii="Arial" w:hAnsi="Arial" w:cs="Arial"/>
          <w:b/>
          <w:sz w:val="20"/>
          <w:szCs w:val="20"/>
          <w:u w:val="single"/>
        </w:rPr>
        <w:t>. členu</w:t>
      </w:r>
      <w:r w:rsidR="0052517B">
        <w:rPr>
          <w:rFonts w:ascii="Arial" w:hAnsi="Arial" w:cs="Arial"/>
          <w:b/>
          <w:sz w:val="20"/>
          <w:szCs w:val="20"/>
          <w:u w:val="single"/>
        </w:rPr>
        <w:t xml:space="preserve"> (41. člen ZIntPK)</w:t>
      </w:r>
    </w:p>
    <w:p w14:paraId="0E3384AD"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46DE0E18"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426E0126" w14:textId="5B36CBAA"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 xml:space="preserve">Predlagano, naj se določneje opredeli obveznost oseb, odgovornih za javna naročila za poročanje premoženjskega stanja v 41. členu, ker se praksi kaže, da je včasih vprašljiv že sam začetek, od katerega so dejansko zavezanci in ima komisija pravno podlago za pridobivanje podatkov o njihovem premoženjskem stanju. Običajno kot začetek predstavlja nek sklep o imenovanju </w:t>
      </w:r>
      <w:r w:rsidR="0052517B">
        <w:rPr>
          <w:rFonts w:ascii="Arial" w:hAnsi="Arial" w:cs="Arial"/>
          <w:i/>
          <w:sz w:val="20"/>
          <w:szCs w:val="20"/>
        </w:rPr>
        <w:t>oseb, odgovornih za javna naročila</w:t>
      </w:r>
      <w:r w:rsidRPr="003D757B">
        <w:rPr>
          <w:rFonts w:ascii="Arial" w:hAnsi="Arial" w:cs="Arial"/>
          <w:i/>
          <w:sz w:val="20"/>
          <w:szCs w:val="20"/>
        </w:rPr>
        <w:t xml:space="preserve"> v konkretno komisijo za izvedbo naročila, v primeru, če takega sklepa ni, pa prva dejanska aktivnost </w:t>
      </w:r>
      <w:r w:rsidR="0052517B">
        <w:rPr>
          <w:rFonts w:ascii="Arial" w:hAnsi="Arial" w:cs="Arial"/>
          <w:i/>
          <w:sz w:val="20"/>
          <w:szCs w:val="20"/>
        </w:rPr>
        <w:t>teh oseb</w:t>
      </w:r>
      <w:r w:rsidRPr="003D757B">
        <w:rPr>
          <w:rFonts w:ascii="Arial" w:hAnsi="Arial" w:cs="Arial"/>
          <w:i/>
          <w:sz w:val="20"/>
          <w:szCs w:val="20"/>
        </w:rPr>
        <w:t xml:space="preserve"> v konkretnem postopku javnega naročila.</w:t>
      </w:r>
      <w:r w:rsidR="00FB4E1D">
        <w:rPr>
          <w:rFonts w:ascii="Arial" w:hAnsi="Arial" w:cs="Arial"/>
          <w:i/>
          <w:sz w:val="20"/>
          <w:szCs w:val="20"/>
        </w:rPr>
        <w:t xml:space="preserve"> </w:t>
      </w:r>
      <w:r w:rsidRPr="003D757B">
        <w:rPr>
          <w:rFonts w:ascii="Arial" w:hAnsi="Arial" w:cs="Arial"/>
          <w:sz w:val="20"/>
          <w:szCs w:val="20"/>
        </w:rPr>
        <w:t>Predlog je smiselno upoštevan. V tretjem odstavku 41. člena je dodano besedilo, ki določa, da se prijava premoženjskega stanja oseb odgovornih za javna naročila glasi na 31. december leta, ko so bili zavezanci. Dodatek k določbi prav tako pomeni bolj jasno podlago za nadzor nad premoženjskim stanjem, ker je jasno, da KPK lahko pridobiva podatke o premoženju zavezanca na ta dan.</w:t>
      </w:r>
    </w:p>
    <w:p w14:paraId="112EE55A"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4F21594E" w14:textId="60302A46"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35</w:t>
      </w:r>
      <w:r w:rsidRPr="003D757B">
        <w:rPr>
          <w:rFonts w:ascii="Arial" w:hAnsi="Arial" w:cs="Arial"/>
          <w:b/>
          <w:sz w:val="20"/>
          <w:szCs w:val="20"/>
          <w:u w:val="single"/>
        </w:rPr>
        <w:t>. členu</w:t>
      </w:r>
      <w:r w:rsidR="0052517B">
        <w:rPr>
          <w:rFonts w:ascii="Arial" w:hAnsi="Arial" w:cs="Arial"/>
          <w:b/>
          <w:sz w:val="20"/>
          <w:szCs w:val="20"/>
          <w:u w:val="single"/>
        </w:rPr>
        <w:t xml:space="preserve"> (46. člen ZIntPK)</w:t>
      </w:r>
    </w:p>
    <w:p w14:paraId="54D7DEC5"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07C046C2" w14:textId="77777777" w:rsidR="00DC1214" w:rsidRPr="00A5546C" w:rsidRDefault="00DC1214"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4C3501E0" w14:textId="555FD174"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46. členu določi objava celotnega premoženjskega stanja zavezancev, in ne le sprememb.</w:t>
      </w:r>
      <w:r w:rsidR="00FB4E1D">
        <w:rPr>
          <w:rFonts w:ascii="Arial" w:hAnsi="Arial" w:cs="Arial"/>
          <w:i/>
          <w:sz w:val="20"/>
          <w:szCs w:val="20"/>
        </w:rPr>
        <w:t xml:space="preserve"> </w:t>
      </w:r>
      <w:r w:rsidRPr="003D757B">
        <w:rPr>
          <w:rFonts w:ascii="Arial" w:hAnsi="Arial" w:cs="Arial"/>
          <w:sz w:val="20"/>
          <w:szCs w:val="20"/>
        </w:rPr>
        <w:t xml:space="preserve">Predloga ni bilo mogoče upoštevati. </w:t>
      </w:r>
      <w:r w:rsidR="00815545">
        <w:rPr>
          <w:rFonts w:ascii="Arial" w:hAnsi="Arial" w:cs="Arial"/>
          <w:sz w:val="20"/>
          <w:szCs w:val="20"/>
        </w:rPr>
        <w:t>Kot izhaja iz obrazložitve člena je takšni prvotno predlagani rešitvi nasprotoval Informacijski pooblaščenec in drugi deležniki.</w:t>
      </w:r>
    </w:p>
    <w:p w14:paraId="15627554" w14:textId="77777777" w:rsidR="00DC1214" w:rsidRPr="003D757B" w:rsidRDefault="00DC1214" w:rsidP="00DC1214">
      <w:pPr>
        <w:spacing w:after="0" w:line="240" w:lineRule="auto"/>
        <w:jc w:val="both"/>
        <w:rPr>
          <w:rFonts w:ascii="Arial" w:hAnsi="Arial" w:cs="Arial"/>
          <w:b/>
          <w:sz w:val="20"/>
          <w:szCs w:val="20"/>
        </w:rPr>
      </w:pPr>
    </w:p>
    <w:p w14:paraId="7D3BCD16" w14:textId="57F320A9" w:rsidR="00DC1214" w:rsidRDefault="00DC1214" w:rsidP="00DC1214">
      <w:pPr>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36</w:t>
      </w:r>
      <w:r w:rsidRPr="003D757B">
        <w:rPr>
          <w:rFonts w:ascii="Arial" w:hAnsi="Arial" w:cs="Arial"/>
          <w:b/>
          <w:sz w:val="20"/>
          <w:szCs w:val="20"/>
          <w:u w:val="single"/>
        </w:rPr>
        <w:t>. členu (63. člen ZIntPK)</w:t>
      </w:r>
    </w:p>
    <w:p w14:paraId="51B5716B" w14:textId="77777777" w:rsidR="00FA5EB7" w:rsidRPr="003D757B" w:rsidRDefault="00FA5EB7" w:rsidP="00DC1214">
      <w:pPr>
        <w:spacing w:after="0" w:line="240" w:lineRule="auto"/>
        <w:jc w:val="both"/>
        <w:rPr>
          <w:rFonts w:ascii="Arial" w:hAnsi="Arial" w:cs="Arial"/>
          <w:b/>
          <w:sz w:val="20"/>
          <w:szCs w:val="20"/>
          <w:u w:val="single"/>
        </w:rPr>
      </w:pPr>
    </w:p>
    <w:p w14:paraId="7A37C052" w14:textId="77777777" w:rsidR="00DC1214" w:rsidRPr="003D757B" w:rsidRDefault="00DC1214" w:rsidP="00DC1214">
      <w:pPr>
        <w:spacing w:after="0" w:line="240" w:lineRule="auto"/>
        <w:jc w:val="both"/>
        <w:rPr>
          <w:rFonts w:ascii="Arial" w:hAnsi="Arial" w:cs="Arial"/>
          <w:sz w:val="20"/>
          <w:szCs w:val="20"/>
          <w:u w:val="single"/>
        </w:rPr>
      </w:pPr>
      <w:r w:rsidRPr="003D757B">
        <w:rPr>
          <w:rFonts w:ascii="Arial" w:hAnsi="Arial" w:cs="Arial"/>
          <w:sz w:val="20"/>
          <w:szCs w:val="20"/>
          <w:u w:val="single"/>
        </w:rPr>
        <w:t>Skupen predlog Kluba slovenskih podjetnikov, Olimpijskega komiteja Slovenije, Planinske zveze Slovenije, Zveze prijateljev mladine Slovenije in CNVOS</w:t>
      </w:r>
    </w:p>
    <w:p w14:paraId="0D7BC5D5" w14:textId="12BE1F16" w:rsidR="00DC1214" w:rsidRPr="003D757B" w:rsidRDefault="00DC1214" w:rsidP="00DC1214">
      <w:pPr>
        <w:spacing w:after="0" w:line="240" w:lineRule="auto"/>
        <w:jc w:val="both"/>
        <w:rPr>
          <w:rFonts w:ascii="Arial" w:hAnsi="Arial" w:cs="Arial"/>
          <w:sz w:val="20"/>
          <w:szCs w:val="20"/>
        </w:rPr>
      </w:pPr>
      <w:r w:rsidRPr="003D757B">
        <w:rPr>
          <w:rFonts w:ascii="Arial" w:hAnsi="Arial" w:cs="Arial"/>
          <w:i/>
          <w:sz w:val="20"/>
          <w:szCs w:val="20"/>
        </w:rPr>
        <w:t>Predlagano, da o lobiranju interesnih organizacij v primeru, ko se poroča o lobističnem stiku prek elektronske pošte, ki se pošilja v imenu več interesnih skupin, poroča v obliki skupnega poročila le prva v takšnem sporočilu navedena organizacija. Prav tako predlagano, da interesna organizacija, ki nima zaposlenih ne poroča (izjema).</w:t>
      </w:r>
      <w:r w:rsidR="00FB4E1D">
        <w:rPr>
          <w:rFonts w:ascii="Arial" w:hAnsi="Arial" w:cs="Arial"/>
          <w:i/>
          <w:sz w:val="20"/>
          <w:szCs w:val="20"/>
        </w:rPr>
        <w:t xml:space="preserve"> </w:t>
      </w:r>
      <w:r w:rsidRPr="003D757B">
        <w:rPr>
          <w:rFonts w:ascii="Arial" w:hAnsi="Arial" w:cs="Arial"/>
          <w:sz w:val="20"/>
          <w:szCs w:val="20"/>
        </w:rPr>
        <w:t>Po mnenju predlagatelja mora o lobističnem stiku poročati interesna organizacija, ki je prek elektronske pošte poslala sporočilo z lobistično vsebino. Ravnanja pošiljatelja ne morejo zavezovati tudi drugih interesnih organizacij, prav tako pa ena interesna organizacija oziroma njen predstavnik, ki ni registrirani lobist, ne more lobirati za njih. Po mnenju predlagatelja je v primeru lobiranja po elektronski pošti, pri čemer predstavnik ene interesne organizacije pošlje sporočilo z lobistično vsebino, dovolj, da poroča samo njegova interesna organizacija, četudi se pri tem sklicuje na podporo drugih interesnih organizacij svojemu lobističnemu predlogu. Če se kasneje prek elektronske pošte v komunikacijo vključijo tudi predstavniki drugih interesnih organizacij, so k poročanju o lobističnem stiku zavezane tudi njihove interesne organizacije.</w:t>
      </w:r>
    </w:p>
    <w:p w14:paraId="60613E50" w14:textId="77777777" w:rsidR="00DC1214" w:rsidRPr="003D757B" w:rsidRDefault="00DC1214" w:rsidP="00DC1214">
      <w:pPr>
        <w:spacing w:after="0" w:line="240" w:lineRule="auto"/>
        <w:jc w:val="both"/>
        <w:rPr>
          <w:rFonts w:ascii="Arial" w:hAnsi="Arial" w:cs="Arial"/>
          <w:sz w:val="20"/>
          <w:szCs w:val="20"/>
        </w:rPr>
      </w:pPr>
    </w:p>
    <w:p w14:paraId="0DA07D46" w14:textId="3BA4E124" w:rsidR="00DC1214" w:rsidRPr="003D757B" w:rsidRDefault="00E10DEB" w:rsidP="00DC1214">
      <w:pPr>
        <w:spacing w:after="0" w:line="240" w:lineRule="auto"/>
        <w:jc w:val="both"/>
        <w:rPr>
          <w:rFonts w:ascii="Arial" w:hAnsi="Arial" w:cs="Arial"/>
          <w:sz w:val="20"/>
          <w:szCs w:val="20"/>
        </w:rPr>
      </w:pPr>
      <w:r>
        <w:rPr>
          <w:rFonts w:ascii="Arial" w:hAnsi="Arial" w:cs="Arial"/>
          <w:sz w:val="20"/>
          <w:szCs w:val="20"/>
        </w:rPr>
        <w:t>Predlog glede i</w:t>
      </w:r>
      <w:r w:rsidR="00DC1214" w:rsidRPr="003D757B">
        <w:rPr>
          <w:rFonts w:ascii="Arial" w:hAnsi="Arial" w:cs="Arial"/>
          <w:sz w:val="20"/>
          <w:szCs w:val="20"/>
        </w:rPr>
        <w:t>zjem</w:t>
      </w:r>
      <w:r>
        <w:rPr>
          <w:rFonts w:ascii="Arial" w:hAnsi="Arial" w:cs="Arial"/>
          <w:sz w:val="20"/>
          <w:szCs w:val="20"/>
        </w:rPr>
        <w:t xml:space="preserve">e za poročanje </w:t>
      </w:r>
      <w:r w:rsidR="00DC1214" w:rsidRPr="003D757B">
        <w:rPr>
          <w:rFonts w:ascii="Arial" w:hAnsi="Arial" w:cs="Arial"/>
          <w:sz w:val="20"/>
          <w:szCs w:val="20"/>
        </w:rPr>
        <w:t xml:space="preserve">interesne organizacije, ki nima zaposlenih, </w:t>
      </w:r>
      <w:r>
        <w:rPr>
          <w:rFonts w:ascii="Arial" w:hAnsi="Arial" w:cs="Arial"/>
          <w:sz w:val="20"/>
          <w:szCs w:val="20"/>
        </w:rPr>
        <w:t xml:space="preserve">je upoštevan. </w:t>
      </w:r>
    </w:p>
    <w:p w14:paraId="60F2A3B8" w14:textId="77777777" w:rsidR="00DC1214" w:rsidRPr="003D757B" w:rsidRDefault="00DC1214" w:rsidP="00DC1214">
      <w:pPr>
        <w:spacing w:after="0" w:line="240" w:lineRule="auto"/>
        <w:jc w:val="both"/>
        <w:rPr>
          <w:rFonts w:ascii="Arial" w:hAnsi="Arial" w:cs="Arial"/>
          <w:sz w:val="20"/>
          <w:szCs w:val="20"/>
        </w:rPr>
      </w:pPr>
    </w:p>
    <w:p w14:paraId="577FBA03" w14:textId="22BB59FF"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3</w:t>
      </w:r>
      <w:r w:rsidRPr="003D757B">
        <w:rPr>
          <w:rFonts w:ascii="Arial" w:hAnsi="Arial" w:cs="Arial"/>
          <w:b/>
          <w:sz w:val="20"/>
          <w:szCs w:val="20"/>
          <w:u w:val="single"/>
        </w:rPr>
        <w:t>8. členu (75.a</w:t>
      </w:r>
      <w:r w:rsidR="0052517B">
        <w:rPr>
          <w:rFonts w:ascii="Arial" w:hAnsi="Arial" w:cs="Arial"/>
          <w:b/>
          <w:sz w:val="20"/>
          <w:szCs w:val="20"/>
          <w:u w:val="single"/>
        </w:rPr>
        <w:t xml:space="preserve"> člen ZIntPK</w:t>
      </w:r>
      <w:r w:rsidRPr="003D757B">
        <w:rPr>
          <w:rFonts w:ascii="Arial" w:hAnsi="Arial" w:cs="Arial"/>
          <w:b/>
          <w:sz w:val="20"/>
          <w:szCs w:val="20"/>
          <w:u w:val="single"/>
        </w:rPr>
        <w:t>)</w:t>
      </w:r>
    </w:p>
    <w:p w14:paraId="09AAF57A"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2C76CD4E"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56FF0D87" w14:textId="7D8C982C"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uredi tudi dostop KPK do zbirk podatkov, ki jih KPK potrebuje za izvajanje nadzorov in preiskav, ki jih izvaja po zakonu.</w:t>
      </w:r>
      <w:r w:rsidR="00FB4E1D">
        <w:rPr>
          <w:rFonts w:ascii="Arial" w:hAnsi="Arial" w:cs="Arial"/>
          <w:i/>
          <w:sz w:val="20"/>
          <w:szCs w:val="20"/>
        </w:rPr>
        <w:t xml:space="preserve"> </w:t>
      </w:r>
      <w:r w:rsidRPr="003D757B">
        <w:rPr>
          <w:rFonts w:ascii="Arial" w:hAnsi="Arial" w:cs="Arial"/>
          <w:sz w:val="20"/>
          <w:szCs w:val="20"/>
        </w:rPr>
        <w:t xml:space="preserve">Predloga ni mogoče upoštevati, ker </w:t>
      </w:r>
      <w:r w:rsidR="00461DEF">
        <w:rPr>
          <w:rFonts w:ascii="Arial" w:hAnsi="Arial" w:cs="Arial"/>
          <w:sz w:val="20"/>
          <w:szCs w:val="20"/>
        </w:rPr>
        <w:t>3</w:t>
      </w:r>
      <w:r w:rsidRPr="003D757B">
        <w:rPr>
          <w:rFonts w:ascii="Arial" w:hAnsi="Arial" w:cs="Arial"/>
          <w:sz w:val="20"/>
          <w:szCs w:val="20"/>
        </w:rPr>
        <w:t>8. člen določa pridobivanje podatkov za namen javne objave v okviru aplikacije Erar. Namen je boljša transparentnost delovanja javnega sektorja s tem, da se osvetlijo transakcije javnega sektorja</w:t>
      </w:r>
      <w:r w:rsidR="00E10DEB">
        <w:rPr>
          <w:rFonts w:ascii="Arial" w:hAnsi="Arial" w:cs="Arial"/>
          <w:sz w:val="20"/>
          <w:szCs w:val="20"/>
        </w:rPr>
        <w:t>, pa tudi za izvajanje pristojnosti KPK</w:t>
      </w:r>
      <w:r w:rsidRPr="003D757B">
        <w:rPr>
          <w:rFonts w:ascii="Arial" w:hAnsi="Arial" w:cs="Arial"/>
          <w:sz w:val="20"/>
          <w:szCs w:val="20"/>
        </w:rPr>
        <w:t xml:space="preserve">. KPK </w:t>
      </w:r>
      <w:r w:rsidR="00E10DEB">
        <w:rPr>
          <w:rFonts w:ascii="Arial" w:hAnsi="Arial" w:cs="Arial"/>
          <w:sz w:val="20"/>
          <w:szCs w:val="20"/>
        </w:rPr>
        <w:t>ima sicer za izvajanje nadzorne pristojnosti</w:t>
      </w:r>
      <w:r w:rsidR="00461DEF">
        <w:rPr>
          <w:rFonts w:ascii="Arial" w:hAnsi="Arial" w:cs="Arial"/>
          <w:sz w:val="20"/>
          <w:szCs w:val="20"/>
        </w:rPr>
        <w:t>, npr. nadzora nad premoženjskim stanjem zavezancev,</w:t>
      </w:r>
      <w:r w:rsidR="00E10DEB">
        <w:rPr>
          <w:rFonts w:ascii="Arial" w:hAnsi="Arial" w:cs="Arial"/>
          <w:sz w:val="20"/>
          <w:szCs w:val="20"/>
        </w:rPr>
        <w:t xml:space="preserve"> </w:t>
      </w:r>
      <w:r w:rsidRPr="003D757B">
        <w:rPr>
          <w:rFonts w:ascii="Arial" w:hAnsi="Arial" w:cs="Arial"/>
          <w:sz w:val="20"/>
          <w:szCs w:val="20"/>
        </w:rPr>
        <w:t xml:space="preserve">že po veljavnem </w:t>
      </w:r>
      <w:r w:rsidR="00E10DEB" w:rsidRPr="003D757B">
        <w:rPr>
          <w:rFonts w:ascii="Arial" w:hAnsi="Arial" w:cs="Arial"/>
          <w:sz w:val="20"/>
          <w:szCs w:val="20"/>
        </w:rPr>
        <w:t>16. členu ZIntPK</w:t>
      </w:r>
      <w:r w:rsidRPr="003D757B">
        <w:rPr>
          <w:rFonts w:ascii="Arial" w:hAnsi="Arial" w:cs="Arial"/>
          <w:sz w:val="20"/>
          <w:szCs w:val="20"/>
        </w:rPr>
        <w:t xml:space="preserve"> možnost, da pridobi</w:t>
      </w:r>
      <w:r w:rsidR="00461DEF">
        <w:rPr>
          <w:rFonts w:ascii="Arial" w:hAnsi="Arial" w:cs="Arial"/>
          <w:sz w:val="20"/>
          <w:szCs w:val="20"/>
        </w:rPr>
        <w:t>va</w:t>
      </w:r>
      <w:r w:rsidRPr="003D757B">
        <w:rPr>
          <w:rFonts w:ascii="Arial" w:hAnsi="Arial" w:cs="Arial"/>
          <w:sz w:val="20"/>
          <w:szCs w:val="20"/>
        </w:rPr>
        <w:t xml:space="preserve"> vse podatke, ki jih potrebuje</w:t>
      </w:r>
      <w:r w:rsidR="009246DD">
        <w:rPr>
          <w:rFonts w:ascii="Arial" w:hAnsi="Arial" w:cs="Arial"/>
          <w:sz w:val="20"/>
          <w:szCs w:val="20"/>
        </w:rPr>
        <w:t>.</w:t>
      </w:r>
      <w:r w:rsidRPr="003D757B">
        <w:rPr>
          <w:rFonts w:ascii="Arial" w:hAnsi="Arial" w:cs="Arial"/>
          <w:sz w:val="20"/>
          <w:szCs w:val="20"/>
        </w:rPr>
        <w:t xml:space="preserve"> </w:t>
      </w:r>
    </w:p>
    <w:p w14:paraId="11B6E424"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1C66DD3D" w14:textId="3F3C0488"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Predlagane spremembe k naboru podatkov v drugem odstavku 75.a člena.</w:t>
      </w:r>
      <w:r w:rsidR="00FB4E1D">
        <w:rPr>
          <w:rFonts w:ascii="Arial" w:hAnsi="Arial" w:cs="Arial"/>
          <w:i/>
          <w:sz w:val="20"/>
          <w:szCs w:val="20"/>
        </w:rPr>
        <w:t xml:space="preserve"> </w:t>
      </w:r>
      <w:r w:rsidRPr="003D757B">
        <w:rPr>
          <w:rFonts w:ascii="Arial" w:hAnsi="Arial" w:cs="Arial"/>
          <w:sz w:val="20"/>
          <w:szCs w:val="20"/>
        </w:rPr>
        <w:t>Predlogi so delno upoštevani</w:t>
      </w:r>
      <w:r w:rsidR="00E10DEB">
        <w:rPr>
          <w:rFonts w:ascii="Arial" w:hAnsi="Arial" w:cs="Arial"/>
          <w:sz w:val="20"/>
          <w:szCs w:val="20"/>
        </w:rPr>
        <w:t>, upoštevaje usklajenost z drugimi deležniki</w:t>
      </w:r>
      <w:r w:rsidRPr="003D757B">
        <w:rPr>
          <w:rFonts w:ascii="Arial" w:hAnsi="Arial" w:cs="Arial"/>
          <w:sz w:val="20"/>
          <w:szCs w:val="20"/>
        </w:rPr>
        <w:t>.</w:t>
      </w:r>
    </w:p>
    <w:p w14:paraId="31422ECC"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6FA76D1B" w14:textId="55E9B676"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Predlagani redakcijski popravki tretjega, četrtega odstavka.</w:t>
      </w:r>
      <w:r w:rsidR="00FB4E1D">
        <w:rPr>
          <w:rFonts w:ascii="Arial" w:hAnsi="Arial" w:cs="Arial"/>
          <w:i/>
          <w:sz w:val="20"/>
          <w:szCs w:val="20"/>
        </w:rPr>
        <w:t xml:space="preserve"> </w:t>
      </w:r>
      <w:r w:rsidRPr="003D757B">
        <w:rPr>
          <w:rFonts w:ascii="Arial" w:hAnsi="Arial" w:cs="Arial"/>
          <w:sz w:val="20"/>
          <w:szCs w:val="20"/>
        </w:rPr>
        <w:t>Predlogi niso upoštevani, ker se so vsi podatki, na katere se nanašajo dopolnitve, že zajeti v besedilu.</w:t>
      </w:r>
    </w:p>
    <w:p w14:paraId="05118984"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2381D23F" w14:textId="4B918E48"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tretjo alinejo petega odstavka doda še možnost objave avtorskih in podjemnih pogodb, kjer iz namena nakazila izhaja namen avtorske ali podjemne pogodbe.</w:t>
      </w:r>
      <w:r w:rsidR="00FB4E1D">
        <w:rPr>
          <w:rFonts w:ascii="Arial" w:hAnsi="Arial" w:cs="Arial"/>
          <w:i/>
          <w:sz w:val="20"/>
          <w:szCs w:val="20"/>
        </w:rPr>
        <w:t xml:space="preserve"> </w:t>
      </w:r>
      <w:r w:rsidRPr="003D757B">
        <w:rPr>
          <w:rFonts w:ascii="Arial" w:hAnsi="Arial" w:cs="Arial"/>
          <w:sz w:val="20"/>
          <w:szCs w:val="20"/>
        </w:rPr>
        <w:t>Predloga se ne upošteva. Posebna SEPA koda namena, ki se uporablja za avtorske in podjemne pogodbe, je po mnenju predlagatelja ustrezen način določanja avtorskih in podjemnih pogodb, ki naj se objavijo. Koda namena omogoča tudi avtomatizirano objavo.</w:t>
      </w:r>
    </w:p>
    <w:p w14:paraId="466B7ACD"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1AA20D14" w14:textId="33110931"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K sedmemu odstavku predlagano, da se doda podatek o ISIN identifikatorju vrednostnega papirja</w:t>
      </w:r>
      <w:r w:rsidR="00FB4E1D">
        <w:rPr>
          <w:rFonts w:ascii="Arial" w:hAnsi="Arial" w:cs="Arial"/>
          <w:i/>
          <w:sz w:val="20"/>
          <w:szCs w:val="20"/>
        </w:rPr>
        <w:t xml:space="preserve">. </w:t>
      </w:r>
      <w:r w:rsidRPr="003D757B">
        <w:rPr>
          <w:rFonts w:ascii="Arial" w:hAnsi="Arial" w:cs="Arial"/>
          <w:sz w:val="20"/>
          <w:szCs w:val="20"/>
        </w:rPr>
        <w:t>Predlog ni upoštevan, ker je podatek že zajet kot »drugi podatki o vrednostnih papirjih iz centralnega registra nematerializiranih vrednostnih papirjev«.</w:t>
      </w:r>
    </w:p>
    <w:p w14:paraId="55DC7AE0"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07790F46" w14:textId="50FA8374"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desetem odstavku doda nova alineja, ki se glasi: »identifikator, ali gre za fizično osebo«.</w:t>
      </w:r>
      <w:r w:rsidR="00FB4E1D">
        <w:rPr>
          <w:rFonts w:ascii="Arial" w:hAnsi="Arial" w:cs="Arial"/>
          <w:i/>
          <w:sz w:val="20"/>
          <w:szCs w:val="20"/>
        </w:rPr>
        <w:t xml:space="preserve"> </w:t>
      </w:r>
      <w:r w:rsidRPr="003D757B">
        <w:rPr>
          <w:rFonts w:ascii="Arial" w:hAnsi="Arial" w:cs="Arial"/>
          <w:sz w:val="20"/>
          <w:szCs w:val="20"/>
        </w:rPr>
        <w:t>Predloga se ne upošteva. Evidenca, kot je določena v Zakonu o stvarnem premoženju države in samoupravnih lokalnih skupnosti, takšnega identifikatorja nima.</w:t>
      </w:r>
    </w:p>
    <w:p w14:paraId="4A4BA75A"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71A31875" w14:textId="34D3AA51"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enajstem členu doda identifikator fizične osebe in da se podrobneje opredeli podatke o nepremičninah v šesti alineji.</w:t>
      </w:r>
      <w:r w:rsidR="00FB4E1D">
        <w:rPr>
          <w:rFonts w:ascii="Arial" w:hAnsi="Arial" w:cs="Arial"/>
          <w:i/>
          <w:sz w:val="20"/>
          <w:szCs w:val="20"/>
        </w:rPr>
        <w:t xml:space="preserve"> </w:t>
      </w:r>
      <w:r w:rsidRPr="003D757B">
        <w:rPr>
          <w:rFonts w:ascii="Arial" w:hAnsi="Arial" w:cs="Arial"/>
          <w:sz w:val="20"/>
          <w:szCs w:val="20"/>
        </w:rPr>
        <w:t>Predloga se ne upošteva. Evidenca trga nepremičnin, kot jo določa Zakon o množičnem vrednotenju nepremičnin nima identifikatorja fizičnih oseb. Podatki o nepremičnini bodo zajemali vsaj povezovalni znak (zemljiškoknjižni ID nepremičnine), ki omogoča povezavo na podatke iz evidence stvarnega premoženja.</w:t>
      </w:r>
    </w:p>
    <w:p w14:paraId="18EE2A15"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50D0B3CA" w14:textId="3A7D2721"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petnajstem odstavku določi, da lahko KPK za namen povezovanja zbirk uporablja katerekoli identifikatorje, ki jih vsebujejo posamezne zbirke, razen pri fizičnih osebah, kjer lahko uporablja davčno številko, EMŠO ali transakcijski račun.</w:t>
      </w:r>
      <w:r w:rsidR="00FB4E1D">
        <w:rPr>
          <w:rFonts w:ascii="Arial" w:hAnsi="Arial" w:cs="Arial"/>
          <w:i/>
          <w:sz w:val="20"/>
          <w:szCs w:val="20"/>
        </w:rPr>
        <w:t xml:space="preserve"> </w:t>
      </w:r>
      <w:r w:rsidRPr="003D757B">
        <w:rPr>
          <w:rFonts w:ascii="Arial" w:hAnsi="Arial" w:cs="Arial"/>
          <w:sz w:val="20"/>
          <w:szCs w:val="20"/>
        </w:rPr>
        <w:t>Predloga se ne upošteva, ker slednje že izhaja iz predlaganega besedila člena.</w:t>
      </w:r>
    </w:p>
    <w:p w14:paraId="718E343B"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7776B231" w14:textId="0A1047A9" w:rsidR="00DC1214" w:rsidRPr="003D757B" w:rsidRDefault="003D757B"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IP</w:t>
      </w:r>
    </w:p>
    <w:p w14:paraId="08290E00" w14:textId="7FF95301"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i/>
          <w:sz w:val="20"/>
          <w:szCs w:val="20"/>
        </w:rPr>
        <w:t>Predlagano, da se pri odstavek dopolni tako, da se v uvodnem delu prvega odstavka jasneje zapiše, da se povezuje lahko zgolj s strani KPK pridobljene podatke in ne izvornih zbirk.</w:t>
      </w:r>
      <w:r w:rsidR="00FB4E1D">
        <w:rPr>
          <w:rFonts w:ascii="Arial" w:hAnsi="Arial" w:cs="Arial"/>
          <w:i/>
          <w:sz w:val="20"/>
          <w:szCs w:val="20"/>
        </w:rPr>
        <w:t xml:space="preserve"> </w:t>
      </w:r>
      <w:r w:rsidRPr="0052517B">
        <w:rPr>
          <w:rFonts w:ascii="Arial" w:hAnsi="Arial" w:cs="Arial"/>
          <w:sz w:val="20"/>
          <w:szCs w:val="20"/>
        </w:rPr>
        <w:t>Predlog je že vsebovan v besedilu predlaganega prvega odstavka 75.a člena. Iz besedila jasno izhaja, da se pristojnost za povezovanje nanaša na podatke iz zbirk, naštetih v seznamu prvega odstavka.</w:t>
      </w:r>
    </w:p>
    <w:p w14:paraId="2A0ACD60" w14:textId="77777777" w:rsidR="00DC1214" w:rsidRPr="0052517B" w:rsidRDefault="00DC1214" w:rsidP="00DC1214">
      <w:pPr>
        <w:autoSpaceDE w:val="0"/>
        <w:autoSpaceDN w:val="0"/>
        <w:adjustRightInd w:val="0"/>
        <w:spacing w:after="0" w:line="240" w:lineRule="auto"/>
        <w:jc w:val="both"/>
        <w:rPr>
          <w:rFonts w:ascii="Arial" w:hAnsi="Arial" w:cs="Arial"/>
          <w:sz w:val="20"/>
          <w:szCs w:val="20"/>
        </w:rPr>
      </w:pPr>
    </w:p>
    <w:p w14:paraId="7B759844" w14:textId="77777777" w:rsidR="00DC1214" w:rsidRPr="0052517B" w:rsidRDefault="00DC1214" w:rsidP="00DC1214">
      <w:pPr>
        <w:autoSpaceDE w:val="0"/>
        <w:autoSpaceDN w:val="0"/>
        <w:adjustRightInd w:val="0"/>
        <w:spacing w:after="0" w:line="240" w:lineRule="auto"/>
        <w:jc w:val="both"/>
        <w:rPr>
          <w:rFonts w:ascii="Arial" w:hAnsi="Arial" w:cs="Arial"/>
          <w:i/>
          <w:sz w:val="20"/>
          <w:szCs w:val="20"/>
        </w:rPr>
      </w:pPr>
      <w:r w:rsidRPr="0052517B">
        <w:rPr>
          <w:rFonts w:ascii="Arial" w:hAnsi="Arial" w:cs="Arial"/>
          <w:i/>
          <w:sz w:val="20"/>
          <w:szCs w:val="20"/>
        </w:rPr>
        <w:t>Predlagano, da se 11. točka prvega odstavka črta, ker ni jasno, katere evidence so mišljene niti ni jasno, kateri podatki naj bi se pridobivali. Enako tudi k dvanajstemu odstavku.</w:t>
      </w:r>
    </w:p>
    <w:p w14:paraId="695F51FA" w14:textId="77777777" w:rsidR="00DC1214" w:rsidRPr="0052517B" w:rsidRDefault="00DC1214" w:rsidP="00DC1214">
      <w:pPr>
        <w:autoSpaceDE w:val="0"/>
        <w:autoSpaceDN w:val="0"/>
        <w:adjustRightInd w:val="0"/>
        <w:spacing w:after="0" w:line="240" w:lineRule="auto"/>
        <w:jc w:val="both"/>
        <w:rPr>
          <w:rFonts w:ascii="Arial" w:hAnsi="Arial" w:cs="Arial"/>
          <w:sz w:val="20"/>
          <w:szCs w:val="20"/>
        </w:rPr>
      </w:pPr>
    </w:p>
    <w:p w14:paraId="08D8C59B" w14:textId="2A41F4BB"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sz w:val="20"/>
          <w:szCs w:val="20"/>
        </w:rPr>
        <w:t>Pojasnjujemo, da gre za podatke iz</w:t>
      </w:r>
      <w:r w:rsidR="00387B84">
        <w:rPr>
          <w:rFonts w:ascii="Arial" w:hAnsi="Arial" w:cs="Arial"/>
          <w:sz w:val="20"/>
          <w:szCs w:val="20"/>
        </w:rPr>
        <w:t xml:space="preserve"> zbirk kot so na primer</w:t>
      </w:r>
      <w:r w:rsidRPr="0052517B">
        <w:rPr>
          <w:rFonts w:ascii="Arial" w:hAnsi="Arial" w:cs="Arial"/>
          <w:sz w:val="20"/>
          <w:szCs w:val="20"/>
        </w:rPr>
        <w:t>:</w:t>
      </w:r>
    </w:p>
    <w:p w14:paraId="7F21805B" w14:textId="1AF23DFC" w:rsidR="00DC1214" w:rsidRPr="00DC1214" w:rsidRDefault="00DC1214" w:rsidP="00DC1214">
      <w:pPr>
        <w:pStyle w:val="Odstavekseznama"/>
        <w:numPr>
          <w:ilvl w:val="0"/>
          <w:numId w:val="76"/>
        </w:numPr>
        <w:autoSpaceDE w:val="0"/>
        <w:autoSpaceDN w:val="0"/>
        <w:adjustRightInd w:val="0"/>
        <w:spacing w:line="240" w:lineRule="auto"/>
        <w:jc w:val="both"/>
        <w:rPr>
          <w:rFonts w:cs="Arial"/>
          <w:szCs w:val="20"/>
        </w:rPr>
      </w:pPr>
      <w:r w:rsidRPr="00DC1214">
        <w:rPr>
          <w:rFonts w:cs="Arial"/>
          <w:szCs w:val="20"/>
        </w:rPr>
        <w:t>tečajnic</w:t>
      </w:r>
      <w:r w:rsidR="00387B84">
        <w:rPr>
          <w:rFonts w:cs="Arial"/>
          <w:szCs w:val="20"/>
        </w:rPr>
        <w:t>a</w:t>
      </w:r>
      <w:r w:rsidRPr="00DC1214">
        <w:rPr>
          <w:rFonts w:cs="Arial"/>
          <w:szCs w:val="20"/>
        </w:rPr>
        <w:t xml:space="preserve"> Banke Slovenije, ki je javno objavljena na spletnih straneh Banke Slovenije,</w:t>
      </w:r>
    </w:p>
    <w:p w14:paraId="434613FA" w14:textId="5A40A052" w:rsidR="00DC1214" w:rsidRPr="00DC1214" w:rsidRDefault="00DC1214" w:rsidP="00DC1214">
      <w:pPr>
        <w:pStyle w:val="Odstavekseznama"/>
        <w:numPr>
          <w:ilvl w:val="0"/>
          <w:numId w:val="76"/>
        </w:numPr>
        <w:autoSpaceDE w:val="0"/>
        <w:autoSpaceDN w:val="0"/>
        <w:adjustRightInd w:val="0"/>
        <w:spacing w:line="240" w:lineRule="auto"/>
        <w:jc w:val="both"/>
        <w:rPr>
          <w:rFonts w:cs="Arial"/>
          <w:szCs w:val="20"/>
        </w:rPr>
      </w:pPr>
      <w:r w:rsidRPr="00DC1214">
        <w:rPr>
          <w:rFonts w:cs="Arial"/>
          <w:szCs w:val="20"/>
        </w:rPr>
        <w:t>regist</w:t>
      </w:r>
      <w:r w:rsidR="00387B84">
        <w:rPr>
          <w:rFonts w:cs="Arial"/>
          <w:szCs w:val="20"/>
        </w:rPr>
        <w:t>er</w:t>
      </w:r>
      <w:r w:rsidRPr="00DC1214">
        <w:rPr>
          <w:rFonts w:cs="Arial"/>
          <w:szCs w:val="20"/>
        </w:rPr>
        <w:t xml:space="preserve"> proračunskih uporabnikov, ki je javno objavljen na spletnih straneh Uprave RS za javna plačila,</w:t>
      </w:r>
    </w:p>
    <w:p w14:paraId="72792D77" w14:textId="7C535755" w:rsidR="00DC1214" w:rsidRPr="00DC1214" w:rsidRDefault="00DC1214" w:rsidP="00DC1214">
      <w:pPr>
        <w:pStyle w:val="Odstavekseznama"/>
        <w:numPr>
          <w:ilvl w:val="0"/>
          <w:numId w:val="76"/>
        </w:numPr>
        <w:autoSpaceDE w:val="0"/>
        <w:autoSpaceDN w:val="0"/>
        <w:adjustRightInd w:val="0"/>
        <w:spacing w:line="240" w:lineRule="auto"/>
        <w:jc w:val="both"/>
        <w:rPr>
          <w:rFonts w:cs="Arial"/>
          <w:szCs w:val="20"/>
        </w:rPr>
      </w:pPr>
      <w:r w:rsidRPr="00DC1214">
        <w:rPr>
          <w:rFonts w:cs="Arial"/>
          <w:szCs w:val="20"/>
        </w:rPr>
        <w:t>šifrant SEPA kod namenov, ki ga na svojih spletnih straneh objavlja Uprava RS za javna plačila,</w:t>
      </w:r>
    </w:p>
    <w:p w14:paraId="2DD231A8" w14:textId="244A4726" w:rsidR="00DC1214" w:rsidRPr="00DC1214" w:rsidRDefault="00DC1214" w:rsidP="00DC1214">
      <w:pPr>
        <w:pStyle w:val="Odstavekseznama"/>
        <w:numPr>
          <w:ilvl w:val="0"/>
          <w:numId w:val="76"/>
        </w:numPr>
        <w:autoSpaceDE w:val="0"/>
        <w:autoSpaceDN w:val="0"/>
        <w:adjustRightInd w:val="0"/>
        <w:spacing w:line="240" w:lineRule="auto"/>
        <w:jc w:val="both"/>
        <w:rPr>
          <w:rFonts w:cs="Arial"/>
          <w:szCs w:val="20"/>
        </w:rPr>
      </w:pPr>
      <w:r w:rsidRPr="00DC1214">
        <w:rPr>
          <w:rFonts w:cs="Arial"/>
          <w:szCs w:val="20"/>
        </w:rPr>
        <w:t>šifrant standardne klasifikacije dejavnosti,</w:t>
      </w:r>
    </w:p>
    <w:p w14:paraId="73C7C495" w14:textId="7DBF9AF1" w:rsidR="00DC1214" w:rsidRPr="00DC1214" w:rsidRDefault="00DC1214" w:rsidP="00DC1214">
      <w:pPr>
        <w:pStyle w:val="Odstavekseznama"/>
        <w:numPr>
          <w:ilvl w:val="0"/>
          <w:numId w:val="76"/>
        </w:numPr>
        <w:autoSpaceDE w:val="0"/>
        <w:autoSpaceDN w:val="0"/>
        <w:adjustRightInd w:val="0"/>
        <w:spacing w:line="240" w:lineRule="auto"/>
        <w:jc w:val="both"/>
        <w:rPr>
          <w:rFonts w:cs="Arial"/>
          <w:szCs w:val="20"/>
        </w:rPr>
      </w:pPr>
      <w:r w:rsidRPr="00DC1214">
        <w:rPr>
          <w:rFonts w:cs="Arial"/>
          <w:szCs w:val="20"/>
        </w:rPr>
        <w:t>drug</w:t>
      </w:r>
      <w:r w:rsidR="00387B84">
        <w:rPr>
          <w:rFonts w:cs="Arial"/>
          <w:szCs w:val="20"/>
        </w:rPr>
        <w:t>e</w:t>
      </w:r>
      <w:r w:rsidRPr="00DC1214">
        <w:rPr>
          <w:rFonts w:cs="Arial"/>
          <w:szCs w:val="20"/>
        </w:rPr>
        <w:t xml:space="preserve"> podobn</w:t>
      </w:r>
      <w:r w:rsidR="00387B84">
        <w:rPr>
          <w:rFonts w:cs="Arial"/>
          <w:szCs w:val="20"/>
        </w:rPr>
        <w:t>e</w:t>
      </w:r>
      <w:r w:rsidRPr="00DC1214">
        <w:rPr>
          <w:rFonts w:cs="Arial"/>
          <w:szCs w:val="20"/>
        </w:rPr>
        <w:t xml:space="preserve"> zbirk</w:t>
      </w:r>
      <w:r w:rsidR="00387B84">
        <w:rPr>
          <w:rFonts w:cs="Arial"/>
          <w:szCs w:val="20"/>
        </w:rPr>
        <w:t>e</w:t>
      </w:r>
      <w:r w:rsidRPr="00DC1214">
        <w:rPr>
          <w:rFonts w:cs="Arial"/>
          <w:szCs w:val="20"/>
        </w:rPr>
        <w:t>.</w:t>
      </w:r>
    </w:p>
    <w:p w14:paraId="51CD7E11"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536A286B" w14:textId="58E4D9BA"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645E67">
        <w:rPr>
          <w:rFonts w:ascii="Arial" w:hAnsi="Arial" w:cs="Arial"/>
          <w:sz w:val="20"/>
          <w:szCs w:val="20"/>
        </w:rPr>
        <w:t xml:space="preserve">Gre za pomožne zbirke, ki jih KPK potrebuje za pravilno interpretacijo podatkov v zbirkah, navedenih v seznamu prvega odstavka. </w:t>
      </w:r>
      <w:r w:rsidR="00387B84" w:rsidRPr="00645E67">
        <w:rPr>
          <w:rFonts w:ascii="Arial" w:hAnsi="Arial" w:cs="Arial"/>
          <w:sz w:val="20"/>
          <w:szCs w:val="20"/>
        </w:rPr>
        <w:t>Zbirke načeloma</w:t>
      </w:r>
      <w:r w:rsidRPr="00645E67">
        <w:rPr>
          <w:rFonts w:ascii="Arial" w:hAnsi="Arial" w:cs="Arial"/>
          <w:sz w:val="20"/>
          <w:szCs w:val="20"/>
        </w:rPr>
        <w:t xml:space="preserve"> ne vsebujejo osebnih podatkov in so že javno objavljen</w:t>
      </w:r>
      <w:r w:rsidR="003F1A64" w:rsidRPr="00645E67">
        <w:rPr>
          <w:rFonts w:ascii="Arial" w:hAnsi="Arial" w:cs="Arial"/>
          <w:sz w:val="20"/>
          <w:szCs w:val="20"/>
        </w:rPr>
        <w:t>e</w:t>
      </w:r>
      <w:r w:rsidRPr="00645E67">
        <w:rPr>
          <w:rFonts w:ascii="Arial" w:hAnsi="Arial" w:cs="Arial"/>
          <w:sz w:val="20"/>
          <w:szCs w:val="20"/>
        </w:rPr>
        <w:t>, prav z namenom ponovne uporabe. S tem, ko je predlagatelj upošteval predlog Informacijskega pooblaščenca in določno navedel zbirke in posamezne podatke, ki jih KPK lahko pridobiva iz zbirk, se je povečalo tveganje, da niso navedene vse zbirke, ki jih KPK potrebuje za pravilno interpretacijo podatkov, kar bi lahko oteževalo ali celo onemogočalo pravilno delovanje aplikacije Erar. Po mnenju predlagatelja gre za določbo, ki je potrebna, zato je predlog le smiselno upošteval, tako da je dodatno opredelil evidence (ne vsebujejo osebnih podatkov …).</w:t>
      </w:r>
    </w:p>
    <w:p w14:paraId="2A9D6D56"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160F7841" w14:textId="2BEABC30"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trinajsti odstavek dopolni tako, da se omejijo tudi pravice iz 15. člena Splošne uredbe.</w:t>
      </w:r>
      <w:r w:rsidR="00FB4E1D">
        <w:rPr>
          <w:rFonts w:ascii="Arial" w:hAnsi="Arial" w:cs="Arial"/>
          <w:i/>
          <w:sz w:val="20"/>
          <w:szCs w:val="20"/>
        </w:rPr>
        <w:t xml:space="preserve"> </w:t>
      </w:r>
      <w:r w:rsidRPr="003D757B">
        <w:rPr>
          <w:rFonts w:ascii="Arial" w:hAnsi="Arial" w:cs="Arial"/>
          <w:sz w:val="20"/>
          <w:szCs w:val="20"/>
        </w:rPr>
        <w:t>Predlog je upoštevan.</w:t>
      </w:r>
    </w:p>
    <w:p w14:paraId="6A851932"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30ECBCA5" w14:textId="4FDBE61B"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4B2772">
        <w:rPr>
          <w:rFonts w:ascii="Arial" w:hAnsi="Arial" w:cs="Arial"/>
          <w:i/>
          <w:sz w:val="20"/>
          <w:szCs w:val="20"/>
        </w:rPr>
        <w:t>Predlagano, da se šestnajsti odstavek dopolni na način, da ne bo dvoma o tem, da lahko KPK zahteva zgolj tiste podatke (do katerih je upravičena) za obdobje zadnjih 10 let, ki so zakonito hranjeni v izvornih zbirkah in katerih rok hrambe še ni potekel.</w:t>
      </w:r>
      <w:r w:rsidR="00FB4E1D">
        <w:rPr>
          <w:rFonts w:ascii="Arial" w:hAnsi="Arial" w:cs="Arial"/>
          <w:i/>
          <w:sz w:val="20"/>
          <w:szCs w:val="20"/>
        </w:rPr>
        <w:t xml:space="preserve"> </w:t>
      </w:r>
      <w:r w:rsidRPr="003D757B">
        <w:rPr>
          <w:rFonts w:ascii="Arial" w:hAnsi="Arial" w:cs="Arial"/>
          <w:sz w:val="20"/>
          <w:szCs w:val="20"/>
        </w:rPr>
        <w:t xml:space="preserve">Predlagano izhaja že iz načela zakonitosti. KPK ne more pridobivati podatkov, ki niso zbrani zakonito ali se ne hranijo zakonito. </w:t>
      </w:r>
      <w:r w:rsidR="001E39DF">
        <w:rPr>
          <w:rFonts w:ascii="Arial" w:hAnsi="Arial" w:cs="Arial"/>
          <w:sz w:val="20"/>
          <w:szCs w:val="20"/>
        </w:rPr>
        <w:t xml:space="preserve">Za zakonitost zbranih podatkov odgovarja </w:t>
      </w:r>
      <w:r w:rsidRPr="003D757B">
        <w:rPr>
          <w:rFonts w:ascii="Arial" w:hAnsi="Arial" w:cs="Arial"/>
          <w:sz w:val="20"/>
          <w:szCs w:val="20"/>
        </w:rPr>
        <w:t>posamezni upravlja</w:t>
      </w:r>
      <w:r w:rsidR="001E39DF">
        <w:rPr>
          <w:rFonts w:ascii="Arial" w:hAnsi="Arial" w:cs="Arial"/>
          <w:sz w:val="20"/>
          <w:szCs w:val="20"/>
        </w:rPr>
        <w:t>lec evidence</w:t>
      </w:r>
      <w:r w:rsidR="009246DD">
        <w:rPr>
          <w:rFonts w:ascii="Arial" w:hAnsi="Arial" w:cs="Arial"/>
          <w:sz w:val="20"/>
          <w:szCs w:val="20"/>
        </w:rPr>
        <w:t>.</w:t>
      </w:r>
    </w:p>
    <w:p w14:paraId="050DDBD0"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7FB6742E" w14:textId="65F9159A"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K 28. členu (75.b</w:t>
      </w:r>
      <w:r w:rsidR="0052517B">
        <w:rPr>
          <w:rFonts w:ascii="Arial" w:hAnsi="Arial" w:cs="Arial"/>
          <w:b/>
          <w:sz w:val="20"/>
          <w:szCs w:val="20"/>
          <w:u w:val="single"/>
        </w:rPr>
        <w:t xml:space="preserve"> ZIntPK</w:t>
      </w:r>
      <w:r w:rsidRPr="003D757B">
        <w:rPr>
          <w:rFonts w:ascii="Arial" w:hAnsi="Arial" w:cs="Arial"/>
          <w:b/>
          <w:sz w:val="20"/>
          <w:szCs w:val="20"/>
          <w:u w:val="single"/>
        </w:rPr>
        <w:t>)</w:t>
      </w:r>
    </w:p>
    <w:p w14:paraId="79516038"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2BDD66DB"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204F271F" w14:textId="442CF143"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prvem odstavku besedilo »na spletni strani« nadomesti z besedilom »na spletu«.</w:t>
      </w:r>
      <w:r w:rsidR="00FB4E1D">
        <w:rPr>
          <w:rFonts w:ascii="Arial" w:hAnsi="Arial" w:cs="Arial"/>
          <w:i/>
          <w:sz w:val="20"/>
          <w:szCs w:val="20"/>
        </w:rPr>
        <w:t xml:space="preserve"> </w:t>
      </w:r>
      <w:r w:rsidRPr="003D757B">
        <w:rPr>
          <w:rFonts w:ascii="Arial" w:hAnsi="Arial" w:cs="Arial"/>
          <w:sz w:val="20"/>
          <w:szCs w:val="20"/>
        </w:rPr>
        <w:t>Predlog</w:t>
      </w:r>
      <w:r w:rsidR="003F1A64">
        <w:rPr>
          <w:rFonts w:ascii="Arial" w:hAnsi="Arial" w:cs="Arial"/>
          <w:sz w:val="20"/>
          <w:szCs w:val="20"/>
        </w:rPr>
        <w:t>a</w:t>
      </w:r>
      <w:r w:rsidRPr="003D757B">
        <w:rPr>
          <w:rFonts w:ascii="Arial" w:hAnsi="Arial" w:cs="Arial"/>
          <w:sz w:val="20"/>
          <w:szCs w:val="20"/>
        </w:rPr>
        <w:t xml:space="preserve"> ni</w:t>
      </w:r>
      <w:r w:rsidR="003F1A64">
        <w:rPr>
          <w:rFonts w:ascii="Arial" w:hAnsi="Arial" w:cs="Arial"/>
          <w:sz w:val="20"/>
          <w:szCs w:val="20"/>
        </w:rPr>
        <w:t>smo</w:t>
      </w:r>
      <w:r w:rsidRPr="003D757B">
        <w:rPr>
          <w:rFonts w:ascii="Arial" w:hAnsi="Arial" w:cs="Arial"/>
          <w:sz w:val="20"/>
          <w:szCs w:val="20"/>
        </w:rPr>
        <w:t xml:space="preserve"> upošteva</w:t>
      </w:r>
      <w:r w:rsidR="003F1A64">
        <w:rPr>
          <w:rFonts w:ascii="Arial" w:hAnsi="Arial" w:cs="Arial"/>
          <w:sz w:val="20"/>
          <w:szCs w:val="20"/>
        </w:rPr>
        <w:t xml:space="preserve">li, ker je besedilo </w:t>
      </w:r>
      <w:r w:rsidRPr="003D757B">
        <w:rPr>
          <w:rFonts w:ascii="Arial" w:hAnsi="Arial" w:cs="Arial"/>
          <w:sz w:val="20"/>
          <w:szCs w:val="20"/>
        </w:rPr>
        <w:t>»na spletni strani« ustrezno.</w:t>
      </w:r>
    </w:p>
    <w:p w14:paraId="179C9A98"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71DA0448" w14:textId="50EE6814"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tretjem odstavku doda možnost objave podatkov ko iz namena transakcije izhaja, da gre za avtorske in podjemne pogodbe. Predlagano še, da se določijo izjeme, ko se podatki iz različnih razlogov ne smejo objaviti (npr. na podlagi Zakona o zavarovalništvu, poslovnih skrivnosti itd.).</w:t>
      </w:r>
      <w:r w:rsidR="00FB4E1D">
        <w:rPr>
          <w:rFonts w:ascii="Arial" w:hAnsi="Arial" w:cs="Arial"/>
          <w:i/>
          <w:sz w:val="20"/>
          <w:szCs w:val="20"/>
        </w:rPr>
        <w:t xml:space="preserve"> </w:t>
      </w:r>
      <w:r w:rsidRPr="003D757B">
        <w:rPr>
          <w:rFonts w:ascii="Arial" w:hAnsi="Arial" w:cs="Arial"/>
          <w:sz w:val="20"/>
          <w:szCs w:val="20"/>
        </w:rPr>
        <w:t xml:space="preserve">Predlog ni upoštevan. Za določanje avtorskih in podjemnih pogodb se uporablja SEPA kodo namena. Iz predloga KPK ni mogoče razbrati situacij, ko ne bi bilo dopustno objaviti podatkov o transakcijah. KPK bo </w:t>
      </w:r>
      <w:r w:rsidR="003F1A64">
        <w:rPr>
          <w:rFonts w:ascii="Arial" w:hAnsi="Arial" w:cs="Arial"/>
          <w:sz w:val="20"/>
          <w:szCs w:val="20"/>
        </w:rPr>
        <w:t xml:space="preserve">problematične </w:t>
      </w:r>
      <w:r w:rsidRPr="003D757B">
        <w:rPr>
          <w:rFonts w:ascii="Arial" w:hAnsi="Arial" w:cs="Arial"/>
          <w:sz w:val="20"/>
          <w:szCs w:val="20"/>
        </w:rPr>
        <w:t>primere obravnavala posamezno in se o vsakem primeru posebej odločila.</w:t>
      </w:r>
    </w:p>
    <w:p w14:paraId="53E33E48"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1169D6FB" w14:textId="701199B4"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četrtem odstavku pod mejo za objavo ne objavijo podatki o namenu transakcije le v primeru, ko gre za transakcije, ki jih prejemajo fizične osebe.</w:t>
      </w:r>
      <w:r w:rsidR="00FB4E1D">
        <w:rPr>
          <w:rFonts w:ascii="Arial" w:hAnsi="Arial" w:cs="Arial"/>
          <w:i/>
          <w:sz w:val="20"/>
          <w:szCs w:val="20"/>
        </w:rPr>
        <w:t xml:space="preserve"> </w:t>
      </w:r>
      <w:r w:rsidRPr="003D757B">
        <w:rPr>
          <w:rFonts w:ascii="Arial" w:hAnsi="Arial" w:cs="Arial"/>
          <w:sz w:val="20"/>
          <w:szCs w:val="20"/>
        </w:rPr>
        <w:t>Predlog ni upoštevan. Po mnenju predlagatelja je predlagano besedilo ustreza, besedilu sledi tudi praksi KPK, ki v aplikaciji Erar in prej Supervizor ne objavlja podatkov o namenu transakcije, ki ne presegajo 2.000 evrov.</w:t>
      </w:r>
    </w:p>
    <w:p w14:paraId="246904D9"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70EC827C" w14:textId="23453167"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v petem odstavku zapiše, da se podatki o transakcijah objavijo, tudi če so prejete na osebni transakcijski račun, ki ga imetnik uporablja za poslovanje.</w:t>
      </w:r>
      <w:r w:rsidR="00FB4E1D">
        <w:rPr>
          <w:rFonts w:ascii="Arial" w:hAnsi="Arial" w:cs="Arial"/>
          <w:i/>
          <w:sz w:val="20"/>
          <w:szCs w:val="20"/>
        </w:rPr>
        <w:t xml:space="preserve"> </w:t>
      </w:r>
      <w:r w:rsidRPr="003D757B">
        <w:rPr>
          <w:rFonts w:ascii="Arial" w:hAnsi="Arial" w:cs="Arial"/>
          <w:sz w:val="20"/>
          <w:szCs w:val="20"/>
        </w:rPr>
        <w:t xml:space="preserve">Predloga se ne upošteva. </w:t>
      </w:r>
      <w:r w:rsidR="001E39DF">
        <w:rPr>
          <w:rFonts w:ascii="Arial" w:hAnsi="Arial" w:cs="Arial"/>
          <w:sz w:val="20"/>
          <w:szCs w:val="20"/>
        </w:rPr>
        <w:t xml:space="preserve">Samostojni podjetniki </w:t>
      </w:r>
      <w:r w:rsidR="009246DD">
        <w:rPr>
          <w:rFonts w:ascii="Arial" w:hAnsi="Arial" w:cs="Arial"/>
          <w:sz w:val="20"/>
          <w:szCs w:val="20"/>
        </w:rPr>
        <w:t>–</w:t>
      </w:r>
      <w:r w:rsidR="001E39DF">
        <w:rPr>
          <w:rFonts w:ascii="Arial" w:hAnsi="Arial" w:cs="Arial"/>
          <w:sz w:val="20"/>
          <w:szCs w:val="20"/>
        </w:rPr>
        <w:t xml:space="preserve"> p</w:t>
      </w:r>
      <w:r w:rsidRPr="003D757B">
        <w:rPr>
          <w:rFonts w:ascii="Arial" w:hAnsi="Arial" w:cs="Arial"/>
          <w:sz w:val="20"/>
          <w:szCs w:val="20"/>
        </w:rPr>
        <w:t>osamezniki imajo možnost izbire, ali bodo uporabljali ločena osebni in poslovni račun, ali pa bodo uporabljali osebnega tudi za poslovanje. V tem primeru se lahko objavijo vsi podatki o transakcijah, ki jih prejmejo na takšen račun, četudi niso poraba javnih sredstev. Pri tem se sklicujemo na Navodilo glede izvajanja 10.a člena ZDIJZ (0712-1/2016/828), ki ga je izdal IP</w:t>
      </w:r>
      <w:r w:rsidRPr="003D757B">
        <w:rPr>
          <w:rStyle w:val="Sprotnaopomba-sklic"/>
          <w:rFonts w:ascii="Arial" w:hAnsi="Arial" w:cs="Arial"/>
          <w:sz w:val="20"/>
          <w:szCs w:val="20"/>
        </w:rPr>
        <w:footnoteReference w:id="20"/>
      </w:r>
      <w:r w:rsidRPr="003D757B">
        <w:rPr>
          <w:rFonts w:ascii="Arial" w:hAnsi="Arial" w:cs="Arial"/>
          <w:sz w:val="20"/>
          <w:szCs w:val="20"/>
        </w:rPr>
        <w:t>.</w:t>
      </w:r>
    </w:p>
    <w:p w14:paraId="3C56D013"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69793AA6" w14:textId="77777777" w:rsidR="00DC1214" w:rsidRPr="003D757B" w:rsidRDefault="00DC1214" w:rsidP="00DC1214">
      <w:pPr>
        <w:autoSpaceDE w:val="0"/>
        <w:autoSpaceDN w:val="0"/>
        <w:adjustRightInd w:val="0"/>
        <w:spacing w:after="0" w:line="240" w:lineRule="auto"/>
        <w:jc w:val="both"/>
        <w:rPr>
          <w:rFonts w:ascii="Arial" w:hAnsi="Arial" w:cs="Arial"/>
          <w:i/>
          <w:sz w:val="20"/>
          <w:szCs w:val="20"/>
        </w:rPr>
      </w:pPr>
      <w:r w:rsidRPr="003D757B">
        <w:rPr>
          <w:rFonts w:ascii="Arial" w:hAnsi="Arial" w:cs="Arial"/>
          <w:i/>
          <w:sz w:val="20"/>
          <w:szCs w:val="20"/>
        </w:rPr>
        <w:t>K enajstemu, dvanajstemu in trinajstemu odstavku je KPK zastavila nekaj vprašanj, in sicer:</w:t>
      </w:r>
    </w:p>
    <w:p w14:paraId="6ACBD2A9"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i/>
          <w:szCs w:val="20"/>
        </w:rPr>
      </w:pPr>
      <w:r w:rsidRPr="00DC1214">
        <w:rPr>
          <w:rFonts w:cs="Arial"/>
          <w:i/>
          <w:szCs w:val="20"/>
        </w:rPr>
        <w:t>kaj pomeni besedna zveza »redno posodablja in objavlja«. Trenutno podatke pridobivamo v različnih časovnih intervalih za različne vire (npr. transakcije vsak dan, davčni dolžniki enkrat na mesec, SEPA kode namenov po potrebi; tudi podatke o JN smo včasih pridobivali dnevno, sedaj jih 1x na mesec,</w:t>
      </w:r>
    </w:p>
    <w:p w14:paraId="493313AB" w14:textId="77777777" w:rsidR="00FB4E1D" w:rsidRDefault="00DC1214" w:rsidP="00DC1214">
      <w:pPr>
        <w:pStyle w:val="Odstavekseznama"/>
        <w:numPr>
          <w:ilvl w:val="0"/>
          <w:numId w:val="75"/>
        </w:numPr>
        <w:autoSpaceDE w:val="0"/>
        <w:autoSpaceDN w:val="0"/>
        <w:adjustRightInd w:val="0"/>
        <w:spacing w:line="240" w:lineRule="auto"/>
        <w:jc w:val="both"/>
        <w:rPr>
          <w:rFonts w:cs="Arial"/>
          <w:i/>
          <w:szCs w:val="20"/>
        </w:rPr>
      </w:pPr>
      <w:r w:rsidRPr="00DC1214">
        <w:rPr>
          <w:rFonts w:cs="Arial"/>
          <w:i/>
          <w:szCs w:val="20"/>
        </w:rPr>
        <w:t>ali komisija po tem členu lahko ali mora objavljati podatke,</w:t>
      </w:r>
    </w:p>
    <w:p w14:paraId="2818237D" w14:textId="47EF7A49" w:rsidR="00DC1214" w:rsidRPr="00DC1214" w:rsidRDefault="00DC1214" w:rsidP="00DC1214">
      <w:pPr>
        <w:pStyle w:val="Odstavekseznama"/>
        <w:numPr>
          <w:ilvl w:val="0"/>
          <w:numId w:val="75"/>
        </w:numPr>
        <w:autoSpaceDE w:val="0"/>
        <w:autoSpaceDN w:val="0"/>
        <w:adjustRightInd w:val="0"/>
        <w:spacing w:line="240" w:lineRule="auto"/>
        <w:jc w:val="both"/>
        <w:rPr>
          <w:rFonts w:cs="Arial"/>
          <w:i/>
          <w:szCs w:val="20"/>
        </w:rPr>
      </w:pPr>
      <w:r w:rsidRPr="00DC1214">
        <w:rPr>
          <w:rFonts w:cs="Arial"/>
          <w:i/>
          <w:szCs w:val="20"/>
        </w:rPr>
        <w:t>kakšno pravno naravo ima uradni zaznamek? Ali je njegov namen zgolj zagotoviti sledljivost popravka podatkov? Ali bi moral biti naveden način objave uradnega zaznamka (npr. elektronsko podpisan);</w:t>
      </w:r>
    </w:p>
    <w:p w14:paraId="411641D6" w14:textId="77777777" w:rsidR="00DC1214" w:rsidRPr="009246DD" w:rsidRDefault="00DC1214" w:rsidP="00DC1214">
      <w:pPr>
        <w:pStyle w:val="Odstavekseznama"/>
        <w:numPr>
          <w:ilvl w:val="0"/>
          <w:numId w:val="75"/>
        </w:numPr>
        <w:autoSpaceDE w:val="0"/>
        <w:autoSpaceDN w:val="0"/>
        <w:adjustRightInd w:val="0"/>
        <w:spacing w:line="240" w:lineRule="auto"/>
        <w:jc w:val="both"/>
        <w:rPr>
          <w:rFonts w:cs="Arial"/>
          <w:i/>
          <w:szCs w:val="20"/>
        </w:rPr>
      </w:pPr>
      <w:r w:rsidRPr="009246DD">
        <w:rPr>
          <w:rFonts w:cs="Arial"/>
          <w:i/>
          <w:szCs w:val="20"/>
        </w:rPr>
        <w:t>če se odkrije napaka v podatkih, ki je posledica tega, da je takšne podatke posredoval vir, potem bi morala napačne podatke popraviti tako komisija kot tudi podatkovni vir (npr. MJU). Z nobenim od podatkovnih virov do sedaj ni bil dogovorjen ustrezen način za popravljanje podatkov za nazaj (kar je problematično, če je potrebno popraviti veliko podatkov). Najbližje temu je pripravljena nova oblika e-računov, pri kateri lahko navedejo stornacije e-računov za nazaj,</w:t>
      </w:r>
    </w:p>
    <w:p w14:paraId="0DE876E7" w14:textId="77777777" w:rsidR="00DC1214" w:rsidRPr="009246DD" w:rsidRDefault="00DC1214" w:rsidP="00DC1214">
      <w:pPr>
        <w:pStyle w:val="Odstavekseznama"/>
        <w:numPr>
          <w:ilvl w:val="0"/>
          <w:numId w:val="75"/>
        </w:numPr>
        <w:autoSpaceDE w:val="0"/>
        <w:autoSpaceDN w:val="0"/>
        <w:adjustRightInd w:val="0"/>
        <w:spacing w:line="240" w:lineRule="auto"/>
        <w:jc w:val="both"/>
        <w:rPr>
          <w:rFonts w:cs="Arial"/>
          <w:i/>
          <w:szCs w:val="20"/>
        </w:rPr>
      </w:pPr>
      <w:r w:rsidRPr="009246DD">
        <w:rPr>
          <w:rFonts w:cs="Arial"/>
          <w:i/>
          <w:szCs w:val="20"/>
        </w:rPr>
        <w:t>če napaka ni na strani vira in ne gre za tehnično napako pri uvozu (npr. stranka vztraja, da plačilo skladom ne sme biti objavljeno), potem se mora komisija do podatkov opredeljevati (kar je v nasprotju z navedenim v tretjem odstavku na strani https://erar.si/doc/);</w:t>
      </w:r>
    </w:p>
    <w:p w14:paraId="2A262C53" w14:textId="77777777" w:rsidR="00DC1214" w:rsidRPr="009246DD" w:rsidRDefault="00DC1214" w:rsidP="00DC1214">
      <w:pPr>
        <w:pStyle w:val="Odstavekseznama"/>
        <w:numPr>
          <w:ilvl w:val="0"/>
          <w:numId w:val="75"/>
        </w:numPr>
        <w:autoSpaceDE w:val="0"/>
        <w:autoSpaceDN w:val="0"/>
        <w:adjustRightInd w:val="0"/>
        <w:spacing w:line="240" w:lineRule="auto"/>
        <w:jc w:val="both"/>
        <w:rPr>
          <w:rFonts w:cs="Arial"/>
          <w:i/>
          <w:szCs w:val="20"/>
        </w:rPr>
      </w:pPr>
      <w:r w:rsidRPr="009246DD">
        <w:rPr>
          <w:rFonts w:cs="Arial"/>
          <w:i/>
          <w:szCs w:val="20"/>
        </w:rPr>
        <w:t>predlagamo, da se besedilo »odstrani s svoje spletne strani« nadomesti z besedilom »odstrani iz spletnega vira, v katerem jih objavlja«,</w:t>
      </w:r>
    </w:p>
    <w:p w14:paraId="157F2CAB" w14:textId="77777777" w:rsidR="00DC1214" w:rsidRPr="009246DD" w:rsidRDefault="00DC1214" w:rsidP="00DC1214">
      <w:pPr>
        <w:pStyle w:val="Odstavekseznama"/>
        <w:numPr>
          <w:ilvl w:val="0"/>
          <w:numId w:val="75"/>
        </w:numPr>
        <w:autoSpaceDE w:val="0"/>
        <w:autoSpaceDN w:val="0"/>
        <w:adjustRightInd w:val="0"/>
        <w:spacing w:line="240" w:lineRule="auto"/>
        <w:jc w:val="both"/>
        <w:rPr>
          <w:rFonts w:cs="Arial"/>
          <w:i/>
          <w:szCs w:val="20"/>
        </w:rPr>
      </w:pPr>
      <w:r w:rsidRPr="009246DD">
        <w:rPr>
          <w:rFonts w:cs="Arial"/>
          <w:i/>
          <w:szCs w:val="20"/>
        </w:rPr>
        <w:t>predlagamo, da se besedilo »Podatki, ki se objavljajo na spletnih straneh« nadomesti z besedilom »Podatki, ki jih komisija objavljajo na spletu«.</w:t>
      </w:r>
    </w:p>
    <w:p w14:paraId="4AE15EA8"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42F93842"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sz w:val="20"/>
          <w:szCs w:val="20"/>
        </w:rPr>
        <w:t>Pojasnjujemo, da:</w:t>
      </w:r>
    </w:p>
    <w:p w14:paraId="6DF02506"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»redno posodabljanje« pomeni, da se podatki posodabljajo z določeno periodo (dnevno, tedensko, mesečno, kvartalno, letno … zakon ne določa periode, KPK in upravljalec evidence o načinu in periodi posodabljanja podatkov skleneta dogovor.</w:t>
      </w:r>
    </w:p>
    <w:p w14:paraId="30C94A59"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KPK po tem členu mora objavljati podatke. Pristojnost (naloga) izhaja iz 12. člena ZIntPK in je v 75.a in 75.b določno opisana. Tehnična izvedba, oblikovanje rešitve in ostala izvedbena vprašanja so prepuščena KPK. Po potrebi jih KPK lahko uredi v poslovniku ali drugem primernem internem aktu. Smisel določbe je, da so podatki čim bolj povezani med sabo, dostopni na uporabniku prijazen način in da prikazujejo čim bolj celovito sliko porabe javnih sredstev.</w:t>
      </w:r>
    </w:p>
    <w:p w14:paraId="3535F2DA"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Namen uradnega zaznamka je zagotoviti sledljivost posegov v podatke. Kot izhaja iz nekaterih dogovorov za posredovanje podatkov, ki jih je predlagatelj pridobil v času priprave predloga, izhaja, da KPK ne sme spreminjati podatkov.</w:t>
      </w:r>
    </w:p>
    <w:p w14:paraId="71B269B6"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Napake v podatkih načeloma odpravijo upravljavci izvornih zbirk. Postopek za odpravo napak KPK vodi na podlagi določb ZUP, pri čemer bo zahtevke, ki se nanašajo na popravo napak v podatkih, ki jih KPK pridobiva od drugih upravljavcev, tem odstopila v pristojno reševanje. Skladno z dopolnjenim predlogom trinajstega odstavka 75.a člena pa bo z upravljavci dogovorila način sporočanja sprememb (popravki podatkov, brisanje podatkov) obstoječih podatkov. Po postopku v dvanajstem odstavku 75.b člena bo KPK popravila podatke, ki jih vodi sama oz. napake pri obdelavah podatkov, ki jih izvaja sama (npr. izbris napačno uvoženih podatkov, poprava napačno povezanih podatkov ipd.).</w:t>
      </w:r>
    </w:p>
    <w:p w14:paraId="648E671F"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KPK se bo morala do posameznih podatkov v kontekstu zahtev za popravo opredeliti in odločiti, ali jih bo spremenila, ali ne.</w:t>
      </w:r>
    </w:p>
    <w:p w14:paraId="461701C7" w14:textId="77777777" w:rsidR="00DC1214" w:rsidRPr="00DC1214" w:rsidRDefault="00DC1214" w:rsidP="00DC1214">
      <w:pPr>
        <w:pStyle w:val="Odstavekseznama"/>
        <w:numPr>
          <w:ilvl w:val="0"/>
          <w:numId w:val="75"/>
        </w:numPr>
        <w:autoSpaceDE w:val="0"/>
        <w:autoSpaceDN w:val="0"/>
        <w:adjustRightInd w:val="0"/>
        <w:spacing w:line="240" w:lineRule="auto"/>
        <w:jc w:val="both"/>
        <w:rPr>
          <w:rFonts w:cs="Arial"/>
          <w:szCs w:val="20"/>
        </w:rPr>
      </w:pPr>
      <w:r w:rsidRPr="00DC1214">
        <w:rPr>
          <w:rFonts w:cs="Arial"/>
          <w:szCs w:val="20"/>
        </w:rPr>
        <w:t>Predloga se ne upošteva, Trenutno predlagano besedilo je po mnenju predlagatelja ustrezno. KPK bo podatke po poteku roka hrambe odstranilo s svoje spletne strani. Odstranitev podatkov iz portala odprtih podatkov se bo izvedla skladno z uredniško politiko portala.</w:t>
      </w:r>
    </w:p>
    <w:p w14:paraId="7BAC103F" w14:textId="43C536C7" w:rsidR="00DC1214" w:rsidRDefault="00DC1214" w:rsidP="00DC1214">
      <w:pPr>
        <w:spacing w:after="0" w:line="240" w:lineRule="auto"/>
        <w:jc w:val="both"/>
        <w:rPr>
          <w:rFonts w:ascii="Arial" w:hAnsi="Arial" w:cs="Arial"/>
          <w:sz w:val="20"/>
          <w:szCs w:val="20"/>
        </w:rPr>
      </w:pPr>
    </w:p>
    <w:p w14:paraId="7FD34E53" w14:textId="75459C76" w:rsidR="00092CD4" w:rsidRDefault="00092CD4" w:rsidP="00DC1214">
      <w:pPr>
        <w:spacing w:after="0" w:line="240" w:lineRule="auto"/>
        <w:jc w:val="both"/>
        <w:rPr>
          <w:rFonts w:ascii="Arial" w:hAnsi="Arial" w:cs="Arial"/>
          <w:sz w:val="20"/>
          <w:szCs w:val="20"/>
        </w:rPr>
      </w:pPr>
      <w:r w:rsidRPr="00092CD4">
        <w:rPr>
          <w:rFonts w:ascii="Arial" w:hAnsi="Arial" w:cs="Arial"/>
          <w:i/>
          <w:sz w:val="20"/>
          <w:szCs w:val="20"/>
        </w:rPr>
        <w:t xml:space="preserve">Predlagano, da se v 75.b členu doda nov odstavek, ki bo določil, da so na podlagi zahteve za dostop do informacij javnega značaja prosilcem podatki o denarnih tokovih subjektov javnega sektorja, ki predstavljajo javno dostopne informacije javnega značaja, dostopni pri upravljavcih zbirk iz 75.a člena novele ZIntPK-C, in ne pri komisiji. </w:t>
      </w:r>
      <w:r w:rsidRPr="00092CD4">
        <w:rPr>
          <w:rFonts w:ascii="Arial" w:hAnsi="Arial" w:cs="Arial"/>
          <w:sz w:val="20"/>
          <w:szCs w:val="20"/>
        </w:rPr>
        <w:t>Predlog zakona ne posega v pravico posameznikov, da zahtevajo informacije javnega značaja od upravljavcev zbirk podatkov iz prvega odstavka 75.a člena. Glede na obveznost objave podatkov na spletnih straneh KPK, lahko KPK prosilce napoti bodisi na relevantne spletne strani, ki bodo vsebovale zahtevane podatke ali na podatke namenjene za ponovno uporabo, ki se bodo objavljali na državnem portalu odprtih podatkov.</w:t>
      </w:r>
      <w:r w:rsidR="00767166">
        <w:rPr>
          <w:rFonts w:ascii="Arial" w:hAnsi="Arial" w:cs="Arial"/>
          <w:sz w:val="20"/>
          <w:szCs w:val="20"/>
        </w:rPr>
        <w:t xml:space="preserve"> Drugih pripomb k predlogu člena v svojem stališču z dne 7. 6. 2019 KPK ni podala.</w:t>
      </w:r>
    </w:p>
    <w:p w14:paraId="493A0599" w14:textId="77777777" w:rsidR="00092CD4" w:rsidRPr="003D757B" w:rsidRDefault="00092CD4" w:rsidP="00DC1214">
      <w:pPr>
        <w:spacing w:after="0" w:line="240" w:lineRule="auto"/>
        <w:jc w:val="both"/>
        <w:rPr>
          <w:rFonts w:ascii="Arial" w:hAnsi="Arial" w:cs="Arial"/>
          <w:sz w:val="20"/>
          <w:szCs w:val="20"/>
        </w:rPr>
      </w:pPr>
    </w:p>
    <w:p w14:paraId="12F842BE" w14:textId="0A459EBD" w:rsidR="00DC1214" w:rsidRPr="003D757B" w:rsidRDefault="003D757B" w:rsidP="00DC121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IP</w:t>
      </w:r>
    </w:p>
    <w:p w14:paraId="18AAC767" w14:textId="3E48CA33"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i/>
          <w:sz w:val="20"/>
          <w:szCs w:val="20"/>
        </w:rPr>
        <w:t>Predlagano, da se v prvem odstavku črta besedilo »ne glede na določbe zakona, ki ureja varstvo osebnih podatkov, zakona, ki ureja dostop do informacij javnega značaja, in drugih zakonov«.</w:t>
      </w:r>
      <w:r w:rsidR="00FB4E1D">
        <w:rPr>
          <w:rFonts w:ascii="Arial" w:hAnsi="Arial" w:cs="Arial"/>
          <w:i/>
          <w:sz w:val="20"/>
          <w:szCs w:val="20"/>
        </w:rPr>
        <w:t xml:space="preserve"> </w:t>
      </w:r>
      <w:r w:rsidRPr="0052517B">
        <w:rPr>
          <w:rFonts w:ascii="Arial" w:hAnsi="Arial" w:cs="Arial"/>
          <w:sz w:val="20"/>
          <w:szCs w:val="20"/>
        </w:rPr>
        <w:t>Predlog je upoštevan.</w:t>
      </w:r>
    </w:p>
    <w:p w14:paraId="6AB085CC" w14:textId="77777777" w:rsidR="00DC1214" w:rsidRPr="0052517B" w:rsidRDefault="00DC1214" w:rsidP="00DC1214">
      <w:pPr>
        <w:autoSpaceDE w:val="0"/>
        <w:autoSpaceDN w:val="0"/>
        <w:adjustRightInd w:val="0"/>
        <w:spacing w:after="0" w:line="240" w:lineRule="auto"/>
        <w:jc w:val="both"/>
        <w:rPr>
          <w:rFonts w:ascii="Arial" w:hAnsi="Arial" w:cs="Arial"/>
          <w:sz w:val="20"/>
          <w:szCs w:val="20"/>
        </w:rPr>
      </w:pPr>
    </w:p>
    <w:p w14:paraId="2EF1645D" w14:textId="58B6EEBB"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i/>
          <w:sz w:val="20"/>
          <w:szCs w:val="20"/>
        </w:rPr>
        <w:t>Predlagano, da se v tretjem odstavku razreši vprašanje glede objave podatkov prihodkov fizičnih oseb, ki so hkrati nosilci s. p. in za oba namen uporabljajo en transakcijski račun in razlikovanju med prejemki poslovnih subjektov in prejemki fizičnih oseb na tak isti transakcijski račun.</w:t>
      </w:r>
      <w:r w:rsidR="00FB4E1D">
        <w:rPr>
          <w:rFonts w:ascii="Arial" w:hAnsi="Arial" w:cs="Arial"/>
          <w:i/>
          <w:sz w:val="20"/>
          <w:szCs w:val="20"/>
        </w:rPr>
        <w:t xml:space="preserve"> </w:t>
      </w:r>
      <w:r w:rsidRPr="0052517B">
        <w:rPr>
          <w:rFonts w:ascii="Arial" w:hAnsi="Arial" w:cs="Arial"/>
          <w:sz w:val="20"/>
          <w:szCs w:val="20"/>
        </w:rPr>
        <w:t>Predlagatelj se zaveda problema objave podatkov o transakcijah, katerih prejemniki so fizične osebe, ki uporabljajo za zasebne transakcije in poslovanje s subjekti javnega sektorja isti transakcijski račun. Podobna problematika se je izpostavila tudi ob 10.a členu ZDIJZ, ki jo je IP po mnenju predlagatelja ustrezno pojasnil v mnenju št. 0712-1/2016/828 (Navodilo glede izvajanja 10.a člena ZDIJZ, z dne 11. 4. 2016). Argumenti v navedenem dokumentu so prepričljivi in po mnenju predlagatelja analogno uporabni tudi v okviru predloga ZIntPK-C.</w:t>
      </w:r>
    </w:p>
    <w:p w14:paraId="7DA406D8" w14:textId="77777777" w:rsidR="00DC1214" w:rsidRPr="0052517B" w:rsidRDefault="00DC1214" w:rsidP="00DC1214">
      <w:pPr>
        <w:autoSpaceDE w:val="0"/>
        <w:autoSpaceDN w:val="0"/>
        <w:adjustRightInd w:val="0"/>
        <w:spacing w:after="0" w:line="240" w:lineRule="auto"/>
        <w:jc w:val="both"/>
        <w:rPr>
          <w:rFonts w:ascii="Arial" w:hAnsi="Arial" w:cs="Arial"/>
          <w:sz w:val="20"/>
          <w:szCs w:val="20"/>
        </w:rPr>
      </w:pPr>
    </w:p>
    <w:p w14:paraId="01CD51D4" w14:textId="524ED4C6"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i/>
          <w:sz w:val="20"/>
          <w:szCs w:val="20"/>
        </w:rPr>
        <w:t>Predlagano, da se v 12. odstavku pravici iz 16. in 17. člena Splošne uredbe glede popravka in izbrisa v zvezi z 'izvedeno' evidenco KPK uredita na način, da o teh pravicah za posamezne osebne podatke odloča upravljavec izvorne zbirke, KPK pa podatke, ki so predmet 'spora' do odločitve tega upravljavca umakne s spleta in po potrebi popravi oz. izbriše v skladu z odločitvijo upravljavca izvorne evidence.</w:t>
      </w:r>
      <w:r w:rsidR="00FB4E1D">
        <w:rPr>
          <w:rFonts w:ascii="Arial" w:hAnsi="Arial" w:cs="Arial"/>
          <w:i/>
          <w:sz w:val="20"/>
          <w:szCs w:val="20"/>
        </w:rPr>
        <w:t xml:space="preserve"> </w:t>
      </w:r>
      <w:r w:rsidRPr="0052517B">
        <w:rPr>
          <w:rFonts w:ascii="Arial" w:hAnsi="Arial" w:cs="Arial"/>
          <w:sz w:val="20"/>
          <w:szCs w:val="20"/>
        </w:rPr>
        <w:t>Pojasnjujemo, da bo KPK o zahtevkih za popravke ali izbris podatkov iz spletne aplikacije odločala na podlagi ZUP. Skladno s petim odstavkom 65. člena ZUP bo KPK vlogo za popravek ali izbris podatke, ki se nanaša na podatke, ki jih pridobiva iz evidenc posameznih upravljavcev posredovala organu, ki upravlja z izvorno evidenco, in ki lahko pristojno odloča o pravicah po 16. in 17. členu Splošne uredbe. Način zagotavljanja informacij o spremembah podatkov (popravki, brisanje) KPK in posamezni upravljavci dogovorijo z dogovorom o posredovanju podatkov (popravljen trinajsti odstavek 75.a člena). Če bi pri zahtevi za popravek šlo za napako, ki je v pristojnosti KPK (npr. dvakratni uvoz podatkov o transakcijah, zaradi česar se podvojijo zneski, napačne povezave med zbirkami, nepravilen izračun podatkov o lastniških deležih in podobno ali napaka v podatkih v zbirkah, ki jih vodi KPK), bo o odpravi napake odločala KPK.</w:t>
      </w:r>
    </w:p>
    <w:p w14:paraId="3CC8F214" w14:textId="77777777" w:rsidR="00DC1214" w:rsidRPr="0052517B" w:rsidRDefault="00DC1214" w:rsidP="00DC1214">
      <w:pPr>
        <w:autoSpaceDE w:val="0"/>
        <w:autoSpaceDN w:val="0"/>
        <w:adjustRightInd w:val="0"/>
        <w:spacing w:after="0" w:line="240" w:lineRule="auto"/>
        <w:jc w:val="both"/>
        <w:rPr>
          <w:rFonts w:ascii="Arial" w:hAnsi="Arial" w:cs="Arial"/>
          <w:sz w:val="20"/>
          <w:szCs w:val="20"/>
        </w:rPr>
      </w:pPr>
    </w:p>
    <w:p w14:paraId="35C5416C" w14:textId="46C6279E" w:rsidR="00DC1214" w:rsidRPr="0052517B" w:rsidRDefault="00DC1214" w:rsidP="00DC1214">
      <w:pPr>
        <w:autoSpaceDE w:val="0"/>
        <w:autoSpaceDN w:val="0"/>
        <w:adjustRightInd w:val="0"/>
        <w:spacing w:after="0" w:line="240" w:lineRule="auto"/>
        <w:jc w:val="both"/>
        <w:rPr>
          <w:rFonts w:ascii="Arial" w:hAnsi="Arial" w:cs="Arial"/>
          <w:sz w:val="20"/>
          <w:szCs w:val="20"/>
        </w:rPr>
      </w:pPr>
      <w:r w:rsidRPr="0052517B">
        <w:rPr>
          <w:rFonts w:ascii="Arial" w:hAnsi="Arial" w:cs="Arial"/>
          <w:i/>
          <w:sz w:val="20"/>
          <w:szCs w:val="20"/>
        </w:rPr>
        <w:t>Predlagano, da se v 13. členu zagotovi mehanizem dolžnosti obveščanja s strani upravljavca izvorne evidence in mehanizem dolžnosti popravka oz. izbrisa podatkov v izvedeni evidenci KPK v primeru, da se na kakršenkoli način (bodisi zaradi pritožbe posameznika, nadzora IP ali drugače) izkaže, da so bili izvorni osebni podatki pridobljeni s strani KPK netočni ali nezakoniti.</w:t>
      </w:r>
      <w:r w:rsidR="00FB4E1D">
        <w:rPr>
          <w:rFonts w:ascii="Arial" w:hAnsi="Arial" w:cs="Arial"/>
          <w:i/>
          <w:sz w:val="20"/>
          <w:szCs w:val="20"/>
        </w:rPr>
        <w:t xml:space="preserve"> </w:t>
      </w:r>
      <w:r w:rsidRPr="0052517B">
        <w:rPr>
          <w:rFonts w:ascii="Arial" w:hAnsi="Arial" w:cs="Arial"/>
          <w:sz w:val="20"/>
          <w:szCs w:val="20"/>
        </w:rPr>
        <w:t>Predlog je upoštevan, in sicer je dopolnjeno besedilo trinajstega odstavka 75.a člena. KPK in posamezni upravljavci podatkov bodo način posredovanja novih podatkov in način sporočanja sprememb obstoječih podatkov (spremembe in brisanje podatkov) uredili z dogovorom.</w:t>
      </w:r>
    </w:p>
    <w:p w14:paraId="6B6BAF10" w14:textId="77777777" w:rsidR="00DC1214" w:rsidRPr="0052517B" w:rsidRDefault="00DC1214" w:rsidP="00DC1214">
      <w:pPr>
        <w:spacing w:after="0" w:line="240" w:lineRule="auto"/>
        <w:jc w:val="both"/>
        <w:rPr>
          <w:rFonts w:ascii="Arial" w:hAnsi="Arial" w:cs="Arial"/>
          <w:sz w:val="20"/>
          <w:szCs w:val="20"/>
        </w:rPr>
      </w:pPr>
    </w:p>
    <w:p w14:paraId="1D27E90F" w14:textId="3AEAC32C"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3</w:t>
      </w:r>
      <w:r w:rsidRPr="003D757B">
        <w:rPr>
          <w:rFonts w:ascii="Arial" w:hAnsi="Arial" w:cs="Arial"/>
          <w:b/>
          <w:sz w:val="20"/>
          <w:szCs w:val="20"/>
          <w:u w:val="single"/>
        </w:rPr>
        <w:t>9. členu</w:t>
      </w:r>
      <w:r w:rsidR="0052517B">
        <w:rPr>
          <w:rFonts w:ascii="Arial" w:hAnsi="Arial" w:cs="Arial"/>
          <w:b/>
          <w:sz w:val="20"/>
          <w:szCs w:val="20"/>
          <w:u w:val="single"/>
        </w:rPr>
        <w:t xml:space="preserve"> (76. člen ZIntPK)</w:t>
      </w:r>
    </w:p>
    <w:p w14:paraId="63E52FF1"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67EF13AF"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086CA5C7" w14:textId="645E030E"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prvi odstavek 76. člena črta, ker gre za nepotrebno podvajanje vsebin, ki so urejene že v predpisih, ki urejajo arhivsko in dokumentarno gradivo.</w:t>
      </w:r>
      <w:r w:rsidR="00FB4E1D">
        <w:rPr>
          <w:rFonts w:ascii="Arial" w:hAnsi="Arial" w:cs="Arial"/>
          <w:i/>
          <w:sz w:val="20"/>
          <w:szCs w:val="20"/>
        </w:rPr>
        <w:t xml:space="preserve"> </w:t>
      </w:r>
      <w:r w:rsidRPr="003D757B">
        <w:rPr>
          <w:rFonts w:ascii="Arial" w:hAnsi="Arial" w:cs="Arial"/>
          <w:sz w:val="20"/>
          <w:szCs w:val="20"/>
        </w:rPr>
        <w:t>Predlog se smiselno upošteva. Odstavek je spremenjen tako, da se neposredno sklicuje na predpise, ki urejajo arhivsko in dokumentarno gradivo.</w:t>
      </w:r>
    </w:p>
    <w:p w14:paraId="4B207160"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36AA3E8D" w14:textId="05A82C9F"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w:t>
      </w:r>
      <w:r w:rsidR="0052517B">
        <w:rPr>
          <w:rFonts w:ascii="Arial" w:hAnsi="Arial" w:cs="Arial"/>
          <w:b/>
          <w:sz w:val="20"/>
          <w:szCs w:val="20"/>
          <w:u w:val="single"/>
        </w:rPr>
        <w:t>42</w:t>
      </w:r>
      <w:r w:rsidRPr="003D757B">
        <w:rPr>
          <w:rFonts w:ascii="Arial" w:hAnsi="Arial" w:cs="Arial"/>
          <w:b/>
          <w:sz w:val="20"/>
          <w:szCs w:val="20"/>
          <w:u w:val="single"/>
        </w:rPr>
        <w:t>. členu</w:t>
      </w:r>
    </w:p>
    <w:p w14:paraId="6C0174EE"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40054894"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23C5C41F" w14:textId="5044D455"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Predlagana obvezna registracija interesnih organizacij, vključno z navedbo oseb, ki lahko za interesno organizacijo lobirajo.</w:t>
      </w:r>
      <w:r w:rsidR="00FB4E1D">
        <w:rPr>
          <w:rFonts w:ascii="Arial" w:hAnsi="Arial" w:cs="Arial"/>
          <w:i/>
          <w:sz w:val="20"/>
          <w:szCs w:val="20"/>
        </w:rPr>
        <w:t xml:space="preserve"> </w:t>
      </w:r>
      <w:r w:rsidRPr="003D757B">
        <w:rPr>
          <w:rFonts w:ascii="Arial" w:hAnsi="Arial" w:cs="Arial"/>
          <w:sz w:val="20"/>
          <w:szCs w:val="20"/>
        </w:rPr>
        <w:t>Predlog ni bil upoštevan. Ureditev, ki je predvidena v predlogu pomeni manjše breme za interesne organizacije, ki se ne rabijo registrirati, v primerjavi z predlogom KPK, kjer bi se interesne organizacije morale registrirati in tudi poročati. Iz poročil interesnih organizacij bo v vsakem primeru razvidno, katere interesne organizacije lobirajo in kdo lobira v njihovem imenu, s tem pa se doseže namen, ki bi ga zasledovala obvezna registracija interesnih organizacij.</w:t>
      </w:r>
    </w:p>
    <w:p w14:paraId="7501A65C" w14:textId="77777777" w:rsidR="00DC1214" w:rsidRPr="003D757B" w:rsidRDefault="00DC1214" w:rsidP="00DC1214">
      <w:pPr>
        <w:spacing w:after="0" w:line="240" w:lineRule="auto"/>
        <w:jc w:val="both"/>
        <w:rPr>
          <w:rFonts w:ascii="Arial" w:hAnsi="Arial" w:cs="Arial"/>
          <w:sz w:val="20"/>
          <w:szCs w:val="20"/>
        </w:rPr>
      </w:pPr>
    </w:p>
    <w:p w14:paraId="5B58141A" w14:textId="3733C41C" w:rsidR="00DC1214" w:rsidRDefault="00DC1214" w:rsidP="00DC1214">
      <w:pPr>
        <w:spacing w:after="0" w:line="240" w:lineRule="auto"/>
        <w:jc w:val="both"/>
        <w:rPr>
          <w:rFonts w:ascii="Arial" w:hAnsi="Arial" w:cs="Arial"/>
          <w:b/>
          <w:sz w:val="20"/>
          <w:szCs w:val="20"/>
        </w:rPr>
      </w:pPr>
      <w:r w:rsidRPr="003D757B">
        <w:rPr>
          <w:rFonts w:ascii="Arial" w:hAnsi="Arial" w:cs="Arial"/>
          <w:b/>
          <w:sz w:val="20"/>
          <w:szCs w:val="20"/>
        </w:rPr>
        <w:t>Dodatno</w:t>
      </w:r>
    </w:p>
    <w:p w14:paraId="57F73D2A" w14:textId="77777777" w:rsidR="00FA5EB7" w:rsidRPr="003D757B" w:rsidRDefault="00FA5EB7" w:rsidP="00DC1214">
      <w:pPr>
        <w:spacing w:after="0" w:line="240" w:lineRule="auto"/>
        <w:jc w:val="both"/>
        <w:rPr>
          <w:rFonts w:ascii="Arial" w:hAnsi="Arial" w:cs="Arial"/>
          <w:b/>
          <w:sz w:val="20"/>
          <w:szCs w:val="20"/>
        </w:rPr>
      </w:pPr>
    </w:p>
    <w:p w14:paraId="5D080CE0" w14:textId="235722C1"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Predlagan nov 12.a člen</w:t>
      </w:r>
    </w:p>
    <w:p w14:paraId="60DD0BA5"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25DD6B75"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033D0B88" w14:textId="43884808"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doda člen, ki omogoča KPK uvedbo varnostnega ukrepa snemanja in shranjevanja elektronskih komunikacij.</w:t>
      </w:r>
      <w:r w:rsidR="00FB4E1D">
        <w:rPr>
          <w:rFonts w:ascii="Arial" w:hAnsi="Arial" w:cs="Arial"/>
          <w:i/>
          <w:sz w:val="20"/>
          <w:szCs w:val="20"/>
        </w:rPr>
        <w:t xml:space="preserve"> </w:t>
      </w:r>
      <w:r w:rsidRPr="003D757B">
        <w:rPr>
          <w:rFonts w:ascii="Arial" w:hAnsi="Arial" w:cs="Arial"/>
          <w:sz w:val="20"/>
          <w:szCs w:val="20"/>
        </w:rPr>
        <w:t>Predlog presega okvir novele. Predlagatelj bo predlog preučil v okviru priprave naslednje novele oziroma priprave novega zakona.</w:t>
      </w:r>
    </w:p>
    <w:p w14:paraId="57F00F9C" w14:textId="77777777" w:rsidR="00DC1214" w:rsidRPr="003D757B" w:rsidRDefault="00DC1214" w:rsidP="00DC1214">
      <w:pPr>
        <w:autoSpaceDE w:val="0"/>
        <w:autoSpaceDN w:val="0"/>
        <w:adjustRightInd w:val="0"/>
        <w:spacing w:after="0" w:line="240" w:lineRule="auto"/>
        <w:jc w:val="both"/>
        <w:rPr>
          <w:rFonts w:ascii="Arial" w:hAnsi="Arial" w:cs="Arial"/>
          <w:b/>
          <w:sz w:val="20"/>
          <w:szCs w:val="20"/>
        </w:rPr>
      </w:pPr>
    </w:p>
    <w:p w14:paraId="2F93BE26" w14:textId="43AF3CED"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14. členu </w:t>
      </w:r>
      <w:r w:rsidR="003D757B">
        <w:rPr>
          <w:rFonts w:ascii="Arial" w:hAnsi="Arial" w:cs="Arial"/>
          <w:b/>
          <w:sz w:val="20"/>
          <w:szCs w:val="20"/>
          <w:u w:val="single"/>
        </w:rPr>
        <w:t xml:space="preserve">veljavnega </w:t>
      </w:r>
      <w:r w:rsidRPr="003D757B">
        <w:rPr>
          <w:rFonts w:ascii="Arial" w:hAnsi="Arial" w:cs="Arial"/>
          <w:b/>
          <w:sz w:val="20"/>
          <w:szCs w:val="20"/>
          <w:u w:val="single"/>
        </w:rPr>
        <w:t>ZIntPK</w:t>
      </w:r>
    </w:p>
    <w:p w14:paraId="34C1395F"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1E414B6E"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50939DD0" w14:textId="5FFAD7A5"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Predlagana izjema k šestemu odstavku, in sicer tako, da lahko KPK na predlog zavezance izda dovoljenje za sklenitev pogodbe brez pridobitve izjave o lastniški strukturi ponudnika.</w:t>
      </w:r>
      <w:r w:rsidR="00FB4E1D">
        <w:rPr>
          <w:rFonts w:ascii="Arial" w:hAnsi="Arial" w:cs="Arial"/>
          <w:i/>
          <w:sz w:val="20"/>
          <w:szCs w:val="20"/>
        </w:rPr>
        <w:t xml:space="preserve"> </w:t>
      </w:r>
      <w:r w:rsidRPr="003D757B">
        <w:rPr>
          <w:rFonts w:ascii="Arial" w:hAnsi="Arial" w:cs="Arial"/>
          <w:sz w:val="20"/>
          <w:szCs w:val="20"/>
        </w:rPr>
        <w:t>Predlog presega okvir novele. Predlagatelj bo predlog preučil v okviru priprave naslednje novele oziroma priprave novega zakona.</w:t>
      </w:r>
    </w:p>
    <w:p w14:paraId="4A1A16CB" w14:textId="77777777" w:rsidR="00DC1214" w:rsidRPr="003D757B" w:rsidRDefault="00DC1214" w:rsidP="00DC1214">
      <w:pPr>
        <w:autoSpaceDE w:val="0"/>
        <w:autoSpaceDN w:val="0"/>
        <w:adjustRightInd w:val="0"/>
        <w:spacing w:after="0" w:line="240" w:lineRule="auto"/>
        <w:jc w:val="both"/>
        <w:rPr>
          <w:rFonts w:ascii="Arial" w:hAnsi="Arial" w:cs="Arial"/>
          <w:sz w:val="20"/>
          <w:szCs w:val="20"/>
        </w:rPr>
      </w:pPr>
    </w:p>
    <w:p w14:paraId="65E9489A" w14:textId="4B5B6221" w:rsidR="00DC1214" w:rsidRDefault="00DC1214" w:rsidP="00DC1214">
      <w:pPr>
        <w:autoSpaceDE w:val="0"/>
        <w:autoSpaceDN w:val="0"/>
        <w:adjustRightInd w:val="0"/>
        <w:spacing w:after="0" w:line="240" w:lineRule="auto"/>
        <w:jc w:val="both"/>
        <w:rPr>
          <w:rFonts w:ascii="Arial" w:hAnsi="Arial" w:cs="Arial"/>
          <w:b/>
          <w:sz w:val="20"/>
          <w:szCs w:val="20"/>
          <w:u w:val="single"/>
        </w:rPr>
      </w:pPr>
      <w:r w:rsidRPr="003D757B">
        <w:rPr>
          <w:rFonts w:ascii="Arial" w:hAnsi="Arial" w:cs="Arial"/>
          <w:b/>
          <w:sz w:val="20"/>
          <w:szCs w:val="20"/>
          <w:u w:val="single"/>
        </w:rPr>
        <w:t xml:space="preserve">K 25. členu </w:t>
      </w:r>
      <w:r w:rsidR="003D757B">
        <w:rPr>
          <w:rFonts w:ascii="Arial" w:hAnsi="Arial" w:cs="Arial"/>
          <w:b/>
          <w:sz w:val="20"/>
          <w:szCs w:val="20"/>
          <w:u w:val="single"/>
        </w:rPr>
        <w:t xml:space="preserve">veljavnega </w:t>
      </w:r>
      <w:r w:rsidRPr="003D757B">
        <w:rPr>
          <w:rFonts w:ascii="Arial" w:hAnsi="Arial" w:cs="Arial"/>
          <w:b/>
          <w:sz w:val="20"/>
          <w:szCs w:val="20"/>
          <w:u w:val="single"/>
        </w:rPr>
        <w:t>ZIntPK</w:t>
      </w:r>
    </w:p>
    <w:p w14:paraId="0BD0568C" w14:textId="77777777" w:rsidR="00FA5EB7" w:rsidRPr="003D757B" w:rsidRDefault="00FA5EB7" w:rsidP="00DC1214">
      <w:pPr>
        <w:autoSpaceDE w:val="0"/>
        <w:autoSpaceDN w:val="0"/>
        <w:adjustRightInd w:val="0"/>
        <w:spacing w:after="0" w:line="240" w:lineRule="auto"/>
        <w:jc w:val="both"/>
        <w:rPr>
          <w:rFonts w:ascii="Arial" w:hAnsi="Arial" w:cs="Arial"/>
          <w:b/>
          <w:sz w:val="20"/>
          <w:szCs w:val="20"/>
          <w:u w:val="single"/>
        </w:rPr>
      </w:pPr>
    </w:p>
    <w:p w14:paraId="212D9363" w14:textId="77777777" w:rsidR="003D757B" w:rsidRPr="00A5546C" w:rsidRDefault="003D757B" w:rsidP="003D757B">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KPK</w:t>
      </w:r>
    </w:p>
    <w:p w14:paraId="37CE33E2" w14:textId="021A3748" w:rsidR="00DC1214" w:rsidRPr="003D757B" w:rsidRDefault="00DC1214" w:rsidP="00DC1214">
      <w:pPr>
        <w:autoSpaceDE w:val="0"/>
        <w:autoSpaceDN w:val="0"/>
        <w:adjustRightInd w:val="0"/>
        <w:spacing w:after="0" w:line="240" w:lineRule="auto"/>
        <w:jc w:val="both"/>
        <w:rPr>
          <w:rFonts w:ascii="Arial" w:hAnsi="Arial" w:cs="Arial"/>
          <w:sz w:val="20"/>
          <w:szCs w:val="20"/>
        </w:rPr>
      </w:pPr>
      <w:r w:rsidRPr="003D757B">
        <w:rPr>
          <w:rFonts w:ascii="Arial" w:hAnsi="Arial" w:cs="Arial"/>
          <w:i/>
          <w:sz w:val="20"/>
          <w:szCs w:val="20"/>
        </w:rPr>
        <w:t>Predlagano, da se člen dopolni tako, da KPK dobi možnost ukrepanja proti osebam, ki izvršujejo povračilne ukrepe proti prijaviteljem. Predvsem, da bi KPK od delodajalca zahtevala da zagotovi takojšnje prenehanje takega ravnanja, predvsem pa odvzem vodstvenih pristojnosti izvrševalcu povračilnih ukrepov, premestitev izvrševalca povračilnih ukrepov na drugo delovno mesto, začasno prepoved opravljanja dela izvrševalca povračilnih ukrepov ali odpoved pogodbe o zaposlitvi izvrševalcu povračilnih ukrepov. Predlagano še, naj se doda možnost, da lahko KPK predlaga izdajo začasne odredbe za zadržanje ali odpravo odločitev delodajalca pri pristojnem delovnem sodišču in da lahko v delovnem sporu nastopa kot stranski udeleženec na strani prijavitelja.</w:t>
      </w:r>
      <w:r w:rsidR="00FB4E1D">
        <w:rPr>
          <w:rFonts w:ascii="Arial" w:hAnsi="Arial" w:cs="Arial"/>
          <w:i/>
          <w:sz w:val="20"/>
          <w:szCs w:val="20"/>
        </w:rPr>
        <w:t xml:space="preserve"> </w:t>
      </w:r>
      <w:r w:rsidRPr="003D757B">
        <w:rPr>
          <w:rFonts w:ascii="Arial" w:hAnsi="Arial" w:cs="Arial"/>
          <w:sz w:val="20"/>
          <w:szCs w:val="20"/>
        </w:rPr>
        <w:t>Predlog presega okvir novele. Predlagatelj bo predlog preučil v okviru priprave naslednje novele oziroma priprave novega zakona.</w:t>
      </w:r>
    </w:p>
    <w:p w14:paraId="7CA9319A" w14:textId="77777777" w:rsidR="00DC1214" w:rsidRPr="003D757B" w:rsidRDefault="00DC1214" w:rsidP="00DC1214">
      <w:pPr>
        <w:spacing w:after="0" w:line="240" w:lineRule="auto"/>
        <w:jc w:val="both"/>
        <w:rPr>
          <w:rFonts w:ascii="Arial" w:hAnsi="Arial" w:cs="Arial"/>
          <w:b/>
          <w:sz w:val="20"/>
          <w:szCs w:val="20"/>
        </w:rPr>
      </w:pPr>
    </w:p>
    <w:p w14:paraId="01E0CC3F" w14:textId="6A4BD2BA" w:rsidR="00DC1214" w:rsidRDefault="00DC1214" w:rsidP="00DC1214">
      <w:pPr>
        <w:spacing w:after="0" w:line="240" w:lineRule="auto"/>
        <w:jc w:val="both"/>
        <w:rPr>
          <w:rFonts w:ascii="Arial" w:hAnsi="Arial" w:cs="Arial"/>
          <w:b/>
          <w:sz w:val="20"/>
          <w:szCs w:val="20"/>
          <w:u w:val="single"/>
        </w:rPr>
      </w:pPr>
      <w:r w:rsidRPr="003D757B">
        <w:rPr>
          <w:rFonts w:ascii="Arial" w:hAnsi="Arial" w:cs="Arial"/>
          <w:b/>
          <w:sz w:val="20"/>
          <w:szCs w:val="20"/>
          <w:u w:val="single"/>
        </w:rPr>
        <w:t>K 47. členu</w:t>
      </w:r>
      <w:r w:rsidR="003D757B">
        <w:rPr>
          <w:rFonts w:ascii="Arial" w:hAnsi="Arial" w:cs="Arial"/>
          <w:b/>
          <w:sz w:val="20"/>
          <w:szCs w:val="20"/>
          <w:u w:val="single"/>
        </w:rPr>
        <w:t xml:space="preserve"> veljavnega</w:t>
      </w:r>
      <w:r w:rsidRPr="003D757B">
        <w:rPr>
          <w:rFonts w:ascii="Arial" w:hAnsi="Arial" w:cs="Arial"/>
          <w:b/>
          <w:sz w:val="20"/>
          <w:szCs w:val="20"/>
          <w:u w:val="single"/>
        </w:rPr>
        <w:t xml:space="preserve"> ZIntPK</w:t>
      </w:r>
    </w:p>
    <w:p w14:paraId="79E0262C" w14:textId="77777777" w:rsidR="00FA5EB7" w:rsidRPr="003D757B" w:rsidRDefault="00FA5EB7" w:rsidP="00DC1214">
      <w:pPr>
        <w:spacing w:after="0" w:line="240" w:lineRule="auto"/>
        <w:jc w:val="both"/>
        <w:rPr>
          <w:rFonts w:ascii="Arial" w:hAnsi="Arial" w:cs="Arial"/>
          <w:b/>
          <w:sz w:val="20"/>
          <w:szCs w:val="20"/>
          <w:u w:val="single"/>
        </w:rPr>
      </w:pPr>
    </w:p>
    <w:p w14:paraId="2808448F" w14:textId="77777777" w:rsidR="00DC1214" w:rsidRPr="003D757B" w:rsidRDefault="00DC1214" w:rsidP="00DC1214">
      <w:pPr>
        <w:spacing w:after="0" w:line="240" w:lineRule="auto"/>
        <w:jc w:val="both"/>
        <w:rPr>
          <w:rFonts w:ascii="Arial" w:hAnsi="Arial" w:cs="Arial"/>
          <w:sz w:val="20"/>
          <w:szCs w:val="20"/>
          <w:u w:val="single"/>
        </w:rPr>
      </w:pPr>
      <w:r w:rsidRPr="003D757B">
        <w:rPr>
          <w:rFonts w:ascii="Arial" w:hAnsi="Arial" w:cs="Arial"/>
          <w:sz w:val="20"/>
          <w:szCs w:val="20"/>
          <w:u w:val="single"/>
        </w:rPr>
        <w:t>Evropski inštitut za skladnost in etiko poslovanja (EISEP)</w:t>
      </w:r>
    </w:p>
    <w:p w14:paraId="356A2912" w14:textId="2946E6A7" w:rsidR="00DC1214" w:rsidRDefault="00DC1214" w:rsidP="00DC1214">
      <w:pPr>
        <w:spacing w:after="0" w:line="240" w:lineRule="auto"/>
        <w:jc w:val="both"/>
        <w:rPr>
          <w:rFonts w:ascii="Arial" w:hAnsi="Arial" w:cs="Arial"/>
          <w:sz w:val="20"/>
          <w:szCs w:val="20"/>
        </w:rPr>
      </w:pPr>
      <w:r w:rsidRPr="0052517B">
        <w:rPr>
          <w:rFonts w:ascii="Arial" w:hAnsi="Arial" w:cs="Arial"/>
          <w:i/>
          <w:sz w:val="20"/>
          <w:szCs w:val="20"/>
        </w:rPr>
        <w:t>Predlagano, da se obveznost priprave načrta integritete razširi tudi na druge organizacije in podjetja pod prevladujočim vplivom države ali lokalnih skupnosti ter na organizacije, ki se financirajo iz javnih sredstev, so dobavitelji, izvajalci ali zastopniki prej naštetih subjektov ali sodelujejo v postopkih javnega naročanja. Predlagana je še širitev opredelitve načrta integritete.</w:t>
      </w:r>
      <w:r w:rsidR="00FB4E1D">
        <w:rPr>
          <w:rFonts w:ascii="Arial" w:hAnsi="Arial" w:cs="Arial"/>
          <w:i/>
          <w:sz w:val="20"/>
          <w:szCs w:val="20"/>
        </w:rPr>
        <w:t xml:space="preserve"> </w:t>
      </w:r>
      <w:r w:rsidRPr="0052517B">
        <w:rPr>
          <w:rFonts w:ascii="Arial" w:hAnsi="Arial" w:cs="Arial"/>
          <w:sz w:val="20"/>
          <w:szCs w:val="20"/>
        </w:rPr>
        <w:t>Predlog se nanaša na ureditev načrtov integritete, ki pa ni predmet urejanja v tokratni noveli. Predlog presega materijo novele, zato ob obravnavan v okviru morebitne naslednje novele ali priprave novega zakona.</w:t>
      </w:r>
    </w:p>
    <w:p w14:paraId="200B546F" w14:textId="6DB2EFE7" w:rsidR="004F79DA" w:rsidRDefault="004F79DA" w:rsidP="00DC1214">
      <w:pPr>
        <w:spacing w:after="0" w:line="240" w:lineRule="auto"/>
        <w:jc w:val="both"/>
        <w:rPr>
          <w:rFonts w:ascii="Arial" w:hAnsi="Arial" w:cs="Arial"/>
          <w:sz w:val="20"/>
          <w:szCs w:val="20"/>
        </w:rPr>
      </w:pPr>
    </w:p>
    <w:p w14:paraId="04AA58FF" w14:textId="62A3CB60" w:rsidR="004F79DA" w:rsidRDefault="004F79DA" w:rsidP="004F79DA">
      <w:pPr>
        <w:spacing w:after="0" w:line="260" w:lineRule="atLeast"/>
        <w:jc w:val="both"/>
        <w:outlineLvl w:val="0"/>
        <w:rPr>
          <w:rFonts w:ascii="Arial" w:eastAsia="Times New Roman" w:hAnsi="Arial" w:cs="Arial"/>
          <w:b/>
          <w:sz w:val="20"/>
          <w:szCs w:val="20"/>
          <w:lang w:eastAsia="sl-SI"/>
        </w:rPr>
      </w:pPr>
      <w:r>
        <w:rPr>
          <w:rFonts w:ascii="Arial" w:eastAsia="Times New Roman" w:hAnsi="Arial" w:cs="Arial"/>
          <w:b/>
          <w:sz w:val="20"/>
          <w:szCs w:val="20"/>
          <w:lang w:eastAsia="sl-SI"/>
        </w:rPr>
        <w:t xml:space="preserve">8. </w:t>
      </w:r>
      <w:r w:rsidRPr="004F79DA">
        <w:rPr>
          <w:rFonts w:ascii="Arial" w:eastAsia="Times New Roman" w:hAnsi="Arial" w:cs="Arial"/>
          <w:b/>
          <w:sz w:val="20"/>
          <w:szCs w:val="20"/>
          <w:lang w:eastAsia="sl-SI"/>
        </w:rPr>
        <w:t>PODATEK O ZUNANJEM STROKOVNJAKU OZIROMA PRAVNI OSEBI, KI JE SODELOVALA PRI PRIPRAVI PREDLOGA ZAKONA, IN ZNESKU PLAČILA ZA TA NAMEN</w:t>
      </w:r>
    </w:p>
    <w:p w14:paraId="52BA7B50" w14:textId="57197BB6" w:rsidR="004F79DA" w:rsidRPr="004F79DA" w:rsidRDefault="004F79DA" w:rsidP="004F79DA">
      <w:pPr>
        <w:spacing w:after="0" w:line="260" w:lineRule="atLeast"/>
        <w:jc w:val="both"/>
        <w:outlineLvl w:val="0"/>
        <w:rPr>
          <w:rFonts w:ascii="Arial" w:eastAsia="Times New Roman" w:hAnsi="Arial" w:cs="Arial"/>
          <w:sz w:val="20"/>
          <w:szCs w:val="20"/>
          <w:lang w:eastAsia="sl-SI"/>
        </w:rPr>
      </w:pPr>
    </w:p>
    <w:p w14:paraId="07ABD22F" w14:textId="1CDC89AF" w:rsidR="004F79DA" w:rsidRPr="004F79DA" w:rsidRDefault="004F79DA" w:rsidP="004F79DA">
      <w:pPr>
        <w:spacing w:after="0" w:line="260" w:lineRule="atLeast"/>
        <w:jc w:val="both"/>
        <w:outlineLvl w:val="0"/>
        <w:rPr>
          <w:rFonts w:ascii="Arial" w:eastAsia="Times New Roman" w:hAnsi="Arial" w:cs="Arial"/>
          <w:sz w:val="20"/>
          <w:szCs w:val="20"/>
          <w:lang w:eastAsia="sl-SI"/>
        </w:rPr>
      </w:pPr>
      <w:r w:rsidRPr="004F79DA">
        <w:rPr>
          <w:rFonts w:ascii="Arial" w:eastAsia="Times New Roman" w:hAnsi="Arial" w:cs="Arial"/>
          <w:sz w:val="20"/>
          <w:szCs w:val="20"/>
          <w:lang w:eastAsia="sl-SI"/>
        </w:rPr>
        <w:t>Pri pr</w:t>
      </w:r>
      <w:r>
        <w:rPr>
          <w:rFonts w:ascii="Arial" w:eastAsia="Times New Roman" w:hAnsi="Arial" w:cs="Arial"/>
          <w:sz w:val="20"/>
          <w:szCs w:val="20"/>
          <w:lang w:eastAsia="sl-SI"/>
        </w:rPr>
        <w:t>ipravi zakona niso sodelovali zunanji strokovnjaki in ni bilo plačila za ta namen.</w:t>
      </w:r>
    </w:p>
    <w:p w14:paraId="69903F20" w14:textId="77777777" w:rsidR="00DC1214" w:rsidRPr="004F79DA" w:rsidRDefault="00DC1214"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78D49865" w14:textId="585FC94D" w:rsidR="0055047E" w:rsidRPr="00FB34F5" w:rsidRDefault="004F79DA" w:rsidP="0055047E">
      <w:pPr>
        <w:spacing w:after="0" w:line="260" w:lineRule="atLeast"/>
        <w:jc w:val="both"/>
        <w:outlineLvl w:val="0"/>
        <w:rPr>
          <w:rFonts w:ascii="Arial" w:eastAsia="Times New Roman" w:hAnsi="Arial" w:cs="Arial"/>
          <w:b/>
          <w:sz w:val="20"/>
          <w:szCs w:val="20"/>
          <w:lang w:eastAsia="sl-SI"/>
        </w:rPr>
      </w:pPr>
      <w:r>
        <w:rPr>
          <w:rFonts w:ascii="Arial" w:eastAsia="Times New Roman" w:hAnsi="Arial" w:cs="Arial"/>
          <w:b/>
          <w:sz w:val="20"/>
          <w:szCs w:val="20"/>
          <w:lang w:eastAsia="sl-SI"/>
        </w:rPr>
        <w:t>9</w:t>
      </w:r>
      <w:r w:rsidR="0055047E" w:rsidRPr="00FB34F5">
        <w:rPr>
          <w:rFonts w:ascii="Arial" w:eastAsia="Times New Roman" w:hAnsi="Arial" w:cs="Arial"/>
          <w:b/>
          <w:sz w:val="20"/>
          <w:szCs w:val="20"/>
          <w:lang w:eastAsia="sl-SI"/>
        </w:rPr>
        <w:t xml:space="preserve">. </w:t>
      </w:r>
      <w:r w:rsidRPr="00FB34F5">
        <w:rPr>
          <w:rFonts w:ascii="Arial" w:eastAsia="Times New Roman" w:hAnsi="Arial" w:cs="Arial"/>
          <w:b/>
          <w:sz w:val="20"/>
          <w:szCs w:val="20"/>
          <w:lang w:eastAsia="sl-SI"/>
        </w:rPr>
        <w:t>NAVEDBA, KATERI PREDSTAVNIKI PREDLAGATELJA BODO SODELOVALI PRI DELU DRŽAVNEGA ZBORA IN DELOVNIH TELES</w:t>
      </w:r>
      <w:r w:rsidR="0055047E" w:rsidRPr="00FB34F5">
        <w:rPr>
          <w:rFonts w:ascii="Arial" w:eastAsia="Times New Roman" w:hAnsi="Arial" w:cs="Arial"/>
          <w:b/>
          <w:sz w:val="20"/>
          <w:szCs w:val="20"/>
          <w:lang w:eastAsia="sl-SI"/>
        </w:rPr>
        <w:t>:</w:t>
      </w:r>
    </w:p>
    <w:p w14:paraId="0EE7542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B942093"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Andreja Katič, ministrica za pravosodje</w:t>
      </w:r>
    </w:p>
    <w:p w14:paraId="5CB2A162" w14:textId="057A8787" w:rsidR="0055047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Dr. Dominika Švarc Pipan, državna sekretarka v Ministrstvu za pravosodje</w:t>
      </w:r>
    </w:p>
    <w:p w14:paraId="48ADE6DD" w14:textId="574596FF" w:rsidR="00CF755E" w:rsidRPr="005C544E" w:rsidRDefault="00CF755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Gregor Strojin, državni sekretar, Ministrstvo za pravosodje</w:t>
      </w:r>
    </w:p>
    <w:p w14:paraId="4BE621B7" w14:textId="77777777"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Mag. Nina Koželj, v. d. generalnega direktorja Direktorata za kaznovalno pravo in človekove pravice, Ministrstvo za pravosodje</w:t>
      </w:r>
    </w:p>
    <w:p w14:paraId="56A83FA6" w14:textId="23154810" w:rsidR="0055047E" w:rsidRPr="005C544E" w:rsidRDefault="0055047E"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Mag Robert Golobinek, vodja Sektorja za kaznovalno pravo in človekove pravice, Ministrstvo za pravosodje</w:t>
      </w:r>
    </w:p>
    <w:p w14:paraId="027A579F" w14:textId="588B4605" w:rsidR="0016661D" w:rsidRPr="005C544E" w:rsidRDefault="0016661D" w:rsidP="006F190F">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lang w:eastAsia="sl-SI"/>
        </w:rPr>
      </w:pPr>
      <w:r w:rsidRPr="005C544E">
        <w:rPr>
          <w:rFonts w:ascii="Arial" w:eastAsia="Times New Roman" w:hAnsi="Arial" w:cs="Arial"/>
          <w:sz w:val="20"/>
          <w:szCs w:val="20"/>
          <w:lang w:eastAsia="sl-SI"/>
        </w:rPr>
        <w:t>Matjaž Mešnjak, višji svetovalec, Sektor za kaznovalno pravo in človekove pravice, Ministrstvo za pravosodje</w:t>
      </w:r>
    </w:p>
    <w:p w14:paraId="0F9E98C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sl-SI"/>
        </w:rPr>
      </w:pPr>
    </w:p>
    <w:p w14:paraId="5258AD9D" w14:textId="77777777" w:rsidR="0055047E" w:rsidRPr="0055047E"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iCs/>
          <w:sz w:val="20"/>
          <w:szCs w:val="20"/>
          <w:lang w:eastAsia="sl-SI"/>
        </w:rPr>
      </w:pPr>
      <w:r w:rsidRPr="0055047E">
        <w:rPr>
          <w:rFonts w:ascii="Arial" w:eastAsia="Times New Roman" w:hAnsi="Arial" w:cs="Arial"/>
          <w:iCs/>
          <w:sz w:val="20"/>
          <w:szCs w:val="20"/>
          <w:lang w:eastAsia="sl-SI"/>
        </w:rPr>
        <w:br w:type="page"/>
      </w:r>
    </w:p>
    <w:p w14:paraId="2F094244" w14:textId="77777777" w:rsidR="0055047E" w:rsidRPr="0055047E"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5047E">
        <w:rPr>
          <w:rFonts w:ascii="Arial" w:eastAsia="Times New Roman" w:hAnsi="Arial" w:cs="Arial"/>
          <w:b/>
          <w:sz w:val="20"/>
          <w:szCs w:val="20"/>
          <w:lang w:eastAsia="sl-SI"/>
        </w:rPr>
        <w:t>II. BESEDILO ČLENOV</w:t>
      </w:r>
    </w:p>
    <w:p w14:paraId="11400991" w14:textId="77777777" w:rsidR="0055047E" w:rsidRPr="00FB34F5"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60BBB180"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4" w:name="_Hlk10716852"/>
      <w:r w:rsidRPr="005C544E">
        <w:rPr>
          <w:rFonts w:ascii="Arial" w:eastAsia="Times New Roman" w:hAnsi="Arial" w:cs="Arial"/>
          <w:b/>
          <w:bCs/>
          <w:sz w:val="20"/>
          <w:szCs w:val="20"/>
          <w:lang w:eastAsia="ar-SA"/>
        </w:rPr>
        <w:t>1. člen</w:t>
      </w:r>
    </w:p>
    <w:p w14:paraId="1B9573B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83E7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sz w:val="20"/>
          <w:szCs w:val="20"/>
          <w:lang w:eastAsia="ar-SA"/>
        </w:rPr>
        <w:t xml:space="preserve">V Zakonu o integriteti in preprečevanju korupcije (Uradni list RS, št. 69/11 – uradno prečiščeno besedilo) se besedilo </w:t>
      </w:r>
      <w:r w:rsidRPr="005C544E">
        <w:rPr>
          <w:rFonts w:ascii="Arial" w:eastAsia="Times New Roman" w:hAnsi="Arial" w:cs="Arial"/>
          <w:bCs/>
          <w:sz w:val="20"/>
          <w:szCs w:val="20"/>
          <w:lang w:eastAsia="ar-SA"/>
        </w:rPr>
        <w:t>4. člena spremeni tako, da se glasi:</w:t>
      </w:r>
    </w:p>
    <w:p w14:paraId="12644EE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D33C06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»Izrazi, uporabljeni v tem zakonu, imajo naslednji pomen:</w:t>
      </w:r>
    </w:p>
    <w:p w14:paraId="3569B42B"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3331B3A8"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»mednarodna korupcija« je korupcija, v kateri je udeležena najmanj ena fizična ali pravna oseba iz tujine;</w:t>
      </w:r>
    </w:p>
    <w:p w14:paraId="14C60C4D"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0CD29867"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»javni sektor« so državni organi in samoupravne lokalne skupnosti (v nadaljnjem besedilu: lokalne skupnosti), javne agencije, javni skladi, javni zavodi, javni gospodarski zavodi, Banka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 vpliv država ali lokalna skupnost;</w:t>
      </w:r>
    </w:p>
    <w:p w14:paraId="062D6443"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šef kabineta predsednika republike, namestnik generalnega sekretarja predsednika republike, svetovalec predsednika republike, generalni sekretar državnega zbora, sekretar državnega sveta, funkcionarji v drugih državnih organih in lokalnih skupnostih, poslanci iz Republike Slovenije v Evropskem parlamentu, če njihove pravice in obveznosti niso drugače urejene z akti Evropskega parlamenta in drugi funkcionarji iz Republike Slovenije v evropskih institucijah in drugih mednarodnih institucijah, če jih tja napoti Republika Slovenija, ter člani sveta Banke Slovenije, če njihove pravice in obveznosti niso drugače urejene z zakonom, ki ureja Banko Slovenije, in drugimi predpisi, ki obvezujejo Banko Slovenije;</w:t>
      </w:r>
    </w:p>
    <w:p w14:paraId="171D7DFA" w14:textId="3AF40A30" w:rsidR="00C459D3"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»družinski člani« so zakonec, otroci, starši, bratje, sestre, osebe, ki s posameznikom bivajo na istem naslovu, in osebe, ki s posameznikom živijo v zunajzakonski skupnosti;</w:t>
      </w:r>
    </w:p>
    <w:p w14:paraId="4DC8B002"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»uradniki oziroma uradnice na položaju« (v nadaljnjem besedilu: uradniki na položaju) so generalni direktorji, generalni sekretarji ministrstev, predstojniki organov v sestavi ministrstev, predstojniki vladnih služb, osebe s posebnimi pooblastili v Banki Slovenije, načelniki upravnih enot, direktorji oziroma tajniki občinskih uprav;</w:t>
      </w:r>
    </w:p>
    <w:p w14:paraId="2715136C"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 xml:space="preserve">»poslovodne osebe« </w:t>
      </w:r>
      <w:r w:rsidRPr="005C544E">
        <w:rPr>
          <w:rFonts w:ascii="Helv" w:eastAsia="Times New Roman" w:hAnsi="Helv" w:cs="Helv"/>
          <w:sz w:val="20"/>
          <w:szCs w:val="20"/>
          <w:lang w:eastAsia="ar-SA"/>
        </w:rPr>
        <w:t>so direktorji in člani kolektivnih poslovodnih organov javnih agencij, javnih skladov, javnih zavodov, javnih gospodarskih zavodov in drugih oseb javnega prava, ki so posredni uporabniki državnega proračuna ali proračuna lokalne skupnosti, pravnih</w:t>
      </w:r>
      <w:r w:rsidRPr="005C544E">
        <w:rPr>
          <w:rFonts w:ascii="Arial" w:eastAsia="Times New Roman" w:hAnsi="Arial" w:cs="Arial"/>
          <w:bCs/>
          <w:sz w:val="20"/>
          <w:szCs w:val="20"/>
          <w:lang w:eastAsia="ar-SA"/>
        </w:rPr>
        <w:t xml:space="preserve"> oseb, ki jih je ustanovila država ali lokalna skupnost,</w:t>
      </w:r>
      <w:r w:rsidRPr="005C544E">
        <w:rPr>
          <w:rFonts w:ascii="Helv" w:eastAsia="Times New Roman" w:hAnsi="Helv" w:cs="Helv"/>
          <w:sz w:val="20"/>
          <w:szCs w:val="20"/>
          <w:lang w:eastAsia="ar-SA"/>
        </w:rPr>
        <w:t xml:space="preserve"> javnih podjetij, gospodarskih družb in drugih pravnih oseb, v katerih imata država ali lokalna skupnost večinski delež ali prevladujoč vpliv</w:t>
      </w:r>
      <w:r w:rsidRPr="005C544E">
        <w:rPr>
          <w:rFonts w:ascii="Arial" w:eastAsia="Times New Roman" w:hAnsi="Arial" w:cs="Arial"/>
          <w:bCs/>
          <w:sz w:val="20"/>
          <w:szCs w:val="20"/>
          <w:lang w:eastAsia="ar-SA"/>
        </w:rPr>
        <w:t>;</w:t>
      </w:r>
    </w:p>
    <w:p w14:paraId="6E96CFC7"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»uradne osebe« so funkcionarji, uradniki na položaju in drugi javni uslužbenci, uslužbenci zaposleni v Banki Slovenije, poslovodne osebe in člani organov upravljanja, vodenja in nadzora v subjektih javnega sektorja;</w:t>
      </w:r>
    </w:p>
    <w:p w14:paraId="2AADF251"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bookmarkStart w:id="5" w:name="_Hlk1461375"/>
      <w:r w:rsidRPr="005C544E">
        <w:rPr>
          <w:rFonts w:ascii="Arial" w:eastAsia="Times New Roman" w:hAnsi="Arial" w:cs="Arial"/>
          <w:sz w:val="20"/>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bookmarkEnd w:id="5"/>
    <w:p w14:paraId="6E35CBFD"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20DF9C74"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»zasebni interes osebe« iz prejšnje točke pomeni premoženjsko ali nepremoženjsko korist zanjo, za njene družinske člane in za druge fizične ali pravne osebe, s katerimi ima ali je imela ta oseba ali njen družinski član osebne, poslovne ali politične stike;</w:t>
      </w:r>
    </w:p>
    <w:p w14:paraId="3D81C537"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»interesne organizacije« so pravne osebe zasebnega prava in druge pravno urejene oblike združevanja fizičnih ali pravnih oseb, v imenu in na račun katerih lobist opravlja dejavnost lobiranja;</w:t>
      </w:r>
    </w:p>
    <w:p w14:paraId="367795DD"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4BD12AF"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04827D6C"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»lobiranci oziroma lobiranke« (v nadaljnjem besedilu: lobiranci) so funkcionarji in javni uslužbenci v državnih organih, Banki Slovenije, organih in upravi lokalne skupnosti ter pri nosilcih javnih pooblastil, ki odločajo ali sodelujejo pri obravnavi in sprejemanju predpisov, drugih splošnih aktov in odločitev iz 14. točke tega člena, s katerimi z namenom lobiranja komunicira lobist;</w:t>
      </w:r>
    </w:p>
    <w:p w14:paraId="1D125467" w14:textId="77777777" w:rsidR="0055047E" w:rsidRPr="005C544E" w:rsidRDefault="0055047E" w:rsidP="006F190F">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»nosilci ukrepov« so organi in organizacije, ki so z akcijskim načrtom za uresničevanje resolucije določeni kot izvajalci ukrepov za dosego ciljev resolucije.«.</w:t>
      </w:r>
    </w:p>
    <w:bookmarkEnd w:id="4"/>
    <w:p w14:paraId="633CC7C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iCs/>
          <w:sz w:val="20"/>
          <w:szCs w:val="20"/>
          <w:lang w:eastAsia="ar-SA"/>
        </w:rPr>
      </w:pPr>
    </w:p>
    <w:p w14:paraId="2DC95817"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 člen</w:t>
      </w:r>
    </w:p>
    <w:p w14:paraId="20453DAE"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p>
    <w:p w14:paraId="1B5BEF1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člen se spremeni tako, da se glasi:</w:t>
      </w:r>
    </w:p>
    <w:p w14:paraId="30F005A5" w14:textId="77777777"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p>
    <w:p w14:paraId="03155EF1"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člen</w:t>
      </w:r>
    </w:p>
    <w:p w14:paraId="65E7E86A"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(komisija)</w:t>
      </w:r>
    </w:p>
    <w:p w14:paraId="0CCC1270" w14:textId="77777777" w:rsidR="0055047E" w:rsidRPr="005C544E" w:rsidRDefault="0055047E" w:rsidP="0055047E">
      <w:pPr>
        <w:suppressAutoHyphens/>
        <w:overflowPunct w:val="0"/>
        <w:autoSpaceDE w:val="0"/>
        <w:autoSpaceDN w:val="0"/>
        <w:adjustRightInd w:val="0"/>
        <w:spacing w:after="0" w:line="260" w:lineRule="atLeast"/>
        <w:jc w:val="both"/>
        <w:textAlignment w:val="baseline"/>
        <w:rPr>
          <w:rFonts w:ascii="Arial" w:eastAsia="Times New Roman" w:hAnsi="Arial" w:cs="Arial"/>
          <w:sz w:val="20"/>
          <w:szCs w:val="20"/>
          <w:lang w:eastAsia="ar-SA"/>
        </w:rPr>
      </w:pPr>
    </w:p>
    <w:p w14:paraId="0BEC1AB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Komisija ima predsednika komisije in dva namestnika predsednika komisije. Predsednik komisije in namestnika predsednika komisije so funkcionarji.</w:t>
      </w:r>
    </w:p>
    <w:p w14:paraId="7BC8E7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65BBE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Funkciji predsednika in namestnika predsednika komisije nista združljivi z opravljanjem funkcije ali delom v drugi osebi javnega ali zasebnega prava, ki deluje na področjih, na katerih komisija izvršuje pristojnosti po tem zakonu.</w:t>
      </w:r>
    </w:p>
    <w:p w14:paraId="0AE6020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E99FF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Predsednik in namestnika predsednika komisije morajo najkasneje v roku enega meseca po nastopu funkcije prenehati opravljati delo ali funkcijo iz prejšnjega odstavka.</w:t>
      </w:r>
    </w:p>
    <w:p w14:paraId="01AA882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35BCE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Predsednik komisije je imenovan za dobo šestih let, namestnika predsednika za dobo petih let, na svoje funkcije pa so lahko imenovani dvakrat zapored.</w:t>
      </w:r>
    </w:p>
    <w:p w14:paraId="569B912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1C635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(5) Funkcionar komisije, ki mu je potekel mandat ali je odstopil, opravlja funkcijo s polnimi pooblastili do začetka opravljanja funkcije novega funkcionarja, razen če je bil razrešen zaradi ostalih razlogov iz druge do šeste alineje prvega odstavka 22. člena tega zakona.«.</w:t>
      </w:r>
    </w:p>
    <w:p w14:paraId="411BFDE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9E7BBEA"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 člen</w:t>
      </w:r>
    </w:p>
    <w:p w14:paraId="7A20E0A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7BFB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Za 7. členom se doda nov 7.a člen, ki se glasi:</w:t>
      </w:r>
    </w:p>
    <w:p w14:paraId="7363716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01672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»7.a člen</w:t>
      </w:r>
    </w:p>
    <w:p w14:paraId="55DF7054"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(izločitev funkcionarja komisije ali uslužbenca komisije)</w:t>
      </w:r>
    </w:p>
    <w:p w14:paraId="77E5179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C6C3D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Funkcionar komisije ali uslužbenec komisije v postopkih po tem zakonu ne sme sodelovati pri obravnavi zadeve ali odločati o zadevi, v kateri je udeležen sam ali je z osebo, ki je v zadevi udeležena, ali njenim zakonitim zastopnikom, ali pravnim pooblaščencem v konkretni zadevi:</w:t>
      </w:r>
    </w:p>
    <w:p w14:paraId="2654BE31" w14:textId="77777777" w:rsidR="0055047E" w:rsidRPr="005C544E"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v sorodstvenem razmerju v ravni vrsti ali v stranski vrsti do vštetega tretjega kolena,</w:t>
      </w:r>
    </w:p>
    <w:p w14:paraId="1C112D87" w14:textId="77777777" w:rsidR="0055047E" w:rsidRPr="005C544E"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v zakonski zvezi ali v svaštvu do vštetega drugega kolena ali če z njo živi ali je živela v zunajzakonski skupnosti ali v partnerski zvezi oziroma nesklenjeni partnerski zvezi ali</w:t>
      </w:r>
    </w:p>
    <w:p w14:paraId="5A0C51B5" w14:textId="77777777" w:rsidR="0055047E" w:rsidRPr="005C544E" w:rsidRDefault="0055047E" w:rsidP="006F190F">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v razmerju skrbnika, oskrbovanca, rejnika ali rejenca.</w:t>
      </w:r>
    </w:p>
    <w:p w14:paraId="25A7796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E9266F" w14:textId="764AC7C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(2) Funkcionar </w:t>
      </w:r>
      <w:r w:rsidR="00B30A4C" w:rsidRPr="005C544E">
        <w:rPr>
          <w:rFonts w:ascii="Arial" w:eastAsia="Times New Roman" w:hAnsi="Arial" w:cs="Arial"/>
          <w:sz w:val="20"/>
          <w:szCs w:val="20"/>
          <w:lang w:eastAsia="ar-SA"/>
        </w:rPr>
        <w:t xml:space="preserve">ali uslužbenec </w:t>
      </w:r>
      <w:r w:rsidRPr="005C544E">
        <w:rPr>
          <w:rFonts w:ascii="Arial" w:eastAsia="Times New Roman" w:hAnsi="Arial" w:cs="Arial"/>
          <w:sz w:val="20"/>
          <w:szCs w:val="20"/>
          <w:lang w:eastAsia="ar-SA"/>
        </w:rPr>
        <w:t>komisije ne sme sodelovati pri obravnavi zadeve ali odločati o zadevi, če obstajajo druge okoliščine, v katerih njegov zasebni interes vpliva oziroma vzbuja videz, da vpliva ali bi lahko vplival na njegovo nepristranskost in objektivnost pri opravljanju javnih nalog in izvajanju uradnih postopkov v zvezi z obravnavano zadevo.</w:t>
      </w:r>
    </w:p>
    <w:p w14:paraId="1F7424C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B39F77" w14:textId="6831921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O izločitvi funkcionarja komisije s sklepom odločata preostala dva funkcionarja komisije, o izločitvi uslužbenca komisije pa predsednik </w:t>
      </w:r>
      <w:r w:rsidR="00880AE6" w:rsidRPr="005C544E">
        <w:rPr>
          <w:rFonts w:ascii="Arial" w:eastAsia="Times New Roman" w:hAnsi="Arial" w:cs="Arial"/>
          <w:sz w:val="20"/>
          <w:szCs w:val="20"/>
          <w:lang w:eastAsia="ar-SA"/>
        </w:rPr>
        <w:t xml:space="preserve">komisije </w:t>
      </w:r>
      <w:r w:rsidRPr="005C544E">
        <w:rPr>
          <w:rFonts w:ascii="Arial" w:eastAsia="Times New Roman" w:hAnsi="Arial" w:cs="Arial"/>
          <w:sz w:val="20"/>
          <w:szCs w:val="20"/>
          <w:lang w:eastAsia="ar-SA"/>
        </w:rPr>
        <w:t>ali oseba, ki jo za to pooblasti. Zahtevo za izločitev lahko poda funkcionar</w:t>
      </w:r>
      <w:r w:rsidR="00B30A4C" w:rsidRPr="005C544E">
        <w:rPr>
          <w:rFonts w:ascii="Arial" w:eastAsia="Times New Roman" w:hAnsi="Arial" w:cs="Arial"/>
          <w:sz w:val="20"/>
          <w:szCs w:val="20"/>
          <w:lang w:eastAsia="ar-SA"/>
        </w:rPr>
        <w:t xml:space="preserve"> ali uslužbenec</w:t>
      </w:r>
      <w:r w:rsidRPr="005C544E">
        <w:rPr>
          <w:rFonts w:ascii="Arial" w:eastAsia="Times New Roman" w:hAnsi="Arial" w:cs="Arial"/>
          <w:sz w:val="20"/>
          <w:szCs w:val="20"/>
          <w:lang w:eastAsia="ar-SA"/>
        </w:rPr>
        <w:t xml:space="preserve"> komisije, prijavitelj, obravnavana oseba oziroma oseba, ki je subjekt nadzora po tem zakonu, iz razlogov po prvem ali drugem odstavku tega člena.</w:t>
      </w:r>
    </w:p>
    <w:p w14:paraId="16F9626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41293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Določbe tega člena veljajo tudi za postopke, ki jih komisija vodi v skladu z zakonom, ki ureja splošni upravni postopek, za postopke, ki jih vodi po zakonu, ki ureja prekrške, pa veljajo določbe o izločitvi v skladu z zakonom, ki ureja prekrške.«.</w:t>
      </w:r>
    </w:p>
    <w:p w14:paraId="76D7F3D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B30B93"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6" w:name="_Hlk4659749"/>
      <w:r w:rsidRPr="005C544E">
        <w:rPr>
          <w:rFonts w:ascii="Arial" w:eastAsia="Times New Roman" w:hAnsi="Arial" w:cs="Arial"/>
          <w:b/>
          <w:bCs/>
          <w:sz w:val="20"/>
          <w:szCs w:val="20"/>
          <w:lang w:eastAsia="ar-SA"/>
        </w:rPr>
        <w:t>4. člen</w:t>
      </w:r>
    </w:p>
    <w:p w14:paraId="50CFD95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D2081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9. člen se spremeni tako, da se glasi:</w:t>
      </w:r>
    </w:p>
    <w:p w14:paraId="248D559D"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»9. člen</w:t>
      </w:r>
    </w:p>
    <w:p w14:paraId="5D1A3A28"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(pogoji za imenovanje funkcionarjev komisije)</w:t>
      </w:r>
    </w:p>
    <w:p w14:paraId="5235ED5E" w14:textId="77777777" w:rsidR="0055047E" w:rsidRPr="005C544E"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79E00B0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Oseba je lahko imenovana za funkcionarja komisije, če:</w:t>
      </w:r>
    </w:p>
    <w:p w14:paraId="23134018" w14:textId="77777777"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je državljan Republike Slovenije in obvlada slovenski jezik;</w:t>
      </w:r>
      <w:bookmarkStart w:id="7" w:name="_Hlk501034858"/>
    </w:p>
    <w:p w14:paraId="348E8FA4" w14:textId="33FD0B28"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ima najmanj izobrazbo, pridobljeno po študijskih programih druge stopnje, ali raven izobrazbe, ki v skladu z zakonom, ki ureja visoko šolstvo, ustreza izobrazbi druge stopnje;</w:t>
      </w:r>
    </w:p>
    <w:bookmarkEnd w:id="7"/>
    <w:p w14:paraId="5C2965E3" w14:textId="6DA8CEB8"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ima najmanj deset let delovnih izkušenj pri opravljanju nalog, za katere je zahtevana izobrazba iz prejšnje alineje, od tega najmanj tri leta delovnih izkušenj na področju, za katero kandidira, ali na sorodnem področju v javnem ali zasebnem sektorju, pri čemer se izpolnjevanje pogoja delovnih izkušenj presoja po zakonu, ki ureja javne uslužbence;</w:t>
      </w:r>
    </w:p>
    <w:p w14:paraId="3B36911A" w14:textId="77777777"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zoper njo ni bila vložena pravnomočna obtožnica ali na podlagi obtožnega predloga razpisana glavna obravnava zaradi naklepnega kaznivega dejanja, za katerega se storilec preganja po uradni dolžnosti;</w:t>
      </w:r>
    </w:p>
    <w:p w14:paraId="376971E8" w14:textId="77777777"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ni bila pravnomočno obsojena zaradi naklepnega kaznivega dejanja;</w:t>
      </w:r>
    </w:p>
    <w:p w14:paraId="6343947D" w14:textId="77777777"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ni član organov politične stranke ali zadnji dve leti pred kandidiranjem ni opravljala funkcije v izvršilni ali zakonodajni veji oblasti na državni ali lokalni ravni;</w:t>
      </w:r>
    </w:p>
    <w:p w14:paraId="32A47CFE" w14:textId="4F772B3F" w:rsidR="0055047E" w:rsidRPr="005C544E" w:rsidRDefault="0055047E" w:rsidP="006F190F">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 evropski jezikovni lestvici izkazuje višjo raven znanja najmanj enega tujega jezika, ki je delovni jezik mednarodnih organizacij s področja dela komisije</w:t>
      </w:r>
      <w:r w:rsidR="00880AE6" w:rsidRPr="005C544E">
        <w:rPr>
          <w:rFonts w:ascii="Helv" w:eastAsia="Times New Roman" w:hAnsi="Helv" w:cs="Helv"/>
          <w:sz w:val="20"/>
          <w:szCs w:val="20"/>
          <w:lang w:eastAsia="ar-SA"/>
        </w:rPr>
        <w:t>;</w:t>
      </w:r>
    </w:p>
    <w:p w14:paraId="6B5BE03B" w14:textId="1F44700D" w:rsidR="0055047E" w:rsidRPr="005C544E" w:rsidRDefault="0055047E" w:rsidP="005C544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izbirnem postopku izkaže, da je osebnostno primerna in strokovno usposobljena za opravljanje funkcije.</w:t>
      </w:r>
    </w:p>
    <w:p w14:paraId="3EB62DF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0E6AB8" w14:textId="5F810D7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Kandidat je dolžan seznaniti kandidacijsko komisijo z morebitnimi preteklimi in sedanjimi osebnimi okoliščinami, ki bi lahko vplivale ali ustvarjale videz, da vplivajo na njegovo nepristransko ter objektivno opravljanje funkcije oziroma bi lahko škodovale ugledu komisije.</w:t>
      </w:r>
    </w:p>
    <w:p w14:paraId="3A20F6B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A5138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Ni osebnostno primerna tista oseba, za katero je na podlagi dosedanjega dela, ravnanja in vedenja možno utemeljeno sklepati, da funkcije ne bo opravljala strokovno, pošteno, vestno, ali da ne bo varovala ugleda, nepristranskosti in neodvisnosti komisije.</w:t>
      </w:r>
    </w:p>
    <w:p w14:paraId="60EC295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F9F6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Kandidat mora kandidaturi priložiti in pred kandidacijsko komisijo osebno predstaviti strokovno utemeljeno strategijo razvoja in dela komisije ter njeno uporabnost in izvedljivost za čas trajanja svojega mandata.</w:t>
      </w:r>
    </w:p>
    <w:p w14:paraId="3672397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1316B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Kandidacijska komisija v poslovniku določi način svojega dela, standarde strokovne usposobljenosti, merila za izbiro in metode preverjanja usposobljenosti ob smiselni uporabi standardov, meril in metod uradniškega sveta.«.</w:t>
      </w:r>
    </w:p>
    <w:p w14:paraId="125C5DA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pacing w:val="-5"/>
          <w:sz w:val="20"/>
          <w:szCs w:val="20"/>
          <w:lang w:eastAsia="ar-SA"/>
        </w:rPr>
      </w:pPr>
    </w:p>
    <w:p w14:paraId="7C8289D7"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5. člen</w:t>
      </w:r>
    </w:p>
    <w:p w14:paraId="36EEEEB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480A9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Za 9. členom se doda nov 9.a člen, ki se glasi:</w:t>
      </w:r>
    </w:p>
    <w:p w14:paraId="71CB1A3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pacing w:val="-5"/>
          <w:sz w:val="20"/>
          <w:szCs w:val="20"/>
          <w:u w:val="single"/>
          <w:lang w:eastAsia="ar-SA"/>
        </w:rPr>
      </w:pPr>
    </w:p>
    <w:p w14:paraId="17B9CE9B"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»9.a člen</w:t>
      </w:r>
    </w:p>
    <w:p w14:paraId="4E37D850"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(kandidacijski postopek in postopek imenovanja funkcionarjev)</w:t>
      </w:r>
    </w:p>
    <w:p w14:paraId="4F72644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7D00B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Funkcionarje komisije imenuje predsednik republike.</w:t>
      </w:r>
    </w:p>
    <w:p w14:paraId="4091EE1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967880D" w14:textId="74EE9BFE"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Predsednik komisije najkasneje pol leta pred iztekom mandata predsednika oziroma namestnikov predsednika o tem obvesti predsednika republike, ta pa pozove predlagatelje za člane kandidacijske komisije, da imenujejo svoje člane v roku 15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Pravočasne kandidature generalni sekretar Urada predsednika republike posreduje kandidacijski komisiji.</w:t>
      </w:r>
    </w:p>
    <w:p w14:paraId="53DB2E31"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87F4F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(3) Kandidacijski postopek za izbiro primernih kandidatov za predsednika in namestnika izvede kandidacijska komisija, sestavljena iz petih članov. V kandidacijsko komisijo imenujejo:</w:t>
      </w:r>
    </w:p>
    <w:p w14:paraId="6CCDF93A" w14:textId="77777777" w:rsidR="0055047E" w:rsidRPr="005C544E"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enega člana ministrstvo, pristojno za javno upravo, izmed uradnikov z delovnega področja krepitve integritete in omejevanja korupcijskih tveganj v javnem sektorju;</w:t>
      </w:r>
    </w:p>
    <w:p w14:paraId="34DF212E" w14:textId="77777777" w:rsidR="0055047E" w:rsidRPr="005C544E"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dva člana neprofitne organizacije zasebnega sektorja, ki delujejo na področjih varstva človekovih pravic, integritete, etike, lobiranja ali preprečevanja korupcije;</w:t>
      </w:r>
    </w:p>
    <w:p w14:paraId="6F08A5F8" w14:textId="77777777" w:rsidR="0055047E" w:rsidRPr="005C544E" w:rsidRDefault="0055047E" w:rsidP="006F190F">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 enega člana Sodni svet in Državnotožilski svet izmed članov, ki sestavljajo Komisijo za etiko in integriteto,</w:t>
      </w:r>
    </w:p>
    <w:p w14:paraId="39D4072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ki imenovanja sporočijo uradu predsednika republike.</w:t>
      </w:r>
    </w:p>
    <w:p w14:paraId="1622C73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4192B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Za člana kandidacijske komisije ne more biti imenovana oseba, ki je član organov politične stranke, ali ki je zadnji dve leti opravljala funkcije v izvršilni ali zakonodajni veji oblasti na državni ali lokalni ravni, ali ki je s kandidatom v razmerju, določenem v prvem odstavku 7.a člena tega zakona.</w:t>
      </w:r>
    </w:p>
    <w:p w14:paraId="21A5B15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907DE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Člani kandidacijske komisije so pri svojem delu samostojni, neodvisni in niso vezani na nobene usmeritve ali napotke, delujejo po svoji vesti, odgovorno, skladno z ustavo in zakonom ter etično in transparentno. Kandidacijska komisija pri ugotavljanju pogojev ter preverjanju osebnostne primernosti in strokovne usposobljenosti upošteva določbe tega zakona in standarde strokovne usposobljenosti, merila za izbiro in metode preverjanja usposobljenosti, določene v poslovniku iz petega odstavka 9. člena tega zakona.</w:t>
      </w:r>
    </w:p>
    <w:p w14:paraId="7E3A6B4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320F0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Prvo sejo kandidacijske komisije skliče generalni sekretar urada predsednika republike v sedmih dneh po poteku roka iz tretjega stavka drugega odstavka tega člena.</w:t>
      </w:r>
    </w:p>
    <w:p w14:paraId="75768A9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FAF3B3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Kandidacijska komisija postopek vodi tako, da o njegovem poteku vodi, hrani in arhivira sledljiv zapis za vsakega kandidata. Razgovori s kandidati pred kandidacijsko komisijo se snemajo.</w:t>
      </w:r>
    </w:p>
    <w:p w14:paraId="607F72B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619AA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Kandidacijska komisija v 30 dneh po izteku roka iz tretjega stavka drugega odstavka tega člena posreduje predsedniku republike abecedni seznam kandidatov za funkcijo predsednika komisije oziroma kandidatov za funkciji namestnikov predsednika komisije, ki izpolnjujejo pogoje iz prve do sedme alineje prvega odstavka 9. člena tega zakona, skupaj s kratkim obrazloženim mnenjem o osebnostni primernosti in strokovni usposobljenosti za opravljanje funkcije za vsakega kandidata posebej, in abecedni seznam tistih, ki ne izpolnjujejo pogojev iz prve do sedme alineje prvega odstavka 9. člena tega zakona.</w:t>
      </w:r>
    </w:p>
    <w:p w14:paraId="7F75970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30F75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Pred imenovanjem predsednika komisije ali namestnika predsednika komisije urad predsednika republike povabi kandidata oziroma kandidate, da predstavijo strokovno utemeljeno strategijo razvoja in dela komisije ter dajo morebitna dodatna pojasnila v zvezi s svojo kandidaturo. Predstavitev je odprta za javnost.</w:t>
      </w:r>
    </w:p>
    <w:p w14:paraId="3A8E674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BF27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(10) Predsednik republike imenuje predsednika komisije ali namestnika predsednika komisije v 15 delovnih dneh po prejemu seznamov kandidatov iz osmega odstavka tega člena.</w:t>
      </w:r>
    </w:p>
    <w:p w14:paraId="3F32A95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98033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(11) Če predsednik republike ne imenuje nobenega kandidata za predsednika oziroma namestnika predsednika komisije, takoj ponovi postopek javnega poziva za zbiranje kandidatur.</w:t>
      </w:r>
    </w:p>
    <w:p w14:paraId="03C12CA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DBC9C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(12) Naloge iz tega člena, potrebne za izvedbo zbiranja kandidatur, izbor primernih kandidatov in administrativno-tehnična opravila za delo kandidacijske komisije, opravlja urad predsednika republike.</w:t>
      </w:r>
    </w:p>
    <w:p w14:paraId="1ED9BF5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8DA4A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(13) Dokumentacija o kandidacijskem postopku in postopku imenovanja se hrani skladno s pravili, ki urejajo hrambo dokumentarnega gradiva v javni upravi.«.</w:t>
      </w:r>
    </w:p>
    <w:bookmarkEnd w:id="6"/>
    <w:p w14:paraId="2EF34C4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C2FC71"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6. člen</w:t>
      </w:r>
    </w:p>
    <w:p w14:paraId="415B460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9B5A1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četrtem odstavku 10. člena se drugi stavek spremeni tako, da se glasi: »Če je predsednik komisije razrešen zaradi razlogov iz 22. člena tega zakona, razen razloga iz prve alineje prvega odstavka 22. člena tega zakona, do imenovanja novega predsednika naloge predsednika s polnimi pooblastili opravlja njegov prvi namestnik.«.</w:t>
      </w:r>
    </w:p>
    <w:p w14:paraId="13DCA18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22DFBE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8" w:name="_Hlk7080689"/>
      <w:r w:rsidRPr="005C544E">
        <w:rPr>
          <w:rFonts w:ascii="Arial" w:eastAsia="Times New Roman" w:hAnsi="Arial" w:cs="Arial"/>
          <w:b/>
          <w:bCs/>
          <w:sz w:val="20"/>
          <w:szCs w:val="20"/>
          <w:lang w:eastAsia="ar-SA"/>
        </w:rPr>
        <w:t>7. člen</w:t>
      </w:r>
    </w:p>
    <w:p w14:paraId="0925C5C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213C9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Besedilo 11. člena se spremeni tako, da se glasi:</w:t>
      </w:r>
    </w:p>
    <w:p w14:paraId="5B1EF3E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0C15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V primerih, ki jih določata ta zakon in poslovnik iz enajstega odstavka tega člena, komisija deluje in odloča kot kolegijski organ, ki ga sestavljajo funkcionarji iz prvega odstavka 7. člena tega zakona.</w:t>
      </w:r>
    </w:p>
    <w:p w14:paraId="5F85CBD8"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EA01E0"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Komisija kot kolegijski organ:</w:t>
      </w:r>
    </w:p>
    <w:p w14:paraId="6E56B122"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odloča o uvedbi in izvedbi postopkov po prvem odstavku 13. člena tega zakona in sprejema odločitve v teh postopkih,</w:t>
      </w:r>
    </w:p>
    <w:p w14:paraId="0ED65F7D"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odloča o uvedbi sistemskega nadzora skladno z a13.a členom tega zakona ter sprejme osnutek in končno poročilo o tem nadzoru,</w:t>
      </w:r>
    </w:p>
    <w:p w14:paraId="5119F4E2"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odloča o zahtevi za izvedbo ukrepov skladno s 13.a, 13.b in 13.c členom tega zakona,</w:t>
      </w:r>
    </w:p>
    <w:p w14:paraId="6BD45DF6"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sprejema ukrepe za zaščito prijavitelja skladno s 23. in 25. členom tega zakona,</w:t>
      </w:r>
    </w:p>
    <w:p w14:paraId="4D259ABB" w14:textId="7F4B1552"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odloča o obstoju nasprotja interesov pri uradnih ravnanjih uradnih oseb iz petega odstavka 38. člena tega zakona,</w:t>
      </w:r>
    </w:p>
    <w:p w14:paraId="7E7DEA63" w14:textId="2390CD5D" w:rsidR="00A80470" w:rsidRPr="005C544E" w:rsidRDefault="00004EED"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odredi izdelavo, uresničitev in dopolnitev načrta integritete iz drugega odstavka 47. člena tega zakona,</w:t>
      </w:r>
    </w:p>
    <w:p w14:paraId="36ADD538"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določa prednostne naloge in smernice delovanja komisije, njene politike na posameznem področju dela, programe dela, finančne in kadrovske načrte ter nadzira njihovo izvajanje,</w:t>
      </w:r>
    </w:p>
    <w:p w14:paraId="45D9A4A7"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sprejema letna poročila komisije, poslovnik ter akt o notranji organizaciji in sistemizaciji in</w:t>
      </w:r>
    </w:p>
    <w:p w14:paraId="498E764E" w14:textId="77777777" w:rsidR="0055047E" w:rsidRPr="005C544E" w:rsidRDefault="0055047E" w:rsidP="006F190F">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odloča o drugih zadevah iz pristojnosti komisije, če tako zahteva funkcionar komisije, ker meni, da je v zadevi zaradi njene pomembnosti potrebno kolegijsko odločanje.</w:t>
      </w:r>
    </w:p>
    <w:p w14:paraId="795D6DC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9EE5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Zadeve iz prejšnjega odstavka komisija obravnava na sejah. Seja je sklepčna, če sta na njej prisotna vsaj dva člana komisije. Kadar komisija zaseda v polni sestavi, odločitve sprejema z večino glasov članov, kadar pa zaseda v sestavi dveh članov, ta odločitve sprejema soglasno. Član komisije se glasovanja ne more vzdržati. Podatek o glasovanju je sestavni del odločitve.</w:t>
      </w:r>
    </w:p>
    <w:p w14:paraId="7F48971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D8CB8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Člani komisije pri odločanju niso vezani na nobene usmeritve ali napotke in odločajo na podlagi ustave in zakona.</w:t>
      </w:r>
    </w:p>
    <w:p w14:paraId="7E05F8F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2E5CD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Poleg oseb iz 15.a člena tega zakona lahko komisija na svoje seje z njihovo privolitvijo vabi predstavnike neprofitnih organizacij zasebnega sektorja s področja dela komisije, reprezentativnih sindikatov javnega sektorja (v nadaljnjem besedilu: sindikati) in drugih organizacij ter posameznike, za katere predsedujoči oceni, da bi s svojim strokovnim znanjem in izkušnjami lahko pripomogli k uspešni obravnavi posameznih točk dnevnega reda.</w:t>
      </w:r>
    </w:p>
    <w:p w14:paraId="7BACE7B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347FB" w14:textId="2B93F20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(6) Komisija </w:t>
      </w:r>
      <w:r w:rsidR="005957F4" w:rsidRPr="005C544E">
        <w:rPr>
          <w:rFonts w:ascii="Arial" w:eastAsia="Times New Roman" w:hAnsi="Arial" w:cs="Arial"/>
          <w:sz w:val="20"/>
          <w:szCs w:val="20"/>
          <w:lang w:eastAsia="ar-SA"/>
        </w:rPr>
        <w:t xml:space="preserve">lahko </w:t>
      </w:r>
      <w:r w:rsidRPr="005C544E">
        <w:rPr>
          <w:rFonts w:ascii="Arial" w:eastAsia="Times New Roman" w:hAnsi="Arial" w:cs="Arial"/>
          <w:sz w:val="20"/>
          <w:szCs w:val="20"/>
          <w:lang w:eastAsia="ar-SA"/>
        </w:rPr>
        <w:t xml:space="preserve">ugotovitve in druge odločitve v zvezi s postopki, ki jih vodi po tem zakonu in ki se nanašajo na funkcionarja, uradnika na položaju, poslovodno osebo in </w:t>
      </w:r>
      <w:r w:rsidRPr="005C544E">
        <w:rPr>
          <w:rFonts w:ascii="Arial" w:eastAsia="Times New Roman" w:hAnsi="Arial" w:cs="Arial"/>
          <w:bCs/>
          <w:sz w:val="20"/>
          <w:szCs w:val="20"/>
          <w:lang w:eastAsia="ar-SA"/>
        </w:rPr>
        <w:t>člana organov upravljanja, vodenja in nadzora v subjektih javnega sektorja</w:t>
      </w:r>
      <w:r w:rsidRPr="005C544E">
        <w:rPr>
          <w:rFonts w:ascii="Arial" w:eastAsia="Times New Roman" w:hAnsi="Arial" w:cs="Arial"/>
          <w:sz w:val="20"/>
          <w:szCs w:val="20"/>
          <w:lang w:eastAsia="ar-SA"/>
        </w:rPr>
        <w:t xml:space="preserve"> ali na pravno osebo, predstavi javnosti z objavo na svoji spletni strani in na drug primeren način.</w:t>
      </w:r>
    </w:p>
    <w:p w14:paraId="372D27A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56DF5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Komisija objavi dokumente iz prejšnjega odstavka po preteku roka za vložitev tožbe v upravnem sporu iz četrtega odstavka 15. člena tega zakona, če ta ni vložena, oziroma po odločitvi sodišča v upravnem sporu.</w:t>
      </w:r>
    </w:p>
    <w:p w14:paraId="51C4381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A7EE5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186F7DB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367D9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Komisija dokumente iz šestega odstavka tega člena objavi tako, da osebne podatke drugih oseb psevdonimizira in da iz njih ni mogoče razbrati podatkov, varovanih z določbami drugih zakonov.</w:t>
      </w:r>
    </w:p>
    <w:p w14:paraId="2D7C045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BF16DC" w14:textId="65B9995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(10) Če bi javna objava odločitve komisije ogrozila nadaljnje postopke komisije, jo komisija za ustrezen čas odloži. Če bi javna objava odločitve komisije na podlagi mnenja pristojnega organa ogrozila interese predkazenskega, kazenskega ali drugega sodnega, nadzornega ali revizijskega postopka, se komisija o terminu in vsebini javne objave predhodno posvetuje s pristojnim organom. </w:t>
      </w:r>
    </w:p>
    <w:p w14:paraId="02DCB19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94D1A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(11) Komisija svoje poslovanje uredi s poslovnikom in drugimi splošnimi akti. Poslovnik se objavi v Uradnem listu Republike Slovenije.«.</w:t>
      </w:r>
    </w:p>
    <w:p w14:paraId="533AF20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176477B3"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8. člen</w:t>
      </w:r>
    </w:p>
    <w:p w14:paraId="0450D0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5B29A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Besedilo 12. člena se spremeni tako, da se glasi:</w:t>
      </w:r>
    </w:p>
    <w:p w14:paraId="635A724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DF73AD"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Komisija:</w:t>
      </w:r>
    </w:p>
    <w:p w14:paraId="5A6571D0"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 in o protikorupcijski klavzuli;</w:t>
      </w:r>
    </w:p>
    <w:p w14:paraId="00CC1AB9"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izvaja sistemske nadzore;</w:t>
      </w:r>
    </w:p>
    <w:p w14:paraId="3129DCBC"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izvaja ukrepe za zaščito prijaviteljev;</w:t>
      </w:r>
    </w:p>
    <w:p w14:paraId="2E05F49C"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pripravlja strokovne podlage za krepitev integritete in za programe usposabljanja, usposablja osebe, ki so odgovorne za načrte integritete, in druge zavezance po tem zakonu ter s predstavniki istovrstnih oseb javnega prava ali njihovih združenj sooblikuje dobre prakse za identifikacijo in obvladovanje kršitev integritete, omejevanje in preprečevanje korupcije in nasprotja interesov;</w:t>
      </w:r>
    </w:p>
    <w:p w14:paraId="3585E19F"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svetuje pri krepitvi integritete ter preprečevanju in odpravljanju tveganj za korupcijo v javnem in zasebnem sektorju in v tem okviru svetuje ali sama vzpostavlja sisteme, aplikacije ali druge mehanizme za povečanje transparentnosti delovanja javnega sektorja, tudi z uporabo sodobne tehnologije;</w:t>
      </w:r>
    </w:p>
    <w:p w14:paraId="6C2D63E4"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opravlja analize na sistemski ravni in objavlja rezultate, vključno z osebnimi podatki, v skladu z zakonom, ki ureja dostop do informacij javnega značaja;</w:t>
      </w:r>
    </w:p>
    <w:p w14:paraId="245E2328"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zaradi zagotavljanja transparentnosti delovanja javnega sektorja pridobiva, uporablja, obdeluje in objavlja podatke o denarnih tokovih subjektov javnega sektorja;</w:t>
      </w:r>
    </w:p>
    <w:p w14:paraId="4A777CCA"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spremlja in analizira podatke o stanju in uresničevanju nalog za preprečevanje korupcije v Republiki Sloveniji, podatke o številu kaznivih dejanj korupcije v Republiki Sloveniji ter spremlja in analizira zadeve s področja mednarodne korupcije;</w:t>
      </w:r>
    </w:p>
    <w:p w14:paraId="64FB2141"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izdaja priporočila in pojasnila o vprašanjih, povezanih z vsebino tega zakona;</w:t>
      </w:r>
    </w:p>
    <w:p w14:paraId="1137AC95"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skrbi za izvajanje resolucije, ki ureja preprečevanje korupcije v Republiki Sloveniji, pripravlja resolucijo in njene spremembe ter jih predlaga v obravnavo vladi, ki jih predloži v sprejem državnemu zboru;</w:t>
      </w:r>
    </w:p>
    <w:p w14:paraId="1FE48E2C"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daje priporočila za aktivnosti za uresničevanje resolucije, ki ureja preprečevanje korupcije v Republiki Sloveniji, posameznim organom, opredeljenim v resoluciji;</w:t>
      </w:r>
    </w:p>
    <w:p w14:paraId="1E2EF0BF"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opozarja pristojne organe v Republiki Sloveniji na uresničevanje obveznosti, ki izhajajo iz mednarodnih aktov s področja preprečevanja korupcije, in jim daje predloge glede načina uresničevanja teh obveznosti;</w:t>
      </w:r>
    </w:p>
    <w:p w14:paraId="09D6A329"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sodeluje s pristojnimi državnimi organi pri pripravi predpisov s področja preprečevanja korupcije, spremlja uresničevanje teh predpisov ter daje pobude za njihove spremembe in dopolnitve;</w:t>
      </w:r>
    </w:p>
    <w:p w14:paraId="0A3E1239"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daje predhodna mnenja o usklajenosti določb predlogov zakonov in podzakonskih aktov z zakoni in podzakonskimi akti, ki urejajo področje integritete in preprečevanja korupcije;</w:t>
      </w:r>
    </w:p>
    <w:p w14:paraId="0A4DBC46"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daje državnemu zboru in vladi pobude za ureditev določenega področja v skladu s svojimi nalogami in pristojnostmi;</w:t>
      </w:r>
    </w:p>
    <w:p w14:paraId="633C794F"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sodeluje s podobnimi organi drugih držav in mednarodnih organizacij ter mednarodnimi neprofitnimi organizacijami zasebnega sektorja s področja dela komisije;</w:t>
      </w:r>
    </w:p>
    <w:p w14:paraId="2206A82A"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sodeluje z znanstvenimi, strokovnimi, medijskimi in neprofitnimi organizacijami zasebnega sektorja s področja dela komisije;</w:t>
      </w:r>
    </w:p>
    <w:p w14:paraId="746E0C46"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pripravlja izhodišča za kodekse ravnanja;</w:t>
      </w:r>
    </w:p>
    <w:p w14:paraId="3CD9E266"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vodi evidence v skladu s tem zakonom;</w:t>
      </w:r>
    </w:p>
    <w:p w14:paraId="0DCF3E65" w14:textId="77777777" w:rsidR="0055047E" w:rsidRPr="005C544E" w:rsidRDefault="0055047E" w:rsidP="006F190F">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opravlja druge naloge, določene s tem in drugimi zakoni.</w:t>
      </w:r>
    </w:p>
    <w:p w14:paraId="62996C46" w14:textId="77777777" w:rsidR="0055047E" w:rsidRPr="005C544E"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 w:val="20"/>
          <w:szCs w:val="20"/>
          <w:lang w:eastAsia="ar-SA"/>
        </w:rPr>
      </w:pPr>
    </w:p>
    <w:p w14:paraId="32DBB37D" w14:textId="1BDC1D5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V zvezi z uresničevanjem naloge iz osme alineje prejšnjega odstavka policija, državno tožilstvo in sodišče obvešča</w:t>
      </w:r>
      <w:r w:rsidR="005957F4" w:rsidRPr="005C544E">
        <w:rPr>
          <w:rFonts w:ascii="Arial" w:eastAsia="Times New Roman" w:hAnsi="Arial" w:cs="Arial"/>
          <w:sz w:val="20"/>
          <w:szCs w:val="20"/>
          <w:lang w:eastAsia="ar-SA"/>
        </w:rPr>
        <w:t>jo</w:t>
      </w:r>
      <w:r w:rsidR="0094683D">
        <w:rPr>
          <w:rFonts w:ascii="Arial" w:eastAsia="Times New Roman" w:hAnsi="Arial" w:cs="Arial"/>
          <w:sz w:val="20"/>
          <w:szCs w:val="20"/>
          <w:lang w:eastAsia="ar-SA"/>
        </w:rPr>
        <w:t xml:space="preserve"> komisijo</w:t>
      </w:r>
      <w:r w:rsidRPr="005C544E">
        <w:rPr>
          <w:rFonts w:ascii="Arial" w:eastAsia="Times New Roman" w:hAnsi="Arial" w:cs="Arial"/>
          <w:sz w:val="20"/>
          <w:szCs w:val="20"/>
          <w:lang w:eastAsia="ar-SA"/>
        </w:rPr>
        <w:t xml:space="preserve">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sodišče pa s sodbo ali sklepom. Dolžnost obveščanja velja tudi kadar v okviru mednarodnega sodelovanja od tujih policijskih ali pravosodnih organov izvedo za zaključeno zadevo v tuji državi, v kateri je bil ovaden, obtožen ali obsojen državljan Republike Slovenije.</w:t>
      </w:r>
    </w:p>
    <w:p w14:paraId="3181982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B5FC09" w14:textId="167E2013"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V zvezi z uresničevanjem naloge iz štirinajste alineje prvega odstavka tega člena pripravljavci zakonov in drugih predpisov komisiji posred</w:t>
      </w:r>
      <w:r w:rsidR="005957F4" w:rsidRPr="005C544E">
        <w:rPr>
          <w:rFonts w:ascii="Arial" w:eastAsia="Times New Roman" w:hAnsi="Arial" w:cs="Arial"/>
          <w:sz w:val="20"/>
          <w:szCs w:val="20"/>
          <w:lang w:eastAsia="ar-SA"/>
        </w:rPr>
        <w:t>ujejo</w:t>
      </w:r>
      <w:r w:rsidRPr="005C544E">
        <w:rPr>
          <w:rFonts w:ascii="Arial" w:eastAsia="Times New Roman" w:hAnsi="Arial" w:cs="Arial"/>
          <w:sz w:val="20"/>
          <w:szCs w:val="20"/>
          <w:lang w:eastAsia="ar-SA"/>
        </w:rPr>
        <w:t xml:space="preserve"> predloge zakonov in drugih predpisov najkasneje v času, ko poteka medresorsko usklajevanje.</w:t>
      </w:r>
    </w:p>
    <w:p w14:paraId="0792BB2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220DB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Policija, državna tožilstva in sodišča komisiji najpozneje do konca marca tekočega leta za preteklo leto posredujejo statistične podatke v zvezi s postopki, ki se nanašajo na kazniva dejanja korupcije, in sicer:</w:t>
      </w:r>
    </w:p>
    <w:p w14:paraId="6C7459A7" w14:textId="77777777" w:rsidR="0055047E" w:rsidRPr="005C544E"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policija posreduje podatke o številu obravnavanih kaznivih dejanj korupcije, številu osumljencev in številu vloženih kazenskih ovadb oziroma poslanih poročil na državno tožilstvo;</w:t>
      </w:r>
    </w:p>
    <w:p w14:paraId="46A03C66" w14:textId="77777777" w:rsidR="0055047E" w:rsidRPr="005C544E"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Vrhovno državno tožilstvo Republike Slovenije posreduje podatke o številu vloženih obtožnih aktov, številu zavrženih kazenskih ovadb po končanem postopku poravnavanja ali odloženega kazenskega pregona, podatke o zakonski označbi kaznivega dejanja in številu obtoženih oseb;</w:t>
      </w:r>
    </w:p>
    <w:p w14:paraId="0C3A0214" w14:textId="77777777" w:rsidR="0055047E" w:rsidRPr="005C544E" w:rsidRDefault="0055047E" w:rsidP="006F190F">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sodišča posredujejo podatke o številu izdanih odločb na prvi stopnji (obsodilne, oprostilne, druge odločitve), številu obdolžencev in obsojencev po posameznih zadevah, številu pravnomočno zaključenih zadev (obsodilne, oprostilne, druge odločitve) ter številu obdolžencev in obsojencev po posameznih zadevah in v zvezi s pravnomočno zaključenimi zadevami: število izrečenih kazni zapora in število obsodb na pogojno kazen zapora.</w:t>
      </w:r>
    </w:p>
    <w:p w14:paraId="286E77C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F513B0" w14:textId="518877A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Če gre za kaznivo dejanje z mednarodnim elementom, organi iz prejšnjega odstavka nave</w:t>
      </w:r>
      <w:r w:rsidR="005957F4" w:rsidRPr="005C544E">
        <w:rPr>
          <w:rFonts w:ascii="Arial" w:eastAsia="Times New Roman" w:hAnsi="Arial" w:cs="Arial"/>
          <w:sz w:val="20"/>
          <w:szCs w:val="20"/>
          <w:lang w:eastAsia="ar-SA"/>
        </w:rPr>
        <w:t>dejo</w:t>
      </w:r>
      <w:r w:rsidRPr="005C544E">
        <w:rPr>
          <w:rFonts w:ascii="Arial" w:eastAsia="Times New Roman" w:hAnsi="Arial" w:cs="Arial"/>
          <w:sz w:val="20"/>
          <w:szCs w:val="20"/>
          <w:lang w:eastAsia="ar-SA"/>
        </w:rPr>
        <w:t xml:space="preserve"> tudi ta podatek. Za kaznivo dejanje z mednarodnim elementom gre, če so izpolnjeni pogoji iz drugega odstavka tega člena.</w:t>
      </w:r>
    </w:p>
    <w:p w14:paraId="450101F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B5D91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Komisija na začetku leta za potrebe posredovanja statističnih podatkov v naslednjem koledarskem letu sporoči seznam kaznivih dejanj korupcije, v zvezi s katerimi je potrebno sporočati podatke.</w:t>
      </w:r>
    </w:p>
    <w:p w14:paraId="2557330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4E942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Policija, državno tožilstvo in sodišče na zahtevo komisije posredujejo tudi druge statistične podatke za uresničevanje nalog komisije iz šeste alineje prvega odstavka tega člena, v kolikor z njimi razpolagajo.«.</w:t>
      </w:r>
    </w:p>
    <w:p w14:paraId="6A965D8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8E06B1"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9. člen</w:t>
      </w:r>
    </w:p>
    <w:p w14:paraId="54A36C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7AA756" w14:textId="20076B1E" w:rsidR="0055047E" w:rsidRPr="005C544E"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 xml:space="preserve">Besedilo </w:t>
      </w:r>
      <w:r w:rsidR="0055047E" w:rsidRPr="005C544E">
        <w:rPr>
          <w:rFonts w:ascii="Helv" w:eastAsia="Times New Roman" w:hAnsi="Helv" w:cs="Helv"/>
          <w:sz w:val="20"/>
          <w:szCs w:val="20"/>
          <w:lang w:eastAsia="ar-SA"/>
        </w:rPr>
        <w:t>13. člen</w:t>
      </w:r>
      <w:r w:rsidRPr="005C544E">
        <w:rPr>
          <w:rFonts w:ascii="Helv" w:eastAsia="Times New Roman" w:hAnsi="Helv" w:cs="Helv"/>
          <w:sz w:val="20"/>
          <w:szCs w:val="20"/>
          <w:lang w:eastAsia="ar-SA"/>
        </w:rPr>
        <w:t>a</w:t>
      </w:r>
      <w:r w:rsidR="0055047E" w:rsidRPr="005C544E">
        <w:rPr>
          <w:rFonts w:ascii="Helv" w:eastAsia="Times New Roman" w:hAnsi="Helv" w:cs="Helv"/>
          <w:sz w:val="20"/>
          <w:szCs w:val="20"/>
          <w:lang w:eastAsia="ar-SA"/>
        </w:rPr>
        <w:t xml:space="preserve"> se spremeni tako, da se glasi:</w:t>
      </w:r>
    </w:p>
    <w:p w14:paraId="28725AA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523CC" w14:textId="43CDD1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Arial" w:eastAsia="Times New Roman" w:hAnsi="Arial" w:cs="Arial"/>
          <w:bCs/>
          <w:sz w:val="20"/>
          <w:szCs w:val="20"/>
          <w:lang w:eastAsia="ar-SA"/>
        </w:rPr>
        <w:t>»</w:t>
      </w:r>
      <w:r w:rsidRPr="005C544E">
        <w:rPr>
          <w:rFonts w:ascii="Helv" w:eastAsia="Times New Roman" w:hAnsi="Helv" w:cs="Helv"/>
          <w:sz w:val="20"/>
          <w:szCs w:val="20"/>
          <w:lang w:eastAsia="ar-SA"/>
        </w:rPr>
        <w:t>(1) Komisija lahko na svojo pobudo ali na podlagi prijave pravne ali fizične osebe uvede postopek zaradi:</w:t>
      </w:r>
    </w:p>
    <w:p w14:paraId="477AF431"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korupcije, ki ne obsega kršitev iz 2. do 14. točke tega odstavka;</w:t>
      </w:r>
    </w:p>
    <w:p w14:paraId="52F6E6A6"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integritete uradne osebe;</w:t>
      </w:r>
    </w:p>
    <w:p w14:paraId="64FB48E4"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obveznosti vključitve protikorupcijske klavzule v pogodbo;</w:t>
      </w:r>
    </w:p>
    <w:p w14:paraId="172843D3"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EBEA5D4"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določb o zaščiti prijaviteljev;</w:t>
      </w:r>
    </w:p>
    <w:p w14:paraId="72ECAE59"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opravljanja nezdružljive funkcije, dejavnosti ali članstva;</w:t>
      </w:r>
    </w:p>
    <w:p w14:paraId="7CE981BE"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pri sprejemanju daril;</w:t>
      </w:r>
    </w:p>
    <w:p w14:paraId="25234824"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kršitev določb o prepovedi oziroma omejitvah poslovanja;</w:t>
      </w:r>
    </w:p>
    <w:p w14:paraId="55935921"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določb o nasprotju interesov;</w:t>
      </w:r>
    </w:p>
    <w:p w14:paraId="10CF2ED8"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dolžnosti prijave premoženjskega stanja;</w:t>
      </w:r>
    </w:p>
    <w:p w14:paraId="7744BE80"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nesorazmernega povečanja premoženja;</w:t>
      </w:r>
    </w:p>
    <w:p w14:paraId="234D30E2"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določb o lobiranju;</w:t>
      </w:r>
    </w:p>
    <w:p w14:paraId="635915A8"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kršitve dolžnosti, povezanih z izdelavo načrta integritete;</w:t>
      </w:r>
    </w:p>
    <w:p w14:paraId="6BA0B9C7" w14:textId="77777777" w:rsidR="0055047E" w:rsidRPr="005C544E" w:rsidRDefault="0055047E" w:rsidP="006F190F">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suma drugih kršitev tega zakona.</w:t>
      </w:r>
    </w:p>
    <w:p w14:paraId="1003E8C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05D9E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Komisija v poslovniku določi natančnejša pravila za postopanje s prijavami, ki vključujejo tudi merila za sprejem prijave v obravnavo oziroma za zavrnitev, zavrženje ali odstop prijave drugemu organu (predhodni preizkus prijave). V poslovniku se določijo tudi merila za določanje vrstnega reda obravnave prijav oziroma za uvedbo postopka na lastno pobudo, način odločanja o obravnavi posameznih zadev in podrobnejša pravila za izvedbo postopkov po tem členu.</w:t>
      </w:r>
    </w:p>
    <w:p w14:paraId="58857B4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682D8E" w14:textId="49E9A5BC" w:rsidR="00BE3CC0"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Če komisija v okviru postopka zaradi suma korupcije iz 1. točke prvega odstavka tega člena zazna znake kaznivega dejanja, nemudoma vloži ovadbo. Postopek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w:t>
      </w:r>
      <w:r w:rsidR="00BE3CC0" w:rsidRPr="005C544E">
        <w:rPr>
          <w:rFonts w:ascii="Arial" w:eastAsia="Times New Roman" w:hAnsi="Arial" w:cs="Arial"/>
          <w:sz w:val="20"/>
          <w:szCs w:val="20"/>
          <w:lang w:eastAsia="ar-SA"/>
        </w:rPr>
        <w:t xml:space="preserve">Če komisija ne zazna znakov kaznivega dejanja, lahko izda ugotovitve o konkretnem primeru ali načelno mnenje. </w:t>
      </w:r>
      <w:r w:rsidRPr="005C544E">
        <w:rPr>
          <w:rFonts w:ascii="Arial" w:eastAsia="Times New Roman" w:hAnsi="Arial" w:cs="Arial"/>
          <w:sz w:val="20"/>
          <w:szCs w:val="20"/>
          <w:lang w:eastAsia="ar-SA"/>
        </w:rPr>
        <w:t>Načelno mnenje komisije ne pomeni odločanja o kazenski, prekrškovni, odškodninski, disciplinski ali drugi odgovornosti pravne ali fizične osebe in nima oblike upravne odločbe. V načelnem mnenju komisija ne sme objaviti osebnih podatkov fizičnih in pravnih oseb iz konkretne zadeve. Kadar je to potrebno zaradi opisa in opredelitve do ugotovljenega ravnanja, sme komisija objaviti zgolj psevdonimizirane osebne podatke.</w:t>
      </w:r>
    </w:p>
    <w:p w14:paraId="2C89C08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AB888" w14:textId="7B026099"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4</w:t>
      </w:r>
      <w:r w:rsidRPr="005C544E">
        <w:rPr>
          <w:rFonts w:ascii="Arial" w:eastAsia="Times New Roman" w:hAnsi="Arial" w:cs="Arial"/>
          <w:sz w:val="20"/>
          <w:szCs w:val="20"/>
          <w:lang w:eastAsia="ar-SA"/>
        </w:rPr>
        <w:t xml:space="preserve">) V primeru suma </w:t>
      </w:r>
      <w:r w:rsidR="00BE3CC0" w:rsidRPr="005C544E">
        <w:rPr>
          <w:rFonts w:ascii="Arial" w:eastAsia="Times New Roman" w:hAnsi="Arial" w:cs="Arial"/>
          <w:sz w:val="20"/>
          <w:szCs w:val="20"/>
          <w:lang w:eastAsia="ar-SA"/>
        </w:rPr>
        <w:t xml:space="preserve">korupcije iz 1. točke prvega odstavka tega člena, v katerem komisija ne zazna znakov kaznivega dejanja in v primeru </w:t>
      </w:r>
      <w:r w:rsidRPr="005C544E">
        <w:rPr>
          <w:rFonts w:ascii="Arial" w:eastAsia="Times New Roman" w:hAnsi="Arial" w:cs="Arial"/>
          <w:sz w:val="20"/>
          <w:szCs w:val="20"/>
          <w:lang w:eastAsia="ar-SA"/>
        </w:rPr>
        <w:t xml:space="preserve">kršitve integritete uradne osebe iz 2. točke prvega odstavka tega člena komisija izda ugotovitve o konkretnem primeru, ki vsebujejo opis dejanskega stanja, oceno ravnanja uradne osebe s pravnega vidika in z vidika </w:t>
      </w:r>
      <w:r w:rsidR="00BE3CC0" w:rsidRPr="005C544E">
        <w:rPr>
          <w:rFonts w:ascii="Arial" w:eastAsia="Times New Roman" w:hAnsi="Arial" w:cs="Arial"/>
          <w:sz w:val="20"/>
          <w:szCs w:val="20"/>
          <w:lang w:eastAsia="ar-SA"/>
        </w:rPr>
        <w:t>preprečevanja korupcije</w:t>
      </w:r>
      <w:r w:rsidR="00BE3CC0" w:rsidRPr="005C544E" w:rsidDel="00BE3CC0">
        <w:rPr>
          <w:rFonts w:ascii="Arial" w:eastAsia="Times New Roman" w:hAnsi="Arial" w:cs="Arial"/>
          <w:sz w:val="20"/>
          <w:szCs w:val="20"/>
          <w:lang w:eastAsia="ar-SA"/>
        </w:rPr>
        <w:t xml:space="preserve"> </w:t>
      </w:r>
      <w:r w:rsidR="00BE3CC0" w:rsidRPr="005C544E">
        <w:rPr>
          <w:rFonts w:ascii="Arial" w:eastAsia="Times New Roman" w:hAnsi="Arial" w:cs="Arial"/>
          <w:sz w:val="20"/>
          <w:szCs w:val="20"/>
          <w:lang w:eastAsia="ar-SA"/>
        </w:rPr>
        <w:t xml:space="preserve">ter </w:t>
      </w:r>
      <w:r w:rsidRPr="005C544E">
        <w:rPr>
          <w:rFonts w:ascii="Arial" w:eastAsia="Times New Roman" w:hAnsi="Arial" w:cs="Arial"/>
          <w:sz w:val="20"/>
          <w:szCs w:val="20"/>
          <w:lang w:eastAsia="ar-SA"/>
        </w:rPr>
        <w:t xml:space="preserve">krepitve integritete in v primeru ugotovljenih nepravilnosti pojasnilo, kakšno bi bilo pričakovano ravnanje. Osnutek ugotovitev o konkretnem primeru komisija pošlje obravnavani uradni osebi, ki se lahko v roku, ki ga komisija določi glede na okoliščine obravnavane kršitve, vendar ne krajšem od treh dni, izjasni o navedbah glede dejanskega stanja. </w:t>
      </w:r>
      <w:r w:rsidR="00BE3CC0" w:rsidRPr="005C544E">
        <w:rPr>
          <w:rFonts w:ascii="Arial" w:eastAsia="Times New Roman" w:hAnsi="Arial" w:cs="Arial"/>
          <w:sz w:val="20"/>
          <w:szCs w:val="20"/>
          <w:lang w:eastAsia="ar-SA"/>
        </w:rPr>
        <w:t>Ob pošiljanju osnutka obravnavani osebi, se jo obvesti, da bo njen odgovor objavljen skupaj z ugotovitvami o konkretnem primeru.</w:t>
      </w:r>
    </w:p>
    <w:p w14:paraId="1F75FE9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CB3CD42" w14:textId="2540B9E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5</w:t>
      </w:r>
      <w:r w:rsidRPr="005C544E">
        <w:rPr>
          <w:rFonts w:ascii="Arial" w:eastAsia="Times New Roman" w:hAnsi="Arial" w:cs="Arial"/>
          <w:sz w:val="20"/>
          <w:szCs w:val="20"/>
          <w:lang w:eastAsia="ar-SA"/>
        </w:rPr>
        <w:t>) V primeru suma kršitev iz 3. do 14. točke prvega odstavka tega člena, za katere so v tem zakonu predpisane sankcije za prekršek, pooblaščena uradna oseba komisije kot prekrškovnega organa uvede in izvede prekrškovni postopek.</w:t>
      </w:r>
    </w:p>
    <w:p w14:paraId="68D602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2B5BDD" w14:textId="3F29AC1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6</w:t>
      </w:r>
      <w:r w:rsidRPr="005C544E">
        <w:rPr>
          <w:rFonts w:ascii="Arial" w:eastAsia="Times New Roman" w:hAnsi="Arial" w:cs="Arial"/>
          <w:sz w:val="20"/>
          <w:szCs w:val="20"/>
          <w:lang w:eastAsia="ar-SA"/>
        </w:rPr>
        <w:t>) Komisija lahko z namenom 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(opis okoliščin, ki pomenijo prekršek) in izrečeni sankciji. Objava je na spletni strani javno dostopna pet let po objavi.</w:t>
      </w:r>
    </w:p>
    <w:p w14:paraId="1B702C4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4D1131" w14:textId="3CBCA768" w:rsidR="00FB4E1D"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7</w:t>
      </w:r>
      <w:r w:rsidRPr="005C544E">
        <w:rPr>
          <w:rFonts w:ascii="Arial" w:eastAsia="Times New Roman" w:hAnsi="Arial" w:cs="Arial"/>
          <w:sz w:val="20"/>
          <w:szCs w:val="20"/>
          <w:lang w:eastAsia="ar-SA"/>
        </w:rPr>
        <w:t>) V primeru suma kršitev iz 3. do 14. točke prvega odstavka tega člena, za katere ta zakon ne predpisuje sankcij za prekršek, komisija izvede ugotovitveni postopek in sprejme ukrepe, predvidene z zakonom. Pred dokončnim sprejetjem odločitve mora komisija v roku, ki ga določi glede na okoliščine obravnavane kršitve, vendar ne krajšem od treh dni, pridobiti izjavo obravnavane osebe o očitkih in ugotovitvah glede kršitev. Osebo se ob tem obvesti, da bo v primeru javne objave ugotovitev komisije, objavljen tudi njen odgovor.</w:t>
      </w:r>
    </w:p>
    <w:p w14:paraId="2F5CCEA4" w14:textId="336C2ED3"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702DB1" w14:textId="747E809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8</w:t>
      </w:r>
      <w:r w:rsidRPr="005C544E">
        <w:rPr>
          <w:rFonts w:ascii="Arial" w:eastAsia="Times New Roman" w:hAnsi="Arial" w:cs="Arial"/>
          <w:sz w:val="20"/>
          <w:szCs w:val="20"/>
          <w:lang w:eastAsia="ar-SA"/>
        </w:rPr>
        <w:t xml:space="preserve">) Po prejemu odgovora obravnavane osebe iz </w:t>
      </w:r>
      <w:r w:rsidR="00BE3CC0" w:rsidRPr="005C544E">
        <w:rPr>
          <w:rFonts w:ascii="Arial" w:eastAsia="Times New Roman" w:hAnsi="Arial" w:cs="Arial"/>
          <w:sz w:val="20"/>
          <w:szCs w:val="20"/>
          <w:lang w:eastAsia="ar-SA"/>
        </w:rPr>
        <w:t xml:space="preserve">četrtega </w:t>
      </w:r>
      <w:r w:rsidRPr="005C544E">
        <w:rPr>
          <w:rFonts w:ascii="Arial" w:eastAsia="Times New Roman" w:hAnsi="Arial" w:cs="Arial"/>
          <w:sz w:val="20"/>
          <w:szCs w:val="20"/>
          <w:lang w:eastAsia="ar-SA"/>
        </w:rPr>
        <w:t xml:space="preserve">in </w:t>
      </w:r>
      <w:r w:rsidR="00BE3CC0" w:rsidRPr="005C544E">
        <w:rPr>
          <w:rFonts w:ascii="Arial" w:eastAsia="Times New Roman" w:hAnsi="Arial" w:cs="Arial"/>
          <w:sz w:val="20"/>
          <w:szCs w:val="20"/>
          <w:lang w:eastAsia="ar-SA"/>
        </w:rPr>
        <w:t xml:space="preserve">sedmega </w:t>
      </w:r>
      <w:r w:rsidRPr="005C544E">
        <w:rPr>
          <w:rFonts w:ascii="Arial" w:eastAsia="Times New Roman" w:hAnsi="Arial" w:cs="Arial"/>
          <w:sz w:val="20"/>
          <w:szCs w:val="20"/>
          <w:lang w:eastAsia="ar-SA"/>
        </w:rPr>
        <w:t>odstavka tega člena lahko komisija:</w:t>
      </w:r>
    </w:p>
    <w:p w14:paraId="6895970C" w14:textId="77777777" w:rsidR="0055047E" w:rsidRPr="005C544E"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sprejme ugotovitve ali odločitev, kot so bile v osnutku ugotovitev ali odločitve, v katerih se opredeli do navedb iz odgovora obravnavane osebe ter postopek obravnave zadeve zaključi in o tem obvesti obravnavano osebo;</w:t>
      </w:r>
    </w:p>
    <w:p w14:paraId="4DD08698" w14:textId="77777777" w:rsidR="0055047E" w:rsidRPr="005C544E"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sprejme drugačne ugotovitve ali odločitev, kot so bile v osnutku ugotovitev ali odločitve, in ponovno izvede postopek po tem členu, če se dejstva in pravne okoliščine bistveno razlikujejo;</w:t>
      </w:r>
    </w:p>
    <w:p w14:paraId="53C849E3" w14:textId="77777777" w:rsidR="0055047E" w:rsidRPr="005C544E" w:rsidRDefault="0055047E" w:rsidP="006F190F">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obravnavano osebo, ki je poslala odgovor, povabi na sejo komisije z namenom razjasnitve dodatnih okoliščin in izvede morebitne nadaljnje aktivnosti, potrebne za razjasnitev primera.</w:t>
      </w:r>
    </w:p>
    <w:p w14:paraId="45C76D0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AF2833" w14:textId="34190DC2"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9</w:t>
      </w:r>
      <w:r w:rsidRPr="005C544E">
        <w:rPr>
          <w:rFonts w:ascii="Arial" w:eastAsia="Times New Roman" w:hAnsi="Arial" w:cs="Arial"/>
          <w:sz w:val="20"/>
          <w:szCs w:val="20"/>
          <w:lang w:eastAsia="ar-SA"/>
        </w:rPr>
        <w:t>) Če se obravnavana oseba do navedb v osnutku ne izjasni, to ni ovira za izdajo ugotovitev komisije. Če komisija ugotovitve v konkretnem primeru skladno s šestim odstavkom 11. člena tega zakona javno objavi, objavi tudi odgovor obravnavane osebe.</w:t>
      </w:r>
    </w:p>
    <w:p w14:paraId="70A5E0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B1D67C" w14:textId="403195B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10</w:t>
      </w:r>
      <w:r w:rsidRPr="005C544E">
        <w:rPr>
          <w:rFonts w:ascii="Arial" w:eastAsia="Times New Roman" w:hAnsi="Arial" w:cs="Arial"/>
          <w:sz w:val="20"/>
          <w:szCs w:val="20"/>
          <w:lang w:eastAsia="ar-SA"/>
        </w:rPr>
        <w:t>) Če se pri obravnavi kršitev iz prvega odstavka tega člena izkaže, da na določenem področju obstajajo sistemska korupcijska tveganja, komisija izda priporočilo za pravilno ravnanje subjektov, ki delujejo na tem področju.</w:t>
      </w:r>
    </w:p>
    <w:p w14:paraId="0F7E218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D7E5CB" w14:textId="494A00FF"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11</w:t>
      </w:r>
      <w:r w:rsidRPr="005C544E">
        <w:rPr>
          <w:rFonts w:ascii="Arial" w:eastAsia="Times New Roman" w:hAnsi="Arial" w:cs="Arial"/>
          <w:sz w:val="20"/>
          <w:szCs w:val="20"/>
          <w:lang w:eastAsia="ar-SA"/>
        </w:rPr>
        <w:t>) Komisija na podlagi zahteve državnih organov, organizacij in drugih fizičnih ali pravnih oseb oblikuje odgovore, mnenja in pojasnila o vprašanjih s svojega delovnega področja.</w:t>
      </w:r>
    </w:p>
    <w:p w14:paraId="199782B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47ED549" w14:textId="37151D3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BE3CC0" w:rsidRPr="005C544E">
        <w:rPr>
          <w:rFonts w:ascii="Arial" w:eastAsia="Times New Roman" w:hAnsi="Arial" w:cs="Arial"/>
          <w:sz w:val="20"/>
          <w:szCs w:val="20"/>
          <w:lang w:eastAsia="ar-SA"/>
        </w:rPr>
        <w:t>12</w:t>
      </w:r>
      <w:r w:rsidRPr="005C544E">
        <w:rPr>
          <w:rFonts w:ascii="Arial" w:eastAsia="Times New Roman" w:hAnsi="Arial" w:cs="Arial"/>
          <w:sz w:val="20"/>
          <w:szCs w:val="20"/>
          <w:lang w:eastAsia="ar-SA"/>
        </w:rPr>
        <w:t>) Komisija ne obravnava zadev, če je od dogodka, na katerega se zadeva nanaša, preteklo več kot pet let.«.</w:t>
      </w:r>
    </w:p>
    <w:bookmarkEnd w:id="8"/>
    <w:p w14:paraId="70C948C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4FAE744"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10. člen</w:t>
      </w:r>
    </w:p>
    <w:p w14:paraId="5887133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0F8F407"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Za 13. členom se doda nov a13.a člen, ki se glasi:</w:t>
      </w:r>
    </w:p>
    <w:p w14:paraId="79B6A29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u w:val="single"/>
          <w:lang w:eastAsia="ar-SA"/>
        </w:rPr>
      </w:pPr>
    </w:p>
    <w:p w14:paraId="6E881980"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»a13.a člen</w:t>
      </w:r>
    </w:p>
    <w:p w14:paraId="76472893"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(sistemski nadzor)</w:t>
      </w:r>
    </w:p>
    <w:p w14:paraId="22EC90F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81BCBA" w14:textId="0913065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Komisija lahko v subjektih javnega sektorja izvaja sistemske nadzore zaradi preverjanja spoštovanja določb tega zakona, ki lahko zajamejo eno ali več naslednjih področij:</w:t>
      </w:r>
    </w:p>
    <w:p w14:paraId="54320E7A"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prepovedi opravljanja nezdružljive funkcije, dejavnosti ali članstva;</w:t>
      </w:r>
    </w:p>
    <w:p w14:paraId="1F622F2C"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sprejemanju daril;</w:t>
      </w:r>
    </w:p>
    <w:p w14:paraId="14B85E1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omejitvah poslovanja;</w:t>
      </w:r>
    </w:p>
    <w:p w14:paraId="7FFE472F"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dolžnem izogibanju in prepovedi ravnanja v nasprotju interesov;</w:t>
      </w:r>
    </w:p>
    <w:p w14:paraId="58FDC411"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dolžnosti prijave premoženjskega stanja;</w:t>
      </w:r>
    </w:p>
    <w:p w14:paraId="1A57B2E5"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lobiranju;</w:t>
      </w:r>
    </w:p>
    <w:p w14:paraId="3176B231"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vključitvi protikorupcijske klavzule v pogodbo, določb o pridobitvi izjave oziroma podatkov o udeležbi fizičnih in pravnih oseb v lastništvu ponudnika ter o gospodarskih subjektih, za katere se glede na določbe zakona, ki ureja gospodarske družbe, šteje, da so povezane družbe s ponudnikom;</w:t>
      </w:r>
    </w:p>
    <w:p w14:paraId="319EC1B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o zaščiti prijaviteljev;</w:t>
      </w:r>
    </w:p>
    <w:p w14:paraId="327A60FF"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p>
    <w:p w14:paraId="1BE7F679"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nadzor nad spoštovanjem drugih določb tega zakona, povezanih s krepitvijo integritete in transparentnosti ter preprečevanjem korupcije.</w:t>
      </w:r>
    </w:p>
    <w:p w14:paraId="2CE73FA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8185EB" w14:textId="39E7764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(2) Sistemski nadzor komisija izvede v enem ali več </w:t>
      </w:r>
      <w:r w:rsidRPr="003F1A64">
        <w:rPr>
          <w:rFonts w:ascii="Arial" w:eastAsia="Times New Roman" w:hAnsi="Arial" w:cs="Arial"/>
          <w:sz w:val="20"/>
          <w:szCs w:val="20"/>
          <w:lang w:eastAsia="ar-SA"/>
        </w:rPr>
        <w:t>subjektih javnega sektorja (v nadaljevanju: nadzorovani subjekti) v zvezi z enim ali več področji iz prejšnjega odstavka.</w:t>
      </w:r>
    </w:p>
    <w:p w14:paraId="09FB4E3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8F405D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1490167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BAB0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Odločitev o sistemskem nadzoru po tem členu sprejme komisija s sklepom, ki ga vroči nadzorovanemu subjektu. Sklep o nadzoru mora vsebovati obseg in kratko utemeljitev razlogov za nadzor, področja, zajeta z nadzorom, ter imena in vloge članov nadzorne skupine.</w:t>
      </w:r>
    </w:p>
    <w:p w14:paraId="7312974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41C0F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Nadzorovani subjekt je dolžan ravnati v skladu s sklepom in zagotoviti vse, kar je potrebno za izvedbo in dokončanje sistemskega nadzora. Če subjekt nadzora ne sodeluje pri izvedbi sistemskega nadzora, komisija o tem lahko obvesti javnost.</w:t>
      </w:r>
    </w:p>
    <w:p w14:paraId="1495165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876B3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Komisija pripravi osnutek poročila o nadzoru, ki ga posreduje nadzorovanemu subjektu in ga pozove, da v roku, ki ni krajši od 30 dni, posreduje odzivno mnenje, v katerem se opredeli do ugotovitev iz osnutka poročila, ali predlaga usklajevalni sestanek. Osnutek poročila in usklajevanje sta zaupna.</w:t>
      </w:r>
    </w:p>
    <w:p w14:paraId="0429D64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0D664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Ko komisija oceni, da so vse pomembne okoliščine dovolj razjasnjene, sprejme in nadzorovanemu subjektu vroči končno poročilo o nadzoru, v katerem opredeli tudi potrebne ukrepe in priporočila.</w:t>
      </w:r>
    </w:p>
    <w:p w14:paraId="211AD7B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D25A5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V sistemski nadzor se lahko na svojo pobudo ali na povabilo komisije vključijo tudi drugi nadzorni državni organi, ki v okviru nadzora preverijo spoštovanje predpisov z njihovega delovnega področja v nadzorovanem subjektu. Sodelujoči organi pripravijo enotno poročilo o nadzoru.</w:t>
      </w:r>
    </w:p>
    <w:p w14:paraId="29E1047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876086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Metodologijo izvedbe sistemskega nadzora komisija podrobneje uredi s poslovnikom.«.</w:t>
      </w:r>
    </w:p>
    <w:p w14:paraId="232E0F5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0F8354"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11. člen</w:t>
      </w:r>
    </w:p>
    <w:p w14:paraId="232DF7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15AE4"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Za 13.a členom se dodata nova 13.b in 13.c člen, ki se glasita:</w:t>
      </w:r>
    </w:p>
    <w:p w14:paraId="3E88A54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39ADCD"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»13.b člen</w:t>
      </w:r>
    </w:p>
    <w:p w14:paraId="0ECD4181"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(predlog za razrešitev in pobuda predstojniku za ukrepanje)</w:t>
      </w:r>
    </w:p>
    <w:p w14:paraId="7356B5E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8D0FB2" w14:textId="7FB22602"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 xml:space="preserve">(1) V primeru ugotovljene hujše ali ponavljajoče se kršitve iz </w:t>
      </w:r>
      <w:r w:rsidRPr="0082627D">
        <w:rPr>
          <w:rFonts w:ascii="Helv" w:eastAsia="Times New Roman" w:hAnsi="Helv" w:cs="Helv"/>
          <w:sz w:val="20"/>
          <w:szCs w:val="20"/>
          <w:lang w:eastAsia="ar-SA"/>
        </w:rPr>
        <w:t>2. do 14. točke</w:t>
      </w:r>
      <w:r w:rsidRPr="005C544E">
        <w:rPr>
          <w:rFonts w:ascii="Helv" w:eastAsia="Times New Roman" w:hAnsi="Helv" w:cs="Helv"/>
          <w:sz w:val="20"/>
          <w:szCs w:val="20"/>
          <w:lang w:eastAsia="ar-SA"/>
        </w:rPr>
        <w:t xml:space="preserve"> prvega odstavka 13. člena tega zakona, izvršene s strani funkcionarja, uradnika na položaju ali poslovodne osebe, lahko komisija </w:t>
      </w:r>
      <w:r w:rsidR="002056F3" w:rsidRPr="005C544E">
        <w:rPr>
          <w:rFonts w:ascii="Helv" w:eastAsia="Times New Roman" w:hAnsi="Helv" w:cs="Helv"/>
          <w:sz w:val="20"/>
          <w:szCs w:val="20"/>
          <w:lang w:eastAsia="ar-SA"/>
        </w:rPr>
        <w:t xml:space="preserve">pristojnemu </w:t>
      </w:r>
      <w:r w:rsidRPr="005C544E">
        <w:rPr>
          <w:rFonts w:ascii="Helv" w:eastAsia="Times New Roman" w:hAnsi="Helv" w:cs="Helv"/>
          <w:sz w:val="20"/>
          <w:szCs w:val="20"/>
          <w:lang w:eastAsia="ar-SA"/>
        </w:rPr>
        <w:t>organu pošlje predlog za razrešitev obravnavane osebe. Pristojni organ je o predlogu komisije za razrešitev dolžan odločiti v roku 30 dni.</w:t>
      </w:r>
    </w:p>
    <w:p w14:paraId="1EA00319"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BA38AFA"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Komisija lahko med ali po zaključku postopka zaradi kršitve iz prvega odstavka 13. člena tega zakona, v katerem je obravnavana uradna oseba, z ugotovitvami ali drugimi odločitvami seznani predstojnika ali odgovorno osebo organa, pri katerem je uradna oseba zaposlena, in mu z namenom zagotavljanja zakonitosti delovanja organa, odpravljanja korupcijskih tveganj, zagotovitve integritete organa in javnega sektorja ter zaščite prijaviteljev, predlaga izvedbo ustreznih ukrepov.</w:t>
      </w:r>
    </w:p>
    <w:p w14:paraId="4C17A22A"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B4FD2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(3) Predlog iz prejšnjega odstavka komisija poda, če oceni, da se v obravnavani zadevi ali v povezavi z obravnavano osebo pojavljajo korupcijska tveganja, tveganja za nezakonito porabo javnih sredstev ali če je ogrožena integriteta organa ali javnega sektorja ali zaščita prijaviteljev.</w:t>
      </w:r>
    </w:p>
    <w:p w14:paraId="5760771E"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AC68B59"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DDC99D2"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305C184"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13.c člen</w:t>
      </w:r>
    </w:p>
    <w:p w14:paraId="7EDDAF94"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(pristojnost predlagati revizijo)</w:t>
      </w:r>
    </w:p>
    <w:p w14:paraId="19A5BDA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6A418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Če so podana dejstva in okoliščine,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lahko komisija med ali po zaključku postopka sprejme obrazložen sklep, s katerim računskemu sodišču predlaga uvedbo revizije posameznega posla ali poslov, sklenjenih s strani subjekta javnega sektorja.«.</w:t>
      </w:r>
    </w:p>
    <w:p w14:paraId="3560D44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BC616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12. člen</w:t>
      </w:r>
    </w:p>
    <w:p w14:paraId="7BF1ED2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23121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15. člen se spremeni tako, da se glasi:</w:t>
      </w:r>
    </w:p>
    <w:p w14:paraId="5B799CA6"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»15. člen</w:t>
      </w:r>
      <w:r w:rsidRPr="005C544E">
        <w:rPr>
          <w:rFonts w:ascii="Arial" w:eastAsia="Times New Roman" w:hAnsi="Arial" w:cs="Arial"/>
          <w:bCs/>
          <w:sz w:val="20"/>
          <w:szCs w:val="20"/>
          <w:lang w:eastAsia="ar-SA"/>
        </w:rPr>
        <w:br/>
        <w:t>(vrste in pravila postopka)</w:t>
      </w:r>
    </w:p>
    <w:p w14:paraId="637B712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0F81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Komisija v zvezi z izvrševanjem svojih pristojnosti vodi upravne postopke, hitre prekrškovne postopke in druge javnopravne postopke po določbah tega zakona. Drugi javnopravni postopki so postopki, ki se vodijo za izvajanje pristojnosti po prvem odstavku 13. člena in a13.a člena tega zakona.</w:t>
      </w:r>
    </w:p>
    <w:p w14:paraId="4D2ADEDA"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0B43022"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Za druge javnopravne postopke se za vprašanja, ki niso urejena s tem zakonom, smiselno uporabljajo določbe zakona, ki ureja upravni postopek.</w:t>
      </w:r>
    </w:p>
    <w:p w14:paraId="1BA7412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A7B1C81"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(3) V upravni zadevi lahko postopek do odločitve vodi uslužbenec pri komisiji, ki ga za to pooblasti komisija. V teh postopkih odločitev sprejme komisija.</w:t>
      </w:r>
    </w:p>
    <w:p w14:paraId="60017410"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2CE8153"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(4) Zoper ugotovitve ali druge odločitve iz postopkov po drugem odstavku tega člena ima obravnavana oseba pravico do vložitve tožbe v upravnem sporu. Upravno sodišče o tožbi odloči v treh mesecih od vložitve tožbe. Zoper načelno mnenje iz tretjega odstavka 13. člena tega zakona ni dopusten upravni spor.</w:t>
      </w:r>
    </w:p>
    <w:p w14:paraId="37441C21"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AF7E2B2"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(5) Zoper odločbo ali sklep komisije iz upravnih postopkov je dopusten upravni spor.«.</w:t>
      </w:r>
    </w:p>
    <w:p w14:paraId="22C0B62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9012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13. člen</w:t>
      </w:r>
    </w:p>
    <w:p w14:paraId="184E599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CEB0B9"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Za 15. členom se dodajo novi 15.a, 15.b in 15.c člen, ki se glasijo:</w:t>
      </w:r>
    </w:p>
    <w:p w14:paraId="645E60A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3AED065"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»15.a člen</w:t>
      </w:r>
    </w:p>
    <w:p w14:paraId="347D717B" w14:textId="71BAB501"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(razgovor na seji komisije in zbiranje informacij od oseb)</w:t>
      </w:r>
    </w:p>
    <w:p w14:paraId="4B775DC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4F920"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Komisija lahko zaradi razjasnitve dejstev in okoliščin v zvezi s posamezno zadevo, ki jo obravnava, vabi osebe na razgovor na sejo komisije.</w:t>
      </w:r>
    </w:p>
    <w:p w14:paraId="7FE6210E"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A8F0D86"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Komisija lahko na razgovor vabi:</w:t>
      </w:r>
    </w:p>
    <w:p w14:paraId="1D0695D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uradne osebe,</w:t>
      </w:r>
    </w:p>
    <w:p w14:paraId="20AF098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predstojnike oziroma odgovorne osebe v organizacijah, ki jim je podeljeno javno pooblastilo,</w:t>
      </w:r>
    </w:p>
    <w:p w14:paraId="760CA71A"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druge osebe, zaposlene v subjektih javnega sektorja,</w:t>
      </w:r>
    </w:p>
    <w:p w14:paraId="5E737958"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osebe iz drugega odstavka 40. člena tega zakona.</w:t>
      </w:r>
    </w:p>
    <w:p w14:paraId="0F030A3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AB0938" w14:textId="4EEDA962"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Osebe iz prejšnjega odstavka se </w:t>
      </w:r>
      <w:r w:rsidR="005957F4" w:rsidRPr="005C544E">
        <w:rPr>
          <w:rFonts w:ascii="Arial" w:eastAsia="Times New Roman" w:hAnsi="Arial" w:cs="Arial"/>
          <w:sz w:val="20"/>
          <w:szCs w:val="20"/>
          <w:lang w:eastAsia="ar-SA"/>
        </w:rPr>
        <w:t xml:space="preserve">morajo </w:t>
      </w:r>
      <w:r w:rsidRPr="005C544E">
        <w:rPr>
          <w:rFonts w:ascii="Arial" w:eastAsia="Times New Roman" w:hAnsi="Arial" w:cs="Arial"/>
          <w:sz w:val="20"/>
          <w:szCs w:val="20"/>
          <w:lang w:eastAsia="ar-SA"/>
        </w:rPr>
        <w:t xml:space="preserve">na zahtevo komisije odzvati vabilu in na razgovoru osebno in po resnici odgovarjati na vprašanja iz pristojnosti komisije. Oseba, ki v času vabljenja nima več statusa iz prejšnjega odstavka, se </w:t>
      </w:r>
      <w:r w:rsidR="005957F4" w:rsidRPr="005C544E">
        <w:rPr>
          <w:rFonts w:ascii="Arial" w:eastAsia="Times New Roman" w:hAnsi="Arial" w:cs="Arial"/>
          <w:sz w:val="20"/>
          <w:szCs w:val="20"/>
          <w:lang w:eastAsia="ar-SA"/>
        </w:rPr>
        <w:t>mora</w:t>
      </w:r>
      <w:r w:rsidRPr="005C544E">
        <w:rPr>
          <w:rFonts w:ascii="Arial" w:eastAsia="Times New Roman" w:hAnsi="Arial" w:cs="Arial"/>
          <w:sz w:val="20"/>
          <w:szCs w:val="20"/>
          <w:lang w:eastAsia="ar-SA"/>
        </w:rPr>
        <w:t xml:space="preserve"> odzvati vabilu tudi po prenehanju statusa, ki ga je imela v času dogodka oziroma ravnanja, ki ga obravnava komisija.</w:t>
      </w:r>
    </w:p>
    <w:p w14:paraId="768D4FC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3A8C7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Poleg oseb iz drugega odstavka tega člena lahko komisija opravi razgovor tudi z drugimi osebami, če v to privolijo.</w:t>
      </w:r>
    </w:p>
    <w:p w14:paraId="2F2B95D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620F09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Vabilo za razgovor vsebuje najmanj naslednje podatke:</w:t>
      </w:r>
    </w:p>
    <w:p w14:paraId="28BA984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ime in priimek vabljenega,</w:t>
      </w:r>
    </w:p>
    <w:p w14:paraId="1970202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datum, uro in kraj razgovora,</w:t>
      </w:r>
    </w:p>
    <w:p w14:paraId="7D8E3B86"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navedbo, v zvezi s katerim dogodkom, njenim ravnanjem ali ravnanjem drugih oseb, podatki ali dokumentacijo bo potekal razgovor,</w:t>
      </w:r>
    </w:p>
    <w:p w14:paraId="548E8F32"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pojasnilo, da lahko vabljena oseba s seboj prinese dodatno dokumentacijo,</w:t>
      </w:r>
    </w:p>
    <w:p w14:paraId="7C18536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rok za morebitno utemeljeno opravičilo odsotnosti,</w:t>
      </w:r>
    </w:p>
    <w:p w14:paraId="4C44288D"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pojasnilo, da ima vabljena oseba pravico do pravnega zastopanja s strani pooblaščenca, ki si ga sama izbere in za katerega sama nosi stroške zastopanja, in</w:t>
      </w:r>
    </w:p>
    <w:p w14:paraId="6DD4819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opozorilo o pravnih posledicah neudeležbe.</w:t>
      </w:r>
    </w:p>
    <w:p w14:paraId="0C7B511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E1FEC5" w14:textId="0E776660"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Oseb</w:t>
      </w:r>
      <w:r w:rsidR="00C42522">
        <w:rPr>
          <w:rFonts w:ascii="Arial" w:eastAsia="Times New Roman" w:hAnsi="Arial" w:cs="Arial"/>
          <w:sz w:val="20"/>
          <w:szCs w:val="20"/>
          <w:lang w:eastAsia="ar-SA"/>
        </w:rPr>
        <w:t>a</w:t>
      </w:r>
      <w:r w:rsidRPr="005C544E">
        <w:rPr>
          <w:rFonts w:ascii="Arial" w:eastAsia="Times New Roman" w:hAnsi="Arial" w:cs="Arial"/>
          <w:sz w:val="20"/>
          <w:szCs w:val="20"/>
          <w:lang w:eastAsia="ar-SA"/>
        </w:rPr>
        <w:t>, ki se brez opravičljivih razlogov ne odzove na razgovor, na katerega je bila pravilno vabljena, ne more biti prisilno privedena, lahko pa se ji izreče sankcija v skladu s tem zakonom.</w:t>
      </w:r>
    </w:p>
    <w:p w14:paraId="05F7C69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8ABF51" w14:textId="159F23D4"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(7) Komisija </w:t>
      </w:r>
      <w:r w:rsidR="005957F4" w:rsidRPr="005C544E">
        <w:rPr>
          <w:rFonts w:ascii="Arial" w:eastAsia="Times New Roman" w:hAnsi="Arial" w:cs="Arial"/>
          <w:sz w:val="20"/>
          <w:szCs w:val="20"/>
          <w:lang w:eastAsia="ar-SA"/>
        </w:rPr>
        <w:t xml:space="preserve">vroča </w:t>
      </w:r>
      <w:r w:rsidRPr="005C544E">
        <w:rPr>
          <w:rFonts w:ascii="Arial" w:eastAsia="Times New Roman" w:hAnsi="Arial" w:cs="Arial"/>
          <w:sz w:val="20"/>
          <w:szCs w:val="20"/>
          <w:lang w:eastAsia="ar-SA"/>
        </w:rPr>
        <w:t>vabilo vabljeni osebi praviloma osebno na naslovu delodajalca. Vabilo pošlje po pošti, po svoji uradni osebi, ali po pravni ali fizični osebi, ki opravlja vročanje dokumentov v fizični obliki, ali po elektronski pošti, ki omogoča dejansko seznanitev z vabilom. Če komisija oceni, da je tako primerneje, se vabilo vroča na naslovu stalnega ali začasnega prebivališča vabljene osebe, skladno z določbami zakona, ki ureja splošni upravni postopek.</w:t>
      </w:r>
    </w:p>
    <w:p w14:paraId="1EDA30D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90543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Če vabljena oseba iz utemeljenih razlogov opraviči svoj izostanek, se jo vabi ponovno na drug datum oziroma uro.</w:t>
      </w:r>
    </w:p>
    <w:p w14:paraId="42FC817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FFEC9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Vabilo mora biti vabljeni osebi vročeno najmanj tri delovne dni pred sejo komisije. V primeru utemeljenih razlogov je lahko rok tudi krajši, vendar v tem primeru vabljena oseba zaradi izostanka na seji ne sme trpeti pravnih posledic.</w:t>
      </w:r>
    </w:p>
    <w:p w14:paraId="5423B9A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95945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(10) Komisija lahko na svojo pobudo ali na predlog vabljene osebe odloči, da se razgovor z vabljeno osebo opravi z uporabo sodobnih tehničnih sredstev za prenos slike oziroma glasu (tele ali videokonferenca).</w:t>
      </w:r>
    </w:p>
    <w:p w14:paraId="7A684CD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594E9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(11) Seje komisije, na katerih se opravlja razgovor, se zvočno snemajo. Vabljena oseba ima pravico do elektronske kopije zvočnega posnetka, ki postane del zapisnika in spisa.</w:t>
      </w:r>
    </w:p>
    <w:p w14:paraId="1328D96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287F5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(12) V zapisniku o opravljenem razgovoru je treba zapisati, da je bil razgovor posnet z ustreznim tehničnim sredstvom za zvočno snemanje in kdo je to napravil, da je bila vabljena oseba vnaprej obveščena o snemanju in da je bil posnetek reproduciran.</w:t>
      </w:r>
    </w:p>
    <w:p w14:paraId="29A9CDF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EB69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(13) Razgovor z vabljeno osebo se praviloma opravlja posamično in brez prisotnosti drugih vabljenih oseb, razen če komisija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50BFE4D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BA3303" w14:textId="152E434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(14) Kadar komisija med razgovorom z vabljeno osebo zaradi ravnanja drugih oseb ugotovi, da je potrebno osebo vabiti na razgovor zaradi njenega ravnanja, komisija razgovor prekine in osebo seznani, da jo bo ponovno vabila skladno s petim odstavkom tega člena. V primeru iz prejšnjega stavka se zapisnik, zvočni zapis in dokumentacija, ki jo je oseba izročila, iz spisa izločijo in jih v nadaljevanju tega postopka ni </w:t>
      </w:r>
      <w:r w:rsidR="005957F4" w:rsidRPr="005C544E">
        <w:rPr>
          <w:rFonts w:ascii="Arial" w:eastAsia="Times New Roman" w:hAnsi="Arial" w:cs="Arial"/>
          <w:sz w:val="20"/>
          <w:szCs w:val="20"/>
          <w:lang w:eastAsia="ar-SA"/>
        </w:rPr>
        <w:t xml:space="preserve">dopustno </w:t>
      </w:r>
      <w:r w:rsidRPr="005C544E">
        <w:rPr>
          <w:rFonts w:ascii="Arial" w:eastAsia="Times New Roman" w:hAnsi="Arial" w:cs="Arial"/>
          <w:sz w:val="20"/>
          <w:szCs w:val="20"/>
          <w:lang w:eastAsia="ar-SA"/>
        </w:rPr>
        <w:t>pregledovati niti uporabiti.</w:t>
      </w:r>
    </w:p>
    <w:p w14:paraId="3E43FB6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10FF21"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15.b člen</w:t>
      </w:r>
    </w:p>
    <w:p w14:paraId="141864DD"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(potek razgovora)</w:t>
      </w:r>
    </w:p>
    <w:p w14:paraId="06E23DE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6D11D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Razgovor z vabljeno osebo vodi predsedujoči, ki daje besedo udeležencem in skrbi za nemoten potek seje komisije. Njegovi dolžnost in pravica sta zagotavljati učinkovit, nemoten in zakonit potek seje, vzdrževati red na seji in varovati dostojanstvo komisije in vabljene osebe.</w:t>
      </w:r>
    </w:p>
    <w:p w14:paraId="63535AC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CE31B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Predsedujoči vabljeno osebo pred razgovorom seznani, da se razgovori pred komisijo zvočno snemajo in da ima pravico do elektronske kopije zvočnega posnetka.</w:t>
      </w:r>
    </w:p>
    <w:p w14:paraId="74557CB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9E466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Predsedujoči vabljeno osebo pred razgovorom opozori, da:</w:t>
      </w:r>
    </w:p>
    <w:p w14:paraId="68FFDA06"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lahko komisija del ali celoten zapis razgovora posreduje pristojnim organom, če v svojem postopku ugotovi kršitve iz njihove pristojnosti,</w:t>
      </w:r>
    </w:p>
    <w:p w14:paraId="3A5BF4A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je dolžna govoriti resnico, da ne sme ničesar zamolčati, da je na vprašanja komisije dolžna dajati vsa pojasnila in odgovore, ki so pomembni za opravljanje njenih nalog v konkretnem primeru, in</w:t>
      </w:r>
    </w:p>
    <w:p w14:paraId="74C516F5"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ima pravico odkloniti odgovor na posamezno vprašanje, če je verjetno, da bi z odgovorom sebe ali koga svojih bližnjih spravila v hudo sramoto, kazenski pregon ali znatno materialno škodo.</w:t>
      </w:r>
    </w:p>
    <w:p w14:paraId="480EBDF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89AD4C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Predsedujoči nato vabljeno osebo seznani z razlogi vabljenja.</w:t>
      </w:r>
    </w:p>
    <w:p w14:paraId="66E259B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497D5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Vprašanja vabljeni osebi zastavljajo predsedujoči in člana komisije, z dovoljenjem predsedujočega pa tudi uslužbenci komisije, ki so prisotni na seji.</w:t>
      </w:r>
    </w:p>
    <w:p w14:paraId="1FE6BFE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5C0AE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Vabljena oseba lahko med razgovorom sama ali na poziv predsedujočega v spis vloži dodatno dokumentacijo ali pisna pojasnila o zadevi, zaradi katere je vabljena.</w:t>
      </w:r>
    </w:p>
    <w:p w14:paraId="501B3C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C1C7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Prisotni na seji komisije so dolžni varovati podatke in informacije, s katerimi so se seznanili med razgovorom. Predsedujoči na koncu seje prisotne opozori, da javnosti ali nepooblaščenim tretjim osebam ne smejo razkrivati nejavnih informacij in podatkov, s katerimi so se seznanili na seji, ter na pravne posledice takega dejanja.</w:t>
      </w:r>
    </w:p>
    <w:p w14:paraId="45DDFEE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0893B7C"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15.c člen</w:t>
      </w:r>
    </w:p>
    <w:p w14:paraId="5BBBF423"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(vpogled v spis)</w:t>
      </w:r>
    </w:p>
    <w:p w14:paraId="5491D8B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3434A1" w14:textId="2DC70FF1"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(1) V primeru drugih javnopravnih postopkov ima obravnavana oseba oziroma oseba, zoper katero je podana prijava, pravico vpogleda v spis po opravljenem predhodnem preizkusu prijave.</w:t>
      </w:r>
    </w:p>
    <w:p w14:paraId="3FD3F541"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174A6B0"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Druge osebe imajo pravico do vpogleda v spis, če izkažejo svoj pravni interes, in sicer po zaključku postopka pred komisijo.</w:t>
      </w:r>
    </w:p>
    <w:p w14:paraId="332B933E"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9BC7B2E"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(3) Komisija pri vpogledu v spis ne sme razkriti identitete prijavitelja ali podatkov, na podlagi katerih ga je mogoče identificirati.</w:t>
      </w:r>
    </w:p>
    <w:p w14:paraId="3ECE5C64"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0DBB4983"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(4) Pravica do vpogleda v spis ali prepis posameznega ali vseh dokumentov se ustrezno omeji ali odreče, če komisija na podlagi mnenja pristojnega organa oceni, da obstaja verjetnost, da bi to ogrozilo interese predkazenskega, kazenskega postopka ali drugega sodnega ali nadzornega postopka ali škodovalo interesom postopka po tem zakonu ali zaradi varstva osebnih podatkov.</w:t>
      </w:r>
    </w:p>
    <w:p w14:paraId="64FFF09E"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9BEC8EC" w14:textId="3B288326"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 xml:space="preserve">(5) Komisija o pravici do vpogleda </w:t>
      </w:r>
      <w:r w:rsidR="00C42522">
        <w:rPr>
          <w:rFonts w:ascii="Helv" w:eastAsia="Times New Roman" w:hAnsi="Helv" w:cs="Helv"/>
          <w:sz w:val="20"/>
          <w:szCs w:val="20"/>
          <w:lang w:eastAsia="ar-SA"/>
        </w:rPr>
        <w:t xml:space="preserve">v spis </w:t>
      </w:r>
      <w:r w:rsidRPr="005C544E">
        <w:rPr>
          <w:rFonts w:ascii="Helv" w:eastAsia="Times New Roman" w:hAnsi="Helv" w:cs="Helv"/>
          <w:sz w:val="20"/>
          <w:szCs w:val="20"/>
          <w:lang w:eastAsia="ar-SA"/>
        </w:rPr>
        <w:t>odloči najpozneje v 15 dneh od vložitve zahteve. Komisija odloči s sklepom, kadar pravico do vpogleda omeji ali zavrne. Zoper sklep komisije je dopusten upravni spor.</w:t>
      </w:r>
    </w:p>
    <w:p w14:paraId="372ED250"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1A4712F8"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(6) Postopek vpogleda v spis se podrobneje uredi v poslovniku komisije.«.</w:t>
      </w:r>
    </w:p>
    <w:p w14:paraId="33AF67A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B27FD94"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14. člen</w:t>
      </w:r>
    </w:p>
    <w:p w14:paraId="7838126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A26A1C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16. člena se spremeni tako, da se glasi:</w:t>
      </w:r>
    </w:p>
    <w:p w14:paraId="571A321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0005B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Državni organi, organi lokalnih skupnosti, nosilci javnih pooblastil, pravne osebe javnega in zasebnega prava, in osebe s statusom samostojnih podjetnikov posameznikov ali posameznikov, ki samostojno opravljajo dejavnost,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52E88FF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E7663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Obrazložena zahteva iz prejšnjega odstavka mora vsebovati navedbo pravne podlage za pridobitev podatkov, razloge in namen, za katerega se zahtevajo podatki.</w:t>
      </w:r>
    </w:p>
    <w:p w14:paraId="4E4A5A3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426A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23FBCEB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368B4B" w14:textId="10841E4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w:t>
      </w:r>
      <w:r w:rsidR="009A4609">
        <w:rPr>
          <w:rFonts w:ascii="Arial" w:eastAsia="Times New Roman" w:hAnsi="Arial" w:cs="Arial"/>
          <w:sz w:val="20"/>
          <w:szCs w:val="20"/>
          <w:lang w:eastAsia="ar-SA"/>
        </w:rPr>
        <w:t xml:space="preserve">državnega </w:t>
      </w:r>
      <w:r w:rsidRPr="005C544E">
        <w:rPr>
          <w:rFonts w:ascii="Arial" w:eastAsia="Times New Roman" w:hAnsi="Arial" w:cs="Arial"/>
          <w:sz w:val="20"/>
          <w:szCs w:val="20"/>
          <w:lang w:eastAsia="ar-SA"/>
        </w:rPr>
        <w:t>tožilstva generalni državni tožilec, za področje obveščevalno varnostne dejavnosti pa vlada.</w:t>
      </w:r>
    </w:p>
    <w:p w14:paraId="5D8A67E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C1EB5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76DD58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A45D2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Če se oseba, s katero pooblaščena oseba opravlja razgovor, s tem strinja, lahko da svojo izjavo tudi na zapisnik, ki ga podpišeta pooblaščena oseba komisije in oseba, ki je dala izjavo. E</w:t>
      </w:r>
      <w:r w:rsidRPr="005C544E">
        <w:rPr>
          <w:rFonts w:ascii="Helv" w:eastAsia="Times New Roman" w:hAnsi="Helv" w:cs="Helv"/>
          <w:sz w:val="20"/>
          <w:szCs w:val="20"/>
          <w:lang w:eastAsia="ar-SA"/>
        </w:rPr>
        <w:t>lektronska kopija zvočnega posnetka postane del zapisnika oziroma spisa.</w:t>
      </w:r>
      <w:r w:rsidRPr="005C544E">
        <w:rPr>
          <w:rFonts w:ascii="Arial" w:eastAsia="Times New Roman" w:hAnsi="Arial" w:cs="Arial"/>
          <w:sz w:val="20"/>
          <w:szCs w:val="20"/>
          <w:lang w:eastAsia="ar-SA"/>
        </w:rPr>
        <w:t>«.</w:t>
      </w:r>
    </w:p>
    <w:p w14:paraId="2B95755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C41102" w14:textId="3EC69D83" w:rsidR="0055047E" w:rsidRPr="005B7146"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5B7146">
        <w:rPr>
          <w:rFonts w:cs="Times New Roman"/>
          <w:b/>
          <w:szCs w:val="24"/>
          <w:lang w:eastAsia="ar-SA"/>
        </w:rPr>
        <w:t xml:space="preserve">15. </w:t>
      </w:r>
      <w:r w:rsidR="0055047E" w:rsidRPr="005B7146">
        <w:rPr>
          <w:rFonts w:cs="Times New Roman"/>
          <w:b/>
          <w:szCs w:val="24"/>
          <w:lang w:eastAsia="ar-SA"/>
        </w:rPr>
        <w:t>člen</w:t>
      </w:r>
    </w:p>
    <w:p w14:paraId="3FCD314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72E9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17. člena se spremeni tako, da se glasi:</w:t>
      </w:r>
    </w:p>
    <w:p w14:paraId="68F2C4C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74A89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Komisija za uresničevanje namena tega zakona in za krepitev integritete sodeluje z neprofitnimi organizacijami zasebnega sektorja s področja dela komisije in sindikati.</w:t>
      </w:r>
    </w:p>
    <w:p w14:paraId="4A73901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B1B1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Komisija enkrat na leto objavi razpis za financiranje projektov neprofitnih organizacij zasebnega sektorja s področja dela komisije pri izvajanju nalog na področju usposabljanja, informiranja in osveščanja javnosti in organov javnega sektorja ter prenašanja dobrih praks na področju uresničevanja namena tega zakona.</w:t>
      </w:r>
    </w:p>
    <w:p w14:paraId="7DFB3AA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6688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Sredstva za financiranje projektov iz prejšnjega odstavka se zagotavljajo v proračunu Republike Slovenije v okviru sredstev komisije.«</w:t>
      </w:r>
      <w:r w:rsidRPr="005C544E">
        <w:rPr>
          <w:rFonts w:ascii="Arial" w:eastAsia="Times New Roman" w:hAnsi="Arial" w:cs="Arial"/>
          <w:sz w:val="20"/>
          <w:szCs w:val="20"/>
          <w:shd w:val="clear" w:color="auto" w:fill="FFFFFF"/>
          <w:lang w:eastAsia="ar-SA"/>
        </w:rPr>
        <w:t>.</w:t>
      </w:r>
    </w:p>
    <w:p w14:paraId="52E48B5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24C3287B" w14:textId="74A914DE" w:rsidR="0055047E" w:rsidRPr="005B7146" w:rsidRDefault="005B7146" w:rsidP="005B7146">
      <w:pPr>
        <w:suppressAutoHyphens/>
        <w:overflowPunct w:val="0"/>
        <w:autoSpaceDE w:val="0"/>
        <w:spacing w:after="0" w:line="260" w:lineRule="atLeast"/>
        <w:jc w:val="center"/>
        <w:textAlignment w:val="baseline"/>
        <w:rPr>
          <w:rFonts w:cs="Times New Roman"/>
          <w:b/>
          <w:szCs w:val="24"/>
          <w:lang w:eastAsia="ar-SA"/>
        </w:rPr>
      </w:pPr>
      <w:r w:rsidRPr="005B7146">
        <w:rPr>
          <w:rFonts w:cs="Times New Roman"/>
          <w:b/>
          <w:szCs w:val="24"/>
          <w:lang w:eastAsia="ar-SA"/>
        </w:rPr>
        <w:t xml:space="preserve">16. </w:t>
      </w:r>
      <w:r w:rsidR="0055047E" w:rsidRPr="005B7146">
        <w:rPr>
          <w:rFonts w:cs="Times New Roman"/>
          <w:b/>
          <w:szCs w:val="24"/>
          <w:lang w:eastAsia="ar-SA"/>
        </w:rPr>
        <w:t>člen</w:t>
      </w:r>
    </w:p>
    <w:p w14:paraId="6DF4CB4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273F67"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Besedilo 18. člena se spremeni tako, da se glasi:</w:t>
      </w:r>
    </w:p>
    <w:p w14:paraId="73B83FB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72100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Komisija namenja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78DD926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746DD6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Komisija poleg dokumentov iz šestega odstavka 11. člena tega zakona na svojih spletnih straneh objavlja informacije iz osmega odstavka 11. člena in petega odstavka a13.a člena tega zakona, letna poročila in druge dokumente splošne narave s področja integritete in transparentnosti, preprečevanja in omejevanja korupcije ter nasprotja interesov. Komisija na svojih spletnih straneh objavlja tudi sklice sej komisije in njihove zapisnike na način, da iz njih ni mogoče razbrati osebnih podatkov in podatkov, varovanih z določbami drugih zakonov.</w:t>
      </w:r>
    </w:p>
    <w:p w14:paraId="24A96E4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F743F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Objava podatkov, s katero bi bila lahko razkrita identiteta ali ogrožena varnost osebe, ki v dobri veri poda prijavo ali kako drugače sodeluje pri razkrivanju korupcije, ali podatkov, ki so bili pridobljeni zaradi postopka komisije in bi njihovo razkritje škodovalo njegovi izvedbi,</w:t>
      </w:r>
      <w:r w:rsidRPr="005C544E" w:rsidDel="00266936">
        <w:rPr>
          <w:rFonts w:ascii="Arial" w:eastAsia="Times New Roman" w:hAnsi="Arial" w:cs="Arial"/>
          <w:bCs/>
          <w:sz w:val="20"/>
          <w:szCs w:val="20"/>
          <w:lang w:eastAsia="ar-SA"/>
        </w:rPr>
        <w:t xml:space="preserve"> </w:t>
      </w:r>
      <w:r w:rsidRPr="005C544E">
        <w:rPr>
          <w:rFonts w:ascii="Arial" w:eastAsia="Times New Roman" w:hAnsi="Arial" w:cs="Arial"/>
          <w:bCs/>
          <w:sz w:val="20"/>
          <w:szCs w:val="20"/>
          <w:lang w:eastAsia="ar-SA"/>
        </w:rPr>
        <w:t>ni dovoljena. Podatkov o osebi, ki je v dobri veri podala prijavo ali sodelovala pri razkrivanju korupcije, drugih nezakonitih ali neetičnih ravnanj, komisija brez njene osebne privolitve ne razkriva niti potrjuje.</w:t>
      </w:r>
    </w:p>
    <w:p w14:paraId="32F68BA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7597A3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 Komisija po končanem postopku iz prvega odstavka 13. člena in a13.a člena tega zakona javnost obvesti tudi, kadar ni ugotovila kršitev tega zakona, kadar je javnost z uvedbo postopka že seznanjena.</w:t>
      </w:r>
    </w:p>
    <w:p w14:paraId="7EB247F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7F296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(5) Podrobnejši način obveščanja javnosti komisija uredi v poslovniku.«.</w:t>
      </w:r>
    </w:p>
    <w:p w14:paraId="6164B65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FB380CA" w14:textId="46CBEBBC" w:rsidR="0055047E" w:rsidRPr="005B7146"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r w:rsidRPr="005B7146">
        <w:rPr>
          <w:rFonts w:cs="Times New Roman"/>
          <w:b/>
          <w:szCs w:val="24"/>
          <w:lang w:eastAsia="ar-SA"/>
        </w:rPr>
        <w:t xml:space="preserve">17. </w:t>
      </w:r>
      <w:r w:rsidR="0055047E" w:rsidRPr="005B7146">
        <w:rPr>
          <w:rFonts w:cs="Times New Roman"/>
          <w:b/>
          <w:szCs w:val="24"/>
          <w:lang w:eastAsia="ar-SA"/>
        </w:rPr>
        <w:t>člen</w:t>
      </w:r>
    </w:p>
    <w:p w14:paraId="5460C22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04A33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21. člena se spremeni tako, da se glasi:</w:t>
      </w:r>
    </w:p>
    <w:p w14:paraId="0FF5468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0481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Državni zbor s smiselno uporabo določb tega zakona nadzira premoženjsko stanje, sprejemanje daril, omejitev poslovanja, nasprotje interesov in nezdružljivost funkcije s pridobitno dejavnostjo predsednika komisije za preprečevanje korupcije in obeh namestnikov predsednika komisije.</w:t>
      </w:r>
    </w:p>
    <w:p w14:paraId="52FA956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1DA8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Predsednik komisije in namestnika predsednika komisije podatke o svojih obveznostih, povezanih s položajem funkcionarja po tem zakonu, vpišejo v uradne evidence komisije o podatkih o premoženjskem stanju, omejitvah poslovanja, prejetih darilih, nasprotju interesov in nezdružljivosti funkcije s pridobitno dejavnostjo. O izpolnitvi navedenih obveznosti funkcionarji komisije obvestijo državni zbor v roku treh dni. Komisija obvestilo iz prejšnjega stavka objavi na svojih spletnih straneh.</w:t>
      </w:r>
    </w:p>
    <w:p w14:paraId="6369EFB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1D5A66" w14:textId="531773F4"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Za potrebe izvajanja nadzora iz prvega odstavka tega člena komisija na poziv državnega zbora iz uradnih evidenc, ki jih vodi, posred</w:t>
      </w:r>
      <w:r w:rsidR="005957F4" w:rsidRPr="005C544E">
        <w:rPr>
          <w:rFonts w:ascii="Arial" w:eastAsia="Times New Roman" w:hAnsi="Arial" w:cs="Arial"/>
          <w:sz w:val="20"/>
          <w:szCs w:val="20"/>
          <w:lang w:eastAsia="ar-SA"/>
        </w:rPr>
        <w:t>uje</w:t>
      </w:r>
      <w:r w:rsidRPr="005C544E">
        <w:rPr>
          <w:rFonts w:ascii="Arial" w:eastAsia="Times New Roman" w:hAnsi="Arial" w:cs="Arial"/>
          <w:sz w:val="20"/>
          <w:szCs w:val="20"/>
          <w:lang w:eastAsia="ar-SA"/>
        </w:rPr>
        <w:t xml:space="preserve"> državnemu zboru zahtevane podatke za predsednika in oba namestnika predsednika komisije. Ostale podatke, ki jih državni zbor potrebuje za izvedbo nadzora in za vodenje katerih ni pristojna komisija, državni zbor pridobi sam.«.</w:t>
      </w:r>
    </w:p>
    <w:p w14:paraId="6B21F9F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11800700" w14:textId="3A7575F7" w:rsidR="0055047E" w:rsidRPr="005B7146" w:rsidRDefault="005B7146" w:rsidP="005B7146">
      <w:pPr>
        <w:suppressAutoHyphens/>
        <w:overflowPunct w:val="0"/>
        <w:autoSpaceDE w:val="0"/>
        <w:autoSpaceDN w:val="0"/>
        <w:adjustRightInd w:val="0"/>
        <w:spacing w:after="0" w:line="240" w:lineRule="auto"/>
        <w:jc w:val="center"/>
        <w:textAlignment w:val="baseline"/>
        <w:rPr>
          <w:rFonts w:cs="Times New Roman"/>
          <w:b/>
          <w:szCs w:val="24"/>
          <w:lang w:eastAsia="ar-SA"/>
        </w:rPr>
      </w:pPr>
      <w:bookmarkStart w:id="9" w:name="_Hlk4751132"/>
      <w:r w:rsidRPr="005B7146">
        <w:rPr>
          <w:rFonts w:cs="Times New Roman"/>
          <w:b/>
          <w:szCs w:val="24"/>
          <w:lang w:eastAsia="ar-SA"/>
        </w:rPr>
        <w:t xml:space="preserve">18. </w:t>
      </w:r>
      <w:r w:rsidR="0055047E" w:rsidRPr="005B7146">
        <w:rPr>
          <w:rFonts w:cs="Times New Roman"/>
          <w:b/>
          <w:szCs w:val="24"/>
          <w:lang w:eastAsia="ar-SA"/>
        </w:rPr>
        <w:t>člen</w:t>
      </w:r>
    </w:p>
    <w:p w14:paraId="7799455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07141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22. člena se spremeni tako, da se glasi:</w:t>
      </w:r>
    </w:p>
    <w:p w14:paraId="009ABAC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B5661" w14:textId="45C83454"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 Predsednik republike </w:t>
      </w:r>
      <w:r w:rsidR="005957F4" w:rsidRPr="005C544E">
        <w:rPr>
          <w:rFonts w:ascii="Arial" w:eastAsia="Times New Roman" w:hAnsi="Arial" w:cs="Arial"/>
          <w:sz w:val="20"/>
          <w:szCs w:val="20"/>
          <w:lang w:eastAsia="ar-SA"/>
        </w:rPr>
        <w:t xml:space="preserve">razreši </w:t>
      </w:r>
      <w:r w:rsidRPr="005C544E">
        <w:rPr>
          <w:rFonts w:ascii="Arial" w:eastAsia="Times New Roman" w:hAnsi="Arial" w:cs="Arial"/>
          <w:sz w:val="20"/>
          <w:szCs w:val="20"/>
          <w:lang w:eastAsia="ar-SA"/>
        </w:rPr>
        <w:t>predsednika komisije ali namestnika predsednika komisije:</w:t>
      </w:r>
    </w:p>
    <w:p w14:paraId="272DA008" w14:textId="77777777"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če predsednik komisije ali namestnik predsednika komisije odstopi,</w:t>
      </w:r>
    </w:p>
    <w:p w14:paraId="1C611B37" w14:textId="77777777"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če funkcije ne opravlja v skladu z ustavo in zakonom,</w:t>
      </w:r>
    </w:p>
    <w:p w14:paraId="545DCB52" w14:textId="77777777"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5C544E">
        <w:rPr>
          <w:rFonts w:ascii="Arial" w:eastAsia="Times New Roman" w:hAnsi="Arial" w:cs="Arial"/>
          <w:bCs/>
          <w:sz w:val="20"/>
          <w:szCs w:val="20"/>
          <w:lang w:eastAsia="ar-SA"/>
        </w:rPr>
        <w:t xml:space="preserve">če je zoper njega vložena pravnomočna obtožnica </w:t>
      </w:r>
      <w:r w:rsidRPr="005C544E">
        <w:rPr>
          <w:rFonts w:ascii="Helv" w:eastAsia="Times New Roman" w:hAnsi="Helv" w:cs="Helv"/>
          <w:sz w:val="20"/>
          <w:szCs w:val="20"/>
          <w:lang w:eastAsia="ar-SA"/>
        </w:rPr>
        <w:t>ali na podlagi obtožnega predloga razpisana glavna obravnava zaradi naklepnega kaznivega dejanja, za katerega se storilec preganja po uradni dolžnosti,</w:t>
      </w:r>
    </w:p>
    <w:p w14:paraId="2D4DE76D" w14:textId="2C8C4871"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je s pravnomočno sodbo obsojen zaradi naklepnega kaznivega dejanja,</w:t>
      </w:r>
    </w:p>
    <w:p w14:paraId="20B403E3" w14:textId="77777777"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zaradi trajne izgube delovne zmožnosti za opravljanje funkcije,</w:t>
      </w:r>
    </w:p>
    <w:p w14:paraId="3505D34A" w14:textId="77777777" w:rsidR="0055047E" w:rsidRPr="005C544E" w:rsidRDefault="0055047E" w:rsidP="006F190F">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ne ravna v skladu s tretjim odstavkom 7. člena tega zakona.</w:t>
      </w:r>
    </w:p>
    <w:p w14:paraId="3B877DB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EEF2C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O dejstvih iz tretje, četrte in pete alineje prejšnjega odstavka mora predsednik komisije ali namestnik predsednika komisije predsednika republike seznaniti v roku treh dni od nastanka teh dejstev.</w:t>
      </w:r>
    </w:p>
    <w:p w14:paraId="04E3BA1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F6603D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Predsednik republike lahko na predlog državnega zbora razreši predsednika komisije ali namestnika predsednika komisije, če funkcije ne opravlja v skladu z ustavo in zakonom.</w:t>
      </w:r>
    </w:p>
    <w:p w14:paraId="77AEAEB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7096B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Če se ugotovi, da predsednik komisije ali namestnik predsednika komisije ne ravna v skladu s tretjim odstavkom 7. člena tega zakona, ga predsednik republike razreši na predlog državnega zbora.</w:t>
      </w:r>
    </w:p>
    <w:p w14:paraId="1153B3C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253222" w14:textId="2AD1250F"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sz w:val="20"/>
          <w:szCs w:val="20"/>
          <w:lang w:eastAsia="ar-SA"/>
        </w:rPr>
        <w:t xml:space="preserve">(5) </w:t>
      </w:r>
      <w:r w:rsidRPr="005C544E">
        <w:rPr>
          <w:rFonts w:ascii="Arial" w:eastAsia="Times New Roman" w:hAnsi="Arial" w:cs="Arial"/>
          <w:bCs/>
          <w:sz w:val="20"/>
          <w:szCs w:val="20"/>
          <w:lang w:eastAsia="ar-SA"/>
        </w:rPr>
        <w:t>Kadar je predsednik ali namestnik predsednika</w:t>
      </w:r>
      <w:r w:rsidR="009A4609">
        <w:rPr>
          <w:rFonts w:ascii="Arial" w:eastAsia="Times New Roman" w:hAnsi="Arial" w:cs="Arial"/>
          <w:bCs/>
          <w:sz w:val="20"/>
          <w:szCs w:val="20"/>
          <w:lang w:eastAsia="ar-SA"/>
        </w:rPr>
        <w:t xml:space="preserve"> komisije</w:t>
      </w:r>
      <w:r w:rsidRPr="005C544E">
        <w:rPr>
          <w:rFonts w:ascii="Arial" w:eastAsia="Times New Roman" w:hAnsi="Arial" w:cs="Arial"/>
          <w:bCs/>
          <w:sz w:val="20"/>
          <w:szCs w:val="20"/>
          <w:lang w:eastAsia="ar-SA"/>
        </w:rPr>
        <w:t xml:space="preserve"> predčasno razrešen, se v skladu s postopkom iz 9.a člena tega zakona za obdobje mandata imenuje novega funkcionarja.«.</w:t>
      </w:r>
    </w:p>
    <w:bookmarkEnd w:id="9"/>
    <w:p w14:paraId="550135D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2A7A693F"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0" w:name="_Hlk9427506"/>
      <w:r w:rsidRPr="005C544E">
        <w:rPr>
          <w:rFonts w:ascii="Arial" w:eastAsia="Times New Roman" w:hAnsi="Arial" w:cs="Arial"/>
          <w:b/>
          <w:bCs/>
          <w:sz w:val="20"/>
          <w:szCs w:val="20"/>
          <w:lang w:eastAsia="ar-SA"/>
        </w:rPr>
        <w:t>19. člen</w:t>
      </w:r>
    </w:p>
    <w:p w14:paraId="352452F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F35E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30. člen se spremeni tako, da se glasi:</w:t>
      </w:r>
    </w:p>
    <w:p w14:paraId="0A13C1E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026C5F" w14:textId="77777777" w:rsidR="0055047E" w:rsidRPr="005C544E" w:rsidRDefault="0055047E"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sz w:val="20"/>
          <w:szCs w:val="20"/>
          <w:lang w:eastAsia="ar-SA"/>
        </w:rPr>
        <w:t>»</w:t>
      </w:r>
      <w:r w:rsidRPr="005C544E">
        <w:rPr>
          <w:rFonts w:ascii="Arial" w:eastAsia="Times New Roman" w:hAnsi="Arial" w:cs="Arial"/>
          <w:bCs/>
          <w:sz w:val="20"/>
          <w:szCs w:val="20"/>
          <w:lang w:eastAsia="ar-SA"/>
        </w:rPr>
        <w:t>30. člen</w:t>
      </w:r>
    </w:p>
    <w:p w14:paraId="7F044DDA"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(prepoved in omejitve v zvezi s sprejemanjem daril v javnem sektorju)</w:t>
      </w:r>
    </w:p>
    <w:p w14:paraId="632BA02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AAD640" w14:textId="221CCA0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03EA1AF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1819D1" w14:textId="7BE7AC92"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02A33C5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F02538" w14:textId="29CAD4CF" w:rsidR="009409F1"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Ne glede na prvi in drugi odstavek tega člena uradna oseba lahko sprejme darilo, ki se tradicionalno ali običajno izroča ob določenih dogodkih (kulturnih, slavnostnih, zaključkih izobraževanja, usposabljanja ipd.)</w:t>
      </w:r>
      <w:r w:rsidR="00F2786A" w:rsidRPr="005C544E">
        <w:rPr>
          <w:rFonts w:ascii="Arial" w:eastAsia="Times New Roman" w:hAnsi="Arial" w:cs="Arial"/>
          <w:sz w:val="20"/>
          <w:szCs w:val="20"/>
          <w:lang w:eastAsia="ar-SA"/>
        </w:rPr>
        <w:t xml:space="preserve"> ali ob opravljanju diplomatskih aktivnosti</w:t>
      </w:r>
      <w:r w:rsidRPr="005C544E">
        <w:rPr>
          <w:rFonts w:ascii="Arial" w:eastAsia="Times New Roman" w:hAnsi="Arial" w:cs="Arial"/>
          <w:sz w:val="20"/>
          <w:szCs w:val="20"/>
          <w:lang w:eastAsia="ar-SA"/>
        </w:rPr>
        <w:t>, njegova vrednost pa ne sme presegati vrednosti 60 eurov, ne glede na obliko darila in število darovalcev istega darila.</w:t>
      </w:r>
    </w:p>
    <w:p w14:paraId="2AD4B33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EC3A78" w14:textId="23300023"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Če ne gre za darilo iz drugega ali prejšnjega odstavka,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4D8BE03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A266B6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Ne glede na določbe tega člena uradna oseba ali njen družinski član ne sme sprejeti darila:</w:t>
      </w:r>
    </w:p>
    <w:p w14:paraId="7EF38085"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bi izročitev ali sprejem takega darila pomenila kaznivo dejanje;</w:t>
      </w:r>
    </w:p>
    <w:p w14:paraId="5E96654D"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je to prepovedano po drugem zakonu ali na njegovi podlagi izdanimi predpisi;</w:t>
      </w:r>
    </w:p>
    <w:p w14:paraId="4AB925E5"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se kot darilo izročajo denar, vrednostni papirji, darilni boni in drage kovine;</w:t>
      </w:r>
    </w:p>
    <w:p w14:paraId="3BEFA3C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če bi sprejem darila vplival ali ustvaril videz, da vpliva, na nepristransko in objektivno opravljanje javnih nalog uradne osebe.</w:t>
      </w:r>
    </w:p>
    <w:p w14:paraId="7369C34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7491E5" w14:textId="13114C8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(6) </w:t>
      </w:r>
      <w:r w:rsidR="00A60B0E" w:rsidRPr="005C544E">
        <w:rPr>
          <w:rFonts w:ascii="Arial" w:eastAsia="Times New Roman" w:hAnsi="Arial" w:cs="Arial"/>
          <w:sz w:val="20"/>
          <w:szCs w:val="20"/>
          <w:lang w:eastAsia="ar-SA"/>
        </w:rPr>
        <w:t xml:space="preserve">Subjekt javnega sektorja </w:t>
      </w:r>
      <w:r w:rsidRPr="005C544E">
        <w:rPr>
          <w:rFonts w:ascii="Arial" w:eastAsia="Times New Roman" w:hAnsi="Arial" w:cs="Arial"/>
          <w:sz w:val="20"/>
          <w:szCs w:val="20"/>
          <w:lang w:eastAsia="ar-SA"/>
        </w:rPr>
        <w:t xml:space="preserve">vodi seznam prejetih daril, ki vsebuje podatke o vrsti in ocenjeni vrednosti darila, darovalcu in drugih okoliščinah izročitve darila. V seznam daril se vpisujejo podatki o darilih, katerih vrednost presega 25 eurov. </w:t>
      </w:r>
      <w:r w:rsidR="00A60B0E" w:rsidRPr="005C544E">
        <w:rPr>
          <w:rFonts w:ascii="Arial" w:eastAsia="Times New Roman" w:hAnsi="Arial" w:cs="Arial"/>
          <w:sz w:val="20"/>
          <w:szCs w:val="20"/>
          <w:lang w:eastAsia="ar-SA"/>
        </w:rPr>
        <w:t xml:space="preserve">Subjekt javnega sektorja </w:t>
      </w:r>
      <w:r w:rsidRPr="005C544E">
        <w:rPr>
          <w:rFonts w:ascii="Arial" w:eastAsia="Times New Roman" w:hAnsi="Arial" w:cs="Arial"/>
          <w:sz w:val="20"/>
          <w:szCs w:val="20"/>
          <w:lang w:eastAsia="ar-SA"/>
        </w:rPr>
        <w:t>je seznam daril za uradne osebe</w:t>
      </w:r>
      <w:r w:rsidR="0096769C" w:rsidRPr="005C544E">
        <w:rPr>
          <w:rFonts w:ascii="Arial" w:eastAsia="Times New Roman" w:hAnsi="Arial" w:cs="Arial"/>
          <w:sz w:val="20"/>
          <w:szCs w:val="20"/>
          <w:lang w:eastAsia="ar-SA"/>
        </w:rPr>
        <w:t>,</w:t>
      </w:r>
      <w:r w:rsidR="00E27E28" w:rsidRPr="005C544E">
        <w:rPr>
          <w:rFonts w:ascii="Arial" w:eastAsia="Times New Roman" w:hAnsi="Arial" w:cs="Arial"/>
          <w:sz w:val="20"/>
          <w:szCs w:val="20"/>
          <w:lang w:eastAsia="ar-SA"/>
        </w:rPr>
        <w:t xml:space="preserve"> njihove družinske člane</w:t>
      </w:r>
      <w:r w:rsidR="0096769C" w:rsidRPr="005C544E">
        <w:rPr>
          <w:rFonts w:ascii="Arial" w:eastAsia="Times New Roman" w:hAnsi="Arial" w:cs="Arial"/>
          <w:sz w:val="20"/>
          <w:szCs w:val="20"/>
          <w:lang w:eastAsia="ar-SA"/>
        </w:rPr>
        <w:t xml:space="preserve"> in protokolarnih daril</w:t>
      </w:r>
      <w:r w:rsidRPr="005C544E">
        <w:rPr>
          <w:rFonts w:ascii="Arial" w:eastAsia="Times New Roman" w:hAnsi="Arial" w:cs="Arial"/>
          <w:sz w:val="20"/>
          <w:szCs w:val="20"/>
          <w:lang w:eastAsia="ar-SA"/>
        </w:rPr>
        <w:t xml:space="preserve"> dolžan posredovati komisiji do 31. marca za preteklo leto prek elektronskega obrazca, dostopnega na spletnih straneh komisije.</w:t>
      </w:r>
    </w:p>
    <w:p w14:paraId="075A33C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812BF1" w14:textId="10D4B21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CC3DDD" w:rsidRPr="005C544E">
        <w:rPr>
          <w:rFonts w:ascii="Arial" w:eastAsia="Times New Roman" w:hAnsi="Arial" w:cs="Arial"/>
          <w:sz w:val="20"/>
          <w:szCs w:val="20"/>
          <w:lang w:eastAsia="ar-SA"/>
        </w:rPr>
        <w:t>7</w:t>
      </w:r>
      <w:r w:rsidRPr="005C544E">
        <w:rPr>
          <w:rFonts w:ascii="Arial" w:eastAsia="Times New Roman" w:hAnsi="Arial" w:cs="Arial"/>
          <w:sz w:val="20"/>
          <w:szCs w:val="20"/>
          <w:lang w:eastAsia="ar-SA"/>
        </w:rPr>
        <w:t>) Način razpolaganja z darili, določanja vrednosti daril in vodenja seznama daril ter druga izvedbena vprašanja v zvezi z izvajanjem tega člena določi komisija s pravilnikom.</w:t>
      </w:r>
    </w:p>
    <w:p w14:paraId="387F7D7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FC1712" w14:textId="4AC076D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w:t>
      </w:r>
      <w:r w:rsidR="00CC3DDD" w:rsidRPr="005C544E">
        <w:rPr>
          <w:rFonts w:ascii="Arial" w:eastAsia="Times New Roman" w:hAnsi="Arial" w:cs="Arial"/>
          <w:sz w:val="20"/>
          <w:szCs w:val="20"/>
          <w:lang w:eastAsia="ar-SA"/>
        </w:rPr>
        <w:t>8</w:t>
      </w:r>
      <w:r w:rsidRPr="005C544E">
        <w:rPr>
          <w:rFonts w:ascii="Arial" w:eastAsia="Times New Roman" w:hAnsi="Arial" w:cs="Arial"/>
          <w:sz w:val="20"/>
          <w:szCs w:val="20"/>
          <w:lang w:eastAsia="ar-SA"/>
        </w:rPr>
        <w:t>) Določbe tega člena se ne uporabljajo za gospodarske družbe, v katerih ima večinski delež oziroma prevladujoč vpliv država ali lokalna skupnost, razen za tiste, ki so ustanovljene na podlagi zakona.«.</w:t>
      </w:r>
    </w:p>
    <w:bookmarkEnd w:id="10"/>
    <w:p w14:paraId="1B0DB7C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850F807"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20. člen</w:t>
      </w:r>
    </w:p>
    <w:p w14:paraId="55482C7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E97E3" w14:textId="4A98974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31 člen se črta.</w:t>
      </w:r>
    </w:p>
    <w:p w14:paraId="1275C452" w14:textId="4FB5206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A8F192" w14:textId="1FAA280F" w:rsidR="00D91EEF" w:rsidRPr="005C544E"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21. člen</w:t>
      </w:r>
    </w:p>
    <w:p w14:paraId="5DCF832A" w14:textId="3147C12A"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CA4864" w14:textId="676BCC4A"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32. člen se črta.</w:t>
      </w:r>
    </w:p>
    <w:p w14:paraId="2D891437" w14:textId="77777777"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6C6FA6" w14:textId="7ED959F1"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22. člen</w:t>
      </w:r>
    </w:p>
    <w:p w14:paraId="735C7C31" w14:textId="3E155791"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3CD2194" w14:textId="7F5C2515"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33. člen se črta.</w:t>
      </w:r>
    </w:p>
    <w:p w14:paraId="7EE0153A" w14:textId="759B4070"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03F7F4" w14:textId="0D0799E8"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23. člen</w:t>
      </w:r>
    </w:p>
    <w:p w14:paraId="77A815BF" w14:textId="065730A2"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F16E39" w14:textId="43EA9774"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34. člen se črta.</w:t>
      </w:r>
    </w:p>
    <w:p w14:paraId="391224DD" w14:textId="77777777"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AF943FF" w14:textId="5AF01F4F"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bookmarkStart w:id="11" w:name="_Hlk5020644"/>
      <w:r w:rsidRPr="005C544E">
        <w:rPr>
          <w:rFonts w:ascii="Arial" w:eastAsia="Times New Roman" w:hAnsi="Arial" w:cs="Arial"/>
          <w:b/>
          <w:bCs/>
          <w:sz w:val="20"/>
          <w:szCs w:val="20"/>
          <w:lang w:eastAsia="ar-SA"/>
        </w:rPr>
        <w:t>24</w:t>
      </w:r>
      <w:r w:rsidR="0055047E" w:rsidRPr="005C544E">
        <w:rPr>
          <w:rFonts w:ascii="Arial" w:eastAsia="Times New Roman" w:hAnsi="Arial" w:cs="Arial"/>
          <w:b/>
          <w:bCs/>
          <w:sz w:val="20"/>
          <w:szCs w:val="20"/>
          <w:lang w:eastAsia="ar-SA"/>
        </w:rPr>
        <w:t>. člen</w:t>
      </w:r>
    </w:p>
    <w:p w14:paraId="57B26F0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AD7ED" w14:textId="2C97DBA6" w:rsidR="0055047E" w:rsidRPr="005C544E"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Besedilo </w:t>
      </w:r>
      <w:r w:rsidR="0055047E" w:rsidRPr="005C544E">
        <w:rPr>
          <w:rFonts w:ascii="Arial" w:eastAsia="Times New Roman" w:hAnsi="Arial" w:cs="Arial"/>
          <w:sz w:val="20"/>
          <w:szCs w:val="20"/>
          <w:lang w:eastAsia="ar-SA"/>
        </w:rPr>
        <w:t>35. člen</w:t>
      </w:r>
      <w:r w:rsidRPr="005C544E">
        <w:rPr>
          <w:rFonts w:ascii="Arial" w:eastAsia="Times New Roman" w:hAnsi="Arial" w:cs="Arial"/>
          <w:sz w:val="20"/>
          <w:szCs w:val="20"/>
          <w:lang w:eastAsia="ar-SA"/>
        </w:rPr>
        <w:t>a</w:t>
      </w:r>
      <w:r w:rsidR="0055047E" w:rsidRPr="005C544E">
        <w:rPr>
          <w:rFonts w:ascii="Arial" w:eastAsia="Times New Roman" w:hAnsi="Arial" w:cs="Arial"/>
          <w:sz w:val="20"/>
          <w:szCs w:val="20"/>
          <w:lang w:eastAsia="ar-SA"/>
        </w:rPr>
        <w:t xml:space="preserve"> se spremeni tako, da se glasi:</w:t>
      </w:r>
    </w:p>
    <w:p w14:paraId="7F1AA49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C31D0F" w14:textId="45240712"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Arial" w:eastAsia="Times New Roman" w:hAnsi="Arial" w:cs="Arial"/>
          <w:bCs/>
          <w:sz w:val="20"/>
          <w:szCs w:val="20"/>
          <w:lang w:eastAsia="ar-SA"/>
        </w:rPr>
        <w:t>»</w:t>
      </w:r>
      <w:r w:rsidRPr="005C544E">
        <w:rPr>
          <w:rFonts w:ascii="Helv" w:eastAsia="Times New Roman" w:hAnsi="Helv" w:cs="Helv"/>
          <w:sz w:val="20"/>
          <w:szCs w:val="20"/>
          <w:lang w:eastAsia="ar-SA"/>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E3E8897" w14:textId="77777777" w:rsidR="0055047E" w:rsidRPr="005C544E"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udeležen kot poslovodja, član poslovodstva ali zakoniti zastopnik ali</w:t>
      </w:r>
    </w:p>
    <w:p w14:paraId="100ACEEB" w14:textId="77777777" w:rsidR="0055047E" w:rsidRPr="005C544E" w:rsidRDefault="0055047E" w:rsidP="006F190F">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neposredno ali prek drugih pravnih oseb v več kot pet odstotnem deležu udeležen pri ustanoviteljskih pravicah, upravljanju ali kapitalu.</w:t>
      </w:r>
    </w:p>
    <w:p w14:paraId="09B0BA7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EEC17F"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(2) Prepoved iz prejšnjega odstavka velja tudi za poslovanje organa ali organizacije javnega sektorja s funkcionarjem ali njegovim družinskim članom kot fizično osebo.</w:t>
      </w:r>
    </w:p>
    <w:p w14:paraId="7182038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EE69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(3) Prepoved poslovanja v obsegu, ki izhaja iz prvega in prejšnjega odstavka,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3718C91"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462A82B9"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67E5CA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8ADBF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Fizična ali odgovorna oseba poslovnega subjekta poda pisno izjavo o tem, da fizična oseba oziroma poslovni subjekt ni povezan s funkcionarjem ali družinskim članom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6B24AF7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6BB53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Če so podane okoliščine iz prvega odstavka tega člena, funkcionarji v enem mesecu po nastopu funkcije, nato pa najkasneje v osmih dneh po vsaki spremembi, organu ali organizaciji javnega sektorja, v katerem opravljajo funkcijo, pisno posredujejo:</w:t>
      </w:r>
    </w:p>
    <w:p w14:paraId="3413716B"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osebno ime,</w:t>
      </w:r>
    </w:p>
    <w:p w14:paraId="68F2F481"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EMŠO,</w:t>
      </w:r>
    </w:p>
    <w:p w14:paraId="4B9AE28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naslov stalnega bivališča,</w:t>
      </w:r>
    </w:p>
    <w:p w14:paraId="0FF099C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organu, pri katerem funkcionar opravlja funkcijo,</w:t>
      </w:r>
    </w:p>
    <w:p w14:paraId="1C482722"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datum nastopa in prenehanja omejitve,</w:t>
      </w:r>
    </w:p>
    <w:p w14:paraId="171213E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naziv, sedež, matično in davčno številko poslovnega subjekta,</w:t>
      </w:r>
    </w:p>
    <w:p w14:paraId="2B92428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način udeležbe funkcionarja ali njegovih družinskih članov v poslovnem subjektu.</w:t>
      </w:r>
    </w:p>
    <w:p w14:paraId="250E5AE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23C6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09488F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568EF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Omejitve po določbah tega člena ne veljajo za poslovanje na podlagi pogodb, ki so bile sklenjene pred funkcionarjevim nastopom funkcije.</w:t>
      </w:r>
    </w:p>
    <w:p w14:paraId="3CB79EE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56EEF5" w14:textId="42C50A93"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(9) Pogodba ali druge oblike pridobivanja sredstev, ki so v nasprotju z določbami tega člena, so nične.</w:t>
      </w:r>
      <w:r w:rsidR="00347957" w:rsidRPr="005C544E">
        <w:rPr>
          <w:rFonts w:ascii="Helv" w:eastAsia="Times New Roman" w:hAnsi="Helv" w:cs="Helv"/>
          <w:sz w:val="20"/>
          <w:szCs w:val="20"/>
          <w:lang w:eastAsia="ar-SA"/>
        </w:rPr>
        <w:t>«.</w:t>
      </w:r>
    </w:p>
    <w:bookmarkEnd w:id="11"/>
    <w:p w14:paraId="011A2950" w14:textId="1AF10B7D"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2C5274A2" w14:textId="6CF2BAB0" w:rsidR="00347957" w:rsidRPr="005C544E" w:rsidRDefault="00347957" w:rsidP="00347957">
      <w:pPr>
        <w:suppressAutoHyphens/>
        <w:overflowPunct w:val="0"/>
        <w:autoSpaceDE w:val="0"/>
        <w:spacing w:after="0" w:line="240" w:lineRule="auto"/>
        <w:jc w:val="center"/>
        <w:textAlignment w:val="baseline"/>
        <w:rPr>
          <w:rFonts w:ascii="Helv" w:eastAsia="Times New Roman" w:hAnsi="Helv" w:cs="Helv"/>
          <w:b/>
          <w:sz w:val="20"/>
          <w:szCs w:val="20"/>
          <w:lang w:eastAsia="ar-SA"/>
        </w:rPr>
      </w:pPr>
      <w:r w:rsidRPr="005C544E">
        <w:rPr>
          <w:rFonts w:ascii="Helv" w:eastAsia="Times New Roman" w:hAnsi="Helv" w:cs="Helv"/>
          <w:b/>
          <w:sz w:val="20"/>
          <w:szCs w:val="20"/>
          <w:lang w:eastAsia="ar-SA"/>
        </w:rPr>
        <w:t>25. člen</w:t>
      </w:r>
    </w:p>
    <w:p w14:paraId="36F0ECBF" w14:textId="53B72A23" w:rsidR="00347957" w:rsidRPr="005C544E"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34D856E2" w14:textId="5F8221CE" w:rsidR="00347957" w:rsidRPr="005C544E" w:rsidRDefault="00EC0DEB"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 xml:space="preserve">Besedilo </w:t>
      </w:r>
      <w:r w:rsidR="00347957" w:rsidRPr="005C544E">
        <w:rPr>
          <w:rFonts w:ascii="Helv" w:eastAsia="Times New Roman" w:hAnsi="Helv" w:cs="Helv"/>
          <w:sz w:val="20"/>
          <w:szCs w:val="20"/>
          <w:lang w:eastAsia="ar-SA"/>
        </w:rPr>
        <w:t>36. člen</w:t>
      </w:r>
      <w:r w:rsidRPr="005C544E">
        <w:rPr>
          <w:rFonts w:ascii="Helv" w:eastAsia="Times New Roman" w:hAnsi="Helv" w:cs="Helv"/>
          <w:sz w:val="20"/>
          <w:szCs w:val="20"/>
          <w:lang w:eastAsia="ar-SA"/>
        </w:rPr>
        <w:t>a</w:t>
      </w:r>
      <w:r w:rsidR="00347957" w:rsidRPr="005C544E">
        <w:rPr>
          <w:rFonts w:ascii="Helv" w:eastAsia="Times New Roman" w:hAnsi="Helv" w:cs="Helv"/>
          <w:sz w:val="20"/>
          <w:szCs w:val="20"/>
          <w:lang w:eastAsia="ar-SA"/>
        </w:rPr>
        <w:t xml:space="preserve"> se spremeni tako, da se glasi:</w:t>
      </w:r>
    </w:p>
    <w:p w14:paraId="2DCBA544" w14:textId="77777777" w:rsidR="00347957" w:rsidRPr="005C544E" w:rsidRDefault="00347957"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745BE731" w14:textId="1470F703" w:rsidR="0055047E"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sz w:val="20"/>
          <w:szCs w:val="20"/>
          <w:lang w:eastAsia="ar-SA"/>
        </w:rPr>
        <w:t>(1) V roku dveh let po prenehanju funkcije funkcionar v razmerju do organa ali organizacije javnega sektorja, pri katerem je opravljal svojo funkcijo, ne sme nastopiti kot predstavnik poslovnega subjekta, ki s tem organom ali organizacijo ima ali vzpostavlja poslovne stike.</w:t>
      </w:r>
    </w:p>
    <w:p w14:paraId="04C1449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70AC53" w14:textId="0FAAEF79"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(2) </w:t>
      </w:r>
      <w:r w:rsidR="009D2F94" w:rsidRPr="005C544E">
        <w:rPr>
          <w:rFonts w:ascii="Arial" w:eastAsia="Times New Roman" w:hAnsi="Arial" w:cs="Arial"/>
          <w:sz w:val="20"/>
          <w:szCs w:val="20"/>
          <w:lang w:eastAsia="ar-SA"/>
        </w:rPr>
        <w:t>Organ ali organizacija</w:t>
      </w:r>
      <w:r w:rsidRPr="005C544E">
        <w:rPr>
          <w:rFonts w:ascii="Arial" w:eastAsia="Times New Roman" w:hAnsi="Arial" w:cs="Arial"/>
          <w:sz w:val="20"/>
          <w:szCs w:val="20"/>
          <w:lang w:eastAsia="ar-SA"/>
        </w:rPr>
        <w:t xml:space="preserve"> javnega sektorja, v katerem je funkcionar opravljal funkcijo, v roku enega leta po prenehanju funkcije ne sme poslovati s subjektom, v katerem je bivši funkcionar neposredno ali prek drugih pravnih oseb v več kot pet odstotnem deležu udeležen pri ustanoviteljskih pravicah, upravljanju oziroma kapitalu in s funkcionarjem kot fizično osebo.</w:t>
      </w:r>
    </w:p>
    <w:p w14:paraId="4E8F955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561E6E0" w14:textId="614A3A2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O primeru iz prvega odstavka tega člena </w:t>
      </w:r>
      <w:r w:rsidR="009D2F94" w:rsidRPr="005C544E">
        <w:rPr>
          <w:rFonts w:ascii="Arial" w:eastAsia="Times New Roman" w:hAnsi="Arial" w:cs="Arial"/>
          <w:sz w:val="20"/>
          <w:szCs w:val="20"/>
          <w:lang w:eastAsia="ar-SA"/>
        </w:rPr>
        <w:t>organ ali organizacija</w:t>
      </w:r>
      <w:r w:rsidRPr="005C544E">
        <w:rPr>
          <w:rFonts w:ascii="Arial" w:eastAsia="Times New Roman" w:hAnsi="Arial" w:cs="Arial"/>
          <w:sz w:val="20"/>
          <w:szCs w:val="20"/>
          <w:lang w:eastAsia="ar-SA"/>
        </w:rPr>
        <w:t xml:space="preserve"> javnega sektorja, pri katerem je funkcionar opravljal svojo funkcijo, nemudoma, najpozneje pa v roku 30 dni, obvesti komisijo.«.</w:t>
      </w:r>
    </w:p>
    <w:p w14:paraId="47E3144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8D35F7" w14:textId="4CC0F6EB"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26</w:t>
      </w:r>
      <w:r w:rsidR="0055047E" w:rsidRPr="005C544E">
        <w:rPr>
          <w:rFonts w:ascii="Arial" w:eastAsia="Times New Roman" w:hAnsi="Arial" w:cs="Arial"/>
          <w:b/>
          <w:bCs/>
          <w:sz w:val="20"/>
          <w:szCs w:val="20"/>
          <w:lang w:eastAsia="ar-SA"/>
        </w:rPr>
        <w:t>. člen</w:t>
      </w:r>
    </w:p>
    <w:p w14:paraId="5D5C269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3412B06" w14:textId="583D913D" w:rsidR="0055047E" w:rsidRPr="005C544E"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Besedilo </w:t>
      </w:r>
      <w:r w:rsidR="0055047E" w:rsidRPr="005C544E">
        <w:rPr>
          <w:rFonts w:ascii="Arial" w:eastAsia="Times New Roman" w:hAnsi="Arial" w:cs="Arial"/>
          <w:bCs/>
          <w:sz w:val="20"/>
          <w:szCs w:val="20"/>
          <w:lang w:eastAsia="ar-SA"/>
        </w:rPr>
        <w:t>37. člen</w:t>
      </w:r>
      <w:r w:rsidRPr="005C544E">
        <w:rPr>
          <w:rFonts w:ascii="Arial" w:eastAsia="Times New Roman" w:hAnsi="Arial" w:cs="Arial"/>
          <w:bCs/>
          <w:sz w:val="20"/>
          <w:szCs w:val="20"/>
          <w:lang w:eastAsia="ar-SA"/>
        </w:rPr>
        <w:t>a</w:t>
      </w:r>
      <w:r w:rsidR="0055047E" w:rsidRPr="005C544E">
        <w:rPr>
          <w:rFonts w:ascii="Arial" w:eastAsia="Times New Roman" w:hAnsi="Arial" w:cs="Arial"/>
          <w:bCs/>
          <w:sz w:val="20"/>
          <w:szCs w:val="20"/>
          <w:lang w:eastAsia="ar-SA"/>
        </w:rPr>
        <w:t xml:space="preserve"> se spremeni tako, da se glasi:</w:t>
      </w:r>
    </w:p>
    <w:p w14:paraId="661C598C"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p>
    <w:p w14:paraId="5EFB7AEB" w14:textId="40E833F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Uradna oseba mora biti v zvezi s svojo službo ali funkcijo pozorna na vsako nasprotje interesov in se mu je dolžna izogniti.</w:t>
      </w:r>
    </w:p>
    <w:p w14:paraId="70A7645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0C0FE5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Uradna oseba, ki ob nastopu službe ali funkcije ali med njenim izvajanjem ugotovi obstoj okoliščin, ki bi lahko vplivale ali ustvarile videz, da vplivajo na nepristransko in objektivno opravljanje njenih javnih nalog, navedene okoliščine nemudoma razkrije neposredno nadrejenemu ali od njega pooblaščeni osebi.</w:t>
      </w:r>
    </w:p>
    <w:p w14:paraId="66EA84B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DF1EE91" w14:textId="383D52B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Uradna oseba svoje službe ali funkcije in informacij, ki jih pridobi pri opravljanju svoje funkcije oziroma službe, ne sme uporabiti za to, da bi sebi ali komu drugemu uresničila nedovoljen zasebni interes.</w:t>
      </w:r>
      <w:r w:rsidR="00347957" w:rsidRPr="005C544E">
        <w:rPr>
          <w:rFonts w:ascii="Arial" w:eastAsia="Times New Roman" w:hAnsi="Arial" w:cs="Arial"/>
          <w:bCs/>
          <w:sz w:val="20"/>
          <w:szCs w:val="20"/>
          <w:lang w:eastAsia="ar-SA"/>
        </w:rPr>
        <w:t>«.</w:t>
      </w:r>
    </w:p>
    <w:p w14:paraId="46146D9E" w14:textId="18BE31D9"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8B1771" w14:textId="239C178B"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27. člen</w:t>
      </w:r>
    </w:p>
    <w:p w14:paraId="36400524" w14:textId="51120128"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AC33585" w14:textId="5B6F5252"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38. člen se spremeni tako, da se glasi:</w:t>
      </w:r>
    </w:p>
    <w:p w14:paraId="555A103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B2CB1CB" w14:textId="7004671E"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bCs/>
          <w:sz w:val="20"/>
          <w:szCs w:val="20"/>
          <w:lang w:eastAsia="ar-SA"/>
        </w:rPr>
        <w:t>38. člen</w:t>
      </w:r>
    </w:p>
    <w:p w14:paraId="7CADB234"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(način izogibanja nasprotju interesov)</w:t>
      </w:r>
    </w:p>
    <w:p w14:paraId="2E9A5FA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54D07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Uradna oseba mora takoj, ko ugotovi obstoj okoliščin nasprotja interesov, prenehati z delom v zadevi, razen če bi zaradi tega nastala občutna škoda, ter o izločitvi in okoliščinah nasprotja interesov najkasneje v roku treh delovnih dni pisno obvestiti svojega nadrejenega oziroma predstojnika.</w:t>
      </w:r>
    </w:p>
    <w:p w14:paraId="17CDC7D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C7914F8" w14:textId="5DF1C1E0" w:rsidR="0055047E" w:rsidRPr="005C544E" w:rsidRDefault="0055047E" w:rsidP="0055047E">
      <w:pPr>
        <w:suppressAutoHyphens/>
        <w:overflowPunct w:val="0"/>
        <w:autoSpaceDE w:val="0"/>
        <w:spacing w:after="0" w:line="260" w:lineRule="atLeast"/>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Nadrejena oseba oziroma predstojnik čim prej, najkasneje pa v petih dneh od prejema obvestila iz prejšnjega odstavka obrazloženo odloči, ali se uradno osebo izloči iz postopka obravnave in odločanja o zadevi, ali oseba nadaljuje z delom. Zoper to odločitev ni pravnega sredstva.</w:t>
      </w:r>
    </w:p>
    <w:p w14:paraId="5C2643F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30A145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Kadar je uradna oseba del kolektivnega organa, o njeni izločitvi v roku in na način iz prejšnjega odstavka odloči ta organ. Uradna oseba pri odločanju o lastni izločitvi ne sme sodelovati.</w:t>
      </w:r>
    </w:p>
    <w:p w14:paraId="74BB8E5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A4FC08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 Če nadrejena oseba oziroma predstojnik ali kolektivni organ odloči, da bo uradna oseba kljub nasprotju interesov nadaljevala z delom v zadevi, ji lahko da obvezujoče obrazložene usmeritve za ravnanje in odločanje, pri čemer mora zasledovati javni interes. Nadrejena oseba oziroma predstojnik ali kolektivni organ sprejeto odločitev v petih dneh po njenem sprejemu posreduje komisiji.</w:t>
      </w:r>
    </w:p>
    <w:p w14:paraId="40999B5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E91718" w14:textId="1CCC5CB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(5) Če nadrejena oseba oziroma predstojnik ali kolektivni organ o izločitvi ne odloči v roku iz drugega odstavka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r w:rsidR="00347957" w:rsidRPr="005C544E">
        <w:rPr>
          <w:rFonts w:ascii="Arial" w:eastAsia="Times New Roman" w:hAnsi="Arial" w:cs="Arial"/>
          <w:bCs/>
          <w:sz w:val="20"/>
          <w:szCs w:val="20"/>
          <w:lang w:eastAsia="ar-SA"/>
        </w:rPr>
        <w:t>«.</w:t>
      </w:r>
    </w:p>
    <w:p w14:paraId="670D9791" w14:textId="0F7C93A2"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9386E4A" w14:textId="3594E8F0"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28. člen</w:t>
      </w:r>
    </w:p>
    <w:p w14:paraId="2CB9186E" w14:textId="53EAF440"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7A90F3E" w14:textId="1089D392"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39. člen se spremeni tako, da se glasi:</w:t>
      </w:r>
    </w:p>
    <w:p w14:paraId="0C27E04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0D45849" w14:textId="2D9A44CD"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bCs/>
          <w:sz w:val="20"/>
          <w:szCs w:val="20"/>
          <w:lang w:eastAsia="ar-SA"/>
        </w:rPr>
        <w:t>39. člen</w:t>
      </w:r>
    </w:p>
    <w:p w14:paraId="1D4BEDD2"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(postopek ugotavljanja in posledice dejanskega nasprotja interesov)</w:t>
      </w:r>
    </w:p>
    <w:p w14:paraId="04EF4A2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FCDB9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Če obstaja sum, da je pri uradnem ravnanju uradne osebe obstajalo dejansko nasprotje interesov, lahko komisija v roku dveh let od opravljenih uradnih dejanj uvede postopek ugotavljanja obstoja dejanskega nasprotja interesov in njegovih posledic.</w:t>
      </w:r>
    </w:p>
    <w:p w14:paraId="018006E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795421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Če je na podlagi izvedenega postopka ugotovljen obstoj dejanskega nasprotja interesov, komisija z ugotovitvami v konkretnem primeru seznani delodajalca uradne osebe in mu določi rok, v katerem jo je dolžan obvestiti o sprejetih ukrepih za odpravo posledic nasprotja interesov.</w:t>
      </w:r>
    </w:p>
    <w:p w14:paraId="2415C12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19FD51C" w14:textId="071C5EEF"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Komisija lahko o ugotovitvah iz prejšnjega odstavka in o opustitvah ukrepov za dolžno izogibanje nasprotju interesov iz prejšnjega člena obvesti tudi nadzorni organ subjekta javnega sektorja, v okviru katerega deluje uradna oseba, in ga pozove, naj izvede ali odredi ukrepe za preprečitev ponovitve kršitve, glede na okoliščine konkretnega primera pa tudi ukrepe za uveljavljanje odgovornosti uradne osebe, njenega nadrejenega ali predstojnika.</w:t>
      </w:r>
      <w:r w:rsidR="00347957" w:rsidRPr="005C544E">
        <w:rPr>
          <w:rFonts w:ascii="Arial" w:eastAsia="Times New Roman" w:hAnsi="Arial" w:cs="Arial"/>
          <w:bCs/>
          <w:sz w:val="20"/>
          <w:szCs w:val="20"/>
          <w:lang w:eastAsia="ar-SA"/>
        </w:rPr>
        <w:t>«.</w:t>
      </w:r>
    </w:p>
    <w:p w14:paraId="1BBF96DC" w14:textId="6672B6A9"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D6684E" w14:textId="2994D843"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29. člen</w:t>
      </w:r>
    </w:p>
    <w:p w14:paraId="4E394074" w14:textId="056A923D"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478D772" w14:textId="53517DB3"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40. člen se spremeni tako, da se glasi:</w:t>
      </w:r>
    </w:p>
    <w:p w14:paraId="200B459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B78CF19" w14:textId="5637D73E" w:rsidR="0055047E" w:rsidRPr="005C544E" w:rsidRDefault="00347957" w:rsidP="0055047E">
      <w:pPr>
        <w:suppressAutoHyphens/>
        <w:overflowPunct w:val="0"/>
        <w:autoSpaceDE w:val="0"/>
        <w:spacing w:after="0" w:line="240" w:lineRule="auto"/>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bCs/>
          <w:sz w:val="20"/>
          <w:szCs w:val="20"/>
          <w:lang w:eastAsia="ar-SA"/>
        </w:rPr>
        <w:t>40. člen</w:t>
      </w:r>
    </w:p>
    <w:p w14:paraId="14ADE2DA"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(veljavnost določb o nasprotju interesov)</w:t>
      </w:r>
    </w:p>
    <w:p w14:paraId="6DE486E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18579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Določbe 37. do 39. člena tega zakona veljajo za vse uradne osebe po tem zakonu, razen kadar je izločitev uradne osebe urejena z zakonom, ki ureja kazenski postopek, z zakonom, ki ureja pravdni postopek, z zakonom, ki ureja splošni upravni postopek, ali z drugim zakonom, ki ureja izločitev iz odločanja v pravnem postopku.</w:t>
      </w:r>
    </w:p>
    <w:p w14:paraId="07E4DF2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2517D8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Določbe 37. do 39. člena tega zakona, ki veljajo za uradne osebe, se uporabljajo tudi za osebe, ki jih subjekt javnega sektorja imenuje kot zunanje člane komisij, sveta, delovnih skupin ali drugih primerljivih teles, kadar ti opravljajo javne naloge oziroma naloge iz delovnega področja subjekta javnega sektorja.«.</w:t>
      </w:r>
    </w:p>
    <w:p w14:paraId="3B4ABF1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D920E81" w14:textId="271E8910"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30</w:t>
      </w:r>
      <w:r w:rsidR="0055047E" w:rsidRPr="005C544E">
        <w:rPr>
          <w:rFonts w:ascii="Arial" w:eastAsia="Times New Roman" w:hAnsi="Arial" w:cs="Arial"/>
          <w:b/>
          <w:bCs/>
          <w:sz w:val="20"/>
          <w:szCs w:val="20"/>
          <w:lang w:eastAsia="ar-SA"/>
        </w:rPr>
        <w:t>. člen</w:t>
      </w:r>
    </w:p>
    <w:p w14:paraId="27433E5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BB2A0E" w14:textId="71D4DC97" w:rsidR="0055047E" w:rsidRPr="005C544E"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Besedilo </w:t>
      </w:r>
      <w:r w:rsidR="0055047E" w:rsidRPr="005C544E">
        <w:rPr>
          <w:rFonts w:ascii="Arial" w:eastAsia="Times New Roman" w:hAnsi="Arial" w:cs="Arial"/>
          <w:bCs/>
          <w:sz w:val="20"/>
          <w:szCs w:val="20"/>
          <w:lang w:eastAsia="ar-SA"/>
        </w:rPr>
        <w:t>41. člen</w:t>
      </w:r>
      <w:r w:rsidRPr="005C544E">
        <w:rPr>
          <w:rFonts w:ascii="Arial" w:eastAsia="Times New Roman" w:hAnsi="Arial" w:cs="Arial"/>
          <w:bCs/>
          <w:sz w:val="20"/>
          <w:szCs w:val="20"/>
          <w:lang w:eastAsia="ar-SA"/>
        </w:rPr>
        <w:t>a</w:t>
      </w:r>
      <w:r w:rsidR="0055047E" w:rsidRPr="005C544E">
        <w:rPr>
          <w:rFonts w:ascii="Arial" w:eastAsia="Times New Roman" w:hAnsi="Arial" w:cs="Arial"/>
          <w:bCs/>
          <w:sz w:val="20"/>
          <w:szCs w:val="20"/>
          <w:lang w:eastAsia="ar-SA"/>
        </w:rPr>
        <w:t xml:space="preserve"> se spremeni tako, da se glasi:</w:t>
      </w:r>
    </w:p>
    <w:p w14:paraId="7C4939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5873BDD0" w14:textId="4FE06BB1" w:rsidR="00BE3E7C" w:rsidRPr="005C544E" w:rsidRDefault="0055047E" w:rsidP="005E4409">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Zavezanci za prijavo premoženjskega stanja so poklicni funkcionarji, člani državnega sveta, nepoklicni župani in podžupani, uradniki na položaju, poslovodne osebe in člani organov nadzora v javnih podjetjih in gospodarskih družbah, v katerih imata država ali lokalna skupnost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9C041F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FB0440C" w14:textId="74CB6DD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Zavezanec mora najpozneje v enem mesecu po nastopu in po prenehanju funkcije ali dela komisiji sporočiti podatke o svojem premoženjskem stanju na dan nastopa oziroma prenehanja funkcije. Podatke o premoženjskem stanju morajo zavezanci komisiji sporočiti tudi leto dni po prenehanju funkcije ali dela.</w:t>
      </w:r>
    </w:p>
    <w:p w14:paraId="282F88F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A5D793" w14:textId="0D76C6DF"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(3) Ne glede na prejšnji odstavek osebe, odgovorne za javna naročila, komisiji sporočijo podatke o svojem premoženjskem stanju </w:t>
      </w:r>
      <w:r w:rsidR="007C4C0F" w:rsidRPr="005C544E">
        <w:rPr>
          <w:rFonts w:ascii="Arial" w:eastAsia="Times New Roman" w:hAnsi="Arial" w:cs="Arial"/>
          <w:bCs/>
          <w:sz w:val="20"/>
          <w:szCs w:val="20"/>
          <w:lang w:eastAsia="ar-SA"/>
        </w:rPr>
        <w:t xml:space="preserve">na dan 31. decembra </w:t>
      </w:r>
      <w:r w:rsidRPr="005C544E">
        <w:rPr>
          <w:rFonts w:ascii="Arial" w:eastAsia="Times New Roman" w:hAnsi="Arial" w:cs="Arial"/>
          <w:bCs/>
          <w:sz w:val="20"/>
          <w:szCs w:val="20"/>
          <w:lang w:eastAsia="ar-SA"/>
        </w:rPr>
        <w:t>do 31. januarja za preteklo leto</w:t>
      </w:r>
      <w:r w:rsidR="006061FF" w:rsidRPr="005C544E">
        <w:rPr>
          <w:rFonts w:ascii="Arial" w:eastAsia="Times New Roman" w:hAnsi="Arial" w:cs="Arial"/>
          <w:bCs/>
          <w:sz w:val="20"/>
          <w:szCs w:val="20"/>
          <w:lang w:eastAsia="ar-SA"/>
        </w:rPr>
        <w:t>,</w:t>
      </w:r>
      <w:r w:rsidRPr="005C544E">
        <w:rPr>
          <w:rFonts w:ascii="Arial" w:eastAsia="Times New Roman" w:hAnsi="Arial" w:cs="Arial"/>
          <w:bCs/>
          <w:sz w:val="20"/>
          <w:szCs w:val="20"/>
          <w:lang w:eastAsia="ar-SA"/>
        </w:rPr>
        <w:t xml:space="preserve"> če so v preteklem koledarskem letu sodelovale v postopku javnega naročanja, kot je opredeljen v 10. točki 4. člena tega zakona.</w:t>
      </w:r>
    </w:p>
    <w:p w14:paraId="6F4C018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1E4BF0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 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 datum nastopa oziroma prenehanja funkcije oziroma položaja in naslov stalnega bivališča.</w:t>
      </w:r>
    </w:p>
    <w:p w14:paraId="4F80BDD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900B715" w14:textId="5E4F5D5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(5) Sporočanje podatkov o premoženjskem stanju in posredovanje seznama zavezancev se izvede prek elektronskega obrazca, dostopnega na spletnih straneh komisije.</w:t>
      </w:r>
      <w:r w:rsidR="00347957" w:rsidRPr="005C544E">
        <w:rPr>
          <w:rFonts w:ascii="Arial" w:eastAsia="Times New Roman" w:hAnsi="Arial" w:cs="Arial"/>
          <w:bCs/>
          <w:sz w:val="20"/>
          <w:szCs w:val="20"/>
          <w:lang w:eastAsia="ar-SA"/>
        </w:rPr>
        <w:t>«.</w:t>
      </w:r>
    </w:p>
    <w:p w14:paraId="25BCDF2C" w14:textId="59CA6B88"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58C245C" w14:textId="168EE545"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31. člen</w:t>
      </w:r>
    </w:p>
    <w:p w14:paraId="02FE4D28" w14:textId="70E296C6"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BF2052" w14:textId="79A90D35" w:rsidR="00347957" w:rsidRPr="005C544E" w:rsidRDefault="00EC0DEB"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Besedilo </w:t>
      </w:r>
      <w:r w:rsidR="00347957" w:rsidRPr="005C544E">
        <w:rPr>
          <w:rFonts w:ascii="Arial" w:eastAsia="Times New Roman" w:hAnsi="Arial" w:cs="Arial"/>
          <w:bCs/>
          <w:sz w:val="20"/>
          <w:szCs w:val="20"/>
          <w:lang w:eastAsia="ar-SA"/>
        </w:rPr>
        <w:t>42. člen</w:t>
      </w:r>
      <w:r w:rsidRPr="005C544E">
        <w:rPr>
          <w:rFonts w:ascii="Arial" w:eastAsia="Times New Roman" w:hAnsi="Arial" w:cs="Arial"/>
          <w:bCs/>
          <w:sz w:val="20"/>
          <w:szCs w:val="20"/>
          <w:lang w:eastAsia="ar-SA"/>
        </w:rPr>
        <w:t>a</w:t>
      </w:r>
      <w:r w:rsidR="00347957" w:rsidRPr="005C544E">
        <w:rPr>
          <w:rFonts w:ascii="Arial" w:eastAsia="Times New Roman" w:hAnsi="Arial" w:cs="Arial"/>
          <w:bCs/>
          <w:sz w:val="20"/>
          <w:szCs w:val="20"/>
          <w:lang w:eastAsia="ar-SA"/>
        </w:rPr>
        <w:t xml:space="preserve"> se spremeni tako, da se glasi:</w:t>
      </w:r>
    </w:p>
    <w:p w14:paraId="4B7C546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121316" w14:textId="73C0094F" w:rsidR="0055047E"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bCs/>
          <w:sz w:val="20"/>
          <w:szCs w:val="20"/>
          <w:lang w:eastAsia="ar-SA"/>
        </w:rPr>
        <w:t>(1) Zavezanec mora na obrazcu za prijavo premoženjskega stanja navesti naslednje osebne podatke:</w:t>
      </w:r>
    </w:p>
    <w:p w14:paraId="22731B85"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osebno ime,</w:t>
      </w:r>
    </w:p>
    <w:p w14:paraId="34F37FC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EMŠO,</w:t>
      </w:r>
    </w:p>
    <w:p w14:paraId="7C79D38D"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naslov stalnega prebivališča,</w:t>
      </w:r>
    </w:p>
    <w:p w14:paraId="68B5B56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davčno številko,</w:t>
      </w:r>
    </w:p>
    <w:p w14:paraId="1DFCB032"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funkciji oziroma delu, ki ga opravlja in na podlagi katerega ima status zavezanca,</w:t>
      </w:r>
    </w:p>
    <w:p w14:paraId="0200331A"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funkciji ali delu, ki ga je opravljal neposredno, preden je postal zavezanec, in</w:t>
      </w:r>
    </w:p>
    <w:p w14:paraId="5CB5241E"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drugih funkcijah oziroma dejavnostih, ki jih opravlja.</w:t>
      </w:r>
    </w:p>
    <w:p w14:paraId="2C376B2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171A0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Zavezanec mora na obrazcu za prijavo premoženjskega stanja navesti naslednje podatke o premoženju v Republiki Sloveniji in tujini:</w:t>
      </w:r>
    </w:p>
    <w:p w14:paraId="424F3EDD"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nepremičninah: vrsta, velikost, leto izgradnje, katastrska občina, lastniški delež, parcelna številka, številka stavbe in številka posameznega dela stavbe,</w:t>
      </w:r>
    </w:p>
    <w:p w14:paraId="752B6B77"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pravicah na nepremičninah in drugih premoženjskih pravicah,</w:t>
      </w:r>
    </w:p>
    <w:p w14:paraId="1DC6A38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premičninah, če vrednost posamezne premičnine presega 10.000 eurov,</w:t>
      </w:r>
    </w:p>
    <w:p w14:paraId="687B354C" w14:textId="12E927A4"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denarnih sredstvih pri bankah, hranilnicah in hranilno</w:t>
      </w:r>
      <w:r w:rsidR="00FB4E1D">
        <w:rPr>
          <w:rFonts w:ascii="Helv" w:eastAsia="Times New Roman" w:hAnsi="Helv" w:cs="Helv"/>
          <w:sz w:val="20"/>
          <w:szCs w:val="20"/>
          <w:lang w:eastAsia="ar-SA"/>
        </w:rPr>
        <w:t xml:space="preserve"> – </w:t>
      </w:r>
      <w:r w:rsidRPr="005C544E">
        <w:rPr>
          <w:rFonts w:ascii="Helv" w:eastAsia="Times New Roman" w:hAnsi="Helv" w:cs="Helv"/>
          <w:sz w:val="20"/>
          <w:szCs w:val="20"/>
          <w:lang w:eastAsia="ar-SA"/>
        </w:rPr>
        <w:t>kreditnih službah, če skupna vrednost sredstev na računih presega 10.000 eurov,</w:t>
      </w:r>
    </w:p>
    <w:p w14:paraId="59B88F9B"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skupni vrednosti gotovine, če ta presega 10.000 eurov,</w:t>
      </w:r>
    </w:p>
    <w:p w14:paraId="186A15D6"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w:t>
      </w:r>
    </w:p>
    <w:p w14:paraId="38D47521"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podatke o dolgovih, obveznostih oziroma prevzetih jamstvih in danih posojilih, katerih vrednost presega 10.000 eurov, in</w:t>
      </w:r>
    </w:p>
    <w:p w14:paraId="499E4A48"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druge podatke v zvezi s premoženjskim stanjem, ki jih zavezanec želi sporočiti ali jih določa ta zakon.</w:t>
      </w:r>
    </w:p>
    <w:p w14:paraId="5894771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A9530B" w14:textId="54C9236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Zavezanec sporoči podatke o premoženju iz prve do sedme alineje prejšnjega odstavka, če je pravni lastnik prijavljenih enot premoženja. Dejansko lastništvo in deleže skupnega lastništva v posamezni enoti prijavljenega premoženja zavezanec navede v okviru osme alineje prejšnjega odstavka.</w:t>
      </w:r>
      <w:r w:rsidR="00347957" w:rsidRPr="005C544E">
        <w:rPr>
          <w:rFonts w:ascii="Arial" w:eastAsia="Times New Roman" w:hAnsi="Arial" w:cs="Arial"/>
          <w:sz w:val="20"/>
          <w:szCs w:val="20"/>
          <w:lang w:eastAsia="ar-SA"/>
        </w:rPr>
        <w:t>«.</w:t>
      </w:r>
    </w:p>
    <w:p w14:paraId="4360B19D" w14:textId="6F8AA388"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B08DE5" w14:textId="7458115F"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32. člen</w:t>
      </w:r>
    </w:p>
    <w:p w14:paraId="719F7028" w14:textId="0C9E981C"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E1B1A" w14:textId="3155D4C9" w:rsidR="00347957" w:rsidRPr="005C544E" w:rsidRDefault="00EC0D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Besedilo </w:t>
      </w:r>
      <w:r w:rsidR="00347957" w:rsidRPr="005C544E">
        <w:rPr>
          <w:rFonts w:ascii="Arial" w:eastAsia="Times New Roman" w:hAnsi="Arial" w:cs="Arial"/>
          <w:sz w:val="20"/>
          <w:szCs w:val="20"/>
          <w:lang w:eastAsia="ar-SA"/>
        </w:rPr>
        <w:t>43. člen</w:t>
      </w:r>
      <w:r w:rsidRPr="005C544E">
        <w:rPr>
          <w:rFonts w:ascii="Arial" w:eastAsia="Times New Roman" w:hAnsi="Arial" w:cs="Arial"/>
          <w:sz w:val="20"/>
          <w:szCs w:val="20"/>
          <w:lang w:eastAsia="ar-SA"/>
        </w:rPr>
        <w:t>a</w:t>
      </w:r>
      <w:r w:rsidR="00347957" w:rsidRPr="005C544E">
        <w:rPr>
          <w:rFonts w:ascii="Arial" w:eastAsia="Times New Roman" w:hAnsi="Arial" w:cs="Arial"/>
          <w:sz w:val="20"/>
          <w:szCs w:val="20"/>
          <w:lang w:eastAsia="ar-SA"/>
        </w:rPr>
        <w:t xml:space="preserve"> se spremeni tako, da se glasi:</w:t>
      </w:r>
    </w:p>
    <w:p w14:paraId="44E3B4D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8CEF6A" w14:textId="0F6372EA" w:rsidR="0055047E"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55047E" w:rsidRPr="005C544E">
        <w:rPr>
          <w:rFonts w:ascii="Arial" w:eastAsia="Times New Roman" w:hAnsi="Arial" w:cs="Arial"/>
          <w:bCs/>
          <w:sz w:val="20"/>
          <w:szCs w:val="20"/>
          <w:lang w:eastAsia="ar-SA"/>
        </w:rPr>
        <w:t>(1) Zavezanec mora komisiji vsako spremembo osebnih podatkov iz prve, pete in sedme alineje prvega odstavka prejšnjega člena in vsako spremembo v premoženjskem stanju sporočiti v roku 30 dni po nastanku spremembe. 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w:t>
      </w:r>
    </w:p>
    <w:p w14:paraId="70C970C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AF84FC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23190B8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2DB7D6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Komisija lahko kadarkoli od zavezanca zahteva, da ji predloži celovite podatke iz prvega in drugega odstavka prejšnjega člena. Zavezanec mora komisiji te podatke predložiti v 15 dneh po prejemu zahteve.«.</w:t>
      </w:r>
    </w:p>
    <w:p w14:paraId="09679A7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69D6EDE" w14:textId="753C348D"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33</w:t>
      </w:r>
      <w:r w:rsidR="0055047E" w:rsidRPr="005C544E">
        <w:rPr>
          <w:rFonts w:ascii="Arial" w:eastAsia="Times New Roman" w:hAnsi="Arial" w:cs="Arial"/>
          <w:b/>
          <w:bCs/>
          <w:sz w:val="20"/>
          <w:szCs w:val="20"/>
          <w:lang w:eastAsia="ar-SA"/>
        </w:rPr>
        <w:t>. člen</w:t>
      </w:r>
    </w:p>
    <w:p w14:paraId="40B317D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A72B4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Za 44. členom se dodata nova 44.a in 44.b člen, ki se glasita:</w:t>
      </w:r>
    </w:p>
    <w:p w14:paraId="7533891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51F632A"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»44.a člen</w:t>
      </w:r>
    </w:p>
    <w:p w14:paraId="302C2F6E"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(nadzor in ugotavljanje nesorazmernega povečanja premoženja)</w:t>
      </w:r>
    </w:p>
    <w:p w14:paraId="2A245B6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2C94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Komisija nadzoruje pravilnost, pravočasnost in popolnost prijave podatkov o premoženjskem stanju in sprememb tega stanja. Komisija v primeru suma kršitev dolžnosti prijave premoženjskega stanja, suma nesorazmernega povečanja premoženja in v okviru izvedbe sistemskega nadzora nad spoštovanjem določb o dolžnosti prijave premoženjskega stanja prijavljene podatke zavezancev o premoženjskem stanju primerja s podatki iz uradnih evidenc, iz evidenc centralnih depotnih družb, bank in drugih finančnih ustanov.</w:t>
      </w:r>
    </w:p>
    <w:p w14:paraId="6481246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95E5B4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43E1C20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6DCBE89" w14:textId="22F6DA5A" w:rsidR="0055047E" w:rsidRPr="005C544E" w:rsidRDefault="0055047E" w:rsidP="006C3935">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Če iz podatkov, pridobljenih v postopku iz tega člena, ali iz drugih podatkov, s katerimi razpolaga komisija, izhaja sum, da se je premoženje zavezanca od zadnje prijave nesorazmerno povečalo glede na njegove dohodke iz opravljanja funkcije ali dejavnosti, ki jo sicer opravlja v skladu z določbami in omejitvami iz tega in drugih zakonov, ali da vrednost njegovega dejanskega premoženja, ki je osnova za odmero davčnih obveznosti, znatno presega prijavljeno premoženje (nesorazmerno povečanje premoženja), ali da zavezanec razpolaga s premoženjem neznanega izvora, komisija izvede postopek zaradi suma nesorazmernega povečanja premoženja. V okviru ugotavljanja dejanskega stanja lahko komisija od pristojnih organov pregona in nadzora</w:t>
      </w:r>
      <w:r w:rsidR="00B7257C" w:rsidRPr="00B7257C">
        <w:rPr>
          <w:rFonts w:ascii="Arial" w:eastAsia="Times New Roman" w:hAnsi="Arial" w:cs="Arial"/>
          <w:bCs/>
          <w:sz w:val="20"/>
          <w:szCs w:val="20"/>
          <w:lang w:eastAsia="ar-SA"/>
        </w:rPr>
        <w:t>, vključno z organom, pristojnim za preprečevanje pranja denarja, zahteva</w:t>
      </w:r>
      <w:r w:rsidRPr="005C544E">
        <w:rPr>
          <w:rFonts w:ascii="Arial" w:eastAsia="Times New Roman" w:hAnsi="Arial" w:cs="Arial"/>
          <w:bCs/>
          <w:sz w:val="20"/>
          <w:szCs w:val="20"/>
          <w:lang w:eastAsia="ar-SA"/>
        </w:rPr>
        <w:t>, da v okviru svojih pristojnosti ugotovijo dejansko stanje glede premoženja in lastništva v Republiki Sloveniji in v tujini in ugotovitve posredujejo komisiji.</w:t>
      </w:r>
    </w:p>
    <w:p w14:paraId="1D8678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ACE1FF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 Komisija pripravi osnutek ugotovitev o konkretnem primeru, ki vsebuje seznam premoženja, ki po ugotovitvah komisije presega prijavljeno premoženje, uradne znane prihodke zavezanca ali za katerega komisija v postopku ni mogla ugotoviti vira oziroma izvora. Ta osnutek komisija pošlje zavezancu in ga pozove, naj v roku</w:t>
      </w:r>
      <w:r w:rsidRPr="005C544E">
        <w:rPr>
          <w:rFonts w:ascii="Helv" w:eastAsia="Times New Roman" w:hAnsi="Helv" w:cs="Helv"/>
          <w:sz w:val="20"/>
          <w:szCs w:val="20"/>
          <w:lang w:eastAsia="ar-SA"/>
        </w:rPr>
        <w:t>, ki ga komisija določi glede na okoliščine obravnavane kršitve, vendar ne krajšem od osmih dni,</w:t>
      </w:r>
      <w:r w:rsidRPr="005C544E">
        <w:rPr>
          <w:rFonts w:ascii="Arial" w:eastAsia="Times New Roman" w:hAnsi="Arial" w:cs="Arial"/>
          <w:bCs/>
          <w:sz w:val="20"/>
          <w:szCs w:val="20"/>
          <w:lang w:eastAsia="ar-SA"/>
        </w:rPr>
        <w:t xml:space="preserve"> pisno pojasni način povečanja ali vire premoženja in priloži ustrezna dokazila. Komisija lahko na svojo pobudo ali na predlog zavezanca v zvezi s tem z zavezancem opravi razgovor.</w:t>
      </w:r>
    </w:p>
    <w:p w14:paraId="60ADF78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CFE3FA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(5) Če zavezanec ne pojasni načina povečanja ali virov premoženja oziroma tega ne stori na prepričljiv, verodostojen in razumljiv način, komisija ravna skladno s 45. členom tega zakona.</w:t>
      </w:r>
    </w:p>
    <w:p w14:paraId="10DDA1D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5C43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naj ta v okviru svojih zakonskih pristojnosti ukrene vse potrebno za začasno zaustavitev transakcij ali zavarovanja denarja in premoženja z namenom odvzema protipravno pridobljene premoženjske koristi oziroma denarja in premoženja nezakonitega izvora. Komisija v predlogu posreduje vse zbrane podatke, ki so potrebni za izvajanje zakonskih pristojnosti organov iz prejšnjega stavka.</w:t>
      </w:r>
    </w:p>
    <w:p w14:paraId="0994498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8D626C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(7) Državno tožilstvo ali drug organ iz prejšnjega odstavka mora komisiji najpozneje v roku 72 ur pisno sporočiti, katere ukrepe je sprejel, ali obrazložiti, zakaj ne bo ukrepal.</w:t>
      </w:r>
    </w:p>
    <w:p w14:paraId="6A9951A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6DDDBC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(8) Zavezanec je subjekt nadzora po tem členu za čas opravljanja funkcije, položaja ali dela in še eno leto po prenehanju funkcije, položaja ali dela.</w:t>
      </w:r>
    </w:p>
    <w:p w14:paraId="5844CA3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620E7BEA"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44.b člen</w:t>
      </w:r>
    </w:p>
    <w:p w14:paraId="60B4BB57"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(razširitev nadzora na druge osebe)</w:t>
      </w:r>
    </w:p>
    <w:p w14:paraId="1083D1B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10726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Če se v postopkih iz prejšnjega člena izkaže sum, da zavezanec svoje premoženje prikriva s prenašanjem na družinske člane ali da te osebe od tretjih oseb neposredno pridobivajo enote premoženja, ki na kakršen koli način izvirajo iz funkcije ali dela zavezanca, lahko komisija razširi nadzor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w:t>
      </w:r>
    </w:p>
    <w:p w14:paraId="0E00CF7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02445C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Za postopek nadzora nad premoženjskim stanjem oseb iz prejšnjega odstavka se smiselno uporabljajo določbe prejšnjega člena.«.</w:t>
      </w:r>
    </w:p>
    <w:p w14:paraId="1A96921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6EE37B" w14:textId="21B8F23F"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34</w:t>
      </w:r>
      <w:r w:rsidR="0055047E" w:rsidRPr="005C544E">
        <w:rPr>
          <w:rFonts w:ascii="Arial" w:eastAsia="Times New Roman" w:hAnsi="Arial" w:cs="Arial"/>
          <w:b/>
          <w:bCs/>
          <w:sz w:val="20"/>
          <w:szCs w:val="20"/>
          <w:lang w:eastAsia="ar-SA"/>
        </w:rPr>
        <w:t>. člen</w:t>
      </w:r>
    </w:p>
    <w:p w14:paraId="4219B3D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4DD86" w14:textId="41D4B4B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45. člen se spremeni tako, da se glasi:</w:t>
      </w:r>
    </w:p>
    <w:p w14:paraId="0E83542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F3FC9A9"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»45. člen</w:t>
      </w:r>
    </w:p>
    <w:p w14:paraId="2D283768" w14:textId="1825896E"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(ukrepi v primeru </w:t>
      </w:r>
      <w:r w:rsidR="00A569CE">
        <w:rPr>
          <w:rFonts w:ascii="Arial" w:eastAsia="Times New Roman" w:hAnsi="Arial" w:cs="Arial"/>
          <w:bCs/>
          <w:sz w:val="20"/>
          <w:szCs w:val="20"/>
          <w:lang w:eastAsia="ar-SA"/>
        </w:rPr>
        <w:t>nesorazmernega povečanja premoženja</w:t>
      </w:r>
      <w:r w:rsidRPr="005C544E">
        <w:rPr>
          <w:rFonts w:ascii="Arial" w:eastAsia="Times New Roman" w:hAnsi="Arial" w:cs="Arial"/>
          <w:bCs/>
          <w:sz w:val="20"/>
          <w:szCs w:val="20"/>
          <w:lang w:eastAsia="ar-SA"/>
        </w:rPr>
        <w:t>)</w:t>
      </w:r>
    </w:p>
    <w:p w14:paraId="7AE2508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38D47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Če zavezanec v postopku iz 44.a člena tega zakona ne pojasni načina povečanja premoženja, virov premoženja ali razlike med dejanskim in prijavljenim premoženjem ali tega ne stori na prepričljiv, verodostojen in razumljiv način, komisija zadevo z vsemi zbranimi podatki nemudoma odstopi državnemu tožilstvu zaradi preverbe možnosti ukrepanja po zakonu, ki ureja odvzem premoženja nezakonitega izvora, ali pristojnemu organu s področja davkov zaradi preverbe možnosti ukrepanja po davčnih predpisih. Komisija lahko, če ugotovi, da s tem ne bi ogrozila interesov postopkov drugih pristojnih organov, o tem obvesti tudi organ ali organizacijo javnega sektorja, pri katerem zavezanec opravlja funkcijo ali delo, oziroma organ, pristojen za izvolitev ali imenovanje zavezanca.</w:t>
      </w:r>
    </w:p>
    <w:p w14:paraId="3A3AB4E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793B41E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Organ ali organizacija javnega sektorja, pri katerem zavezanec opravlja funkcijo ali delo, oziroma organ, pristojen za izvolitev ali imenovanje zavezanca, mora na podlagi obvestila komisije iz prejšnjega odstavka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715B62E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9ED1B3E" w14:textId="75B76545"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(3) Državno tožilstvo, ki prejme zadevo iz prvega odstavka tega člena, obvesti komisijo o odločitvah in ukrepih po zaključku postopka.</w:t>
      </w:r>
      <w:r w:rsidR="00347957" w:rsidRPr="005C544E">
        <w:rPr>
          <w:rFonts w:ascii="Arial" w:eastAsia="Times New Roman" w:hAnsi="Arial" w:cs="Arial"/>
          <w:bCs/>
          <w:sz w:val="20"/>
          <w:szCs w:val="20"/>
          <w:lang w:eastAsia="ar-SA"/>
        </w:rPr>
        <w:t>«.</w:t>
      </w:r>
    </w:p>
    <w:p w14:paraId="17B4F64A" w14:textId="14592FDB"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C8D9629" w14:textId="6132F12F" w:rsidR="00347957" w:rsidRPr="005C544E" w:rsidRDefault="00347957" w:rsidP="00347957">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35. člen</w:t>
      </w:r>
    </w:p>
    <w:p w14:paraId="7A5B805F" w14:textId="2358B6B9"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D669493" w14:textId="45CCE826" w:rsidR="00347957" w:rsidRPr="005C544E" w:rsidRDefault="00347957"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46. člen se spremeni tako, da se glasi:</w:t>
      </w:r>
    </w:p>
    <w:p w14:paraId="783AFAB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43414A" w14:textId="6D34C936" w:rsidR="00BA4F18" w:rsidRPr="005C544E" w:rsidRDefault="00347957"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r w:rsidR="00BA4F18" w:rsidRPr="005C544E">
        <w:rPr>
          <w:rFonts w:ascii="Arial" w:eastAsia="Times New Roman" w:hAnsi="Arial" w:cs="Arial"/>
          <w:bCs/>
          <w:sz w:val="20"/>
          <w:szCs w:val="20"/>
          <w:lang w:eastAsia="ar-SA"/>
        </w:rPr>
        <w:t>46. člen</w:t>
      </w:r>
    </w:p>
    <w:p w14:paraId="702C8B79" w14:textId="77777777" w:rsidR="00BA4F18" w:rsidRPr="005C544E" w:rsidRDefault="00BA4F18" w:rsidP="00BA4F18">
      <w:pPr>
        <w:suppressAutoHyphens/>
        <w:overflowPunct w:val="0"/>
        <w:autoSpaceDE w:val="0"/>
        <w:spacing w:after="0" w:line="260" w:lineRule="atLeast"/>
        <w:jc w:val="center"/>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w:t>
      </w:r>
      <w:bookmarkStart w:id="12" w:name="_Hlk6489658"/>
      <w:r w:rsidRPr="005C544E">
        <w:rPr>
          <w:rFonts w:ascii="Arial" w:eastAsia="Times New Roman" w:hAnsi="Arial" w:cs="Arial"/>
          <w:bCs/>
          <w:sz w:val="20"/>
          <w:szCs w:val="20"/>
          <w:lang w:eastAsia="ar-SA"/>
        </w:rPr>
        <w:t>javnost podatkov za določen krog zavezancev</w:t>
      </w:r>
      <w:bookmarkEnd w:id="12"/>
      <w:r w:rsidRPr="005C544E">
        <w:rPr>
          <w:rFonts w:ascii="Arial" w:eastAsia="Times New Roman" w:hAnsi="Arial" w:cs="Arial"/>
          <w:bCs/>
          <w:sz w:val="20"/>
          <w:szCs w:val="20"/>
          <w:lang w:eastAsia="ar-SA"/>
        </w:rPr>
        <w:t>)</w:t>
      </w:r>
    </w:p>
    <w:p w14:paraId="77EF87C1"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37FF69"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Z namenom krepitve transparentnosti in zaupanja javnosti v nosilce javnih funkcij so podatki o spremembah premoženjskega stanja poslancev državnega zbora, predsednika državnega sveta, predsednika republike, predsednika vlade, ministrov, državnih sekretarjev, poklicnih in nepoklicnih županov in podžupanov, članov sveta Banke Slovenije, funkcionarjev samostojnih in neodvisnih državnih organov, ki opravljajo naloge predstojnika organa ali njegovega namestnika ter sodnikov ustavnega sodišča javno dostopni na spletnih straneh komisije ves čas trajanja njihovega mandata in še eno leto po prenehanju opravljanja funkcije.</w:t>
      </w:r>
    </w:p>
    <w:p w14:paraId="6E4E2234"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C51ECC" w14:textId="77777777" w:rsidR="00FB4E1D"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(2) Javna objava iz prejšnjega odstavka zajema podatke, ki jih je zavezanec posredoval prek elektronskega obrazca iz drugega odstavka 43. člena tega zakona. Komisija lahko ob objavi obrazca objavi tudi svoje ugotovitve o pravilnosti, popolnosti in pravočasnosti poročanja </w:t>
      </w:r>
      <w:r w:rsidRPr="005C544E">
        <w:rPr>
          <w:rFonts w:ascii="Arial" w:eastAsia="Times New Roman" w:hAnsi="Arial" w:cs="Arial"/>
          <w:bCs/>
          <w:sz w:val="20"/>
          <w:szCs w:val="20"/>
          <w:lang w:eastAsia="ar-SA"/>
        </w:rPr>
        <w:t>iz prvega odstavka 44.a člena tega zakona.</w:t>
      </w:r>
    </w:p>
    <w:p w14:paraId="2DB7981F" w14:textId="4694426D"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53BA9F" w14:textId="6C8066DA"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Komisija podatke javno objavi najkasneje 30 dni po prejeti prijavi spremembe premoženjskega stanja.</w:t>
      </w:r>
    </w:p>
    <w:p w14:paraId="622B4C09"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10F33A"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Podatki o premoženjskem stanju in spremembah premoženjskega stanja drugih zavezancev niso javni.</w:t>
      </w:r>
    </w:p>
    <w:p w14:paraId="4F4FB882"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663528" w14:textId="77777777" w:rsidR="00BA4F18" w:rsidRPr="005C544E" w:rsidRDefault="00BA4F18" w:rsidP="00BA4F1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Podrobnejšo metodologijo za javno objavo podatkov komisija določi s poslovnikom.«.</w:t>
      </w:r>
    </w:p>
    <w:p w14:paraId="0E3DE6E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D01C28" w14:textId="14F699A2"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36</w:t>
      </w:r>
      <w:r w:rsidR="0055047E" w:rsidRPr="005C544E">
        <w:rPr>
          <w:rFonts w:ascii="Arial" w:eastAsia="Times New Roman" w:hAnsi="Arial" w:cs="Arial"/>
          <w:b/>
          <w:bCs/>
          <w:sz w:val="20"/>
          <w:szCs w:val="20"/>
          <w:lang w:eastAsia="ar-SA"/>
        </w:rPr>
        <w:t>. člen</w:t>
      </w:r>
    </w:p>
    <w:p w14:paraId="05D52E7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64F993" w14:textId="160A32B6"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 drugim odstavkom 63. člena se doda</w:t>
      </w:r>
      <w:r w:rsidR="00880AE6" w:rsidRPr="005C544E">
        <w:rPr>
          <w:rFonts w:ascii="Arial" w:eastAsia="Times New Roman" w:hAnsi="Arial" w:cs="Arial"/>
          <w:sz w:val="20"/>
          <w:szCs w:val="20"/>
          <w:lang w:eastAsia="ar-SA"/>
        </w:rPr>
        <w:t>ta</w:t>
      </w:r>
      <w:r w:rsidRPr="005C544E">
        <w:rPr>
          <w:rFonts w:ascii="Arial" w:eastAsia="Times New Roman" w:hAnsi="Arial" w:cs="Arial"/>
          <w:sz w:val="20"/>
          <w:szCs w:val="20"/>
          <w:lang w:eastAsia="ar-SA"/>
        </w:rPr>
        <w:t xml:space="preserve"> nov</w:t>
      </w:r>
      <w:r w:rsidR="00880AE6" w:rsidRPr="005C544E">
        <w:rPr>
          <w:rFonts w:ascii="Arial" w:eastAsia="Times New Roman" w:hAnsi="Arial" w:cs="Arial"/>
          <w:sz w:val="20"/>
          <w:szCs w:val="20"/>
          <w:lang w:eastAsia="ar-SA"/>
        </w:rPr>
        <w:t>a</w:t>
      </w:r>
      <w:r w:rsidRPr="005C544E">
        <w:rPr>
          <w:rFonts w:ascii="Arial" w:eastAsia="Times New Roman" w:hAnsi="Arial" w:cs="Arial"/>
          <w:sz w:val="20"/>
          <w:szCs w:val="20"/>
          <w:lang w:eastAsia="ar-SA"/>
        </w:rPr>
        <w:t xml:space="preserve"> tretji</w:t>
      </w:r>
      <w:r w:rsidR="003C78C2" w:rsidRPr="005C544E">
        <w:rPr>
          <w:rFonts w:ascii="Arial" w:eastAsia="Times New Roman" w:hAnsi="Arial" w:cs="Arial"/>
          <w:sz w:val="20"/>
          <w:szCs w:val="20"/>
          <w:lang w:eastAsia="ar-SA"/>
        </w:rPr>
        <w:t xml:space="preserve"> </w:t>
      </w:r>
      <w:r w:rsidR="00880AE6" w:rsidRPr="005C544E">
        <w:rPr>
          <w:rFonts w:ascii="Arial" w:eastAsia="Times New Roman" w:hAnsi="Arial" w:cs="Arial"/>
          <w:sz w:val="20"/>
          <w:szCs w:val="20"/>
          <w:lang w:eastAsia="ar-SA"/>
        </w:rPr>
        <w:t xml:space="preserve">in četrti </w:t>
      </w:r>
      <w:r w:rsidR="003C78C2" w:rsidRPr="005C544E">
        <w:rPr>
          <w:rFonts w:ascii="Arial" w:eastAsia="Times New Roman" w:hAnsi="Arial" w:cs="Arial"/>
          <w:sz w:val="20"/>
          <w:szCs w:val="20"/>
          <w:lang w:eastAsia="ar-SA"/>
        </w:rPr>
        <w:t>odstavek</w:t>
      </w:r>
      <w:r w:rsidRPr="005C544E">
        <w:rPr>
          <w:rFonts w:ascii="Arial" w:eastAsia="Times New Roman" w:hAnsi="Arial" w:cs="Arial"/>
          <w:sz w:val="20"/>
          <w:szCs w:val="20"/>
          <w:lang w:eastAsia="ar-SA"/>
        </w:rPr>
        <w:t>, ki se glasi</w:t>
      </w:r>
      <w:r w:rsidR="00880AE6" w:rsidRPr="005C544E">
        <w:rPr>
          <w:rFonts w:ascii="Arial" w:eastAsia="Times New Roman" w:hAnsi="Arial" w:cs="Arial"/>
          <w:sz w:val="20"/>
          <w:szCs w:val="20"/>
          <w:lang w:eastAsia="ar-SA"/>
        </w:rPr>
        <w:t>ta</w:t>
      </w:r>
      <w:r w:rsidRPr="005C544E">
        <w:rPr>
          <w:rFonts w:ascii="Arial" w:eastAsia="Times New Roman" w:hAnsi="Arial" w:cs="Arial"/>
          <w:sz w:val="20"/>
          <w:szCs w:val="20"/>
          <w:lang w:eastAsia="ar-SA"/>
        </w:rPr>
        <w:t>:</w:t>
      </w:r>
    </w:p>
    <w:p w14:paraId="62C774E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517319" w14:textId="1EE9EA31" w:rsidR="00AE6EEB"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Komisiji o lobiranju pisno, prek elektronskega obrazca, dostopnega na spletnih straneh komisije, sproti ali najkasneje do 31. januarja tekočega leta za preteklo leto poroča tudi interesna organizacija, za katero lobira oseba iz četrtega odstavka 58. člena tega zakona. Poročilo vsebuje ime in priimek lobista ter podatke iz četrte, pete, </w:t>
      </w:r>
      <w:r w:rsidR="004961D3" w:rsidRPr="005C544E">
        <w:rPr>
          <w:rFonts w:ascii="Arial" w:eastAsia="Times New Roman" w:hAnsi="Arial" w:cs="Arial"/>
          <w:sz w:val="20"/>
          <w:szCs w:val="20"/>
          <w:lang w:eastAsia="ar-SA"/>
        </w:rPr>
        <w:t xml:space="preserve">in </w:t>
      </w:r>
      <w:r w:rsidRPr="005C544E">
        <w:rPr>
          <w:rFonts w:ascii="Arial" w:eastAsia="Times New Roman" w:hAnsi="Arial" w:cs="Arial"/>
          <w:sz w:val="20"/>
          <w:szCs w:val="20"/>
          <w:lang w:eastAsia="ar-SA"/>
        </w:rPr>
        <w:t>šeste alineje 64. člena tega zakona.</w:t>
      </w:r>
    </w:p>
    <w:p w14:paraId="7B4EAD2C" w14:textId="77777777" w:rsidR="00AE6EEB" w:rsidRPr="005C544E"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DC054E" w14:textId="0ECA1E83" w:rsidR="0055047E" w:rsidRPr="005C544E" w:rsidRDefault="00AE6EEB"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(4) Ne glede na določbe prejšnjega odstavka neprofitna interesna </w:t>
      </w:r>
      <w:r w:rsidRPr="003F1A64">
        <w:rPr>
          <w:rFonts w:ascii="Arial" w:eastAsia="Times New Roman" w:hAnsi="Arial" w:cs="Arial"/>
          <w:sz w:val="20"/>
          <w:szCs w:val="20"/>
          <w:lang w:eastAsia="ar-SA"/>
        </w:rPr>
        <w:t>organizacija zasebnega sektorja,</w:t>
      </w:r>
      <w:r w:rsidRPr="005C544E">
        <w:rPr>
          <w:rFonts w:ascii="Arial" w:eastAsia="Times New Roman" w:hAnsi="Arial" w:cs="Arial"/>
          <w:sz w:val="20"/>
          <w:szCs w:val="20"/>
          <w:lang w:eastAsia="ar-SA"/>
        </w:rPr>
        <w:t xml:space="preserve"> ki nima zaposlenih</w:t>
      </w:r>
      <w:r w:rsidR="008024CA">
        <w:rPr>
          <w:rFonts w:ascii="Arial" w:eastAsia="Times New Roman" w:hAnsi="Arial" w:cs="Arial"/>
          <w:sz w:val="20"/>
          <w:szCs w:val="20"/>
          <w:lang w:eastAsia="ar-SA"/>
        </w:rPr>
        <w:t>, o lobiranju ne poroča</w:t>
      </w:r>
      <w:r w:rsidRPr="005C544E">
        <w:rPr>
          <w:rFonts w:ascii="Arial" w:eastAsia="Times New Roman" w:hAnsi="Arial" w:cs="Arial"/>
          <w:sz w:val="20"/>
          <w:szCs w:val="20"/>
          <w:lang w:eastAsia="ar-SA"/>
        </w:rPr>
        <w:t>.</w:t>
      </w:r>
      <w:r w:rsidR="0055047E" w:rsidRPr="005C544E">
        <w:rPr>
          <w:rFonts w:ascii="Arial" w:eastAsia="Times New Roman" w:hAnsi="Arial" w:cs="Arial"/>
          <w:sz w:val="20"/>
          <w:szCs w:val="20"/>
          <w:lang w:eastAsia="ar-SA"/>
        </w:rPr>
        <w:t>«.</w:t>
      </w:r>
    </w:p>
    <w:p w14:paraId="4BC436D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87DBE" w14:textId="7B0150B7"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37</w:t>
      </w:r>
      <w:r w:rsidR="0055047E" w:rsidRPr="005C544E">
        <w:rPr>
          <w:rFonts w:ascii="Arial" w:eastAsia="Times New Roman" w:hAnsi="Arial" w:cs="Arial"/>
          <w:b/>
          <w:bCs/>
          <w:sz w:val="20"/>
          <w:szCs w:val="20"/>
          <w:lang w:eastAsia="ar-SA"/>
        </w:rPr>
        <w:t>. člen</w:t>
      </w:r>
    </w:p>
    <w:p w14:paraId="467CBF3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C1392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68. člena se spremeni tako, da se glasi:</w:t>
      </w:r>
    </w:p>
    <w:p w14:paraId="21B9D37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F2A80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Lobist se pri izvajanju lobiranja lahko sestaja z lobirancem ali mu posreduje pisne in ustne informacije ter gradivo v zadevah, v katerih lobira za interesne organizacije. Pri tem mora navesti podatke iz drugega odstavka tega člena in prvega odstavka 69. člena tega zakona.</w:t>
      </w:r>
    </w:p>
    <w:p w14:paraId="282574B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FFBEF64" w14:textId="3A757FAA"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Lobiranec o vsakem stiku z lobistom, ki ima namen lobirati, sestavi zapis, v katerem navede naslednje podatke: osebno ime lobista, podatek, ali se je identificiral v skladu z določbami tega zakona, področje lobiranja, namen in cilj, ime interesne organizacije ali druge organizacije, za katero lobira, morebitne priloge ter datum in kraj obiska lobista. Lobiranec zapis posreduje v roku osmih dni v vednost svojemu nadrejenemu in komisiji. Obveznost izdelave zapisa za lobirance velja tudi v primeru stikov iz tretjega odstavka 69. člena tega zakona. Komisija zapise hrani za dobo petih let.</w:t>
      </w:r>
    </w:p>
    <w:p w14:paraId="3F1BB7C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662F1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Ne glede na prejšnji odstavek lobiranec ne sestavi zapisa v primeru poskusa vzpostavitve stika v pisni obliki, ki ne vsebuje vseh podatkov iz prvega odstavka 69. člena tega zakona, ter če dopis nemudoma in brez nadaljnjih stikov s pošiljateljem evidentira v zbirki dokumentarnega gradiva.</w:t>
      </w:r>
    </w:p>
    <w:p w14:paraId="5C28C75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7338F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Ne glede na drugi odstavek tega člena v primeru elektronskega sporočila, naslovljenega na več predstavnikov istega organa, o takem sporočilu poroča le prvo naslovljeni lobiranec ter o tem obvesti tudi ostale naslovnike.</w:t>
      </w:r>
    </w:p>
    <w:p w14:paraId="165DC4C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521C9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Komisija lahko od lobiranca zahteva, da v osmih dneh dopolni zapis lobiranja.</w:t>
      </w:r>
    </w:p>
    <w:p w14:paraId="371EDB9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DA0AF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Sporočanje zapisov o stiku z lobistom se izvede prek elektronskega obrazca, dostopnega na spletnih straneh komisije.«.</w:t>
      </w:r>
    </w:p>
    <w:p w14:paraId="08E27B0C" w14:textId="2322A02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4FC0152D" w14:textId="7C828778" w:rsidR="009A7428" w:rsidRPr="005C544E" w:rsidRDefault="00347957" w:rsidP="009A7428">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38</w:t>
      </w:r>
      <w:r w:rsidR="009A7428" w:rsidRPr="005C544E">
        <w:rPr>
          <w:rFonts w:ascii="Arial" w:eastAsia="Times New Roman" w:hAnsi="Arial" w:cs="Arial"/>
          <w:b/>
          <w:sz w:val="20"/>
          <w:szCs w:val="20"/>
          <w:lang w:eastAsia="ar-SA"/>
        </w:rPr>
        <w:t>. člen</w:t>
      </w:r>
    </w:p>
    <w:p w14:paraId="16F93465"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5BC062" w14:textId="20482ED6"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 75. členom se dodata nov</w:t>
      </w:r>
      <w:r w:rsidR="00880AE6" w:rsidRPr="005C544E">
        <w:rPr>
          <w:rFonts w:ascii="Arial" w:eastAsia="Times New Roman" w:hAnsi="Arial" w:cs="Arial"/>
          <w:sz w:val="20"/>
          <w:szCs w:val="20"/>
          <w:lang w:eastAsia="ar-SA"/>
        </w:rPr>
        <w:t>a</w:t>
      </w:r>
      <w:r w:rsidRPr="005C544E">
        <w:rPr>
          <w:rFonts w:ascii="Arial" w:eastAsia="Times New Roman" w:hAnsi="Arial" w:cs="Arial"/>
          <w:sz w:val="20"/>
          <w:szCs w:val="20"/>
          <w:lang w:eastAsia="ar-SA"/>
        </w:rPr>
        <w:t xml:space="preserve"> 75.a in 75.b člen, ki se glasita:</w:t>
      </w:r>
    </w:p>
    <w:p w14:paraId="67F06A8F"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34CCA4" w14:textId="77777777" w:rsidR="009A7428" w:rsidRPr="005C544E"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»75.a člen</w:t>
      </w:r>
    </w:p>
    <w:p w14:paraId="3D9B5724" w14:textId="77777777" w:rsidR="009A7428" w:rsidRPr="005C544E"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(pridobivanje, uporaba, obdelava in povezovanje podatkov o denarnih tokovih subjektov javnega sektorja)</w:t>
      </w:r>
    </w:p>
    <w:p w14:paraId="0B6AD653"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ACE44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Za namen izvajanja sedme alineje prvega odstavka 12. člena tega zakona ter izvajanja ukrepov in metod za krepitev integritete in preprečevanje korupcije lahko komisija brezplačno in kadar je to mogoče, avtomatizirano pridobiva, uporablja, obdeluje in povezuje podatke iz naslednjih evidenc:</w:t>
      </w:r>
    </w:p>
    <w:p w14:paraId="2FBD4AA3" w14:textId="007FBA51"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zbirke finančnih transakcij s podatki iz plačilnih nalogov v breme transakcijskih računov subjektov javnega sektorja, ki jih upravlja Uprava Republike Slovenije za javna plačila,</w:t>
      </w:r>
    </w:p>
    <w:p w14:paraId="0BE50B76" w14:textId="5B70C807"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analitične računovodske evidence subjektov javnega sektorja v zvezi z obveznostmi in plačilnimi transakcijami subjektov javnega sektorja, ki jih upravljajo Ministrstvo za finance in ostali subjekti javnega sektorja,</w:t>
      </w:r>
    </w:p>
    <w:p w14:paraId="6CF562D7" w14:textId="0E045E2D"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evidenco prejetih e-računov, kot jih predpisuje zakon, ki ureja opravljanje plačilnih storitev za proračunske uporabnike,</w:t>
      </w:r>
    </w:p>
    <w:p w14:paraId="1CDDBC0E" w14:textId="600A6654"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poslovni register, sodni register, register transakcijskih računov, register dejanskih lastnikov in zbirka letnih poročil poslovnih subjektov, ki jih vodi oziroma objavlja Agencija Republike Slovenije za javnopravne evidence in storitve (v nadaljnjem besedilu: Ajpes),</w:t>
      </w:r>
    </w:p>
    <w:p w14:paraId="018438EF" w14:textId="6C105503"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zbirka objav v postopkih zaradi insolventnosti, ki jo vodi Vrhovno sodišče Republike Slovenije in jo na svojih spletnih straneh objavlja Ajpes,</w:t>
      </w:r>
    </w:p>
    <w:p w14:paraId="4888E61E" w14:textId="52F6EFBC"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centralne registre centralnih depotnih družb, kot jih določa zakon, ki ureja nematerializirane vrednostne papirje,</w:t>
      </w:r>
    </w:p>
    <w:p w14:paraId="46F0D6B4" w14:textId="232BA7C8"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portala javnih naročil, ki ga upravlja ministrstvo, pristojno za javna naročila,</w:t>
      </w:r>
    </w:p>
    <w:p w14:paraId="20699979" w14:textId="3EE6517E"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evidence gotovinskih transakcij in nakazil v tvegane države, ki jo upravlja Urad Republike Slovenije za preprečevanje pranja denarja,</w:t>
      </w:r>
    </w:p>
    <w:p w14:paraId="0E3187E2" w14:textId="33A52592"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evidence stvarnega premoženja subjektov javnega sektorja, kot jih določa zakon, ki ureja stvarno premoženje države in samoupravnih lokalnih skupnosti in jih upravljajo Ministrstvo za javno upravo, lokalne skupnosti in drugi subjekti javnega sektorja,</w:t>
      </w:r>
    </w:p>
    <w:p w14:paraId="1D36A32C" w14:textId="6119392B"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evidence trga nepremičnin, ki jo upravlja Geodetska uprava Republike Slovenije v delu, ki se nanaša na posle, v katerih v kakršnikoli vlogi nastopa Republika Slovenija ali lokalna skupnost, ter v delu, ki se nanaša na posle, v katerih kot kupec ali prodajalec nastopa subjekt javnega sektorja,</w:t>
      </w:r>
    </w:p>
    <w:p w14:paraId="541EA00E" w14:textId="49FB884C" w:rsidR="009A7428" w:rsidRPr="005C544E" w:rsidRDefault="009A7428" w:rsidP="00513F9F">
      <w:pPr>
        <w:pStyle w:val="Odstavekseznama"/>
        <w:numPr>
          <w:ilvl w:val="0"/>
          <w:numId w:val="63"/>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 xml:space="preserve">druge evidence, </w:t>
      </w:r>
      <w:r w:rsidR="004C18D0" w:rsidRPr="005C544E">
        <w:rPr>
          <w:rFonts w:cs="Arial"/>
          <w:szCs w:val="20"/>
          <w:lang w:eastAsia="ar-SA"/>
        </w:rPr>
        <w:t xml:space="preserve">ki ne vsebujejo osebnih podatkov ali </w:t>
      </w:r>
      <w:r w:rsidRPr="005C544E">
        <w:rPr>
          <w:rFonts w:cs="Arial"/>
          <w:szCs w:val="20"/>
          <w:lang w:eastAsia="ar-SA"/>
        </w:rPr>
        <w:t>katerih javnost predpisujejo posebni predpisi, če z njimi ni predpisana posebna ureditev njihovega dostopa ali uporabe.</w:t>
      </w:r>
    </w:p>
    <w:p w14:paraId="35EF2775"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C97C56"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Iz evidence iz prve točke prejšnjega odstavka tega člena komisija od upravljavcev zbirk pridobiva naslednje podatke:</w:t>
      </w:r>
    </w:p>
    <w:p w14:paraId="76B3B7FF" w14:textId="7D5E78D8"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datum plačila, znesek in šifra valute,</w:t>
      </w:r>
    </w:p>
    <w:p w14:paraId="67A699C9" w14:textId="478061BC"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račun obremenitve, naziv nalogodajalca, naslov nalogodajalca, kraj nalogodajalca,</w:t>
      </w:r>
    </w:p>
    <w:p w14:paraId="7D66A070" w14:textId="6DD91BEA"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model reference obremenitve in referenca obremenitve,</w:t>
      </w:r>
    </w:p>
    <w:p w14:paraId="6525E285" w14:textId="327263D7"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namen transakcije vključno z osebnimi podatki in koda namena,</w:t>
      </w:r>
    </w:p>
    <w:p w14:paraId="7968DC91" w14:textId="77777777" w:rsidR="00FB4E1D"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račun odobritve vključno z osebnimi podatki,</w:t>
      </w:r>
    </w:p>
    <w:p w14:paraId="25AE1507" w14:textId="77777777" w:rsidR="00FB4E1D"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naziv prejemnika vključno z osebnimi podatki, kraj prejemnika in država prejemnika,</w:t>
      </w:r>
    </w:p>
    <w:p w14:paraId="55FF1AC0" w14:textId="695CBC3B"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model reference odobritve in referenca odobritve vključno z osebnimi podatki,</w:t>
      </w:r>
    </w:p>
    <w:p w14:paraId="36B20A9F" w14:textId="6FB91AAF"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identifikator e-računa.</w:t>
      </w:r>
    </w:p>
    <w:p w14:paraId="674E4B8D"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B55F9A"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Iz evidence iz druge točke prvega odstavka tega člena in v zvezi z njo, komisija od upravljavcev zbirk pridobiva naslednje podatke:</w:t>
      </w:r>
    </w:p>
    <w:p w14:paraId="662168B1" w14:textId="0255D70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vsakokrat veljavnem kontnem načrtu,</w:t>
      </w:r>
    </w:p>
    <w:p w14:paraId="2ABA2EA9" w14:textId="3D186655"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datumu poslovnega dogodka in knjižbe,</w:t>
      </w:r>
    </w:p>
    <w:p w14:paraId="439CD380" w14:textId="4052A87A"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oznaki knjigovodske listine, ki je bila podlaga za knjižbo,</w:t>
      </w:r>
    </w:p>
    <w:p w14:paraId="726AA1A0" w14:textId="277E798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znesku in kontu, vključno z analitičnimi podkonti, na katerega je bil knjižen dogodek (tako na debetni kot na kreditni strani),</w:t>
      </w:r>
    </w:p>
    <w:p w14:paraId="7FC765F1" w14:textId="72A2D54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opisu poslovnega dogodka, vključno z osebnimi podatki,</w:t>
      </w:r>
    </w:p>
    <w:p w14:paraId="1F9EC145" w14:textId="7CE66722"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namen nakazila iz šifranta, kadar ta obstaja.</w:t>
      </w:r>
    </w:p>
    <w:p w14:paraId="28692B24"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5A8CAF5"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Iz evidence iz tretje točke prvega odstavka tega člena komisija pridobiva naslednje podatke:</w:t>
      </w:r>
    </w:p>
    <w:p w14:paraId="177F12C4" w14:textId="25BDB02A"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iz ovojnice e-računa in e-račun, kot ju določa zakon, ki ureja opravljanje plačilnih storitev</w:t>
      </w:r>
      <w:r w:rsidR="00BA5D9F">
        <w:rPr>
          <w:rFonts w:cs="Arial"/>
          <w:szCs w:val="20"/>
          <w:lang w:eastAsia="ar-SA"/>
        </w:rPr>
        <w:t xml:space="preserve"> </w:t>
      </w:r>
      <w:r w:rsidRPr="005C544E">
        <w:rPr>
          <w:rFonts w:cs="Arial"/>
          <w:szCs w:val="20"/>
          <w:lang w:eastAsia="ar-SA"/>
        </w:rPr>
        <w:t>za proračunske uporabnike, vključno z osebnimi podatki,</w:t>
      </w:r>
    </w:p>
    <w:p w14:paraId="00FFA30D" w14:textId="56BE363C"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identifikator in status e-računa.</w:t>
      </w:r>
    </w:p>
    <w:p w14:paraId="6A1EE5E3"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663033"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Iz evidence iz četrte točke prvega odstavka tega člena komisija pridobiva naslednje podatke:</w:t>
      </w:r>
    </w:p>
    <w:p w14:paraId="7153E7B2" w14:textId="5B9D6D3F"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podatke o osebah povezanih s posameznim poslovnim subjektom: osebno ime, davčna in matična številka ustanoviteljev, sedanjih in nekdanjih družbenikov ter njihov poslovni delež; osebno ime in davčna in matična številka članov nadzornih in poslovodnih organov ali drugih zastopnikov ter njihov položaj v poslovnem subjektu, datum podelitve pooblastila oziroma datum izvolitve ali njihovega imenovanja ter datum prenehanja pooblastila;</w:t>
      </w:r>
    </w:p>
    <w:p w14:paraId="3AEC8955" w14:textId="522745A2"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podatke o dejanskih lastnikih: osebno ime in naslov ter državljanstvo, višina lastniškega deleža ali navedba drugega načina nadzora;</w:t>
      </w:r>
    </w:p>
    <w:p w14:paraId="1F5D4A7D" w14:textId="60DE3A3C"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podatke o imenu in priimku, davčni številki ter transakcijskem računu fizičnih oseb, imetnikov transakcijskih računov, ki so prejemniki transakcij iz 1. točke prvega odstavka tega člena, kadar je iz kode namena transakcije razvidno, da se izplačilo nanaša na donatorske, sponzorske, svetovalne pogodbe in druge avtorske ali druge intelektualne storitve ter enake podatke o fizičnih osebah, ki so imetniki transakcijskih računov, ki so prejemniki transakcij, ki presegajo mesečno bruto plačo predsednika republike,</w:t>
      </w:r>
    </w:p>
    <w:p w14:paraId="58FF5142" w14:textId="5C23B6C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druge podatke v zvezi s poslovnimi subjekti, pri katerih ne gre za osebne podatke.</w:t>
      </w:r>
    </w:p>
    <w:p w14:paraId="55DD457D"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BFB78F"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Iz evidence pete točke prvega odstavka tega člena, komisija pridobiva podatke, ki jih na svojih spletnih straneh objavlja Ajpes.</w:t>
      </w:r>
    </w:p>
    <w:p w14:paraId="69F1B90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54E1DD"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Iz evidence iz šeste točke prvega odstavka tega člena, komisija pridobiva naslednje podatke:</w:t>
      </w:r>
    </w:p>
    <w:p w14:paraId="4869D9B0" w14:textId="78EB7554"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osebno ime in davčno številko (pri fizičnih osebah) oziroma naziv ali firmo, davčno številko, matično številko in naslov (pri poslovnih subjektih) imetnikov vrednostnih papirjev in število posameznih vrednostnih papirjev,</w:t>
      </w:r>
    </w:p>
    <w:p w14:paraId="1FD11F43" w14:textId="1BF9492D"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oznake vrednostnih papirjev, število izdanih vrednostnih papirjev ter druge podatke o vrednostnih papirjih iz centralnega registra nematerializiranih vrednostnih papirjev.</w:t>
      </w:r>
    </w:p>
    <w:p w14:paraId="34A91D84"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DE121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Iz portala javnih naročil iz sedme točke prvega odstavka tega člena komisija pridobiva podatke iz obvestil, ki jih javni naročniki objavijo v zvezi z izvajanjem postopkov javnega naročanja, koncesij in javno zasebnih partnerstev, o sklenjenih pogodbah, vključno s spletnimi povezavami na vsebino pogodb.</w:t>
      </w:r>
    </w:p>
    <w:p w14:paraId="2067EA19"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8C8557"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Iz evidence iz osme točke prvega odstavka tega člena komisija pridobiva podatke o gotovinskih transakcijah in nakazilih v tvegane države, ki se javno objavljajo na podlagi zakona, ki ureja preprečevanje pranja denarja in financiranja terorizma.</w:t>
      </w:r>
    </w:p>
    <w:p w14:paraId="22E446A7"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774BA9"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(10) Iz evidenc iz devete točke prvega odstavka tega člena komisija pridobiva naslednje podatke:</w:t>
      </w:r>
    </w:p>
    <w:p w14:paraId="3D9E67D0" w14:textId="0148284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parcelna številka in šifra katastrske občine,</w:t>
      </w:r>
    </w:p>
    <w:p w14:paraId="0101731A" w14:textId="78D1C066"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številka stavbe in številka dela stavbe ter šifra katastrske občine,</w:t>
      </w:r>
    </w:p>
    <w:p w14:paraId="2FA96C6F" w14:textId="3B887978"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lastnik, vključno z osebnimi podatki,</w:t>
      </w:r>
    </w:p>
    <w:p w14:paraId="11B1BCD0" w14:textId="1A346EF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upravljavec, vključno z osebnimi podatki,</w:t>
      </w:r>
    </w:p>
    <w:p w14:paraId="6AA53869" w14:textId="5B80978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lastniški delež,</w:t>
      </w:r>
    </w:p>
    <w:p w14:paraId="5F720938" w14:textId="054A32BF"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zaznamba javnega dobra,</w:t>
      </w:r>
    </w:p>
    <w:p w14:paraId="34D88F3F" w14:textId="3E4A1F20"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stvarne pravice,</w:t>
      </w:r>
    </w:p>
    <w:p w14:paraId="72FC3EEC" w14:textId="226A09D4"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površina parcele,</w:t>
      </w:r>
    </w:p>
    <w:p w14:paraId="5206D82C" w14:textId="06FCC728"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površina dela stavbe,</w:t>
      </w:r>
    </w:p>
    <w:p w14:paraId="6B9FF450" w14:textId="4F9D7CAB"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naslov stavbe ali dela stavbe in</w:t>
      </w:r>
    </w:p>
    <w:p w14:paraId="726C8337" w14:textId="3A724FCE"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vrsta rabe dela stavbe.</w:t>
      </w:r>
    </w:p>
    <w:p w14:paraId="47F2D362"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A440ED"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(11) Iz evidenc iz desete točke prvega odstavka tega člena komisija pridobiva naslednje podatke:</w:t>
      </w:r>
    </w:p>
    <w:p w14:paraId="3D5B9445" w14:textId="555994CC"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osebno ime, naslov pogodbene stranke, ki je fizična oseba, ali ime oziroma firma, sedež in matična številka pogodbene stranke, ki je pravna oseba, ter država sedeža ter pravnoorganizacijska oblika pogodbenih strank,</w:t>
      </w:r>
    </w:p>
    <w:p w14:paraId="7D54028A" w14:textId="4E281936"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datum sklenitve pravnega posla, za najemne pravne posle pa tudi datum začetka in prenehanja najema,</w:t>
      </w:r>
    </w:p>
    <w:p w14:paraId="1AF2626B" w14:textId="1D98051A"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vrsta pravnega posla,</w:t>
      </w:r>
    </w:p>
    <w:p w14:paraId="5FB66721" w14:textId="17DC8BCD"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vrsta nepremičnine, za najemne posle pa tudi vrsta in velikost oddane površine,</w:t>
      </w:r>
    </w:p>
    <w:p w14:paraId="739F4908" w14:textId="335BF443"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identifikacijska oznaka parcel, stavb in delov stavb,</w:t>
      </w:r>
    </w:p>
    <w:p w14:paraId="40C1B543" w14:textId="1CFE86C2"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podatki o nepremičninah, ki so predmet pravnih poslov,</w:t>
      </w:r>
    </w:p>
    <w:p w14:paraId="6253A0D5" w14:textId="5139A236"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cena ali najemnina in</w:t>
      </w:r>
    </w:p>
    <w:p w14:paraId="3D4DEEE2" w14:textId="1984B10C" w:rsidR="009A7428" w:rsidRPr="005C544E" w:rsidRDefault="009A7428" w:rsidP="00513F9F">
      <w:pPr>
        <w:pStyle w:val="Odstavekseznama"/>
        <w:numPr>
          <w:ilvl w:val="0"/>
          <w:numId w:val="31"/>
        </w:numPr>
        <w:suppressAutoHyphens/>
        <w:overflowPunct w:val="0"/>
        <w:autoSpaceDE w:val="0"/>
        <w:spacing w:line="240" w:lineRule="auto"/>
        <w:jc w:val="both"/>
        <w:textAlignment w:val="baseline"/>
        <w:rPr>
          <w:rFonts w:cs="Arial"/>
          <w:szCs w:val="20"/>
          <w:lang w:eastAsia="ar-SA"/>
        </w:rPr>
      </w:pPr>
      <w:r w:rsidRPr="005C544E">
        <w:rPr>
          <w:rFonts w:cs="Arial"/>
          <w:szCs w:val="20"/>
          <w:lang w:eastAsia="ar-SA"/>
        </w:rPr>
        <w:t>druge podatke, ki vplivajo na ceno ali najemnino.</w:t>
      </w:r>
    </w:p>
    <w:p w14:paraId="71D23654"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7B39BD"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(12) Iz evidenc iz enajste točke prvega odstavka tega člena lahko komisija pridobiva podatke, če je za podatke z zakonom predpisana javnost in ni predpisana posebna ureditev za dostop ali uporabo teh podatkov.</w:t>
      </w:r>
    </w:p>
    <w:p w14:paraId="1A62E00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383FC2" w14:textId="5B3D5261"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(13) Kadar komisija pridobi podatke o pravni oziroma fizični osebi iz že obstoječih zbirk osebnih podatkov, o tem ni dolžna obvestiti tistega, na katerega se podatki nanašajo. </w:t>
      </w:r>
      <w:r w:rsidR="00E34215" w:rsidRPr="005C544E">
        <w:rPr>
          <w:rFonts w:ascii="Arial" w:eastAsia="Times New Roman" w:hAnsi="Arial" w:cs="Arial"/>
          <w:sz w:val="20"/>
          <w:szCs w:val="20"/>
          <w:lang w:eastAsia="ar-SA"/>
        </w:rPr>
        <w:t xml:space="preserve">Pravica dostopa posameznika do lastnih osebnih podatkov se uveljavlja neposredno pri upravljavcu evidence iz prvega odstavka tega člena. </w:t>
      </w:r>
      <w:r w:rsidRPr="005C544E">
        <w:rPr>
          <w:rFonts w:ascii="Arial" w:eastAsia="Times New Roman" w:hAnsi="Arial" w:cs="Arial"/>
          <w:sz w:val="20"/>
          <w:szCs w:val="20"/>
          <w:lang w:eastAsia="ar-SA"/>
        </w:rPr>
        <w:t xml:space="preserve">Upravljavci zbirk podatkov so komisiji na njeno zaprosilo dolžni posredovati podatke, ki jih ta potrebuje za izvrševanje nalog po tem zakonu. O načinu posredovanja </w:t>
      </w:r>
      <w:r w:rsidR="00E34215" w:rsidRPr="005C544E">
        <w:rPr>
          <w:rFonts w:ascii="Arial" w:eastAsia="Times New Roman" w:hAnsi="Arial" w:cs="Arial"/>
          <w:sz w:val="20"/>
          <w:szCs w:val="20"/>
          <w:lang w:eastAsia="ar-SA"/>
        </w:rPr>
        <w:t xml:space="preserve">in sporočanju sprememb v že posredovanih podatkih, še zlasti glede sprememb podatkov, ki se po naslednjem členu javno objavljajo, </w:t>
      </w:r>
      <w:r w:rsidRPr="005C544E">
        <w:rPr>
          <w:rFonts w:ascii="Arial" w:eastAsia="Times New Roman" w:hAnsi="Arial" w:cs="Arial"/>
          <w:sz w:val="20"/>
          <w:szCs w:val="20"/>
          <w:lang w:eastAsia="ar-SA"/>
        </w:rPr>
        <w:t>podatkov komisija s posameznimi upravljavci podatkov sklene dogovor.</w:t>
      </w:r>
    </w:p>
    <w:p w14:paraId="2EF2D490"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D15F0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(14) Določbe tega člena se ne uporabljajo za podatke, varovane z določbami zakona, ki ureja tajne podatke.</w:t>
      </w:r>
    </w:p>
    <w:p w14:paraId="5F3814D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7E6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(15) Kot povezovalni znak se pri fizičnih osebah uporablja davčna številka, EMŠO ali transakcijski račun, pri poslovnih subjektih davčna številka, matična številka ali transakcijski račun, pri proračunskih uporabnikih šifra proračunskega uporabnika, davčna številka, matična številka ali transakcijski račun, pri e-računih identifikator e-računa, pri nepremičninah pa identifikacijska oznaka nepremičnine. Komisija lahko za povezovanje zbirk uporablja tudi druge identifikatorje, ki jih vsebujejo posamezne evidence.</w:t>
      </w:r>
    </w:p>
    <w:p w14:paraId="20940AA9"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A69AA7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(16) Komisija lahko podatke iz tega člena pridobiva neposredno od upravljavcev evidenc iz prvega odstavka tega člena tudi za obdobje zadnjih 10 let.</w:t>
      </w:r>
    </w:p>
    <w:p w14:paraId="72BCA1F7"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9E76AB" w14:textId="77777777" w:rsidR="009A7428" w:rsidRPr="005C544E"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75.b člen</w:t>
      </w:r>
    </w:p>
    <w:p w14:paraId="5F3B545D" w14:textId="77777777" w:rsidR="009A7428" w:rsidRPr="005C544E" w:rsidRDefault="009A7428" w:rsidP="00513F9F">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(objava podatkov o denarnih tokovih subjektov javnega sektorja)</w:t>
      </w:r>
    </w:p>
    <w:p w14:paraId="02205040"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B36046" w14:textId="7795C9FA"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Komisija zaradi zagotavljanja transparentnosti porabe javnih sredstev in finančnih sredstev poslovnih subjektov javnega sektorja zaradi krepitve integritete in omejevanja korupcijskih tveganj, ter nadzora javnosti nad smotrnostjo porabe javnih sredstev, na spletni strani objavi podatke iz prejšnjega člena, pod pogoji, določenimi v tem členu.</w:t>
      </w:r>
    </w:p>
    <w:p w14:paraId="788119A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BC2CDD4"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V celoti se objavijo podatki iz četrtega, šestega, osmega, devetega in dvanajstega odstavka prejšnjega člena.</w:t>
      </w:r>
    </w:p>
    <w:p w14:paraId="4B5EF8AF"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773408"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Ne objavijo se podatki iz drugega odstavka prejšnjega člena o transakcijskem računu, naslovu prejemnika in davčni številki prejemnika, ki je fizična oseba. Prav tako se ne objavijo podatki o osebnem imenu prejemnika ter podatki o namenu transakcije, razen kadar je iz kode namena razvidno, da se izplačilo nanaša na donatorske, sponzorske, svetovalne pogodbe in druge avtorske ali druge intelektualne storitve ter na transakcije, ki presegajo mesečno bruto plačo predsednika republike.</w:t>
      </w:r>
    </w:p>
    <w:p w14:paraId="1913E44F"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2A7687"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Ne objavijo se podatki iz tretjega odstavka prejšnjega člena o besedilnem opisu poslovnega dogodka, razen kadar je iz kode namena transakcije, na katero se knjižba nanaša, razvidno, da se poslovni dogodek nanaša na donatorske, sponzorske, svetovalne pogodbe in druge avtorske ali druge intelektualne storitve ter na transakcije, ki presegajo mesečno bruto plačo predsednika republike.</w:t>
      </w:r>
    </w:p>
    <w:p w14:paraId="1711EBFE"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59725A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Objavijo se le podatki iz petega odstavka prejšnjega člena, ki jih Ajpes objavlja na podlagi zakona in na način oziroma z omejitvami, ki jih določa zakon.</w:t>
      </w:r>
    </w:p>
    <w:p w14:paraId="328D0C61"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20B75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Ne objavijo se podatki iz sedmega odstavka prejšnjega člena o davčni številki fizičnih oseb, prav tako pa se ne objavijo podatki o osebnem imenu tistih fizičnih oseb, katerih delež imetništva vrednostnih papirjev posameznega subjekta ne presega 5 odstotkov.</w:t>
      </w:r>
    </w:p>
    <w:p w14:paraId="4A272142"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A33BCD6"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Za spletno objavo in omogočanje spletnega iskanja po osebnih podatkih posameznega družbenika, ustanovitelja, zastopnika, nadzornika, imetnika ali dejanskega lastnika veljajo omejitve, kot so določene v zakonu, ki ureja sodni register, zakonu ki ureja poslovni register in zakonu o preprečevanju pranja denarja in financiranja terorizma.</w:t>
      </w:r>
    </w:p>
    <w:p w14:paraId="0DE0521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04D544B" w14:textId="77777777" w:rsidR="00FB4E1D"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Ne objavijo se osebni podatki iz desetega odstavka prejšnjega člena o fizičnih osebah.</w:t>
      </w:r>
    </w:p>
    <w:p w14:paraId="22729F29" w14:textId="07ACEEAF"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250A15E"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Ne objavijo se osebni podatki iz enajstega odstavka prejšnjega člena o fizičnih osebah.</w:t>
      </w:r>
    </w:p>
    <w:p w14:paraId="0A4B52D7"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B237E5" w14:textId="77777777" w:rsidR="00FB4E1D"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(10) Objavijo se podatki iz evidence premoženjskega stanja iz drugega odstavka 46. člena tega zakona, evidence zapisov o stikih z lobisti iz drugega odstavka 68. člena tega zakona in evidenco poslovnih subjektov iz 35. člena tega zakona.</w:t>
      </w:r>
    </w:p>
    <w:p w14:paraId="06488CAE" w14:textId="5B7B1A71"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849ADC7" w14:textId="5842EDA4"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(11) Komisija podatke, ki jih objavlja po tem členu, redno posodablja in objavlja. V primeru ugotovljene napake v objavljenih podatkih, ki jih vodi komisija, se skupaj s popravljenim podatkom objavi uradni zaznamek o popravku.</w:t>
      </w:r>
    </w:p>
    <w:p w14:paraId="1AA3896B" w14:textId="77777777" w:rsidR="001C196E" w:rsidRPr="005C544E" w:rsidRDefault="001C196E"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C670E1" w14:textId="487261CC"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(12) Oseba z upravičenim pravnim interesom lahko zahteva odpravo napake v objavljenih podatkih, ki jih vodi komisija. Komisija o odpravi napake odloči z odločbo, skladno z zakonom, ki ureja splošni upravni postopek. Če komisija zahtevku v celoti ugodi, o tem napravi uradni zaznamek. Če komisija zahtevek zavrne, lahko ta oseba zahteva, da se ob objavljenih spornih podatkih, na primeren način objavi njeno pojasnilo o spornih podatkih, odločbo komisije in druge relevantne dokumente. Zoper odločbo komisije ni dovoljena pritožba.</w:t>
      </w:r>
    </w:p>
    <w:p w14:paraId="65E5470C" w14:textId="77777777" w:rsidR="009A7428"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1ADB7E" w14:textId="77777777" w:rsidR="00E34215" w:rsidRPr="005C544E" w:rsidRDefault="009A7428"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(13) Komisija hrani in zagotavlja dostopnost podatkov 10 let od njihove objave. Podatke iz evidence transakcij, ki so starejši od 10 let, komisija preda Arhivu Republike Slovenije in odstrani s svoje spletne strani. Podatki, ki jih objavlja komisija, morajo biti dostopni tudi v strojno berljivi obliki, skupaj z meta podatki, ki definirajo njihovo strukturo in omogočajo enostavno ponovno uporabo. Podatki, ki se objavljajo na spletnih straneh, razen podatkov iz petega, šestega in devetega odstavka tega člena, se objavijo tudi v Nacionalnem portalu odprtih podatkov.</w:t>
      </w:r>
    </w:p>
    <w:p w14:paraId="15ADA9A4" w14:textId="77777777" w:rsidR="00E34215" w:rsidRPr="005C544E"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66ED0F" w14:textId="79E15EC7" w:rsidR="009A7428" w:rsidRPr="005C544E" w:rsidRDefault="00E34215" w:rsidP="009A7428">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(14) Ne glede na določbe zakona, ki ureja dostop do informacij javnega značaja</w:t>
      </w:r>
      <w:r w:rsidR="00CC7FD2">
        <w:rPr>
          <w:rFonts w:ascii="Arial" w:eastAsia="Times New Roman" w:hAnsi="Arial" w:cs="Arial"/>
          <w:sz w:val="20"/>
          <w:szCs w:val="20"/>
          <w:lang w:eastAsia="ar-SA"/>
        </w:rPr>
        <w:t>,</w:t>
      </w:r>
      <w:r w:rsidRPr="005C544E">
        <w:rPr>
          <w:rFonts w:ascii="Arial" w:eastAsia="Times New Roman" w:hAnsi="Arial" w:cs="Arial"/>
          <w:sz w:val="20"/>
          <w:szCs w:val="20"/>
          <w:lang w:eastAsia="ar-SA"/>
        </w:rPr>
        <w:t xml:space="preserve"> so podatki iz prejšnjega člena na podlagi zahteve za ponovno uporabo prosilcem dostopni samo pri upravljavcu evidence iz prvega odstavka prejšnjega člena.</w:t>
      </w:r>
      <w:r w:rsidR="009A7428" w:rsidRPr="005C544E">
        <w:rPr>
          <w:rFonts w:ascii="Arial" w:eastAsia="Times New Roman" w:hAnsi="Arial" w:cs="Arial"/>
          <w:sz w:val="20"/>
          <w:szCs w:val="20"/>
          <w:lang w:eastAsia="ar-SA"/>
        </w:rPr>
        <w:t>«.</w:t>
      </w:r>
    </w:p>
    <w:p w14:paraId="5DB456C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6A72C5E5" w14:textId="361A444C"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39</w:t>
      </w:r>
      <w:r w:rsidR="0055047E" w:rsidRPr="005C544E">
        <w:rPr>
          <w:rFonts w:ascii="Arial" w:eastAsia="Times New Roman" w:hAnsi="Arial" w:cs="Arial"/>
          <w:b/>
          <w:bCs/>
          <w:sz w:val="20"/>
          <w:szCs w:val="20"/>
          <w:lang w:eastAsia="ar-SA"/>
        </w:rPr>
        <w:t>. člen</w:t>
      </w:r>
    </w:p>
    <w:p w14:paraId="501ED0B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39ACE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76. člena se spremeni tako, da se glasi:</w:t>
      </w:r>
    </w:p>
    <w:p w14:paraId="44AA40F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8B9FB8" w14:textId="2471F59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Komisija podatke, informacije in dokumentacijo, pridobljeno na podlagi tega zakona, hrani deset let</w:t>
      </w:r>
      <w:r w:rsidR="004A3223" w:rsidRPr="005C544E">
        <w:rPr>
          <w:rFonts w:ascii="Arial" w:eastAsia="Times New Roman" w:hAnsi="Arial" w:cs="Arial"/>
          <w:sz w:val="20"/>
          <w:szCs w:val="20"/>
          <w:lang w:eastAsia="ar-SA"/>
        </w:rPr>
        <w:t>.</w:t>
      </w:r>
      <w:r w:rsidRPr="005C544E">
        <w:rPr>
          <w:rFonts w:ascii="Arial" w:eastAsia="Times New Roman" w:hAnsi="Arial" w:cs="Arial"/>
          <w:sz w:val="20"/>
          <w:szCs w:val="20"/>
          <w:lang w:eastAsia="ar-SA"/>
        </w:rPr>
        <w:t xml:space="preserve"> </w:t>
      </w:r>
      <w:r w:rsidR="00865032" w:rsidRPr="005C544E">
        <w:rPr>
          <w:rFonts w:ascii="Arial" w:eastAsia="Times New Roman" w:hAnsi="Arial" w:cs="Arial"/>
          <w:sz w:val="20"/>
          <w:szCs w:val="20"/>
          <w:lang w:eastAsia="ar-SA"/>
        </w:rPr>
        <w:t>Z dokumentacijo se ravna v skladu s predpisi, ki urejajo varstvo dokumentarnega gradiva.</w:t>
      </w:r>
    </w:p>
    <w:p w14:paraId="517B3B1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960A9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Komisija vodi naslednje evidence podatkov:</w:t>
      </w:r>
    </w:p>
    <w:p w14:paraId="3A210FA8"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in drugih državnih organov na področju preprečevanja korupcije,</w:t>
      </w:r>
    </w:p>
    <w:p w14:paraId="216280EA" w14:textId="77777777" w:rsidR="0055047E" w:rsidRPr="005C544E"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evidenco funkcionarjev, uradnikov na položaju, poslovodnih oseb in oseb, odgovornih za javna naročila iz 4. člena tega zakona (osebno ime, EMŠO, davčna številka, funkcija oziroma položaj, naslov stalnega bivališča), za namene ugotavljanja zavezancev, njihove istovetnosti in preverjanja podatkov ter odločanja po tem zakonu,</w:t>
      </w:r>
    </w:p>
    <w:p w14:paraId="5AF86587"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zadev s področja mednarodne korupcije v skladu z osmo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065BC1B1"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09224805"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03319B72"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1251DA9"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bCs/>
          <w:sz w:val="20"/>
          <w:szCs w:val="20"/>
          <w:lang w:eastAsia="ar-SA"/>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27EFAD8C"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evidenco poslovnih subjektov iz 35. člena tega zakona (osebno ime funkcionarja, EMŠO, naslov stalnega bivališča, organ ali organizacija javnega sektorja, kjer funkcionar opravlja funkcijo, datum nastopa in prenehanja omejitve, naziv, sedež, matična in davčna številko poslovnega subjekta, način udeležbe funkcionarja ali njegovih družinskih članov v poslovnem subjektu),</w:t>
      </w:r>
    </w:p>
    <w:p w14:paraId="30E1937A" w14:textId="77777777" w:rsidR="0055047E" w:rsidRPr="005C544E"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E36AF6"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zavezancev iz prvega odstavka 41. člena tega zakona, ki vsebuje podatke iz prvega in drugega odstavka 42. člena tega zakona,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8B4FB0" w14:textId="77777777" w:rsidR="0055047E" w:rsidRPr="005C544E"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in sodelovanja s pristojnimi državnimi organi,</w:t>
      </w:r>
    </w:p>
    <w:p w14:paraId="267CD121"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oseb iz druge alineje tretjega odstavka 47. člena tega zakona (osebno ime, delovno mesto, organ) za namene učinkovitega izvajanja načrta integritete in usposabljanja oseb, odgovornih za načrt integritete,</w:t>
      </w:r>
    </w:p>
    <w:p w14:paraId="1D6FAFB0"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funkcionarjev, zoper katere je komisija predlagala uveljavljanje odgovornosti zaradi neizvajanja ukrepov iz resolucije (tretji odstavek 53. člena tega zakona), ki vsebuje podatke iz prve alineje tega odstavka, za namene uresničevanja resolucije, in predlaganja ukrepov v primeru njihovega neizvajanja,</w:t>
      </w:r>
    </w:p>
    <w:p w14:paraId="60B3BE77"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 register lobistov, ki vsebuje podatke iz tretjega odstavka 58. člena tega zakona, za namene zagotavljanja zakonitosti, ugotavljanja, odločanja ter nadzora nad lobiranjem,</w:t>
      </w:r>
    </w:p>
    <w:p w14:paraId="6A9EB8AA"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samostojnih podjetnikov, gospodarskih družb oziroma interesnih organizacij, za katere lobirajo lobisti (naziv, davčna številka) iz 58. člena tega zakona, za namene zagotavljanja zakonitosti, ugotavljanja, odločanja ter nadzora nad lobiranjem,</w:t>
      </w:r>
    </w:p>
    <w:p w14:paraId="661F3F00" w14:textId="373393A4" w:rsidR="0055047E" w:rsidRPr="005C544E" w:rsidRDefault="0055047E" w:rsidP="006F190F">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evidenco lobističnih stikov iz 68. člena tega zakona (ime in priimek položaj ali funkcija lobiranca, naziv organa, politične stranke, poslanske skupine ali institucije, datum stika, področje in interesna organizacija, za katero je lobist lobiral, namen in cilj lobiranja, ime in priimek </w:t>
      </w:r>
      <w:r w:rsidR="00571FED" w:rsidRPr="005C544E">
        <w:rPr>
          <w:rFonts w:ascii="Arial" w:eastAsia="Times New Roman" w:hAnsi="Arial" w:cs="Arial"/>
          <w:bCs/>
          <w:sz w:val="20"/>
          <w:szCs w:val="20"/>
          <w:lang w:eastAsia="ar-SA"/>
        </w:rPr>
        <w:t xml:space="preserve">in davčna številka </w:t>
      </w:r>
      <w:r w:rsidRPr="005C544E">
        <w:rPr>
          <w:rFonts w:ascii="Arial" w:eastAsia="Times New Roman" w:hAnsi="Arial" w:cs="Arial"/>
          <w:bCs/>
          <w:sz w:val="20"/>
          <w:szCs w:val="20"/>
          <w:lang w:eastAsia="ar-SA"/>
        </w:rPr>
        <w:t>lobista, vpisanega v registru lobistov v Republiki Sloveniji, zakonitega zastopnika ali izvoljenega predstavnika interesne organizacije) za namene izvajanja nadzora nad lobiranjem in krepitve transparentnosti vplivov na odločanje v javnem sektorju</w:t>
      </w:r>
      <w:bookmarkStart w:id="13" w:name="_Hlk515631922"/>
      <w:r w:rsidRPr="005C544E">
        <w:rPr>
          <w:rFonts w:ascii="Arial" w:eastAsia="Times New Roman" w:hAnsi="Arial" w:cs="Arial"/>
          <w:bCs/>
          <w:sz w:val="20"/>
          <w:szCs w:val="20"/>
          <w:lang w:eastAsia="ar-SA"/>
        </w:rPr>
        <w:t>; evidenca, ki jo komisija vodi v elektronski obliki, je javno dostopna</w:t>
      </w:r>
      <w:bookmarkEnd w:id="13"/>
      <w:r w:rsidRPr="005C544E">
        <w:rPr>
          <w:rFonts w:ascii="Arial" w:eastAsia="Times New Roman" w:hAnsi="Arial" w:cs="Arial"/>
          <w:bCs/>
          <w:sz w:val="20"/>
          <w:szCs w:val="20"/>
          <w:lang w:eastAsia="ar-SA"/>
        </w:rPr>
        <w:t>,</w:t>
      </w:r>
    </w:p>
    <w:p w14:paraId="57C0DCC2" w14:textId="77777777" w:rsidR="0055047E" w:rsidRPr="005C544E" w:rsidRDefault="0055047E" w:rsidP="006F190F">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E1DEB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28C21B" w14:textId="3032F0D1"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Podatki iz evidence lobističnih stikov predstavljajo javno dostopne informacije javnega značaja, ki jih komisija objavlja na svojih spletnih straneh, ob pogoju navedbe vira je dovoljena njihova brezplačna in neomejena ponovna uporaba.«.</w:t>
      </w:r>
    </w:p>
    <w:p w14:paraId="56AB5A2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AF5E6C" w14:textId="42E82A21"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40</w:t>
      </w:r>
      <w:r w:rsidR="0055047E" w:rsidRPr="005C544E">
        <w:rPr>
          <w:rFonts w:ascii="Arial" w:eastAsia="Times New Roman" w:hAnsi="Arial" w:cs="Arial"/>
          <w:b/>
          <w:bCs/>
          <w:sz w:val="20"/>
          <w:szCs w:val="20"/>
          <w:lang w:eastAsia="ar-SA"/>
        </w:rPr>
        <w:t>. člen</w:t>
      </w:r>
    </w:p>
    <w:p w14:paraId="10C6023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4EEB0B" w14:textId="77777777" w:rsidR="0055047E" w:rsidRPr="005C544E" w:rsidRDefault="0055047E" w:rsidP="0055047E">
      <w:pPr>
        <w:suppressAutoHyphens/>
        <w:overflowPunct w:val="0"/>
        <w:autoSpaceDE w:val="0"/>
        <w:spacing w:after="0" w:line="240" w:lineRule="auto"/>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Besedilo 77. člena se spremeni tako, da se glasi:</w:t>
      </w:r>
    </w:p>
    <w:p w14:paraId="499BC54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7EC558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 Z globo od 400 do 1.200 eurov se kaznuje za prekršek posameznik, ki:</w:t>
      </w:r>
    </w:p>
    <w:p w14:paraId="4099742E"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se v nasprotju z določbo šestega odstavka 15.a člena tega zakona brez opravičljivih razlogov ne odzove na razgovor na seji komisije ali v nasprotju z določbo druge alineje tretjega odstavka 15.b člena ne odgovarja na vprašanja komisije iz njene pristojnosti, razen v primerih iz tretje alineje tretjega odstavka 15.b člena,</w:t>
      </w:r>
    </w:p>
    <w:p w14:paraId="5A0AF0A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drugega odstavka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BE749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četrtega odstavka 23. člena tega zakona ugotavlja identiteto prijavitelja, ki je prijavo podal v dobri veri oziroma je utemeljeno sklepal, da so njegovi podatki resnični,</w:t>
      </w:r>
    </w:p>
    <w:p w14:paraId="558B4A06"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drugega odstavka 26. člena tega zakona komisije ne obvesti o opravljanju poklicne ali druge dejavnosti,</w:t>
      </w:r>
    </w:p>
    <w:p w14:paraId="5BA3B68C"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tretjega odstavka 26. člena tega zakona ne spoštuje odločbe o prepovedi opravljanja dodatne dejavnosti ali pogojev in omejitev, ki mu jih je z odločbo postavila komisija,</w:t>
      </w:r>
    </w:p>
    <w:p w14:paraId="329F080E" w14:textId="5FA50044"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določbami 30. člena tega zakona sprejme darilo v zvezi z opravljanjem svoje funkcije ali javne službe ali v zvezi s svojim položajem,</w:t>
      </w:r>
    </w:p>
    <w:p w14:paraId="1A04C9D8"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šestega odstavka 35. člena tega zakona organu ali organizaciji javnega sektorja, v katerem opravlja funkcijo, pisno ne sporoči podatkov,</w:t>
      </w:r>
    </w:p>
    <w:p w14:paraId="44C02541"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prvega odstavka 36. člena tega zakona v roku dveh let po prenehanju funkcije v razmerju do organa ali organizacije javnega sektorja, v katerem je opravljal svojo funkcijo, nastopi kot predstavnik pravne osebe, ki s tem organom ima ali vzpostavlja poslovne stike,</w:t>
      </w:r>
    </w:p>
    <w:p w14:paraId="1A621AE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se v nasprotju z določbo prvega odstavka 38. člena tega zakona ne izloči iz postopka obravnave in odločanja v zadevi, in pisno ne obvesti nadrejenega oziroma predstojnika, ali v nasprotju z določbo petega odstavka 38. člena tega zakona ne obvesti komisije,</w:t>
      </w:r>
    </w:p>
    <w:p w14:paraId="40AE3C0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drugega ali tretjega odstavka 41. člena tega zakona komisiji ne sporoči podatkov o premoženjskem stanju,</w:t>
      </w:r>
    </w:p>
    <w:p w14:paraId="7740950D"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prijavo o premoženjskem stanju iz 42. in 43. člena tega zakona ali v njene dopolnitve ne vpiše potrebnih podatkov ali vpiše lažne podatke,</w:t>
      </w:r>
    </w:p>
    <w:p w14:paraId="03A317C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prvega odstavka 43. člena tega zakona komisiji ne sporoči sprememb podatkov,</w:t>
      </w:r>
    </w:p>
    <w:p w14:paraId="22D2D653"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tretjega odstavka 56. člena tega zakona opravlja dejanja lobiranja še pred potekom dveh let, odkar mu je prenehala funkcija,</w:t>
      </w:r>
    </w:p>
    <w:p w14:paraId="0D750320"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opravlja dejanja lobiranja, čeprav ni vpisan v register lobistov skladno s prvim odstavkom 58. člena in ni izvzet iz obveznosti registracije na podlagi četrtega odstavka 58. člena tega zakona,</w:t>
      </w:r>
    </w:p>
    <w:p w14:paraId="5D05955A"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kot lobiranec v skladu z določbo drugega odstavka 68. člena tega zakona ne posreduje komisiji zapisa o lobiranju,</w:t>
      </w:r>
    </w:p>
    <w:p w14:paraId="3A3F7669"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petega odstavka 68. člena tega zakona v osmih dneh ne dopolni zapisa lobiranja,</w:t>
      </w:r>
    </w:p>
    <w:p w14:paraId="2FAE7662"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kot lobiranec v nasprotju z določbo 69. člena tega zakona ne odkloni stika z lobistom, ki ni vpisan v register lobistov ali stika, pri katerem bi nastalo nasprotje interesov,</w:t>
      </w:r>
    </w:p>
    <w:p w14:paraId="53005814"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v nasprotju z določbo tretjega odstavka 70. člena tega zakona pri lobiranju ravna proti predpisom, ki določajo prepoved sprejemanja daril v zvezi z opravljanjem funkcije ali javnimi nalogami lobirancev,</w:t>
      </w:r>
    </w:p>
    <w:p w14:paraId="4F3FE63C" w14:textId="77777777" w:rsidR="0055047E" w:rsidRPr="005C544E" w:rsidRDefault="0055047E" w:rsidP="006F190F">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 w:val="20"/>
          <w:szCs w:val="20"/>
          <w:lang w:eastAsia="ar-SA"/>
        </w:rPr>
      </w:pPr>
      <w:r w:rsidRPr="005C544E">
        <w:rPr>
          <w:rFonts w:ascii="Helv" w:eastAsia="Times New Roman" w:hAnsi="Helv" w:cs="Helv"/>
          <w:sz w:val="20"/>
          <w:szCs w:val="20"/>
          <w:lang w:eastAsia="ar-SA"/>
        </w:rPr>
        <w:t>kot lobiranec v roku iz prvega odstavka 71. člena tega zakona ne prijavi komisiji lobista, ki ravna v nasprotju s 70. členom tega zakona ali ni vpisan v register lobistov v skladu z 58. členom tega zakona.</w:t>
      </w:r>
    </w:p>
    <w:p w14:paraId="6170660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0064F3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Z globo od 1.000 do 2.000 eurov se kaznuje za prekršek posameznik, ki:</w:t>
      </w:r>
    </w:p>
    <w:p w14:paraId="7D1AC24E"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nasprotju z določbo četrtega odstavka 23. člena tega zakona razkrije identiteto prijavitelja, ki je prijavo podal v dobri veri oziroma je utemeljeno sklepal, da so njegovi podatki resnični, ali poda zlonamerno prijavo,</w:t>
      </w:r>
    </w:p>
    <w:p w14:paraId="069D20CD"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nasprotju z določbo petega odstavka 26. člena tega zakona po pravnomočnosti odločbe o preklicu dovoljenja ne preneha z opravljanjem poklicne ali druge dejavnosti,</w:t>
      </w:r>
    </w:p>
    <w:p w14:paraId="550012B1"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nasprotju z določbo 28. člena tega zakona ne preneha opravljati nezdružljive funkcije, članstva ali dejavnosti,</w:t>
      </w:r>
    </w:p>
    <w:p w14:paraId="7ED9EF4E"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lobira v nasprotju s 70. členom tega zakona.</w:t>
      </w:r>
    </w:p>
    <w:p w14:paraId="09BE8FD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A081A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Z globo od 400 do 4.000 eurov se kaznuje za prekršek odgovorna oseba organa ali organizacije javnega sektorja, če:</w:t>
      </w:r>
    </w:p>
    <w:p w14:paraId="1E9B6C2B"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nasprotju z določbo drugega in petega odstavka 14. člena tega zakona v pogodbo, ki jo sklene organ ali organizacija javnega sektorja, ne vključi vsebine iz prvega odstavka 14. člena tega zakona,</w:t>
      </w:r>
    </w:p>
    <w:p w14:paraId="4B916897"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246640D3"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komisiji v nasprotju z določbo četrtega odstavka 14. člena tega zakona ne posreduje zahtevanih pogodb in dokumentov,</w:t>
      </w:r>
    </w:p>
    <w:p w14:paraId="01D19B93" w14:textId="77777777"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6149FD5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E89C40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(4) Z globo od 400 do 4.000 eurov se kaznuje za prekršek odgovorna oseba državnega organa, lokalne skupnosti, nosilca javnih pooblastil in pravne osebe javnega ali zasebnega prava ter samostojni podjetnik posameznik ali posameznik, ki samostojno opravlja dejavnost, če komisiji v nasprotju z določbo prvega odstavka 16. člena tega zakona brezplačno ne posreduje vseh podatkov, tudi osebnih, in dokumentov, ki so potrebni za opravljanje zakonskih nalog komisije.</w:t>
      </w:r>
    </w:p>
    <w:p w14:paraId="36316EC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1745B8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(5) Z globo od 400 do 4.000 eurov se kaznuje za prekršek odgovorna oseba subjekta javnega sektorja, če komisiji v nasprotju z določbo tretjega odstavka 16. člena tega zakona ne omogoči vpogleda v podatke in dokumente, s katerimi razpolaga ta subjekt, ali ne izroči njihovega izpisa ali kopije.</w:t>
      </w:r>
    </w:p>
    <w:p w14:paraId="07E7441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B491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(6) Z globo od 400 do 4.000 eurov se kaznuje za prekršek odgovorna oseba državnega organa, lokalne skupnosti, nosilca javnih pooblastil in pravne osebe javnega ali zasebnega prava, ki v nasprotju z določbo četrtega odstavka 23. člena tega zakona prične postopek za ugotavljanje ali razkritje prijavitelja zaradi prijave.</w:t>
      </w:r>
    </w:p>
    <w:p w14:paraId="6D9F0BE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98B15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(7) Z globo od 400 do 4.000 eurov se kaznuje za prekršek odgovorna oseba državnega organa, lokalne skupnosti, nosilca javnih pooblastil ali druge pravne osebe javnega ali zasebnega prava, ki v nasprotju z določbo prvega odstavka 25. člena tega zakona prijavitelju povzroči škodljive posledice oziroma ga izpostavi povračilnim ukrepom.</w:t>
      </w:r>
    </w:p>
    <w:p w14:paraId="41D89D1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0F5B9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1E3885D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83D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 na drugo enakovredno mesto, ali javnega uslužbenca ne premesti v roku iz šestega odstavka 25. člena tega zakona.</w:t>
      </w:r>
    </w:p>
    <w:p w14:paraId="5F9596C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8C77CF6" w14:textId="47050E1E"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(10) Z globo od 400 do 4.000 eurov se kaznuje za prekršek odgovorna oseba subjekta javnega sektorja, ki v nasprotju šestim odstavkom 30. člena komisiji ne posreduje seznama prejetih daril.</w:t>
      </w:r>
    </w:p>
    <w:p w14:paraId="6811A33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07AF312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(11) Z globo od 400 do 4.000 eurov se kaznuje za prekršek odgovorna oseba organa ali organizacije javnega sektorja ali ožjega dela občine, če ravna v nasprotju s prvim, drugim ali četrtim odstavkom 35. člena tega zakona.</w:t>
      </w:r>
    </w:p>
    <w:p w14:paraId="66FD532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1F6CAD0E" w14:textId="2A731E98"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(12) Z globo od 400 do 4.000 eurov se kaznuje za prekršek odgovorna oseba organa ali organizacije javnega sektorja, v katerem je </w:t>
      </w:r>
      <w:r w:rsidR="007A1D40" w:rsidRPr="005C544E">
        <w:rPr>
          <w:rFonts w:ascii="Arial" w:eastAsia="Times New Roman" w:hAnsi="Arial" w:cs="Arial"/>
          <w:sz w:val="20"/>
          <w:szCs w:val="20"/>
          <w:lang w:eastAsia="ar-SA"/>
        </w:rPr>
        <w:t xml:space="preserve">bivši </w:t>
      </w:r>
      <w:r w:rsidRPr="005C544E">
        <w:rPr>
          <w:rFonts w:ascii="Arial" w:eastAsia="Times New Roman" w:hAnsi="Arial" w:cs="Arial"/>
          <w:sz w:val="20"/>
          <w:szCs w:val="20"/>
          <w:lang w:eastAsia="ar-SA"/>
        </w:rPr>
        <w:t>funkcionar opravljal svojo funkcijo, če v nasprotju z določbo drugega odstavka 36. člena tega zakona posluje z bivšim funkcionarjem kot fizično osebo ali njegovim poslovnim subjektom.</w:t>
      </w:r>
    </w:p>
    <w:p w14:paraId="2737C56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19D000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(13) Z globo od 400 do 4.000 eurov se kaznuje za prekršek odgovorna oseba organa ali organizacije javnega sektorja, pri katerem je funkcionar opravljal svojo funkcijo, če v nasprotju z določbo tretjega odstavka 36. člena tega zakona komisije ne obvesti o ravnanju funkcionarja iz prvega odstavka 36. člena tega zakona.</w:t>
      </w:r>
    </w:p>
    <w:p w14:paraId="1F16A67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2FD1D97" w14:textId="4E138BEC"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(14) Z globo od 400 do 4.000 eurov se kaznuje za prekršek odgovorna oseba organa</w:t>
      </w:r>
      <w:r w:rsidR="00583F28" w:rsidRPr="005C544E">
        <w:rPr>
          <w:rFonts w:ascii="Arial" w:eastAsia="Times New Roman" w:hAnsi="Arial" w:cs="Arial"/>
          <w:bCs/>
          <w:sz w:val="20"/>
          <w:szCs w:val="20"/>
          <w:lang w:eastAsia="ar-SA"/>
        </w:rPr>
        <w:t xml:space="preserve"> ali organizacije javnega sektorja</w:t>
      </w:r>
      <w:r w:rsidRPr="005C544E">
        <w:rPr>
          <w:rFonts w:ascii="Arial" w:eastAsia="Times New Roman" w:hAnsi="Arial" w:cs="Arial"/>
          <w:bCs/>
          <w:sz w:val="20"/>
          <w:szCs w:val="20"/>
          <w:lang w:eastAsia="ar-SA"/>
        </w:rPr>
        <w:t>, če v nasprotju z drugim odstavkom 38. člena tega zakona uradne osebe ne izloči iz postopka obravnave in odločanja v zadevi ali komisiji v skladu s četrtim odstavkom 38. člena tega zakona ne posreduje sprejete odločitve, iz katere izhaja, da lahko uradna oseba nadaljuje z delom v zadevi.</w:t>
      </w:r>
    </w:p>
    <w:p w14:paraId="0364F51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31B0E8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(15) Z globo od 400 do 4.000 eurov se kaznuje za prekršek odgovorna oseba organa ali organizacije javnega sektorja ali naročnika, ki komisiji v nasprotju s četrtim odstavkom 41. člena tega zakona ne posreduje seznama zavezancev.</w:t>
      </w:r>
    </w:p>
    <w:p w14:paraId="500A34F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29E468A" w14:textId="27FB6C0B"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 xml:space="preserve">(16) Z globo od 400 do 4.000 eurov se kaznuje za prekršek odgovorna oseba zavezanca za izdelavo načrtov integritete, ki ravna v nasprotju s prvim </w:t>
      </w:r>
      <w:r w:rsidR="00583F28" w:rsidRPr="005C544E">
        <w:rPr>
          <w:rFonts w:ascii="Arial" w:eastAsia="Times New Roman" w:hAnsi="Arial" w:cs="Arial"/>
          <w:bCs/>
          <w:sz w:val="20"/>
          <w:szCs w:val="20"/>
          <w:lang w:eastAsia="ar-SA"/>
        </w:rPr>
        <w:t xml:space="preserve">ali z drugim </w:t>
      </w:r>
      <w:r w:rsidRPr="005C544E">
        <w:rPr>
          <w:rFonts w:ascii="Arial" w:eastAsia="Times New Roman" w:hAnsi="Arial" w:cs="Arial"/>
          <w:bCs/>
          <w:sz w:val="20"/>
          <w:szCs w:val="20"/>
          <w:lang w:eastAsia="ar-SA"/>
        </w:rPr>
        <w:t>odstavkom 47. člena tega zakona, ali</w:t>
      </w:r>
      <w:r w:rsidR="00583F28" w:rsidRPr="005C544E">
        <w:rPr>
          <w:rFonts w:ascii="Arial" w:eastAsia="Times New Roman" w:hAnsi="Arial" w:cs="Arial"/>
          <w:bCs/>
          <w:sz w:val="20"/>
          <w:szCs w:val="20"/>
          <w:lang w:eastAsia="ar-SA"/>
        </w:rPr>
        <w:t xml:space="preserve"> če po ugotovitvah komisije po drugem odstavku 48. člena</w:t>
      </w:r>
      <w:r w:rsidRPr="005C544E">
        <w:rPr>
          <w:rFonts w:ascii="Arial" w:eastAsia="Times New Roman" w:hAnsi="Arial" w:cs="Arial"/>
          <w:bCs/>
          <w:sz w:val="20"/>
          <w:szCs w:val="20"/>
          <w:lang w:eastAsia="ar-SA"/>
        </w:rPr>
        <w:t xml:space="preserve"> ne </w:t>
      </w:r>
      <w:r w:rsidR="00583F28" w:rsidRPr="005C544E">
        <w:rPr>
          <w:rFonts w:ascii="Arial" w:eastAsia="Times New Roman" w:hAnsi="Arial" w:cs="Arial"/>
          <w:bCs/>
          <w:sz w:val="20"/>
          <w:szCs w:val="20"/>
          <w:lang w:eastAsia="ar-SA"/>
        </w:rPr>
        <w:t xml:space="preserve">uresničuje </w:t>
      </w:r>
      <w:r w:rsidRPr="005C544E">
        <w:rPr>
          <w:rFonts w:ascii="Arial" w:eastAsia="Times New Roman" w:hAnsi="Arial" w:cs="Arial"/>
          <w:bCs/>
          <w:sz w:val="20"/>
          <w:szCs w:val="20"/>
          <w:lang w:eastAsia="ar-SA"/>
        </w:rPr>
        <w:t>načrta integritete.</w:t>
      </w:r>
    </w:p>
    <w:p w14:paraId="7D04E41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FAE220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(17) Z globo od 400 do 4.000 eurov se kaznuje za prekršek odgovorna oseba državnega organa, lokalne skupnosti ali nosilca javnih pooblastil kot nosilca izvajanja ukrepov iz akcijskega načrta za uresničevanje resolucije, ki v nasprotju s prvim odstavkom 53. člena tega zakona komisiji ne poroča o dejavnostih za uresničitev teh ukrepov.«.</w:t>
      </w:r>
    </w:p>
    <w:p w14:paraId="165CA69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bCs/>
          <w:sz w:val="20"/>
          <w:szCs w:val="20"/>
          <w:lang w:eastAsia="ar-SA"/>
        </w:rPr>
      </w:pPr>
    </w:p>
    <w:p w14:paraId="7B6F90DF" w14:textId="736C9EFC"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41</w:t>
      </w:r>
      <w:r w:rsidR="0055047E" w:rsidRPr="005C544E">
        <w:rPr>
          <w:rFonts w:ascii="Arial" w:eastAsia="Times New Roman" w:hAnsi="Arial" w:cs="Arial"/>
          <w:b/>
          <w:bCs/>
          <w:sz w:val="20"/>
          <w:szCs w:val="20"/>
          <w:lang w:eastAsia="ar-SA"/>
        </w:rPr>
        <w:t>. člen</w:t>
      </w:r>
    </w:p>
    <w:p w14:paraId="0215A6B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3A8622A"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Besedilo 78. člena se spremeni tako, da se glasi:</w:t>
      </w:r>
    </w:p>
    <w:p w14:paraId="3DCAAFE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3CA850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 globo od 400 do 100.000 eurov se za prekršek iz tretjega, četrtega, petega, šestega, sedmega, osmega, devetega, desetega, enajstega, dvanajstega, trinajstega, štirinajstega, petnajstega, šestnajstega in sedemnajstega odstavka 77. člena tega zakona kaznuje nosilec javnih pooblastil ali druga pravna oseba javnega ali zasebnega prava.«.</w:t>
      </w:r>
    </w:p>
    <w:p w14:paraId="2B5D8CF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F6E25C" w14:textId="291C2435"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42</w:t>
      </w:r>
      <w:r w:rsidR="0055047E" w:rsidRPr="005C544E">
        <w:rPr>
          <w:rFonts w:ascii="Arial" w:eastAsia="Times New Roman" w:hAnsi="Arial" w:cs="Arial"/>
          <w:b/>
          <w:bCs/>
          <w:sz w:val="20"/>
          <w:szCs w:val="20"/>
          <w:lang w:eastAsia="ar-SA"/>
        </w:rPr>
        <w:t>. člen</w:t>
      </w:r>
    </w:p>
    <w:p w14:paraId="2056C77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E736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Za prvim odstavkom 79. člena se doda nov drugi odstavek, ki se glasi:</w:t>
      </w:r>
    </w:p>
    <w:p w14:paraId="5D0EDE9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7EE17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Z globo od 400 do 100.000 eurov se kaznuje za prekršek interesna organizacija, če v nasprotju z določbo tretjega odstavka 63. člena tega zakona komisiji ne posreduje pisnega poročila.«.</w:t>
      </w:r>
    </w:p>
    <w:p w14:paraId="049D319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D83EB4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Dosedanji drugi odstavek postane tretji odstavek.</w:t>
      </w:r>
    </w:p>
    <w:p w14:paraId="68E708C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2493E73" w14:textId="77777777" w:rsidR="0055047E" w:rsidRPr="005C544E" w:rsidRDefault="0055047E" w:rsidP="0055047E">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5C544E">
        <w:rPr>
          <w:rFonts w:ascii="Arial" w:eastAsia="Times New Roman" w:hAnsi="Arial" w:cs="Arial"/>
          <w:b/>
          <w:sz w:val="20"/>
          <w:szCs w:val="20"/>
          <w:lang w:eastAsia="ar-SA"/>
        </w:rPr>
        <w:t>PREHODNE IN KONČNE DOLOČBE</w:t>
      </w:r>
    </w:p>
    <w:p w14:paraId="4EED681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i/>
          <w:sz w:val="20"/>
          <w:szCs w:val="20"/>
          <w:lang w:eastAsia="ar-SA"/>
        </w:rPr>
      </w:pPr>
    </w:p>
    <w:p w14:paraId="04BE270E" w14:textId="37A5C611"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43</w:t>
      </w:r>
      <w:r w:rsidR="0055047E" w:rsidRPr="005C544E">
        <w:rPr>
          <w:rFonts w:ascii="Arial" w:eastAsia="Times New Roman" w:hAnsi="Arial" w:cs="Arial"/>
          <w:b/>
          <w:bCs/>
          <w:sz w:val="20"/>
          <w:szCs w:val="20"/>
          <w:lang w:eastAsia="ar-SA"/>
        </w:rPr>
        <w:t>. člen</w:t>
      </w:r>
    </w:p>
    <w:p w14:paraId="0DECE429"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(poslovnik komisije)</w:t>
      </w:r>
    </w:p>
    <w:p w14:paraId="53F9A27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DB1B42" w14:textId="07CF473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Komisija </w:t>
      </w:r>
      <w:r w:rsidR="003C78C2" w:rsidRPr="005C544E">
        <w:rPr>
          <w:rFonts w:ascii="Arial" w:eastAsia="Times New Roman" w:hAnsi="Arial" w:cs="Arial"/>
          <w:sz w:val="20"/>
          <w:szCs w:val="20"/>
          <w:lang w:eastAsia="ar-SA"/>
        </w:rPr>
        <w:t xml:space="preserve">sprejme </w:t>
      </w:r>
      <w:r w:rsidRPr="005C544E">
        <w:rPr>
          <w:rFonts w:ascii="Arial" w:eastAsia="Times New Roman" w:hAnsi="Arial" w:cs="Arial"/>
          <w:sz w:val="20"/>
          <w:szCs w:val="20"/>
          <w:lang w:eastAsia="ar-SA"/>
        </w:rPr>
        <w:t xml:space="preserve">poslovnik iz enajstega odstavka 11. člena zakona v </w:t>
      </w:r>
      <w:r w:rsidR="00621A70" w:rsidRPr="005C544E">
        <w:rPr>
          <w:rFonts w:ascii="Arial" w:eastAsia="Times New Roman" w:hAnsi="Arial" w:cs="Arial"/>
          <w:sz w:val="20"/>
          <w:szCs w:val="20"/>
          <w:lang w:eastAsia="ar-SA"/>
        </w:rPr>
        <w:t xml:space="preserve">šestih </w:t>
      </w:r>
      <w:r w:rsidRPr="005C544E">
        <w:rPr>
          <w:rFonts w:ascii="Arial" w:eastAsia="Times New Roman" w:hAnsi="Arial" w:cs="Arial"/>
          <w:sz w:val="20"/>
          <w:szCs w:val="20"/>
          <w:lang w:eastAsia="ar-SA"/>
        </w:rPr>
        <w:t>mesecih od uveljavitve tega zakona.</w:t>
      </w:r>
    </w:p>
    <w:p w14:paraId="32B16CE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AB76B0" w14:textId="35ECB36C"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44</w:t>
      </w:r>
      <w:r w:rsidR="0055047E" w:rsidRPr="005C544E">
        <w:rPr>
          <w:rFonts w:ascii="Arial" w:eastAsia="Times New Roman" w:hAnsi="Arial" w:cs="Arial"/>
          <w:b/>
          <w:bCs/>
          <w:sz w:val="20"/>
          <w:szCs w:val="20"/>
          <w:lang w:eastAsia="ar-SA"/>
        </w:rPr>
        <w:t>. člen</w:t>
      </w:r>
    </w:p>
    <w:p w14:paraId="5BF5348C"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(pravilnik o načinu razpolaganja z darili)</w:t>
      </w:r>
    </w:p>
    <w:p w14:paraId="68EDCD4D"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E9F923" w14:textId="55FAEE34"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Komisija </w:t>
      </w:r>
      <w:r w:rsidR="003C78C2" w:rsidRPr="005C544E">
        <w:rPr>
          <w:rFonts w:ascii="Arial" w:eastAsia="Times New Roman" w:hAnsi="Arial" w:cs="Arial"/>
          <w:sz w:val="20"/>
          <w:szCs w:val="20"/>
          <w:lang w:eastAsia="ar-SA"/>
        </w:rPr>
        <w:t xml:space="preserve">sprejme </w:t>
      </w:r>
      <w:r w:rsidRPr="005C544E">
        <w:rPr>
          <w:rFonts w:ascii="Arial" w:eastAsia="Times New Roman" w:hAnsi="Arial" w:cs="Arial"/>
          <w:sz w:val="20"/>
          <w:szCs w:val="20"/>
          <w:lang w:eastAsia="ar-SA"/>
        </w:rPr>
        <w:t xml:space="preserve">pravilnik o načinu razpolaganja z darili iz </w:t>
      </w:r>
      <w:r w:rsidR="001368CB">
        <w:rPr>
          <w:rFonts w:ascii="Arial" w:eastAsia="Times New Roman" w:hAnsi="Arial" w:cs="Arial"/>
          <w:sz w:val="20"/>
          <w:szCs w:val="20"/>
          <w:lang w:eastAsia="ar-SA"/>
        </w:rPr>
        <w:t>sedmega</w:t>
      </w:r>
      <w:r w:rsidR="001368CB" w:rsidRPr="005C544E">
        <w:rPr>
          <w:rFonts w:ascii="Arial" w:eastAsia="Times New Roman" w:hAnsi="Arial" w:cs="Arial"/>
          <w:sz w:val="20"/>
          <w:szCs w:val="20"/>
          <w:lang w:eastAsia="ar-SA"/>
        </w:rPr>
        <w:t xml:space="preserve"> </w:t>
      </w:r>
      <w:r w:rsidRPr="005C544E">
        <w:rPr>
          <w:rFonts w:ascii="Arial" w:eastAsia="Times New Roman" w:hAnsi="Arial" w:cs="Arial"/>
          <w:sz w:val="20"/>
          <w:szCs w:val="20"/>
          <w:lang w:eastAsia="ar-SA"/>
        </w:rPr>
        <w:t xml:space="preserve">odstavka 30. člena zakona v </w:t>
      </w:r>
      <w:r w:rsidR="00621A70" w:rsidRPr="005C544E">
        <w:rPr>
          <w:rFonts w:ascii="Arial" w:eastAsia="Times New Roman" w:hAnsi="Arial" w:cs="Arial"/>
          <w:sz w:val="20"/>
          <w:szCs w:val="20"/>
          <w:lang w:eastAsia="ar-SA"/>
        </w:rPr>
        <w:t xml:space="preserve">šestih </w:t>
      </w:r>
      <w:r w:rsidRPr="005C544E">
        <w:rPr>
          <w:rFonts w:ascii="Arial" w:eastAsia="Times New Roman" w:hAnsi="Arial" w:cs="Arial"/>
          <w:sz w:val="20"/>
          <w:szCs w:val="20"/>
          <w:lang w:eastAsia="ar-SA"/>
        </w:rPr>
        <w:t>mesecih od uveljavitve tega zakona.</w:t>
      </w:r>
    </w:p>
    <w:p w14:paraId="7C07785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5A0D6DB" w14:textId="16911D6E"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45</w:t>
      </w:r>
      <w:r w:rsidR="0055047E" w:rsidRPr="005C544E">
        <w:rPr>
          <w:rFonts w:ascii="Arial" w:eastAsia="Times New Roman" w:hAnsi="Arial" w:cs="Arial"/>
          <w:b/>
          <w:bCs/>
          <w:sz w:val="20"/>
          <w:szCs w:val="20"/>
          <w:lang w:eastAsia="ar-SA"/>
        </w:rPr>
        <w:t>. člen</w:t>
      </w:r>
    </w:p>
    <w:p w14:paraId="465F7862"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(omejitev poslovanja)</w:t>
      </w:r>
    </w:p>
    <w:p w14:paraId="579A25D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AB5617" w14:textId="5822C4F3"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 Organi ali organizacije javnega sektorja iz sedmega odstavka 35. člena zakona </w:t>
      </w:r>
      <w:r w:rsidR="003C78C2" w:rsidRPr="005C544E">
        <w:rPr>
          <w:rFonts w:ascii="Arial" w:eastAsia="Times New Roman" w:hAnsi="Arial" w:cs="Arial"/>
          <w:sz w:val="20"/>
          <w:szCs w:val="20"/>
          <w:lang w:eastAsia="ar-SA"/>
        </w:rPr>
        <w:t xml:space="preserve">posredujejo </w:t>
      </w:r>
      <w:r w:rsidRPr="005C544E">
        <w:rPr>
          <w:rFonts w:ascii="Arial" w:eastAsia="Times New Roman" w:hAnsi="Arial" w:cs="Arial"/>
          <w:sz w:val="20"/>
          <w:szCs w:val="20"/>
          <w:lang w:eastAsia="ar-SA"/>
        </w:rPr>
        <w:t>komisiji podatke iz šestega odstavka 35. člena zakona prek elektronskega obrazca v dveh mesecih od uveljavitve tega zakona.</w:t>
      </w:r>
    </w:p>
    <w:p w14:paraId="7B12A32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509A6C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Z globo od 400 do 4.400 eurov se kaznuje za prekršek odgovorna oseba organa ali organizacije javnega sektorja, ki komisiji v nasprotju s prejšnjim odstavkom ne posreduje podatkov.</w:t>
      </w:r>
    </w:p>
    <w:p w14:paraId="2E4FB5C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FE31F8" w14:textId="48EA7CC3"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46</w:t>
      </w:r>
      <w:r w:rsidR="0055047E" w:rsidRPr="005C544E">
        <w:rPr>
          <w:rFonts w:ascii="Arial" w:eastAsia="Times New Roman" w:hAnsi="Arial" w:cs="Arial"/>
          <w:b/>
          <w:bCs/>
          <w:sz w:val="20"/>
          <w:szCs w:val="20"/>
          <w:lang w:eastAsia="ar-SA"/>
        </w:rPr>
        <w:t>. člen</w:t>
      </w:r>
    </w:p>
    <w:p w14:paraId="2CCFCF49"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(poročanje o premoženjskem stanju)</w:t>
      </w:r>
    </w:p>
    <w:p w14:paraId="3B4FF55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83F1EF" w14:textId="1A0AA7A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 </w:t>
      </w:r>
      <w:r w:rsidR="005E4409" w:rsidRPr="005C544E">
        <w:rPr>
          <w:rFonts w:ascii="Arial" w:eastAsia="Times New Roman" w:hAnsi="Arial" w:cs="Arial"/>
          <w:sz w:val="20"/>
          <w:szCs w:val="20"/>
          <w:lang w:eastAsia="ar-SA"/>
        </w:rPr>
        <w:t>Zavezanci iz prvega odstavka 41. člena, ki po dosedanjih predpisih niso bili zavezani k poročanju premoženjskega stanja komisiji</w:t>
      </w:r>
      <w:r w:rsidRPr="005C544E">
        <w:rPr>
          <w:rFonts w:ascii="Arial" w:eastAsia="Times New Roman" w:hAnsi="Arial" w:cs="Arial"/>
          <w:sz w:val="20"/>
          <w:szCs w:val="20"/>
          <w:lang w:eastAsia="ar-SA"/>
        </w:rPr>
        <w:t>, so dolžni prvič poročati o premoženjskem stanju prek elektronskega obrazca v dveh mesecih od uveljavitve tega zakona.</w:t>
      </w:r>
    </w:p>
    <w:p w14:paraId="31E523C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3E9B88B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5C544E">
        <w:rPr>
          <w:rFonts w:ascii="Arial" w:eastAsia="Times New Roman" w:hAnsi="Arial" w:cs="Arial"/>
          <w:bCs/>
          <w:sz w:val="20"/>
          <w:szCs w:val="20"/>
          <w:lang w:eastAsia="ar-SA"/>
        </w:rPr>
        <w:t>(2) Z globo od 400 do 1.200 eurov se kaznuje za prekršek posameznik, ki kot zavezanec v nasprotju s prejšnjim odstavkom komisiji ne sporoči podatkov o premoženjskem stanju.</w:t>
      </w:r>
    </w:p>
    <w:p w14:paraId="6FD8265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52431C30" w14:textId="25CE70C2"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47</w:t>
      </w:r>
      <w:r w:rsidR="0055047E" w:rsidRPr="005C544E">
        <w:rPr>
          <w:rFonts w:ascii="Arial" w:eastAsia="Times New Roman" w:hAnsi="Arial" w:cs="Arial"/>
          <w:b/>
          <w:bCs/>
          <w:sz w:val="20"/>
          <w:szCs w:val="20"/>
          <w:lang w:eastAsia="ar-SA"/>
        </w:rPr>
        <w:t>. člen</w:t>
      </w:r>
    </w:p>
    <w:p w14:paraId="739D35C6"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(sporočanje sprememb premoženjskega stanja)</w:t>
      </w:r>
    </w:p>
    <w:p w14:paraId="7124F30C"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8D18F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Do vzpostavitve elektronske aplikacije zavezanci iz prvega in tretjega odstavka 41. člena zakona sporočajo komisiji vsako spremembo osebnih podatkov in vsako spremembo v premoženjskem stanju iz prvega odstavka 43. člena zakona enkrat na leto do 31. januarja za preteklo koledarsko leto.</w:t>
      </w:r>
    </w:p>
    <w:p w14:paraId="0D0343C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14AE0EF" w14:textId="7BC89A10"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48</w:t>
      </w:r>
      <w:r w:rsidR="0055047E" w:rsidRPr="005C544E">
        <w:rPr>
          <w:rFonts w:ascii="Arial" w:eastAsia="Times New Roman" w:hAnsi="Arial" w:cs="Arial"/>
          <w:b/>
          <w:bCs/>
          <w:sz w:val="20"/>
          <w:szCs w:val="20"/>
          <w:lang w:eastAsia="ar-SA"/>
        </w:rPr>
        <w:t>. člen</w:t>
      </w:r>
    </w:p>
    <w:p w14:paraId="40A415E7"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(vzpostavitev informacijskega sistema za javno objavo podatkov)</w:t>
      </w:r>
    </w:p>
    <w:p w14:paraId="71E91A0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9879F4" w14:textId="59CB64FA"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 Komisija v </w:t>
      </w:r>
      <w:r w:rsidR="00621A70" w:rsidRPr="005C544E">
        <w:rPr>
          <w:rFonts w:ascii="Arial" w:eastAsia="Times New Roman" w:hAnsi="Arial" w:cs="Arial"/>
          <w:sz w:val="20"/>
          <w:szCs w:val="20"/>
          <w:lang w:eastAsia="ar-SA"/>
        </w:rPr>
        <w:t>enem letu</w:t>
      </w:r>
      <w:r w:rsidRPr="005C544E">
        <w:rPr>
          <w:rFonts w:ascii="Arial" w:eastAsia="Times New Roman" w:hAnsi="Arial" w:cs="Arial"/>
          <w:sz w:val="20"/>
          <w:szCs w:val="20"/>
          <w:lang w:eastAsia="ar-SA"/>
        </w:rPr>
        <w:t xml:space="preserve"> od uveljavitve tega zakona vzpostavi informacijski sistem za potrebe javne objave podatkov zavezancev iz prvega odstavka 46. člena zakona.</w:t>
      </w:r>
    </w:p>
    <w:p w14:paraId="728B3F6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30C7AB5" w14:textId="3B092B1A"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(2) Zavezanci iz prvega odstavka 46. člena zakona </w:t>
      </w:r>
      <w:r w:rsidR="003C78C2" w:rsidRPr="005C544E">
        <w:rPr>
          <w:rFonts w:ascii="Arial" w:eastAsia="Times New Roman" w:hAnsi="Arial" w:cs="Arial"/>
          <w:sz w:val="20"/>
          <w:szCs w:val="20"/>
          <w:lang w:eastAsia="ar-SA"/>
        </w:rPr>
        <w:t xml:space="preserve">morajo </w:t>
      </w:r>
      <w:r w:rsidRPr="005C544E">
        <w:rPr>
          <w:rFonts w:ascii="Arial" w:eastAsia="Times New Roman" w:hAnsi="Arial" w:cs="Arial"/>
          <w:sz w:val="20"/>
          <w:szCs w:val="20"/>
          <w:lang w:eastAsia="ar-SA"/>
        </w:rPr>
        <w:t>v dveh mesecih od vzpostavitve informacijskega sistema iz prejšnjega odstavka poročati o premoženjskem stanju z izpolnitvijo elektronskega obrazca.</w:t>
      </w:r>
    </w:p>
    <w:p w14:paraId="70CC4A6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4ED9F5"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(3) Z globo od 400. do 1.200 eurov se kaznuje za prekršek posameznik, ki kot zavezanec v nasprotju s prejšnjim odstavkom komisiji ne sporoči podatkov o premoženjskem stanju.</w:t>
      </w:r>
    </w:p>
    <w:p w14:paraId="340C811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23210" w14:textId="69C746E8"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49</w:t>
      </w:r>
      <w:r w:rsidR="0055047E" w:rsidRPr="005C544E">
        <w:rPr>
          <w:rFonts w:ascii="Arial" w:eastAsia="Times New Roman" w:hAnsi="Arial" w:cs="Arial"/>
          <w:b/>
          <w:bCs/>
          <w:sz w:val="20"/>
          <w:szCs w:val="20"/>
          <w:lang w:eastAsia="ar-SA"/>
        </w:rPr>
        <w:t>. člen</w:t>
      </w:r>
    </w:p>
    <w:p w14:paraId="5B078BAB"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(vzpostavitev evidenc)</w:t>
      </w:r>
    </w:p>
    <w:p w14:paraId="4B8602A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1F965A" w14:textId="739F6B4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Komisija vzpostavi oziroma uskladi evidence podatkov po tem zakonu v </w:t>
      </w:r>
      <w:r w:rsidR="00621A70" w:rsidRPr="005C544E">
        <w:rPr>
          <w:rFonts w:ascii="Arial" w:eastAsia="Times New Roman" w:hAnsi="Arial" w:cs="Arial"/>
          <w:sz w:val="20"/>
          <w:szCs w:val="20"/>
          <w:lang w:eastAsia="ar-SA"/>
        </w:rPr>
        <w:t xml:space="preserve">šestih </w:t>
      </w:r>
      <w:r w:rsidRPr="005C544E">
        <w:rPr>
          <w:rFonts w:ascii="Arial" w:eastAsia="Times New Roman" w:hAnsi="Arial" w:cs="Arial"/>
          <w:sz w:val="20"/>
          <w:szCs w:val="20"/>
          <w:lang w:eastAsia="ar-SA"/>
        </w:rPr>
        <w:t>mesec</w:t>
      </w:r>
      <w:r w:rsidR="00621A70" w:rsidRPr="005C544E">
        <w:rPr>
          <w:rFonts w:ascii="Arial" w:eastAsia="Times New Roman" w:hAnsi="Arial" w:cs="Arial"/>
          <w:sz w:val="20"/>
          <w:szCs w:val="20"/>
          <w:lang w:eastAsia="ar-SA"/>
        </w:rPr>
        <w:t>ih</w:t>
      </w:r>
      <w:r w:rsidRPr="005C544E">
        <w:rPr>
          <w:rFonts w:ascii="Arial" w:eastAsia="Times New Roman" w:hAnsi="Arial" w:cs="Arial"/>
          <w:sz w:val="20"/>
          <w:szCs w:val="20"/>
          <w:lang w:eastAsia="ar-SA"/>
        </w:rPr>
        <w:t xml:space="preserve"> od uveljavitve tega zakona.</w:t>
      </w:r>
    </w:p>
    <w:p w14:paraId="29D7FFEB"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81B2B6" w14:textId="45E45BC3"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50</w:t>
      </w:r>
      <w:r w:rsidR="0055047E" w:rsidRPr="005C544E">
        <w:rPr>
          <w:rFonts w:ascii="Arial" w:eastAsia="Times New Roman" w:hAnsi="Arial" w:cs="Arial"/>
          <w:b/>
          <w:bCs/>
          <w:sz w:val="20"/>
          <w:szCs w:val="20"/>
          <w:lang w:eastAsia="ar-SA"/>
        </w:rPr>
        <w:t>. člen</w:t>
      </w:r>
    </w:p>
    <w:p w14:paraId="30B1CFE0"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(financiranje neprofitnih organizacij zasebnega sektorja)</w:t>
      </w:r>
    </w:p>
    <w:p w14:paraId="3080A376"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0BAC99"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Obveznost komisije iz drugega odstavka 17. člena zakona nastopi s pričetkom proračunskega leta, ki sledi uveljavitvi tega zakona.</w:t>
      </w:r>
    </w:p>
    <w:p w14:paraId="24E9556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7E38DF" w14:textId="64A12C2B"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51</w:t>
      </w:r>
      <w:r w:rsidR="0055047E" w:rsidRPr="005C544E">
        <w:rPr>
          <w:rFonts w:ascii="Arial" w:eastAsia="Times New Roman" w:hAnsi="Arial" w:cs="Arial"/>
          <w:b/>
          <w:bCs/>
          <w:sz w:val="20"/>
          <w:szCs w:val="20"/>
          <w:lang w:eastAsia="ar-SA"/>
        </w:rPr>
        <w:t>. člen</w:t>
      </w:r>
    </w:p>
    <w:p w14:paraId="53587E6E" w14:textId="77777777" w:rsidR="0055047E" w:rsidRPr="005C544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(zaključek postopkov)</w:t>
      </w:r>
    </w:p>
    <w:p w14:paraId="04F71D61"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2EB66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Postopki, ki so se začeli na podlagi določb Zakona o integriteti in preprečevanju korupcije (Uradni list RS, št. 69/11 – uradno prečiščeno besedilo), se nadaljujejo in končajo po določbah tega zakona.</w:t>
      </w:r>
    </w:p>
    <w:p w14:paraId="76196988"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7F282DD" w14:textId="16284FC8" w:rsidR="0055047E" w:rsidRPr="005C544E" w:rsidRDefault="00347957"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bookmarkStart w:id="14" w:name="_Hlk5194075"/>
      <w:r w:rsidRPr="005C544E">
        <w:rPr>
          <w:rFonts w:ascii="Arial" w:eastAsia="Times New Roman" w:hAnsi="Arial" w:cs="Arial"/>
          <w:b/>
          <w:bCs/>
          <w:sz w:val="20"/>
          <w:szCs w:val="20"/>
          <w:lang w:eastAsia="ar-SA"/>
        </w:rPr>
        <w:t>52</w:t>
      </w:r>
      <w:r w:rsidR="0055047E" w:rsidRPr="005C544E">
        <w:rPr>
          <w:rFonts w:ascii="Arial" w:eastAsia="Times New Roman" w:hAnsi="Arial" w:cs="Arial"/>
          <w:b/>
          <w:bCs/>
          <w:sz w:val="20"/>
          <w:szCs w:val="20"/>
          <w:lang w:eastAsia="ar-SA"/>
        </w:rPr>
        <w:t>. člen</w:t>
      </w:r>
    </w:p>
    <w:p w14:paraId="3D9326E3"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w:t>
      </w:r>
      <w:bookmarkStart w:id="15" w:name="_Hlk5113616"/>
      <w:r w:rsidRPr="005C544E">
        <w:rPr>
          <w:rFonts w:ascii="Arial" w:eastAsia="Times New Roman" w:hAnsi="Arial" w:cs="Arial"/>
          <w:b/>
          <w:bCs/>
          <w:sz w:val="20"/>
          <w:szCs w:val="20"/>
          <w:lang w:eastAsia="ar-SA"/>
        </w:rPr>
        <w:t>prenehanje veljavnosti in uporaba ter spremembe predpisov</w:t>
      </w:r>
      <w:bookmarkEnd w:id="15"/>
      <w:r w:rsidRPr="005C544E">
        <w:rPr>
          <w:rFonts w:ascii="Arial" w:eastAsia="Times New Roman" w:hAnsi="Arial" w:cs="Arial"/>
          <w:b/>
          <w:bCs/>
          <w:sz w:val="20"/>
          <w:szCs w:val="20"/>
          <w:lang w:eastAsia="ar-SA"/>
        </w:rPr>
        <w:t>)</w:t>
      </w:r>
    </w:p>
    <w:p w14:paraId="51479AB2"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3067C66" w14:textId="23895D30"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(1) Z dnem uveljavitv</w:t>
      </w:r>
      <w:r w:rsidR="00563090" w:rsidRPr="005C544E">
        <w:rPr>
          <w:rFonts w:ascii="Arial" w:eastAsia="Times New Roman" w:hAnsi="Arial" w:cs="Arial"/>
          <w:sz w:val="20"/>
          <w:szCs w:val="20"/>
          <w:lang w:eastAsia="ar-SA"/>
        </w:rPr>
        <w:t>e</w:t>
      </w:r>
      <w:r w:rsidRPr="005C544E">
        <w:rPr>
          <w:rFonts w:ascii="Arial" w:eastAsia="Times New Roman" w:hAnsi="Arial" w:cs="Arial"/>
          <w:sz w:val="20"/>
          <w:szCs w:val="20"/>
          <w:lang w:eastAsia="ar-SA"/>
        </w:rPr>
        <w:t xml:space="preserve"> tega zakona prenehajo veljati:</w:t>
      </w:r>
    </w:p>
    <w:p w14:paraId="6ADF37CF" w14:textId="0F933693"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13. člen Zakona o poslancih (Uradni list RS, št. </w:t>
      </w:r>
      <w:r w:rsidR="005C544E" w:rsidRPr="005C544E">
        <w:rPr>
          <w:rFonts w:ascii="Arial" w:eastAsia="Times New Roman" w:hAnsi="Arial" w:cs="Arial"/>
          <w:sz w:val="20"/>
          <w:szCs w:val="20"/>
          <w:lang w:eastAsia="ar-SA"/>
        </w:rPr>
        <w:t>48/92</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15/94</w:t>
      </w:r>
      <w:r w:rsidRPr="005C544E">
        <w:rPr>
          <w:rFonts w:ascii="Arial" w:eastAsia="Times New Roman" w:hAnsi="Arial" w:cs="Arial"/>
          <w:sz w:val="20"/>
          <w:szCs w:val="20"/>
          <w:lang w:eastAsia="ar-SA"/>
        </w:rPr>
        <w:t xml:space="preserve"> – ZUstS, </w:t>
      </w:r>
      <w:r w:rsidR="005C544E" w:rsidRPr="005C544E">
        <w:rPr>
          <w:rFonts w:ascii="Arial" w:eastAsia="Times New Roman" w:hAnsi="Arial" w:cs="Arial"/>
          <w:sz w:val="20"/>
          <w:szCs w:val="20"/>
          <w:lang w:eastAsia="ar-SA"/>
        </w:rPr>
        <w:t>19/94</w:t>
      </w:r>
      <w:r w:rsidRPr="005C544E">
        <w:rPr>
          <w:rFonts w:ascii="Arial" w:eastAsia="Times New Roman" w:hAnsi="Arial" w:cs="Arial"/>
          <w:sz w:val="20"/>
          <w:szCs w:val="20"/>
          <w:lang w:eastAsia="ar-SA"/>
        </w:rPr>
        <w:t xml:space="preserve"> – ZSS, </w:t>
      </w:r>
      <w:r w:rsidR="005C544E" w:rsidRPr="005C544E">
        <w:rPr>
          <w:rFonts w:ascii="Arial" w:eastAsia="Times New Roman" w:hAnsi="Arial" w:cs="Arial"/>
          <w:sz w:val="20"/>
          <w:szCs w:val="20"/>
          <w:lang w:eastAsia="ar-SA"/>
        </w:rPr>
        <w:t>44/94</w:t>
      </w:r>
      <w:r w:rsidRPr="005C544E">
        <w:rPr>
          <w:rFonts w:ascii="Arial" w:eastAsia="Times New Roman" w:hAnsi="Arial" w:cs="Arial"/>
          <w:sz w:val="20"/>
          <w:szCs w:val="20"/>
          <w:lang w:eastAsia="ar-SA"/>
        </w:rPr>
        <w:t xml:space="preserve"> – odl. US, </w:t>
      </w:r>
      <w:r w:rsidR="005C544E" w:rsidRPr="005C544E">
        <w:rPr>
          <w:rFonts w:ascii="Arial" w:eastAsia="Times New Roman" w:hAnsi="Arial" w:cs="Arial"/>
          <w:sz w:val="20"/>
          <w:szCs w:val="20"/>
          <w:lang w:eastAsia="ar-SA"/>
        </w:rPr>
        <w:t>15/03</w:t>
      </w:r>
      <w:r w:rsidRPr="005C544E">
        <w:rPr>
          <w:rFonts w:ascii="Arial" w:eastAsia="Times New Roman" w:hAnsi="Arial" w:cs="Arial"/>
          <w:sz w:val="20"/>
          <w:szCs w:val="20"/>
          <w:lang w:eastAsia="ar-SA"/>
        </w:rPr>
        <w:t xml:space="preserve"> – ZZPOFPR, </w:t>
      </w:r>
      <w:r w:rsidR="005C544E" w:rsidRPr="005C544E">
        <w:rPr>
          <w:rFonts w:ascii="Arial" w:eastAsia="Times New Roman" w:hAnsi="Arial" w:cs="Arial"/>
          <w:sz w:val="20"/>
          <w:szCs w:val="20"/>
          <w:lang w:eastAsia="ar-SA"/>
        </w:rPr>
        <w:t>123/04</w:t>
      </w:r>
      <w:r w:rsidRPr="005C544E">
        <w:rPr>
          <w:rFonts w:ascii="Arial" w:eastAsia="Times New Roman" w:hAnsi="Arial" w:cs="Arial"/>
          <w:sz w:val="20"/>
          <w:szCs w:val="20"/>
          <w:lang w:eastAsia="ar-SA"/>
        </w:rPr>
        <w:t xml:space="preserve">, </w:t>
      </w:r>
      <w:hyperlink r:id="rId9" w:tgtFrame="_blank" w:tooltip="Zakon o poslancih (uradno prečiščeno besedilo)" w:history="1">
        <w:r w:rsidRPr="005C544E">
          <w:rPr>
            <w:rFonts w:ascii="Arial" w:eastAsia="Times New Roman" w:hAnsi="Arial" w:cs="Arial"/>
            <w:sz w:val="20"/>
            <w:szCs w:val="20"/>
            <w:lang w:eastAsia="ar-SA"/>
          </w:rPr>
          <w:t>24/05</w:t>
        </w:r>
      </w:hyperlink>
      <w:r w:rsidRPr="005C544E">
        <w:rPr>
          <w:rFonts w:ascii="Arial" w:eastAsia="Times New Roman" w:hAnsi="Arial" w:cs="Arial"/>
          <w:sz w:val="20"/>
          <w:szCs w:val="20"/>
          <w:lang w:eastAsia="ar-SA"/>
        </w:rPr>
        <w:t xml:space="preserve"> – uradno prečiščeno besedilo, </w:t>
      </w:r>
      <w:r w:rsidR="005C544E" w:rsidRPr="005C544E">
        <w:rPr>
          <w:rFonts w:ascii="Arial" w:eastAsia="Times New Roman" w:hAnsi="Arial" w:cs="Arial"/>
          <w:sz w:val="20"/>
          <w:szCs w:val="20"/>
          <w:lang w:eastAsia="ar-SA"/>
        </w:rPr>
        <w:t>90/05</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112/05</w:t>
      </w:r>
      <w:r w:rsidRPr="005C544E">
        <w:rPr>
          <w:rFonts w:ascii="Arial" w:eastAsia="Times New Roman" w:hAnsi="Arial" w:cs="Arial"/>
          <w:sz w:val="20"/>
          <w:szCs w:val="20"/>
          <w:lang w:eastAsia="ar-SA"/>
        </w:rPr>
        <w:t xml:space="preserve"> – uradno prečiščeno besedilo, </w:t>
      </w:r>
      <w:r w:rsidR="005C544E" w:rsidRPr="005C544E">
        <w:rPr>
          <w:rFonts w:ascii="Arial" w:eastAsia="Times New Roman" w:hAnsi="Arial" w:cs="Arial"/>
          <w:sz w:val="20"/>
          <w:szCs w:val="20"/>
          <w:lang w:eastAsia="ar-SA"/>
        </w:rPr>
        <w:t>109/08</w:t>
      </w:r>
      <w:r w:rsidRPr="005C544E">
        <w:rPr>
          <w:rFonts w:ascii="Arial" w:eastAsia="Times New Roman" w:hAnsi="Arial" w:cs="Arial"/>
          <w:sz w:val="20"/>
          <w:szCs w:val="20"/>
          <w:lang w:eastAsia="ar-SA"/>
        </w:rPr>
        <w:t xml:space="preserve">, </w:t>
      </w:r>
      <w:hyperlink r:id="rId10" w:tgtFrame="_blank" w:tooltip="Zakon o spremembi Zakona o poslancih" w:history="1">
        <w:r w:rsidRPr="005C544E">
          <w:rPr>
            <w:rFonts w:ascii="Arial" w:eastAsia="Times New Roman" w:hAnsi="Arial" w:cs="Arial"/>
            <w:sz w:val="20"/>
            <w:szCs w:val="20"/>
            <w:lang w:eastAsia="ar-SA"/>
          </w:rPr>
          <w:t>39/11</w:t>
        </w:r>
      </w:hyperlink>
      <w:r w:rsidRPr="005C544E">
        <w:rPr>
          <w:rFonts w:ascii="Arial" w:eastAsia="Times New Roman" w:hAnsi="Arial" w:cs="Arial"/>
          <w:sz w:val="20"/>
          <w:szCs w:val="20"/>
          <w:lang w:eastAsia="ar-SA"/>
        </w:rPr>
        <w:t xml:space="preserve"> in </w:t>
      </w:r>
      <w:r w:rsidR="005C544E" w:rsidRPr="005C544E">
        <w:rPr>
          <w:rFonts w:ascii="Arial" w:eastAsia="Times New Roman" w:hAnsi="Arial" w:cs="Arial"/>
          <w:sz w:val="20"/>
          <w:szCs w:val="20"/>
          <w:lang w:eastAsia="ar-SA"/>
        </w:rPr>
        <w:t>48/12</w:t>
      </w:r>
      <w:r w:rsidRPr="005C544E">
        <w:rPr>
          <w:rFonts w:ascii="Arial" w:eastAsia="Times New Roman" w:hAnsi="Arial" w:cs="Arial"/>
          <w:sz w:val="20"/>
          <w:szCs w:val="20"/>
          <w:lang w:eastAsia="ar-SA"/>
        </w:rPr>
        <w:t>);</w:t>
      </w:r>
    </w:p>
    <w:p w14:paraId="106CE97A" w14:textId="3A1124AA"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38.a člen Zakona o gospodarskih družbah (Uradni list RS, št. </w:t>
      </w:r>
      <w:r w:rsidR="005C544E" w:rsidRPr="005C544E">
        <w:rPr>
          <w:rFonts w:ascii="Arial" w:eastAsia="Times New Roman" w:hAnsi="Arial" w:cs="Arial"/>
          <w:sz w:val="20"/>
          <w:szCs w:val="20"/>
          <w:lang w:eastAsia="ar-SA"/>
        </w:rPr>
        <w:t>42/06</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60/06 – popr.</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26/07</w:t>
      </w:r>
      <w:r w:rsidRPr="005C544E">
        <w:rPr>
          <w:rFonts w:ascii="Arial" w:eastAsia="Times New Roman" w:hAnsi="Arial" w:cs="Arial"/>
          <w:sz w:val="20"/>
          <w:szCs w:val="20"/>
          <w:lang w:eastAsia="ar-SA"/>
        </w:rPr>
        <w:t xml:space="preserve"> – ZSDU-B, </w:t>
      </w:r>
      <w:r w:rsidR="005C544E" w:rsidRPr="005C544E">
        <w:rPr>
          <w:rFonts w:ascii="Arial" w:eastAsia="Times New Roman" w:hAnsi="Arial" w:cs="Arial"/>
          <w:sz w:val="20"/>
          <w:szCs w:val="20"/>
          <w:lang w:eastAsia="ar-SA"/>
        </w:rPr>
        <w:t>33/07</w:t>
      </w:r>
      <w:r w:rsidRPr="005C544E">
        <w:rPr>
          <w:rFonts w:ascii="Arial" w:eastAsia="Times New Roman" w:hAnsi="Arial" w:cs="Arial"/>
          <w:sz w:val="20"/>
          <w:szCs w:val="20"/>
          <w:lang w:eastAsia="ar-SA"/>
        </w:rPr>
        <w:t xml:space="preserve"> – ZSReg-B, </w:t>
      </w:r>
      <w:r w:rsidR="005C544E" w:rsidRPr="005C544E">
        <w:rPr>
          <w:rFonts w:ascii="Arial" w:eastAsia="Times New Roman" w:hAnsi="Arial" w:cs="Arial"/>
          <w:sz w:val="20"/>
          <w:szCs w:val="20"/>
          <w:lang w:eastAsia="ar-SA"/>
        </w:rPr>
        <w:t>67/07</w:t>
      </w:r>
      <w:r w:rsidRPr="005C544E">
        <w:rPr>
          <w:rFonts w:ascii="Arial" w:eastAsia="Times New Roman" w:hAnsi="Arial" w:cs="Arial"/>
          <w:sz w:val="20"/>
          <w:szCs w:val="20"/>
          <w:lang w:eastAsia="ar-SA"/>
        </w:rPr>
        <w:t xml:space="preserve"> – ZTFI, </w:t>
      </w:r>
      <w:r w:rsidR="005C544E" w:rsidRPr="005C544E">
        <w:rPr>
          <w:rFonts w:ascii="Arial" w:eastAsia="Times New Roman" w:hAnsi="Arial" w:cs="Arial"/>
          <w:sz w:val="20"/>
          <w:szCs w:val="20"/>
          <w:lang w:eastAsia="ar-SA"/>
        </w:rPr>
        <w:t>10/08</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68/08</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42/09</w:t>
      </w:r>
      <w:r w:rsidRPr="005C544E">
        <w:rPr>
          <w:rFonts w:ascii="Arial" w:eastAsia="Times New Roman" w:hAnsi="Arial" w:cs="Arial"/>
          <w:sz w:val="20"/>
          <w:szCs w:val="20"/>
          <w:lang w:eastAsia="ar-SA"/>
        </w:rPr>
        <w:t xml:space="preserve">, </w:t>
      </w:r>
      <w:r w:rsidR="005C544E" w:rsidRPr="005C544E">
        <w:rPr>
          <w:rFonts w:ascii="Arial" w:eastAsia="Times New Roman" w:hAnsi="Arial" w:cs="Arial"/>
          <w:sz w:val="20"/>
          <w:szCs w:val="20"/>
          <w:lang w:eastAsia="ar-SA"/>
        </w:rPr>
        <w:t>65/09</w:t>
      </w:r>
      <w:r w:rsidRPr="005C544E">
        <w:rPr>
          <w:rFonts w:ascii="Arial" w:eastAsia="Times New Roman" w:hAnsi="Arial" w:cs="Arial"/>
          <w:sz w:val="20"/>
          <w:szCs w:val="20"/>
          <w:lang w:eastAsia="ar-SA"/>
        </w:rPr>
        <w:t xml:space="preserve"> – uradno prečiščeno besedilo, </w:t>
      </w:r>
      <w:r w:rsidR="0045492F" w:rsidRPr="005C544E">
        <w:rPr>
          <w:rFonts w:ascii="Arial" w:eastAsia="Times New Roman" w:hAnsi="Arial" w:cs="Arial"/>
          <w:sz w:val="20"/>
          <w:szCs w:val="20"/>
          <w:lang w:eastAsia="ar-SA"/>
        </w:rPr>
        <w:t>33/11</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91/11</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32/12</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57/12</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44/13</w:t>
      </w:r>
      <w:r w:rsidRPr="005C544E">
        <w:rPr>
          <w:rFonts w:ascii="Arial" w:eastAsia="Times New Roman" w:hAnsi="Arial" w:cs="Arial"/>
          <w:sz w:val="20"/>
          <w:szCs w:val="20"/>
          <w:lang w:eastAsia="ar-SA"/>
        </w:rPr>
        <w:t xml:space="preserve"> – odl. US, </w:t>
      </w:r>
      <w:r w:rsidR="0045492F" w:rsidRPr="005C544E">
        <w:rPr>
          <w:rFonts w:ascii="Arial" w:eastAsia="Times New Roman" w:hAnsi="Arial" w:cs="Arial"/>
          <w:sz w:val="20"/>
          <w:szCs w:val="20"/>
          <w:lang w:eastAsia="ar-SA"/>
        </w:rPr>
        <w:t>82/13</w:t>
      </w:r>
      <w:r w:rsidRPr="005C544E">
        <w:rPr>
          <w:rFonts w:ascii="Arial" w:eastAsia="Times New Roman" w:hAnsi="Arial" w:cs="Arial"/>
          <w:sz w:val="20"/>
          <w:szCs w:val="20"/>
          <w:lang w:eastAsia="ar-SA"/>
        </w:rPr>
        <w:t xml:space="preserve"> in </w:t>
      </w:r>
      <w:r w:rsidR="0045492F" w:rsidRPr="005C544E">
        <w:rPr>
          <w:rFonts w:ascii="Arial" w:eastAsia="Times New Roman" w:hAnsi="Arial" w:cs="Arial"/>
          <w:sz w:val="20"/>
          <w:szCs w:val="20"/>
          <w:lang w:eastAsia="ar-SA"/>
        </w:rPr>
        <w:t>55/15</w:t>
      </w:r>
      <w:r w:rsidRPr="005C544E">
        <w:rPr>
          <w:rFonts w:ascii="Arial" w:eastAsia="Times New Roman" w:hAnsi="Arial" w:cs="Arial"/>
          <w:sz w:val="20"/>
          <w:szCs w:val="20"/>
          <w:lang w:eastAsia="ar-SA"/>
        </w:rPr>
        <w:t>), če se nanaša na poslovodne osebe in člane organov upravljanja, vodenja ter nadzora v gospodarskih družbah, v katerih ima večinski delež oziroma prevladujoč vpliv država ali lokalna skupnost;</w:t>
      </w:r>
    </w:p>
    <w:p w14:paraId="3D45A8BD" w14:textId="67C8B062" w:rsidR="0055047E" w:rsidRPr="005C544E" w:rsidRDefault="0055047E" w:rsidP="006F190F">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11. člen Zakona o javnih uslužbencih (Uradni list RS, št. </w:t>
      </w:r>
      <w:r w:rsidR="0045492F" w:rsidRPr="005C544E">
        <w:rPr>
          <w:rFonts w:ascii="Arial" w:eastAsia="Times New Roman" w:hAnsi="Arial" w:cs="Arial"/>
          <w:sz w:val="20"/>
          <w:szCs w:val="20"/>
          <w:lang w:eastAsia="ar-SA"/>
        </w:rPr>
        <w:t>56/02</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110/02</w:t>
      </w:r>
      <w:r w:rsidRPr="005C544E">
        <w:rPr>
          <w:rFonts w:ascii="Arial" w:eastAsia="Times New Roman" w:hAnsi="Arial" w:cs="Arial"/>
          <w:sz w:val="20"/>
          <w:szCs w:val="20"/>
          <w:lang w:eastAsia="ar-SA"/>
        </w:rPr>
        <w:t xml:space="preserve"> – ZDT-B, </w:t>
      </w:r>
      <w:r w:rsidR="0045492F" w:rsidRPr="005C544E">
        <w:rPr>
          <w:rFonts w:ascii="Arial" w:eastAsia="Times New Roman" w:hAnsi="Arial" w:cs="Arial"/>
          <w:sz w:val="20"/>
          <w:szCs w:val="20"/>
          <w:lang w:eastAsia="ar-SA"/>
        </w:rPr>
        <w:t>2/04</w:t>
      </w:r>
      <w:r w:rsidRPr="005C544E">
        <w:rPr>
          <w:rFonts w:ascii="Arial" w:eastAsia="Times New Roman" w:hAnsi="Arial" w:cs="Arial"/>
          <w:sz w:val="20"/>
          <w:szCs w:val="20"/>
          <w:lang w:eastAsia="ar-SA"/>
        </w:rPr>
        <w:t xml:space="preserve"> – ZDSS-1, </w:t>
      </w:r>
      <w:r w:rsidR="0045492F" w:rsidRPr="005C544E">
        <w:rPr>
          <w:rFonts w:ascii="Arial" w:eastAsia="Times New Roman" w:hAnsi="Arial" w:cs="Arial"/>
          <w:sz w:val="20"/>
          <w:szCs w:val="20"/>
          <w:lang w:eastAsia="ar-SA"/>
        </w:rPr>
        <w:t>23/05</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35/05</w:t>
      </w:r>
      <w:r w:rsidRPr="005C544E">
        <w:rPr>
          <w:rFonts w:ascii="Arial" w:eastAsia="Times New Roman" w:hAnsi="Arial" w:cs="Arial"/>
          <w:sz w:val="20"/>
          <w:szCs w:val="20"/>
          <w:lang w:eastAsia="ar-SA"/>
        </w:rPr>
        <w:t xml:space="preserve"> – uradno prečiščeno besedilo, </w:t>
      </w:r>
      <w:r w:rsidR="0045492F" w:rsidRPr="005C544E">
        <w:rPr>
          <w:rFonts w:ascii="Arial" w:eastAsia="Times New Roman" w:hAnsi="Arial" w:cs="Arial"/>
          <w:sz w:val="20"/>
          <w:szCs w:val="20"/>
          <w:lang w:eastAsia="ar-SA"/>
        </w:rPr>
        <w:t>62/05</w:t>
      </w:r>
      <w:r w:rsidRPr="005C544E">
        <w:rPr>
          <w:rFonts w:ascii="Arial" w:eastAsia="Times New Roman" w:hAnsi="Arial" w:cs="Arial"/>
          <w:sz w:val="20"/>
          <w:szCs w:val="20"/>
          <w:lang w:eastAsia="ar-SA"/>
        </w:rPr>
        <w:t xml:space="preserve"> – odl. US, </w:t>
      </w:r>
      <w:r w:rsidR="0045492F" w:rsidRPr="005C544E">
        <w:rPr>
          <w:rFonts w:ascii="Arial" w:eastAsia="Times New Roman" w:hAnsi="Arial" w:cs="Arial"/>
          <w:sz w:val="20"/>
          <w:szCs w:val="20"/>
          <w:lang w:eastAsia="ar-SA"/>
        </w:rPr>
        <w:t>75/05</w:t>
      </w:r>
      <w:r w:rsidRPr="005C544E">
        <w:rPr>
          <w:rFonts w:ascii="Arial" w:eastAsia="Times New Roman" w:hAnsi="Arial" w:cs="Arial"/>
          <w:sz w:val="20"/>
          <w:szCs w:val="20"/>
          <w:lang w:eastAsia="ar-SA"/>
        </w:rPr>
        <w:t xml:space="preserve"> – odl. US, </w:t>
      </w:r>
      <w:r w:rsidR="0045492F" w:rsidRPr="005C544E">
        <w:rPr>
          <w:rFonts w:ascii="Arial" w:eastAsia="Times New Roman" w:hAnsi="Arial" w:cs="Arial"/>
          <w:sz w:val="20"/>
          <w:szCs w:val="20"/>
          <w:lang w:eastAsia="ar-SA"/>
        </w:rPr>
        <w:t>113/05</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32/06</w:t>
      </w:r>
      <w:r w:rsidRPr="005C544E">
        <w:rPr>
          <w:rFonts w:ascii="Arial" w:eastAsia="Times New Roman" w:hAnsi="Arial" w:cs="Arial"/>
          <w:sz w:val="20"/>
          <w:szCs w:val="20"/>
          <w:lang w:eastAsia="ar-SA"/>
        </w:rPr>
        <w:t xml:space="preserve"> – uradno prečiščeno besedilo, </w:t>
      </w:r>
      <w:r w:rsidR="0045492F" w:rsidRPr="005C544E">
        <w:rPr>
          <w:rFonts w:ascii="Arial" w:eastAsia="Times New Roman" w:hAnsi="Arial" w:cs="Arial"/>
          <w:sz w:val="20"/>
          <w:szCs w:val="20"/>
          <w:lang w:eastAsia="ar-SA"/>
        </w:rPr>
        <w:t>68/06</w:t>
      </w:r>
      <w:r w:rsidRPr="005C544E">
        <w:rPr>
          <w:rFonts w:ascii="Arial" w:eastAsia="Times New Roman" w:hAnsi="Arial" w:cs="Arial"/>
          <w:sz w:val="20"/>
          <w:szCs w:val="20"/>
          <w:lang w:eastAsia="ar-SA"/>
        </w:rPr>
        <w:t xml:space="preserve"> – ZSPJS-F, </w:t>
      </w:r>
      <w:r w:rsidR="0045492F" w:rsidRPr="005C544E">
        <w:rPr>
          <w:rFonts w:ascii="Arial" w:eastAsia="Times New Roman" w:hAnsi="Arial" w:cs="Arial"/>
          <w:sz w:val="20"/>
          <w:szCs w:val="20"/>
          <w:lang w:eastAsia="ar-SA"/>
        </w:rPr>
        <w:t>131/06</w:t>
      </w:r>
      <w:r w:rsidRPr="005C544E">
        <w:rPr>
          <w:rFonts w:ascii="Arial" w:eastAsia="Times New Roman" w:hAnsi="Arial" w:cs="Arial"/>
          <w:sz w:val="20"/>
          <w:szCs w:val="20"/>
          <w:lang w:eastAsia="ar-SA"/>
        </w:rPr>
        <w:t xml:space="preserve"> – odl. US, </w:t>
      </w:r>
      <w:r w:rsidR="0045492F" w:rsidRPr="005C544E">
        <w:rPr>
          <w:rFonts w:ascii="Arial" w:eastAsia="Times New Roman" w:hAnsi="Arial" w:cs="Arial"/>
          <w:sz w:val="20"/>
          <w:szCs w:val="20"/>
          <w:lang w:eastAsia="ar-SA"/>
        </w:rPr>
        <w:t>33/07</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63/07</w:t>
      </w:r>
      <w:r w:rsidRPr="005C544E">
        <w:rPr>
          <w:rFonts w:ascii="Arial" w:eastAsia="Times New Roman" w:hAnsi="Arial" w:cs="Arial"/>
          <w:sz w:val="20"/>
          <w:szCs w:val="20"/>
          <w:lang w:eastAsia="ar-SA"/>
        </w:rPr>
        <w:t xml:space="preserve"> – uradno prečiščeno besedilo, </w:t>
      </w:r>
      <w:r w:rsidR="0045492F" w:rsidRPr="005C544E">
        <w:rPr>
          <w:rFonts w:ascii="Arial" w:eastAsia="Times New Roman" w:hAnsi="Arial" w:cs="Arial"/>
          <w:sz w:val="20"/>
          <w:szCs w:val="20"/>
          <w:lang w:eastAsia="ar-SA"/>
        </w:rPr>
        <w:t>65/08</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69/08</w:t>
      </w:r>
      <w:r w:rsidRPr="005C544E">
        <w:rPr>
          <w:rFonts w:ascii="Arial" w:eastAsia="Times New Roman" w:hAnsi="Arial" w:cs="Arial"/>
          <w:sz w:val="20"/>
          <w:szCs w:val="20"/>
          <w:lang w:eastAsia="ar-SA"/>
        </w:rPr>
        <w:t xml:space="preserve"> – ZTFI-A, </w:t>
      </w:r>
      <w:r w:rsidR="0045492F" w:rsidRPr="005C544E">
        <w:rPr>
          <w:rFonts w:ascii="Arial" w:eastAsia="Times New Roman" w:hAnsi="Arial" w:cs="Arial"/>
          <w:sz w:val="20"/>
          <w:szCs w:val="20"/>
          <w:lang w:eastAsia="ar-SA"/>
        </w:rPr>
        <w:t>69/08</w:t>
      </w:r>
      <w:r w:rsidRPr="005C544E">
        <w:rPr>
          <w:rFonts w:ascii="Arial" w:eastAsia="Times New Roman" w:hAnsi="Arial" w:cs="Arial"/>
          <w:sz w:val="20"/>
          <w:szCs w:val="20"/>
          <w:lang w:eastAsia="ar-SA"/>
        </w:rPr>
        <w:t xml:space="preserve"> – ZZavar-E in </w:t>
      </w:r>
      <w:r w:rsidR="0045492F" w:rsidRPr="005C544E">
        <w:rPr>
          <w:rFonts w:ascii="Arial" w:eastAsia="Times New Roman" w:hAnsi="Arial" w:cs="Arial"/>
          <w:sz w:val="20"/>
          <w:szCs w:val="20"/>
          <w:lang w:eastAsia="ar-SA"/>
        </w:rPr>
        <w:t>40/12</w:t>
      </w:r>
      <w:r w:rsidRPr="005C544E">
        <w:rPr>
          <w:rFonts w:ascii="Arial" w:eastAsia="Times New Roman" w:hAnsi="Arial" w:cs="Arial"/>
          <w:sz w:val="20"/>
          <w:szCs w:val="20"/>
          <w:lang w:eastAsia="ar-SA"/>
        </w:rPr>
        <w:t xml:space="preserve"> – ZUJF), Uredba o omejitvah in dolžnostih javnih uslužbencev v zvezi s sprejemanjem daril (Uradni list RS, št. 58/03 in 56/15) in Pravilnik o omejitvah in dolžnostih funkcionarjev v zvezi s sprejemanjem daril (Uradni list RS, št. 53/10), ki se uporabljajo do določitve načina razpolaganja z darili iz </w:t>
      </w:r>
      <w:r w:rsidR="00563090" w:rsidRPr="005C544E">
        <w:rPr>
          <w:rFonts w:ascii="Arial" w:eastAsia="Times New Roman" w:hAnsi="Arial" w:cs="Arial"/>
          <w:sz w:val="20"/>
          <w:szCs w:val="20"/>
          <w:lang w:eastAsia="ar-SA"/>
        </w:rPr>
        <w:t xml:space="preserve">sedmega </w:t>
      </w:r>
      <w:r w:rsidRPr="005C544E">
        <w:rPr>
          <w:rFonts w:ascii="Arial" w:eastAsia="Times New Roman" w:hAnsi="Arial" w:cs="Arial"/>
          <w:sz w:val="20"/>
          <w:szCs w:val="20"/>
          <w:lang w:eastAsia="ar-SA"/>
        </w:rPr>
        <w:t>odstavka 30. člena zakona, kolikor niso v nasprotju s tem zakonom.</w:t>
      </w:r>
    </w:p>
    <w:p w14:paraId="3467361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924174"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(2) Z dnem uveljavitve tega zakona se preneha uporabljati 8. točka drugega odstavka 123. člena Zakona o javnih uslužbencih (Uradni list RS, št. 63/07 – uradno prečiščeno besedilo, 65/08, 69/08 – ZTFI-A, 69/08 – ZZavar-E in 40/12 – ZUJF).</w:t>
      </w:r>
      <w:bookmarkStart w:id="16" w:name="_Hlk5113582"/>
    </w:p>
    <w:p w14:paraId="63E5F513"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F7D683" w14:textId="2764E43D"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 xml:space="preserve">(3) Zakon o poslancih (Uradni list RS, št. </w:t>
      </w:r>
      <w:r w:rsidR="0045492F" w:rsidRPr="005C544E">
        <w:rPr>
          <w:rFonts w:ascii="Arial" w:eastAsia="Times New Roman" w:hAnsi="Arial" w:cs="Arial"/>
          <w:sz w:val="20"/>
          <w:szCs w:val="20"/>
          <w:lang w:eastAsia="ar-SA"/>
        </w:rPr>
        <w:t>48/92</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15/94</w:t>
      </w:r>
      <w:r w:rsidRPr="005C544E">
        <w:rPr>
          <w:rFonts w:ascii="Arial" w:eastAsia="Times New Roman" w:hAnsi="Arial" w:cs="Arial"/>
          <w:sz w:val="20"/>
          <w:szCs w:val="20"/>
          <w:lang w:eastAsia="ar-SA"/>
        </w:rPr>
        <w:t xml:space="preserve"> – ZUstS, </w:t>
      </w:r>
      <w:r w:rsidR="0045492F" w:rsidRPr="005C544E">
        <w:rPr>
          <w:rFonts w:ascii="Arial" w:eastAsia="Times New Roman" w:hAnsi="Arial" w:cs="Arial"/>
          <w:sz w:val="20"/>
          <w:szCs w:val="20"/>
          <w:lang w:eastAsia="ar-SA"/>
        </w:rPr>
        <w:t>19/94</w:t>
      </w:r>
      <w:r w:rsidRPr="005C544E">
        <w:rPr>
          <w:rFonts w:ascii="Arial" w:eastAsia="Times New Roman" w:hAnsi="Arial" w:cs="Arial"/>
          <w:sz w:val="20"/>
          <w:szCs w:val="20"/>
          <w:lang w:eastAsia="ar-SA"/>
        </w:rPr>
        <w:t xml:space="preserve"> – ZSS, </w:t>
      </w:r>
      <w:r w:rsidR="0045492F" w:rsidRPr="005C544E">
        <w:rPr>
          <w:rFonts w:ascii="Arial" w:eastAsia="Times New Roman" w:hAnsi="Arial" w:cs="Arial"/>
          <w:sz w:val="20"/>
          <w:szCs w:val="20"/>
          <w:lang w:eastAsia="ar-SA"/>
        </w:rPr>
        <w:t>44/94</w:t>
      </w:r>
      <w:r w:rsidRPr="005C544E">
        <w:rPr>
          <w:rFonts w:ascii="Arial" w:eastAsia="Times New Roman" w:hAnsi="Arial" w:cs="Arial"/>
          <w:sz w:val="20"/>
          <w:szCs w:val="20"/>
          <w:lang w:eastAsia="ar-SA"/>
        </w:rPr>
        <w:t xml:space="preserve"> – odl. US, </w:t>
      </w:r>
      <w:r w:rsidR="0045492F" w:rsidRPr="005C544E">
        <w:rPr>
          <w:rFonts w:ascii="Arial" w:eastAsia="Times New Roman" w:hAnsi="Arial" w:cs="Arial"/>
          <w:sz w:val="20"/>
          <w:szCs w:val="20"/>
          <w:lang w:eastAsia="ar-SA"/>
        </w:rPr>
        <w:t>15/03</w:t>
      </w:r>
      <w:r w:rsidRPr="005C544E">
        <w:rPr>
          <w:rFonts w:ascii="Arial" w:eastAsia="Times New Roman" w:hAnsi="Arial" w:cs="Arial"/>
          <w:sz w:val="20"/>
          <w:szCs w:val="20"/>
          <w:lang w:eastAsia="ar-SA"/>
        </w:rPr>
        <w:t xml:space="preserve"> – ZZPOFPR, </w:t>
      </w:r>
      <w:r w:rsidR="0045492F" w:rsidRPr="005C544E">
        <w:rPr>
          <w:rFonts w:ascii="Arial" w:eastAsia="Times New Roman" w:hAnsi="Arial" w:cs="Arial"/>
          <w:sz w:val="20"/>
          <w:szCs w:val="20"/>
          <w:lang w:eastAsia="ar-SA"/>
        </w:rPr>
        <w:t>123/04</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24/05</w:t>
      </w:r>
      <w:r w:rsidRPr="005C544E">
        <w:rPr>
          <w:rFonts w:ascii="Arial" w:eastAsia="Times New Roman" w:hAnsi="Arial" w:cs="Arial"/>
          <w:sz w:val="20"/>
          <w:szCs w:val="20"/>
          <w:lang w:eastAsia="ar-SA"/>
        </w:rPr>
        <w:t xml:space="preserve"> – uradno prečiščeno besedilo, </w:t>
      </w:r>
      <w:r w:rsidR="0045492F" w:rsidRPr="005C544E">
        <w:rPr>
          <w:rFonts w:ascii="Arial" w:eastAsia="Times New Roman" w:hAnsi="Arial" w:cs="Arial"/>
          <w:sz w:val="20"/>
          <w:szCs w:val="20"/>
          <w:lang w:eastAsia="ar-SA"/>
        </w:rPr>
        <w:t>90/05</w:t>
      </w:r>
      <w:r w:rsidRPr="005C544E">
        <w:rPr>
          <w:rFonts w:ascii="Arial" w:eastAsia="Times New Roman" w:hAnsi="Arial" w:cs="Arial"/>
          <w:sz w:val="20"/>
          <w:szCs w:val="20"/>
          <w:lang w:eastAsia="ar-SA"/>
        </w:rPr>
        <w:t xml:space="preserve">, </w:t>
      </w:r>
      <w:r w:rsidR="0045492F" w:rsidRPr="005C544E">
        <w:rPr>
          <w:rFonts w:ascii="Arial" w:eastAsia="Times New Roman" w:hAnsi="Arial" w:cs="Arial"/>
          <w:sz w:val="20"/>
          <w:szCs w:val="20"/>
          <w:lang w:eastAsia="ar-SA"/>
        </w:rPr>
        <w:t>112/05</w:t>
      </w:r>
      <w:r w:rsidRPr="005C544E">
        <w:rPr>
          <w:rFonts w:ascii="Arial" w:eastAsia="Times New Roman" w:hAnsi="Arial" w:cs="Arial"/>
          <w:sz w:val="20"/>
          <w:szCs w:val="20"/>
          <w:lang w:eastAsia="ar-SA"/>
        </w:rPr>
        <w:t xml:space="preserve"> – uradno prečiščeno besedilo, </w:t>
      </w:r>
      <w:hyperlink r:id="rId11" w:tgtFrame="_blank" w:tooltip="Zakon o spremembi Zakona o poslancih" w:history="1">
        <w:r w:rsidRPr="005C544E">
          <w:rPr>
            <w:rFonts w:ascii="Arial" w:eastAsia="Times New Roman" w:hAnsi="Arial" w:cs="Arial"/>
            <w:sz w:val="20"/>
            <w:szCs w:val="20"/>
            <w:lang w:eastAsia="ar-SA"/>
          </w:rPr>
          <w:t>109/08</w:t>
        </w:r>
      </w:hyperlink>
      <w:r w:rsidRPr="005C544E">
        <w:rPr>
          <w:rFonts w:ascii="Arial" w:eastAsia="Times New Roman" w:hAnsi="Arial" w:cs="Arial"/>
          <w:sz w:val="20"/>
          <w:szCs w:val="20"/>
          <w:lang w:eastAsia="ar-SA"/>
        </w:rPr>
        <w:t xml:space="preserve">, </w:t>
      </w:r>
      <w:hyperlink r:id="rId12" w:tgtFrame="_blank" w:tooltip="Zakon o spremembi Zakona o poslancih" w:history="1">
        <w:r w:rsidRPr="005C544E">
          <w:rPr>
            <w:rFonts w:ascii="Arial" w:eastAsia="Times New Roman" w:hAnsi="Arial" w:cs="Arial"/>
            <w:sz w:val="20"/>
            <w:szCs w:val="20"/>
            <w:lang w:eastAsia="ar-SA"/>
          </w:rPr>
          <w:t>39/11</w:t>
        </w:r>
      </w:hyperlink>
      <w:r w:rsidRPr="005C544E">
        <w:rPr>
          <w:rFonts w:ascii="Arial" w:eastAsia="Times New Roman" w:hAnsi="Arial" w:cs="Arial"/>
          <w:sz w:val="20"/>
          <w:szCs w:val="20"/>
          <w:lang w:eastAsia="ar-SA"/>
        </w:rPr>
        <w:t xml:space="preserve"> in </w:t>
      </w:r>
      <w:hyperlink r:id="rId13" w:tgtFrame="_blank" w:tooltip="Zakon o spremembah in dopolnitvah Zakona o poslancih" w:history="1">
        <w:r w:rsidRPr="005C544E">
          <w:rPr>
            <w:rFonts w:ascii="Arial" w:eastAsia="Times New Roman" w:hAnsi="Arial" w:cs="Arial"/>
            <w:sz w:val="20"/>
            <w:szCs w:val="20"/>
            <w:lang w:eastAsia="ar-SA"/>
          </w:rPr>
          <w:t>48/12</w:t>
        </w:r>
      </w:hyperlink>
      <w:r w:rsidRPr="005C544E">
        <w:rPr>
          <w:rFonts w:ascii="Arial" w:eastAsia="Times New Roman" w:hAnsi="Arial" w:cs="Arial"/>
          <w:sz w:val="20"/>
          <w:szCs w:val="20"/>
          <w:lang w:eastAsia="ar-SA"/>
        </w:rPr>
        <w:t>) se v 12. členu spremeni tako, da se v prvem odstavku za besedo »pridobitne« doda besedi »in druge«, črtata se besedi »po zakonu«, pika na koncu odstavka se nadomesti z vejico in doda besedilo »v skladu z določbami zakona.«. Drugi odstavek se črta. Tretji odstavek postane nov drugi odstavek, besedi »prejšnjih odstavkov« pa se nadomestita z besedama »prvega odstavka«.</w:t>
      </w:r>
    </w:p>
    <w:bookmarkEnd w:id="14"/>
    <w:bookmarkEnd w:id="16"/>
    <w:p w14:paraId="49ED15B0"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65E053" w14:textId="7BAFC4E2" w:rsidR="0055047E" w:rsidRPr="005C544E" w:rsidRDefault="00347957"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53</w:t>
      </w:r>
      <w:r w:rsidR="0055047E" w:rsidRPr="005C544E">
        <w:rPr>
          <w:rFonts w:ascii="Arial" w:eastAsia="Times New Roman" w:hAnsi="Arial" w:cs="Arial"/>
          <w:b/>
          <w:bCs/>
          <w:sz w:val="20"/>
          <w:szCs w:val="20"/>
          <w:lang w:eastAsia="ar-SA"/>
        </w:rPr>
        <w:t>. člen</w:t>
      </w:r>
    </w:p>
    <w:p w14:paraId="0A5B8C66" w14:textId="77777777" w:rsidR="0055047E" w:rsidRPr="005C544E" w:rsidRDefault="0055047E" w:rsidP="0055047E">
      <w:pPr>
        <w:suppressAutoHyphens/>
        <w:overflowPunct w:val="0"/>
        <w:autoSpaceDE w:val="0"/>
        <w:spacing w:after="0" w:line="260" w:lineRule="atLeast"/>
        <w:jc w:val="center"/>
        <w:textAlignment w:val="baseline"/>
        <w:rPr>
          <w:rFonts w:ascii="Arial" w:eastAsia="Times New Roman" w:hAnsi="Arial" w:cs="Arial"/>
          <w:b/>
          <w:bCs/>
          <w:sz w:val="20"/>
          <w:szCs w:val="20"/>
          <w:lang w:eastAsia="ar-SA"/>
        </w:rPr>
      </w:pPr>
      <w:r w:rsidRPr="005C544E">
        <w:rPr>
          <w:rFonts w:ascii="Arial" w:eastAsia="Times New Roman" w:hAnsi="Arial" w:cs="Arial"/>
          <w:b/>
          <w:bCs/>
          <w:sz w:val="20"/>
          <w:szCs w:val="20"/>
          <w:lang w:eastAsia="ar-SA"/>
        </w:rPr>
        <w:t>(začetek veljavnosti)</w:t>
      </w:r>
    </w:p>
    <w:p w14:paraId="7525DA07"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2A287E"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5C544E">
        <w:rPr>
          <w:rFonts w:ascii="Arial" w:eastAsia="Times New Roman" w:hAnsi="Arial" w:cs="Arial"/>
          <w:sz w:val="20"/>
          <w:szCs w:val="20"/>
          <w:lang w:eastAsia="ar-SA"/>
        </w:rPr>
        <w:t>Ta zakon začne veljati petnajsti dan po objavi v Uradnem listu Republike Slovenije.</w:t>
      </w:r>
    </w:p>
    <w:p w14:paraId="14603D9F" w14:textId="77777777" w:rsidR="0055047E" w:rsidRPr="005C544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8BA0D"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III. OBRAZLOŽITEV</w:t>
      </w:r>
    </w:p>
    <w:p w14:paraId="747674E3" w14:textId="77777777" w:rsidR="0055047E" w:rsidRPr="00DA4528"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6F257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 členu (4. člen ZIntPK)</w:t>
      </w:r>
    </w:p>
    <w:p w14:paraId="65FC5F5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praksi se je izkazalo, da so nekateri izrazi za potrebe ZIntPK v 4. členu tega zakona opredeljeni preozko, ponekod pa nedoločno, zato se opredelitve k nekaterim izrazom dopolnjujejo oziroma spreminjajo.</w:t>
      </w:r>
    </w:p>
    <w:p w14:paraId="1DE2F0E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641061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Zaradi večje jasnosti se dopolnjuje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Banka Slovenije in druge osebe javnega prava, ki so posredni uporabniki državnega proračuna ali proračuna samoupravne lokalne skupnosti, pravne osebe, ki jih je ustanovila država ali samoupravna lokalna skupnost, javna podjetja, gospodarske družbe in druge pravne osebe, v katerih ima večinski delež oziroma prevladujoč vpliv država ali lokalna skupnost. S to spremembo so v javni sektor med drugim vključene tudi pravne osebe, katerih ustanovitelj je država, kot sta na primer Fundacija za financiranje invalidskih in humanitarnih organizacij in Fundacija za šport, pravne osebe, ki jih je ustanovila samoupravna lokalna skupnost in npr. razni zavodi ali inštituti, ki jih ustanovijo osebe javnega prava. Banka Slovenije se je za del javnega sektorja štela že skladno z veljavno opredelitvijo javnega sektorja, v 4. točko je izrecno dodana, ker je posebej obravnavana tudi v posameznih drugih definicijah.</w:t>
      </w:r>
    </w:p>
    <w:p w14:paraId="27938C5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27B428A" w14:textId="481E4F5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Spreminja oziroma dopolnjuje se tudi sedaj veljavna 6. točka (po novem 5. točka), ki opredeljuje pojem »funkcionarji oziroma funkcionarke«. V predlagani dikciji se v izogib nekaterim 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 V predlagani novi 6. točki se nadalje dopolnjuje pojem »družinski člani«, med katere so dodane tudi osebe ki z zavezancem bivajo na istem naslovu, čeprav morda ne gre za formalno, pač pa dejansko skupnost. Zakon o partnerski zvezi</w:t>
      </w:r>
      <w:r w:rsidRPr="0045492F">
        <w:rPr>
          <w:rFonts w:ascii="Arial" w:eastAsia="Times New Roman" w:hAnsi="Arial" w:cs="Arial"/>
          <w:sz w:val="20"/>
          <w:szCs w:val="20"/>
          <w:vertAlign w:val="superscript"/>
          <w:lang w:eastAsia="ar-SA"/>
        </w:rPr>
        <w:footnoteReference w:id="21"/>
      </w:r>
      <w:r w:rsidRPr="0045492F">
        <w:rPr>
          <w:rFonts w:ascii="Arial" w:eastAsia="Times New Roman" w:hAnsi="Arial" w:cs="Arial"/>
          <w:sz w:val="20"/>
          <w:szCs w:val="20"/>
          <w:lang w:eastAsia="ar-SA"/>
        </w:rPr>
        <w:t xml:space="preserve"> sicer</w:t>
      </w:r>
      <w:r w:rsidR="00674B70" w:rsidRPr="0045492F">
        <w:rPr>
          <w:rFonts w:ascii="Arial" w:eastAsia="Times New Roman" w:hAnsi="Arial" w:cs="Arial"/>
          <w:sz w:val="20"/>
          <w:szCs w:val="20"/>
          <w:lang w:eastAsia="ar-SA"/>
        </w:rPr>
        <w:t xml:space="preserve"> na</w:t>
      </w:r>
      <w:r w:rsidRPr="0045492F">
        <w:rPr>
          <w:rFonts w:ascii="Arial" w:eastAsia="Times New Roman" w:hAnsi="Arial" w:cs="Arial"/>
          <w:sz w:val="20"/>
          <w:szCs w:val="20"/>
          <w:lang w:eastAsia="ar-SA"/>
        </w:rPr>
        <w:t xml:space="preserve"> sistemski način celovito ureja položaj istospolnih partnerjev (partnerska zveza ima na vseh pravnih področjih enake pravne posledice kot jih ima zakonska zveza oziroma nesklenjena partnerska zveza ima enake pravne posledice kot zunajzakonska skupnost na tistih pravnih področjih, na katerih ima pravne posledice zunajzakonska skupnost, razen če ZPZ ne določa drugače)</w:t>
      </w:r>
      <w:r w:rsidR="00744677" w:rsidRPr="0045492F">
        <w:rPr>
          <w:rFonts w:ascii="Arial" w:eastAsia="Times New Roman" w:hAnsi="Arial" w:cs="Arial"/>
          <w:sz w:val="20"/>
          <w:szCs w:val="20"/>
          <w:lang w:eastAsia="ar-SA"/>
        </w:rPr>
        <w:t>, zato se ne navajajo posebej</w:t>
      </w:r>
      <w:r w:rsidRPr="0045492F">
        <w:rPr>
          <w:rFonts w:ascii="Arial" w:eastAsia="Times New Roman" w:hAnsi="Arial" w:cs="Arial"/>
          <w:sz w:val="20"/>
          <w:szCs w:val="20"/>
          <w:lang w:eastAsia="ar-SA"/>
        </w:rPr>
        <w:t>.</w:t>
      </w:r>
    </w:p>
    <w:p w14:paraId="2DB481A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DF7FA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7. točki se zaradi jasnosti dodaja osebe s posebnimi pooblastili v Banki Slovenije. Zakon o Banki Slovenije, primerljivo ostalim kategorijam, ureja imenovanje in status oseb s posebnimi pooblastili, ki jih imenuje Svet Banke Slovenije.</w:t>
      </w:r>
    </w:p>
    <w:p w14:paraId="1930C6D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480CA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Dopolnjuje se 8.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pravne osebe, ki jih je ustanovila država ali samoupravna lokalna skupnost in druge pravne osebe, v katerih ima večinski delež oziroma prevladujoč vpliv država ali lokalna skupnost. Predlagana dopolnitev torej razširja pojem »poslovodstva« na način, da se vključi tudi poslovodje tistih oseb javnega prava, ki po veljavni zakonodaji niso bili vključeni.</w:t>
      </w:r>
    </w:p>
    <w:p w14:paraId="0A1A480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49552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Sprememba 9. točke med uradne osebe dodaja tudi uslužbence Banke Slovenije, ki sicer niso vključeni v sistem javnih uslužbencev, dejansko pa imajo podobno vlogo in naloge.</w:t>
      </w:r>
    </w:p>
    <w:p w14:paraId="7154D6F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C7B019" w14:textId="5DD2236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na splošnem in infrastrukturnem področju izključuje naročila nižjih vrednosti. S spremembo 10. točke 4. člena ZIntPK se za javna naročila na vseh področjih: splošnem in infrastrukturnem ter obrambnem in varnostnem, zagotovi enotna ureditev, in sicer tako, da so osebe, odgovorne za javna naročila, vezane na naročila, ki se oddajo po postopku javnega naročanja in pod pogojem, da je ocenjena vrednost naročila višja od 100.000 evrov. Ker je določena meja vrednosti javnega naročila 100.000</w:t>
      </w:r>
      <w:r w:rsidR="000F30A7" w:rsidRPr="0045492F">
        <w:rPr>
          <w:rFonts w:ascii="Arial" w:eastAsia="Times New Roman" w:hAnsi="Arial" w:cs="Arial"/>
          <w:sz w:val="20"/>
          <w:szCs w:val="20"/>
          <w:lang w:eastAsia="ar-SA"/>
        </w:rPr>
        <w:t xml:space="preserve"> evrov</w:t>
      </w:r>
      <w:r w:rsidRPr="0045492F">
        <w:rPr>
          <w:rFonts w:ascii="Arial" w:eastAsia="Times New Roman" w:hAnsi="Arial" w:cs="Arial"/>
          <w:sz w:val="20"/>
          <w:szCs w:val="20"/>
          <w:lang w:eastAsia="ar-SA"/>
        </w:rPr>
        <w:t>, se odpravi nejasnosti v zvezi z vsakokratnimi spremembami mejnih vrednosti posameznih vrst javnih naročil, ki jih določa Evropska komisija</w:t>
      </w:r>
      <w:r w:rsidR="000F30A7" w:rsidRPr="0045492F">
        <w:rPr>
          <w:rFonts w:ascii="Arial" w:eastAsia="Times New Roman" w:hAnsi="Arial" w:cs="Arial"/>
          <w:sz w:val="20"/>
          <w:szCs w:val="20"/>
          <w:lang w:eastAsia="ar-SA"/>
        </w:rPr>
        <w:t xml:space="preserve"> in</w:t>
      </w:r>
      <w:r w:rsidRPr="0045492F">
        <w:rPr>
          <w:rFonts w:ascii="Arial" w:eastAsia="Times New Roman" w:hAnsi="Arial" w:cs="Arial"/>
          <w:sz w:val="20"/>
          <w:szCs w:val="20"/>
          <w:lang w:eastAsia="ar-SA"/>
        </w:rPr>
        <w:t xml:space="preserve"> ki je posredno vplivala na število zavezancev. Gre za kompromisno rešitev, ki upošteva predlog KPK in MJU.</w:t>
      </w:r>
    </w:p>
    <w:p w14:paraId="2DBB9E5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B6B26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Spremenjena je tudi dosedanja 12. točka (po novem 11. točka), ki opredeljuje »nasprotje interesov« in sicer tako, da se ta pojem odslej nanaša tudi na osebo, ki jo subjekt javnega sektorja imenuje kot zunanjega člana komisije, sveta (sem je šteti tudi npr. občinske svete),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28E796E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794E23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Nadalje se spreminja dosedanja 13. točka (po novem 12. točka), ki opredeljuje »zasebni interes osebe«. Praksa namreč kaže, da je v trenutni ureditvi izraz »zasebni interes oseb iz prejšnje točke« opredeljen preozko, zato se s spremembo razširja tudi na subjekte, s katerimi imajo osebne, poslovne ali politične stike tudi družinski člani uradne osebe.</w:t>
      </w:r>
    </w:p>
    <w:p w14:paraId="05B6A6E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2DC6B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Predlagana sprememba 14. in 16. točke, ki opredeljuje »lobiranje« in »lobiranca« se nanaša na eksplicitno vključitev Banke Slovenije v krog subjektov za katere veljajo določbe o lobiranju in s tem povezane dolžnosti o poročanju, s čimer se dodatno krepi transparentnost nejavnega vplivanja.</w:t>
      </w:r>
    </w:p>
    <w:p w14:paraId="362DD37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7166CC7"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 členu (7. člen ZIntPK)</w:t>
      </w:r>
    </w:p>
    <w:p w14:paraId="5257BB06" w14:textId="0E2C4F8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Določbe o pogojih, ki jih morajo izpolnjevati funkcionarji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se prenašajo v obliki zaključene celote v 9. člen tega zakona. V 7. členu pa ostajajo le določbe, ki se nanašajo izključno na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njeno sestavo, mandat, nezdružljivost funkcij funkcionarjev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 drugimi funkcijami ali delom, ter dolžnost opravljanja funkcije po preteku mandata še v obdobju do imenovanja novih funkcionarjev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0AAEBFE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03E763"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 členu (7.a člen ZIntPK)</w:t>
      </w:r>
    </w:p>
    <w:p w14:paraId="49D0BA33" w14:textId="09C9B673"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novem 7.a členu je urejeno vprašanje izločitve </w:t>
      </w:r>
      <w:r w:rsidR="000F30A7" w:rsidRPr="0045492F">
        <w:rPr>
          <w:rFonts w:ascii="Arial" w:eastAsia="Times New Roman" w:hAnsi="Arial" w:cs="Arial"/>
          <w:sz w:val="20"/>
          <w:szCs w:val="20"/>
          <w:lang w:eastAsia="ar-SA"/>
        </w:rPr>
        <w:t xml:space="preserve">funkcionarja </w:t>
      </w:r>
      <w:r w:rsidRPr="0045492F">
        <w:rPr>
          <w:rFonts w:ascii="Arial" w:eastAsia="Times New Roman" w:hAnsi="Arial" w:cs="Arial"/>
          <w:sz w:val="20"/>
          <w:szCs w:val="20"/>
          <w:lang w:eastAsia="ar-SA"/>
        </w:rPr>
        <w:t xml:space="preserve">ali uslužbenca KPK, pri čemer so v prvem odstavku določeni razlogi v primeru obstoja katerih </w:t>
      </w:r>
      <w:r w:rsidR="000F30A7" w:rsidRPr="0045492F">
        <w:rPr>
          <w:rFonts w:ascii="Arial" w:eastAsia="Times New Roman" w:hAnsi="Arial" w:cs="Arial"/>
          <w:sz w:val="20"/>
          <w:szCs w:val="20"/>
          <w:lang w:eastAsia="ar-SA"/>
        </w:rPr>
        <w:t xml:space="preserve">funkcionar </w:t>
      </w:r>
      <w:r w:rsidRPr="0045492F">
        <w:rPr>
          <w:rFonts w:ascii="Arial" w:eastAsia="Times New Roman" w:hAnsi="Arial" w:cs="Arial"/>
          <w:sz w:val="20"/>
          <w:szCs w:val="20"/>
          <w:lang w:eastAsia="ar-SA"/>
        </w:rPr>
        <w:t xml:space="preserve">ali uslužbenec KPK o konkretni zadevi, ki jo obravnava </w:t>
      </w:r>
      <w:r w:rsidR="001F2572" w:rsidRPr="0045492F">
        <w:rPr>
          <w:rFonts w:ascii="Arial" w:eastAsia="Times New Roman" w:hAnsi="Arial" w:cs="Arial"/>
          <w:sz w:val="20"/>
          <w:szCs w:val="20"/>
          <w:lang w:eastAsia="ar-SA"/>
        </w:rPr>
        <w:t>KPK</w:t>
      </w:r>
      <w:r w:rsidR="000F30A7" w:rsidRPr="0045492F">
        <w:rPr>
          <w:rFonts w:ascii="Arial" w:eastAsia="Times New Roman" w:hAnsi="Arial" w:cs="Arial"/>
          <w:sz w:val="20"/>
          <w:szCs w:val="20"/>
          <w:lang w:eastAsia="ar-SA"/>
        </w:rPr>
        <w:t>,</w:t>
      </w:r>
      <w:r w:rsidR="001F2572"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 xml:space="preserve">ne sme odločati, oziroma ne sme sodelovati pri njenem obravnavanju. Razlogi so urejeni po zgledu splošnega upravnega postopka in izhajajo iz sorodstvenih razmerij oziroma drugačne tesne povezanosti </w:t>
      </w:r>
      <w:r w:rsidR="000F30A7" w:rsidRPr="0045492F">
        <w:rPr>
          <w:rFonts w:ascii="Arial" w:eastAsia="Times New Roman" w:hAnsi="Arial" w:cs="Arial"/>
          <w:sz w:val="20"/>
          <w:szCs w:val="20"/>
          <w:lang w:eastAsia="ar-SA"/>
        </w:rPr>
        <w:t>funkcionarjev</w:t>
      </w:r>
      <w:r w:rsidRPr="0045492F">
        <w:rPr>
          <w:rFonts w:ascii="Arial" w:eastAsia="Times New Roman" w:hAnsi="Arial" w:cs="Arial"/>
          <w:sz w:val="20"/>
          <w:szCs w:val="20"/>
          <w:lang w:eastAsia="ar-SA"/>
        </w:rPr>
        <w:t xml:space="preserve"> ali uslužbencev KPK z osebami, ki jih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obravnava ali so drugače udeleženi v zadevi, ter njihovimi zakonitimi zastopniki ali pooblaščenci (t. i. izločitveni razlogi), medtem ko je v drugem odstavku opredeljena izločitev iz t. i. odklonitvenih razlogov (obstoj drugih okoliščin, v katerih bi zasebni interes </w:t>
      </w:r>
      <w:r w:rsidR="000F30A7" w:rsidRPr="0045492F">
        <w:rPr>
          <w:rFonts w:ascii="Arial" w:eastAsia="Times New Roman" w:hAnsi="Arial" w:cs="Arial"/>
          <w:sz w:val="20"/>
          <w:szCs w:val="20"/>
          <w:lang w:eastAsia="ar-SA"/>
        </w:rPr>
        <w:t>funkcionarja</w:t>
      </w:r>
      <w:r w:rsidRPr="0045492F">
        <w:rPr>
          <w:rFonts w:ascii="Arial" w:eastAsia="Times New Roman" w:hAnsi="Arial" w:cs="Arial"/>
          <w:sz w:val="20"/>
          <w:szCs w:val="20"/>
          <w:lang w:eastAsia="ar-SA"/>
        </w:rPr>
        <w:t xml:space="preserve"> ali uslužbenca KPK lahko vplival oziroma vzbujal videz, da vpliva na njegovo nepristranskost in objektivnost pri opravljanju javnih nalog in izvajanju uradnih postopkov). V tretjem odstavku tega člena je urejena pristojnost za odločitev o izločitvi iz razlogov po prvem in drugem odstavku te določbe, pri čemer o izločitvi </w:t>
      </w:r>
      <w:r w:rsidR="000F30A7" w:rsidRPr="0045492F">
        <w:rPr>
          <w:rFonts w:ascii="Arial" w:eastAsia="Times New Roman" w:hAnsi="Arial" w:cs="Arial"/>
          <w:sz w:val="20"/>
          <w:szCs w:val="20"/>
          <w:lang w:eastAsia="ar-SA"/>
        </w:rPr>
        <w:t xml:space="preserve">funkcionarja KPK </w:t>
      </w:r>
      <w:r w:rsidRPr="0045492F">
        <w:rPr>
          <w:rFonts w:ascii="Arial" w:eastAsia="Times New Roman" w:hAnsi="Arial" w:cs="Arial"/>
          <w:sz w:val="20"/>
          <w:szCs w:val="20"/>
          <w:lang w:eastAsia="ar-SA"/>
        </w:rPr>
        <w:t xml:space="preserve">s sklepom odločata preostala dva </w:t>
      </w:r>
      <w:r w:rsidR="000F30A7" w:rsidRPr="0045492F">
        <w:rPr>
          <w:rFonts w:ascii="Arial" w:eastAsia="Times New Roman" w:hAnsi="Arial" w:cs="Arial"/>
          <w:sz w:val="20"/>
          <w:szCs w:val="20"/>
          <w:lang w:eastAsia="ar-SA"/>
        </w:rPr>
        <w:t>funkcionarja</w:t>
      </w:r>
      <w:r w:rsidRPr="0045492F">
        <w:rPr>
          <w:rFonts w:ascii="Arial" w:eastAsia="Times New Roman" w:hAnsi="Arial" w:cs="Arial"/>
          <w:sz w:val="20"/>
          <w:szCs w:val="20"/>
          <w:lang w:eastAsia="ar-SA"/>
        </w:rPr>
        <w:t xml:space="preserve">, o izločitvi uslužbenca KPK pa predsednik </w:t>
      </w:r>
      <w:r w:rsidR="000F30A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ali oseba, ki jo za to pooblasti. Zahtevo za izločitev lahko poda funkcionar</w:t>
      </w:r>
      <w:r w:rsidR="000F30A7" w:rsidRPr="0045492F">
        <w:rPr>
          <w:rFonts w:ascii="Arial" w:eastAsia="Times New Roman" w:hAnsi="Arial" w:cs="Arial"/>
          <w:sz w:val="20"/>
          <w:szCs w:val="20"/>
          <w:lang w:eastAsia="ar-SA"/>
        </w:rPr>
        <w:t xml:space="preserve"> ali uslužbenec</w:t>
      </w:r>
      <w:r w:rsidRPr="0045492F">
        <w:rPr>
          <w:rFonts w:ascii="Arial" w:eastAsia="Times New Roman" w:hAnsi="Arial" w:cs="Arial"/>
          <w:sz w:val="20"/>
          <w:szCs w:val="20"/>
          <w:lang w:eastAsia="ar-SA"/>
        </w:rPr>
        <w:t xml:space="preserve">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prijavitelj, obravnavana oseba oziroma oseba, ki je subjekt nadzora po tem zakonu, tako iz razlogov iz prvega kot iz razlogov iz drugega odstavka tega člena.</w:t>
      </w:r>
    </w:p>
    <w:p w14:paraId="67840C7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FDF3E8B" w14:textId="1A69029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Pravila izločanja veljajo tudi za postopke, ki jih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vodi po zakonu, ki ureja upravni postopek, z namenom da bo izločanje oseb urejeno enotno za postopke pred KPK, razen za prekrškovne postopke za katere veljajo pravila o izločanju v skladu z zakonom, ki ureja prekrške.</w:t>
      </w:r>
    </w:p>
    <w:p w14:paraId="426F4A5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84B2E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 členu (9. člen ZIntPK)</w:t>
      </w:r>
    </w:p>
    <w:p w14:paraId="120A810F" w14:textId="10D3C914" w:rsidR="00027917" w:rsidRPr="0045492F" w:rsidRDefault="0055047E" w:rsidP="00027917">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spremenjeni določbi 9. člena se zakonski pogoji za </w:t>
      </w:r>
      <w:r w:rsidR="000F30A7" w:rsidRPr="0045492F">
        <w:rPr>
          <w:rFonts w:ascii="Arial" w:eastAsia="Times New Roman" w:hAnsi="Arial" w:cs="Arial"/>
          <w:sz w:val="20"/>
          <w:szCs w:val="20"/>
          <w:lang w:eastAsia="ar-SA"/>
        </w:rPr>
        <w:t>funkcionarje KPK</w:t>
      </w:r>
      <w:r w:rsidRPr="0045492F">
        <w:rPr>
          <w:rFonts w:ascii="Arial" w:eastAsia="Times New Roman" w:hAnsi="Arial" w:cs="Arial"/>
          <w:sz w:val="20"/>
          <w:szCs w:val="20"/>
          <w:lang w:eastAsia="ar-SA"/>
        </w:rPr>
        <w:t xml:space="preserve">, glede na veljavno ureditev dopolnjujejo, konkretizirajo in nadgrajujejo. Slednje predvsem v smeri pogoja osebnostne primernosti po vzoru ureditve v </w:t>
      </w:r>
      <w:r w:rsidR="00762D3D" w:rsidRPr="0045492F">
        <w:rPr>
          <w:rFonts w:ascii="Arial" w:eastAsia="Times New Roman" w:hAnsi="Arial" w:cs="Arial"/>
          <w:sz w:val="20"/>
          <w:szCs w:val="20"/>
          <w:lang w:eastAsia="ar-SA"/>
        </w:rPr>
        <w:t>Zakonu o sodniški službi</w:t>
      </w:r>
      <w:r w:rsidR="00762D3D" w:rsidRPr="0045492F">
        <w:rPr>
          <w:rStyle w:val="Sprotnaopomba-sklic"/>
          <w:rFonts w:ascii="Arial" w:eastAsia="Times New Roman" w:hAnsi="Arial" w:cs="Arial"/>
          <w:sz w:val="20"/>
          <w:szCs w:val="20"/>
          <w:lang w:eastAsia="ar-SA"/>
        </w:rPr>
        <w:footnoteReference w:id="22"/>
      </w:r>
      <w:r w:rsidRPr="0045492F">
        <w:rPr>
          <w:rFonts w:ascii="Arial" w:eastAsia="Times New Roman" w:hAnsi="Arial" w:cs="Arial"/>
          <w:sz w:val="20"/>
          <w:szCs w:val="20"/>
          <w:lang w:eastAsia="ar-SA"/>
        </w:rPr>
        <w:t xml:space="preserve"> z določitvijo negativne definicija tega pogoja, kar dodatno krepi dokazno breme za ugotavljanje obstoja pogoja na strani odločevalca. Hkrati se konkretneje opredeljujejo pogoji zahtevani za imenovanje. Na predlog MJU se zaostrujejo pogoji za imenovanje funkcionarjev KPK v delu, ki se nanašajo na obsodbe za kazniva dejanja. Pogoj je oblikovan tako kot velja tudi za sodnike in </w:t>
      </w:r>
      <w:r w:rsidR="00027917">
        <w:rPr>
          <w:rFonts w:ascii="Arial" w:eastAsia="Times New Roman" w:hAnsi="Arial" w:cs="Arial"/>
          <w:sz w:val="20"/>
          <w:szCs w:val="20"/>
          <w:lang w:eastAsia="ar-SA"/>
        </w:rPr>
        <w:t xml:space="preserve">državne </w:t>
      </w:r>
      <w:r w:rsidRPr="0045492F">
        <w:rPr>
          <w:rFonts w:ascii="Arial" w:eastAsia="Times New Roman" w:hAnsi="Arial" w:cs="Arial"/>
          <w:sz w:val="20"/>
          <w:szCs w:val="20"/>
          <w:lang w:eastAsia="ar-SA"/>
        </w:rPr>
        <w:t xml:space="preserve">tožilce. </w:t>
      </w:r>
      <w:r w:rsidR="00027917" w:rsidRPr="0045492F">
        <w:rPr>
          <w:rFonts w:ascii="Arial" w:eastAsia="Times New Roman" w:hAnsi="Arial" w:cs="Arial"/>
          <w:sz w:val="20"/>
          <w:szCs w:val="20"/>
          <w:lang w:eastAsia="ar-SA"/>
        </w:rPr>
        <w:t>Predlagana ureditev pogojev za imenovanje že zaradi osrednje vloge KPK v institucionalnem omrežju protikorupcijskega delovanja zasleduje cilj dodatne krepitve 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237BAC45" w14:textId="77777777" w:rsidR="00027917" w:rsidRDefault="0002791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419E9F1" w14:textId="041C8DAA" w:rsidR="00FB4E1D"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Da bi bile določbe o postopku imenovanja in načinu ugotavljanja izpolnjevanja zakonskih pogojev, kar se da dorečene in </w:t>
      </w:r>
      <w:r w:rsidR="00CB40DD" w:rsidRPr="0045492F">
        <w:rPr>
          <w:rFonts w:ascii="Arial" w:eastAsia="Times New Roman" w:hAnsi="Arial" w:cs="Arial"/>
          <w:sz w:val="20"/>
          <w:szCs w:val="20"/>
          <w:lang w:eastAsia="ar-SA"/>
        </w:rPr>
        <w:t xml:space="preserve">ne </w:t>
      </w:r>
      <w:r w:rsidRPr="0045492F">
        <w:rPr>
          <w:rFonts w:ascii="Arial" w:eastAsia="Times New Roman" w:hAnsi="Arial" w:cs="Arial"/>
          <w:sz w:val="20"/>
          <w:szCs w:val="20"/>
          <w:lang w:eastAsia="ar-SA"/>
        </w:rPr>
        <w:t xml:space="preserve">bi dopuščale dvoma o posameznih zahtevah za funkcionarje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zakon določa, da kandidacijska komisija, ki jo imenuje predsednik republike, za ta namen sprejme poslovnik. </w:t>
      </w:r>
      <w:r w:rsidR="00CB40DD" w:rsidRPr="0045492F">
        <w:rPr>
          <w:rFonts w:ascii="Arial" w:eastAsia="Times New Roman" w:hAnsi="Arial" w:cs="Arial"/>
          <w:sz w:val="20"/>
          <w:szCs w:val="20"/>
          <w:lang w:eastAsia="ar-SA"/>
        </w:rPr>
        <w:t>Kandidacijska komisija v</w:t>
      </w:r>
      <w:r w:rsidRPr="0045492F">
        <w:rPr>
          <w:rFonts w:ascii="Arial" w:eastAsia="Times New Roman" w:hAnsi="Arial" w:cs="Arial"/>
          <w:sz w:val="20"/>
          <w:szCs w:val="20"/>
          <w:lang w:eastAsia="ar-SA"/>
        </w:rPr>
        <w:t xml:space="preserve"> poslovniku določi način svojega delovanja ter ob smiselni uporabi standardov, meril in metod Uradniškega sveta, standarde strokovne usposobljenosti, merila za izbiro ter metode preverjanja usposobljenosti. V poslovniku kandidacijska komisija, dodatno ureja svoje delovanje, ne pa pravic in obveznosti kandidatov (npr. dokazila, ki jih je treba predložiti – ta morajo biti del razpisa).</w:t>
      </w:r>
    </w:p>
    <w:p w14:paraId="77C28CE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A3F98A" w14:textId="0DA2454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Tudi za funkcijo predsednika in namestnikov KPK velja,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in ali ima tudi druge zahtevane lastnosti ter kompetence.</w:t>
      </w:r>
    </w:p>
    <w:p w14:paraId="16A926E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4765C7" w14:textId="4976430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Da bi predlog kandidacijske komisije temeljil na vseh bistvenih informacijah, potrebnih za odločitev o tem, kateri kandidati so najprimernejši za funkcionarje, morajo biti člani kandidacijske komisije, kasneje pa tudi predsednik republike, če bi takšen kandidat bil predlagan v imenovanje, seznanjeni z raznimi okoliščinami, ki obremenjujejo ali bi lahko obremenjevale določenega kandidata. S tem v zvezi je v drugem odstavku predlagano, da je breme informirati o zgoraj navedenih okoliščinah izrecno na strani kandidata, ki se kasneje ne bo mogel braniti, da za določeno okoliščino ni vedel, pa bi lahko bila pomembna za njegovo morebitno funkcijo predsednika/namestnika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Izostanek takšne dolžnosti bi lahko kasneje vplival tudi na oceno osebnostne primernosti funkcionarja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Ocenjevanje in presojanje osebnostne primernosti po vzoru ureditve v </w:t>
      </w:r>
      <w:r w:rsidR="00027917">
        <w:rPr>
          <w:rFonts w:ascii="Arial" w:eastAsia="Times New Roman" w:hAnsi="Arial" w:cs="Arial"/>
          <w:sz w:val="20"/>
          <w:szCs w:val="20"/>
          <w:lang w:eastAsia="ar-SA"/>
        </w:rPr>
        <w:t>Zakonu o sodniški službi</w:t>
      </w:r>
      <w:r w:rsidRPr="0045492F">
        <w:rPr>
          <w:rFonts w:ascii="Arial" w:eastAsia="Times New Roman" w:hAnsi="Arial" w:cs="Arial"/>
          <w:sz w:val="20"/>
          <w:szCs w:val="20"/>
          <w:lang w:eastAsia="ar-SA"/>
        </w:rPr>
        <w:t xml:space="preserve"> sodi v vsebinsko presojo, kandidacijska komisija namreč navedenega pogoja ne preverja v okviru določb o formalnem preizkusu izbirnega postopka, ki se opravi na podlagi dokazil, ki jih predloži kandidat oziroma dokazil, ki jih kandidacijska komisija pridobi iz ustreznih javnih evidenc, temveč v okviru vsebinskega preizkusa med izbirnim postopkom.</w:t>
      </w:r>
    </w:p>
    <w:p w14:paraId="3818840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F8D900E" w14:textId="2D63818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tretji alineji prvega odstavka 9. člena se na predlog Urada predsednika Republike Slovenije doda napotilo na Zakon o javnih uslužbencih, ki v 13. točki prvega odstavka 6. člena določa pojem »delovne izkušnje«</w:t>
      </w:r>
      <w:r w:rsidR="00027917">
        <w:rPr>
          <w:rFonts w:ascii="Arial" w:eastAsia="Times New Roman" w:hAnsi="Arial" w:cs="Arial"/>
          <w:sz w:val="20"/>
          <w:szCs w:val="20"/>
          <w:lang w:eastAsia="ar-SA"/>
        </w:rPr>
        <w:t xml:space="preserve"> kot </w:t>
      </w:r>
      <w:r w:rsidRPr="0045492F">
        <w:rPr>
          <w:rFonts w:ascii="Arial" w:eastAsia="Times New Roman" w:hAnsi="Arial" w:cs="Arial"/>
          <w:sz w:val="20"/>
          <w:szCs w:val="20"/>
          <w:lang w:eastAsia="ar-SA"/>
        </w:rPr>
        <w:t>delovn</w:t>
      </w:r>
      <w:r w:rsidR="00027917">
        <w:rPr>
          <w:rFonts w:ascii="Arial" w:eastAsia="Times New Roman" w:hAnsi="Arial" w:cs="Arial"/>
          <w:sz w:val="20"/>
          <w:szCs w:val="20"/>
          <w:lang w:eastAsia="ar-SA"/>
        </w:rPr>
        <w:t>o</w:t>
      </w:r>
      <w:r w:rsidRPr="0045492F">
        <w:rPr>
          <w:rFonts w:ascii="Arial" w:eastAsia="Times New Roman" w:hAnsi="Arial" w:cs="Arial"/>
          <w:sz w:val="20"/>
          <w:szCs w:val="20"/>
          <w:lang w:eastAsia="ar-SA"/>
        </w:rPr>
        <w:t xml:space="preserve"> dob</w:t>
      </w:r>
      <w:r w:rsidR="00027917">
        <w:rPr>
          <w:rFonts w:ascii="Arial" w:eastAsia="Times New Roman" w:hAnsi="Arial" w:cs="Arial"/>
          <w:sz w:val="20"/>
          <w:szCs w:val="20"/>
          <w:lang w:eastAsia="ar-SA"/>
        </w:rPr>
        <w:t>o</w:t>
      </w:r>
      <w:r w:rsidRPr="0045492F">
        <w:rPr>
          <w:rFonts w:ascii="Arial" w:eastAsia="Times New Roman" w:hAnsi="Arial" w:cs="Arial"/>
          <w:sz w:val="20"/>
          <w:szCs w:val="20"/>
          <w:lang w:eastAsia="ar-SA"/>
        </w:rPr>
        <w:t xml:space="preserve">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853F56" w:rsidRPr="0045492F">
        <w:rPr>
          <w:rFonts w:ascii="Arial" w:eastAsia="Times New Roman" w:hAnsi="Arial" w:cs="Arial"/>
          <w:sz w:val="20"/>
          <w:szCs w:val="20"/>
          <w:lang w:eastAsia="ar-SA"/>
        </w:rPr>
        <w:t>kandidat</w:t>
      </w:r>
      <w:r w:rsidRPr="0045492F">
        <w:rPr>
          <w:rFonts w:ascii="Arial" w:eastAsia="Times New Roman" w:hAnsi="Arial" w:cs="Arial"/>
          <w:sz w:val="20"/>
          <w:szCs w:val="20"/>
          <w:lang w:eastAsia="ar-SA"/>
        </w:rPr>
        <w:t xml:space="preserve">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4DC339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EB30A48" w14:textId="443EC32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Urad predsednika Republike Slovenije je spremembo predlagal predvsem zaradi ostrih pogojev, ki jih določa trenutno veljaven zakon, ki v zvezi z relativno nizko umestitvijo funkcionarjev KPK v plačni sistem, deluje odvračilno. V preteklosti je bilo treba več postopkov za izbiro funkcionarjev KPK ponoviti, ker se v postopek niso prijavili ustrezni kandidati. S spremembo se bo povečal nabor kandidatov, ki izpolnjujejo formalne kriterije, s tem pa se bo tudi povečal nabor kandidatov, izmed katerih bo predsednik republike lahko izbiral funkcionarje KPK.</w:t>
      </w:r>
    </w:p>
    <w:p w14:paraId="36D28A63" w14:textId="4613C72A" w:rsidR="003B2651" w:rsidRPr="0045492F"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FCC6FDE" w14:textId="7556E532" w:rsidR="003B2651" w:rsidRPr="0045492F" w:rsidRDefault="003B2651"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Peti odstavek določa, da kandidacijska komisija v poslovniku določi način svojega dela, standarde strokovne usposobljenosti, merila za izbiro in metode preverjanja usposobljenosti ob smiselni uporabi standardov, meril in metod uradniškega sveta. Komisija torej smiselno uporablja standarde, merila in metode uradniškega sveta, posebnosti pa lahko uredi drugače. Poslovnik ne more določati novih pravic in pogojev za funkcijo.</w:t>
      </w:r>
    </w:p>
    <w:p w14:paraId="159E465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3FE78A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5. členu (9.a člen ZIntPK)</w:t>
      </w:r>
    </w:p>
    <w:p w14:paraId="0467D68C" w14:textId="4EDEED7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tem členu je na enem mestu urejen kandidacijski postopek, ki ga za izbiro predsednika in/ali namestnika KPK izvede kandidacijska komisija, kot tudi postopek imenovanja, ki se izvaja pri predsedniku republike. V določbi drugega odstavka člena je določen rok za obvestilo predsednika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predsedniku republike, da pozove predlagatelje, da predlagajo svoje člane za kandidacijsko komisijo, ki bo izvedla preverjanje izkušenj, znanj, sposobnosti oziroma usposobljenosti kandidatov za funkcionarje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1E9E62B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F0178" w14:textId="5948019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Kot je razvidno iz predloga drugega odstavka, so se predlagatelji za sestavo kandidacijske komisije nekoliko spremenili. Po novem so predlagatelji ministrstvo pristojno za javno upravo, ki svojega predstavnika imenuje izmed zaposlenih uradnikov na področju krepitve integritete in omejevanja korupcijskih tveganj v javnem sektorju. Prav tako Sodni svet in Državnotožilski svet po novem imenujeta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 pri čemer se število članov povečuje iz enega na dva. S takšno sestavo se zagotavlja, da so v kandidacijski komisiji, ki za predsednika republike izvede preliminarno strokovno oceno ustreznosti kandidatov, strokovnjaki, ki predmetno področje vsebinsko dobro poznajo. V izogib morebitnim dvomom o politični nevtralnosti članov kandidacijske komisije in posledično politični odločitvi, je v predlaganem četrtem odstavku posebej določeno, da za člana ne more biti imenovana oseba, ki je član organov politične stranke ali ki je zadnji dve leti (pred imenovanjem) opravljala funkcije v izvršilni ali zakonodajni veji oblasti na državni ali lokalni ravni, pri čemer je navedeni pogoj smiselno povzet iz zakonskih pogojev za imenovanje funkcionarjev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V primeru morebitnega naknadno ugotovljenega nasprotja interesov članov kandidacijske komisije, pa je potrebno postopati po določbah ZIntPK.</w:t>
      </w:r>
    </w:p>
    <w:p w14:paraId="3528286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0A26F5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Člani kandidacijske komisije so pri svojem delu samostojni, neodvisni in niso vezani na nobene usmeritve ali napotke, delujejo po svoji vesti, odgovorno, skladno z ustavo in zakonom ter etično in transparentno, pri ugotavljanju pogojev in preverjanju strokovne usposobljenosti pa v skladu s sprejetim poslovnikom.</w:t>
      </w:r>
    </w:p>
    <w:p w14:paraId="5295ABA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E7F49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Z določbo sedmega odstavka se omogoča transparentnost,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279F68E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87244E" w14:textId="0EFAC29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Kot je določeno v osmem odstavku tega člena kandidacijska komisija v 30 dneh po izteku roka iz tretjega stavka drugega odstavka tega člena posreduje predsedniku republike abecedni seznam kandidatov, ki izpolnjujejo pogoje, skupaj s kratkim obrazloženim mnenjem o osebnostni primernosti in strokovni usposobljenosti vsakega kandidata posebej, in abecedni seznam kandidatov, ki formalnih pogojev ne izpolnjujejo.</w:t>
      </w:r>
      <w:r w:rsidR="00721F3A" w:rsidRPr="0045492F">
        <w:rPr>
          <w:rFonts w:ascii="Arial" w:eastAsia="Times New Roman" w:hAnsi="Arial" w:cs="Arial"/>
          <w:sz w:val="20"/>
          <w:szCs w:val="20"/>
          <w:lang w:eastAsia="ar-SA"/>
        </w:rPr>
        <w:t xml:space="preserve"> </w:t>
      </w:r>
      <w:r w:rsidR="0038102B" w:rsidRPr="0045492F">
        <w:rPr>
          <w:rFonts w:ascii="Arial" w:eastAsia="Times New Roman" w:hAnsi="Arial" w:cs="Arial"/>
          <w:sz w:val="20"/>
          <w:szCs w:val="20"/>
          <w:lang w:eastAsia="ar-SA"/>
        </w:rPr>
        <w:t>Predsednik republike izbira nove funkcionarje s s</w:t>
      </w:r>
      <w:r w:rsidR="00721F3A" w:rsidRPr="0045492F">
        <w:rPr>
          <w:rFonts w:ascii="Arial" w:eastAsia="Times New Roman" w:hAnsi="Arial" w:cs="Arial"/>
          <w:sz w:val="20"/>
          <w:szCs w:val="20"/>
          <w:lang w:eastAsia="ar-SA"/>
        </w:rPr>
        <w:t>eznam</w:t>
      </w:r>
      <w:r w:rsidR="0038102B" w:rsidRPr="0045492F">
        <w:rPr>
          <w:rFonts w:ascii="Arial" w:eastAsia="Times New Roman" w:hAnsi="Arial" w:cs="Arial"/>
          <w:sz w:val="20"/>
          <w:szCs w:val="20"/>
          <w:lang w:eastAsia="ar-SA"/>
        </w:rPr>
        <w:t>a</w:t>
      </w:r>
      <w:r w:rsidR="00721F3A" w:rsidRPr="0045492F">
        <w:rPr>
          <w:rFonts w:ascii="Arial" w:eastAsia="Times New Roman" w:hAnsi="Arial" w:cs="Arial"/>
          <w:sz w:val="20"/>
          <w:szCs w:val="20"/>
          <w:lang w:eastAsia="ar-SA"/>
        </w:rPr>
        <w:t xml:space="preserve"> </w:t>
      </w:r>
      <w:r w:rsidR="0038102B" w:rsidRPr="0045492F">
        <w:rPr>
          <w:rFonts w:ascii="Arial" w:eastAsia="Times New Roman" w:hAnsi="Arial" w:cs="Arial"/>
          <w:sz w:val="20"/>
          <w:szCs w:val="20"/>
          <w:lang w:eastAsia="ar-SA"/>
        </w:rPr>
        <w:t xml:space="preserve">kandidatov, ki izpolnjujejo formalne pogoje. Predsednik republike ni vezan na oceno osebnostne primernosti kandidatov, ki jo je podala kandidacijska komisija in jo lahko spremeni. Oba seznama se predsedniku republike posredujeta, ker je predsednik </w:t>
      </w:r>
      <w:r w:rsidR="0038102B" w:rsidRPr="00CE450F">
        <w:rPr>
          <w:rFonts w:ascii="Arial" w:eastAsia="Times New Roman" w:hAnsi="Arial" w:cs="Arial"/>
          <w:i/>
          <w:sz w:val="20"/>
          <w:szCs w:val="20"/>
          <w:lang w:eastAsia="ar-SA"/>
        </w:rPr>
        <w:t>dominus</w:t>
      </w:r>
      <w:r w:rsidR="0038102B" w:rsidRPr="0045492F">
        <w:rPr>
          <w:rFonts w:ascii="Arial" w:eastAsia="Times New Roman" w:hAnsi="Arial" w:cs="Arial"/>
          <w:sz w:val="20"/>
          <w:szCs w:val="20"/>
          <w:lang w:eastAsia="ar-SA"/>
        </w:rPr>
        <w:t xml:space="preserve"> postopka in mora biti seznanjen z vsemi okoliščinami, ki vplivajo na odločitev.</w:t>
      </w:r>
    </w:p>
    <w:p w14:paraId="4088906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2180DD1" w14:textId="3A71A2CC"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devetem odstavku je nadalje s ciljem večje transparentnosti postopka imenovanja funkcionarjev pred imenovanjem na posamezno funkcijo, po vzoru ureditve za imenovanje nekaterih drugih funkcionarjev, predvidena tudi kandidatova javna predstavitev strategije razvoja in dela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ki vključuje tudi možnost podaje dodatnih pojasnil v zvezi z vloženo kandidaturo.</w:t>
      </w:r>
    </w:p>
    <w:p w14:paraId="7FD6DB5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A8D52B" w14:textId="347F34A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desetem odstavku tega člena je določen rok v katerem predsednik republike imenuje funkcionarje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in sicer najkasneje v 15 delovnih dneh po prejemu seznamov kandidatov, s čimer se predsedniku republike omogoča dovolj časa za izbiro in za predstavitev kandidata javnosti. Predsednik republike se lahko odloči, da ne imenuje nobenega od kandidatov iz predloženega seznama kandidacijske komisije, v takem primeru takoj ponovi postopek javnega poziva za zbiranje kandidatur.</w:t>
      </w:r>
    </w:p>
    <w:p w14:paraId="1806C08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61559F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6. členu (10. člen ZIntPK)</w:t>
      </w:r>
    </w:p>
    <w:p w14:paraId="0C28CE18" w14:textId="0F134AD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Spremenjeni četrti odstavek v 10. členu v povezavi s petim odstavkom 7. člena odgovarja na vprašanje kdo, koliko časa in s kakšnimi pooblastili opravlja funkcijo funkcionarja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če nastopijo okoliščine razrešitve zaradi odstopa funkcionarja oziroma zaradi njegove razrešitve iz razlogov navedenih v 22. členu tega zakona.</w:t>
      </w:r>
    </w:p>
    <w:p w14:paraId="14772A2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A985C2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7. členu (11. člen ZIntPK)</w:t>
      </w:r>
    </w:p>
    <w:p w14:paraId="0213288C" w14:textId="618D856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Osrednja novost, ki jo prinaša spremenjeni 11. člen ZIntPK, je reorganizacija delovanja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kot kolegijskega organa (prvi odstavek predlaganega 11. člena ZIntPK), in sicer je predvideno, da bo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kot kolegijski organ odločala le o zadevah, ki jih primarno določa zakon</w:t>
      </w:r>
      <w:r w:rsidR="0085031C" w:rsidRPr="0045492F">
        <w:rPr>
          <w:rFonts w:ascii="Arial" w:eastAsia="Times New Roman" w:hAnsi="Arial" w:cs="Arial"/>
          <w:sz w:val="20"/>
          <w:szCs w:val="20"/>
          <w:lang w:eastAsia="ar-SA"/>
        </w:rPr>
        <w:t>, o zadevah, ki jih bo kot take KPK določila v svojem poslovniku</w:t>
      </w:r>
      <w:r w:rsidRPr="0045492F">
        <w:rPr>
          <w:rFonts w:ascii="Arial" w:eastAsia="Times New Roman" w:hAnsi="Arial" w:cs="Arial"/>
          <w:sz w:val="20"/>
          <w:szCs w:val="20"/>
          <w:lang w:eastAsia="ar-SA"/>
        </w:rPr>
        <w:t xml:space="preserve"> in o zadevah, </w:t>
      </w:r>
      <w:r w:rsidR="00516AEA" w:rsidRPr="0045492F">
        <w:rPr>
          <w:rFonts w:ascii="Arial" w:eastAsia="Times New Roman" w:hAnsi="Arial" w:cs="Arial"/>
          <w:sz w:val="20"/>
          <w:szCs w:val="20"/>
          <w:lang w:eastAsia="ar-SA"/>
        </w:rPr>
        <w:t>v katerih bo odločanje senata</w:t>
      </w:r>
      <w:r w:rsidRPr="0045492F">
        <w:rPr>
          <w:rFonts w:ascii="Arial" w:eastAsia="Times New Roman" w:hAnsi="Arial" w:cs="Arial"/>
          <w:sz w:val="20"/>
          <w:szCs w:val="20"/>
          <w:lang w:eastAsia="ar-SA"/>
        </w:rPr>
        <w:t xml:space="preserve"> zahteval funkcionar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ker bo ocenil, da zaradi svoje (vsebinske, formalne ali dejanske) pomembnosti zahtevajo kolegijsko odločanje. S tem bo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kot kolegijski organ razbremenjena ukvarjanja z rutinskimi zadevami in primeri, ki so manj pomembni z vidika ciljev, ki jih pri svojem delovanju zasleduje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r w:rsidR="00DD65B4" w:rsidRPr="0045492F">
        <w:rPr>
          <w:rFonts w:ascii="Arial" w:eastAsia="Times New Roman" w:hAnsi="Arial" w:cs="Arial"/>
          <w:sz w:val="20"/>
          <w:szCs w:val="20"/>
          <w:lang w:eastAsia="ar-SA"/>
        </w:rPr>
        <w:t xml:space="preserve"> Na predlog </w:t>
      </w:r>
      <w:r w:rsidR="001F2572" w:rsidRPr="0045492F">
        <w:rPr>
          <w:rFonts w:ascii="Arial" w:eastAsia="Times New Roman" w:hAnsi="Arial" w:cs="Arial"/>
          <w:sz w:val="20"/>
          <w:szCs w:val="20"/>
          <w:lang w:eastAsia="ar-SA"/>
        </w:rPr>
        <w:t>KPK</w:t>
      </w:r>
      <w:r w:rsidR="00DD65B4" w:rsidRPr="0045492F">
        <w:rPr>
          <w:rFonts w:ascii="Arial" w:eastAsia="Times New Roman" w:hAnsi="Arial" w:cs="Arial"/>
          <w:sz w:val="20"/>
          <w:szCs w:val="20"/>
          <w:lang w:eastAsia="ar-SA"/>
        </w:rPr>
        <w:t xml:space="preserve"> je </w:t>
      </w:r>
      <w:r w:rsidR="00516AEA" w:rsidRPr="0045492F">
        <w:rPr>
          <w:rFonts w:ascii="Arial" w:eastAsia="Times New Roman" w:hAnsi="Arial" w:cs="Arial"/>
          <w:sz w:val="20"/>
          <w:szCs w:val="20"/>
          <w:lang w:eastAsia="ar-SA"/>
        </w:rPr>
        <w:t xml:space="preserve">v seznam zadev o katerih odloča senat izrecno </w:t>
      </w:r>
      <w:r w:rsidR="00DD65B4" w:rsidRPr="0045492F">
        <w:rPr>
          <w:rFonts w:ascii="Arial" w:eastAsia="Times New Roman" w:hAnsi="Arial" w:cs="Arial"/>
          <w:sz w:val="20"/>
          <w:szCs w:val="20"/>
          <w:lang w:eastAsia="ar-SA"/>
        </w:rPr>
        <w:t>dodana tudi pristojnost senata, da odloča o odreditvi izdelave, uresničitve in dopolnitve načrta integritete</w:t>
      </w:r>
      <w:r w:rsidR="00516AEA" w:rsidRPr="0045492F">
        <w:rPr>
          <w:rFonts w:ascii="Arial" w:eastAsia="Times New Roman" w:hAnsi="Arial" w:cs="Arial"/>
          <w:sz w:val="20"/>
          <w:szCs w:val="20"/>
          <w:lang w:eastAsia="ar-SA"/>
        </w:rPr>
        <w:t>.</w:t>
      </w:r>
    </w:p>
    <w:p w14:paraId="34072C1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3284A3" w14:textId="07C9551C"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 predlog KPK bo kot kolegijski organ, </w:t>
      </w:r>
      <w:r w:rsidR="001F2572" w:rsidRPr="0045492F">
        <w:rPr>
          <w:rFonts w:ascii="Arial" w:eastAsia="Times New Roman" w:hAnsi="Arial" w:cs="Arial"/>
          <w:sz w:val="20"/>
          <w:szCs w:val="20"/>
          <w:lang w:eastAsia="ar-SA"/>
        </w:rPr>
        <w:t xml:space="preserve">tako </w:t>
      </w:r>
      <w:r w:rsidRPr="0045492F">
        <w:rPr>
          <w:rFonts w:ascii="Arial" w:eastAsia="Times New Roman" w:hAnsi="Arial" w:cs="Arial"/>
          <w:sz w:val="20"/>
          <w:szCs w:val="20"/>
          <w:lang w:eastAsia="ar-SA"/>
        </w:rPr>
        <w:t>kot do sedaj tudi v prihodnje, odločala o aktu o notranji organizaciji in sistemizaciji, med tem ko bo o drugih splošnih aktih še naprej odločal predsednik kot predstojnik državnega organa.</w:t>
      </w:r>
    </w:p>
    <w:p w14:paraId="3717206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207CD" w14:textId="67AF694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Konkretneje se s predlagano rešitvijo s ciljem nemotenega in učinkovitega delovanja KPK v drugem odstavku 11. člena določno in konkretno opredeljujejo odločitve, ki jih mora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sprejemati kot kolegijski organ, ki ga sestavljajo izključno funkcionarji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V tej sestavi mora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Pr="0045492F">
        <w:rPr>
          <w:rFonts w:ascii="Arial" w:eastAsia="Times New Roman" w:hAnsi="Arial" w:cs="Arial"/>
          <w:sz w:val="20"/>
          <w:szCs w:val="20"/>
          <w:vertAlign w:val="superscript"/>
          <w:lang w:eastAsia="ar-SA"/>
        </w:rPr>
        <w:footnoteReference w:id="23"/>
      </w:r>
      <w:r w:rsidRPr="0045492F">
        <w:rPr>
          <w:rFonts w:ascii="Arial" w:eastAsia="Times New Roman" w:hAnsi="Arial" w:cs="Arial"/>
          <w:sz w:val="20"/>
          <w:szCs w:val="20"/>
          <w:lang w:eastAsia="ar-SA"/>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3931FFC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2ECAB0" w14:textId="5902B42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petem odstavku se z namenom krepitve sodelovanja s predstavniki neprofitnih organizacij zasebnega sektorja s področja dela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in reprezentativnimi sindikati javnega sektorja, določa možnost, ki jo predvideva veljavni poslovnik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to je, da se z njihovo privolitvijo na sejo vabi predstavnike teh organizacij in sindikatov, s čimer se tudi dodatno krepi institut obveščanja javnosti kot je opredeljen v 18. členu zakona. Določena pa je tudi možnost vabljenja drugih oseb, ki bi s svojim strokovnim znanjem in izkušnjami lahko pripomogle k uspešni obravnavi posameznih točk dnevnega reda.</w:t>
      </w:r>
    </w:p>
    <w:p w14:paraId="7422A7C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8ADE45" w14:textId="256E227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šestem in sedmem odstavku se urejajo pogoji in način javne objave ugotovitev ali drugih odločitev </w:t>
      </w:r>
      <w:r w:rsidR="001F2572"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zvezi s postopki, ki jih vodi po tem zakonu. Javno se objavijo le odločitve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ki se nanašajo na funkcionarja, uradnika na položaju, poslovodno osebo ali člana organov upravljanja, vodenja in nadzora v subjektih javnega sektorja ali na pravno osebo, s čimer se upoštevaje naravo funkcije, položaja oziroma dela teh oseb in vrsto postopkov, ki jih vodi </w:t>
      </w:r>
      <w:r w:rsidR="001F2572"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ustrezno zasleduje načelo sorazmernosti iz zakona, ki ureja varstvo osebnih podatkov. Te odločitve se predstavijo javnosti z objavo na spletni strani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in na drug primeren način.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ni bila vložena tožba v upravnem sporu. V primeru vložene tožbe, pa KPK dokument lahko objavi po odločitvi sodišča v upravnem sporu. Navedeno pa ne izključuje možnosti, da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izda sporočilo za javnost z osnovnimi informacijami o zaključenem postopku, ki pa ne sme vsebovati vsebinske odločitve o obravnavani zadevi.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lahko dokument objavi neposredno po tem, ko sodišče odloči o upravnem sporu, ne glede na pravnomočnost sodbe. Stranka ima možnost doseči zadržanje odločitve tako, da vloži tudi predlog za izdajo začasne odredbe.</w:t>
      </w:r>
    </w:p>
    <w:p w14:paraId="1A7DF5C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D4A9EBE" w14:textId="09C63ED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Nadalje se v predlagani določbi </w:t>
      </w:r>
      <w:r w:rsidR="003E0028" w:rsidRPr="0045492F">
        <w:rPr>
          <w:rFonts w:ascii="Arial" w:eastAsia="Times New Roman" w:hAnsi="Arial" w:cs="Arial"/>
          <w:sz w:val="20"/>
          <w:szCs w:val="20"/>
          <w:lang w:eastAsia="ar-SA"/>
        </w:rPr>
        <w:t xml:space="preserve">devetega odstavka </w:t>
      </w:r>
      <w:r w:rsidRPr="0045492F">
        <w:rPr>
          <w:rFonts w:ascii="Arial" w:eastAsia="Times New Roman" w:hAnsi="Arial" w:cs="Arial"/>
          <w:sz w:val="20"/>
          <w:szCs w:val="20"/>
          <w:lang w:eastAsia="ar-SA"/>
        </w:rPr>
        <w:t>posebej ureja varovanje osebnih podatkov drugih oseb iz dokumenta, ki ne sodijo v krog oseb iz šestega odstavka tega člena, kot tudi drugi varovani podatki (npr. o davčni tajnosti, poslovni skrivnosti..). Te podatke se psevdonimizira (</w:t>
      </w:r>
      <w:r w:rsidR="003E0028" w:rsidRPr="0045492F">
        <w:rPr>
          <w:rFonts w:ascii="Arial" w:eastAsia="Times New Roman" w:hAnsi="Arial" w:cs="Arial"/>
          <w:sz w:val="20"/>
          <w:szCs w:val="20"/>
          <w:lang w:eastAsia="ar-SA"/>
        </w:rPr>
        <w:t xml:space="preserve">gre za </w:t>
      </w:r>
      <w:r w:rsidRPr="0045492F">
        <w:rPr>
          <w:rFonts w:ascii="Arial" w:eastAsia="Times New Roman" w:hAnsi="Arial" w:cs="Arial"/>
          <w:sz w:val="20"/>
          <w:szCs w:val="20"/>
          <w:lang w:eastAsia="ar-SA"/>
        </w:rPr>
        <w:t xml:space="preserve">uskladitev s terminologijo Splošne uredbe o varstvu podatkov).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lahko objavo za določen čas tudi odloži, če bi javna objava odločitve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ogrozila nadaljnje postopke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V primeru, da bi javna objava odločitev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na podlagi mnenja pristojnega organa ogrozila interese predkazenskega, kazenskega ali drugega sodnega, nadzornega ali revizijskega postopka, se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 takem primeru o terminu in vsebini javne objave predhodno posvetuje s pristojnim organom.</w:t>
      </w:r>
    </w:p>
    <w:p w14:paraId="23308D90" w14:textId="18B39360" w:rsidR="002D609A" w:rsidRPr="0045492F"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976FB" w14:textId="4454A72B" w:rsidR="002D609A" w:rsidRPr="0045492F" w:rsidRDefault="002D609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Enajsti odstavek določa obveznost KPK, da sprejme poslovnik, ki ureja njeno poslovanje. Poslovnik KPK objavi v Uradnem listu Republike Slovenije.</w:t>
      </w:r>
    </w:p>
    <w:p w14:paraId="62B8DBD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8D72BB6"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8. členu (12. člen ZIntPK)</w:t>
      </w:r>
    </w:p>
    <w:p w14:paraId="21B4C614" w14:textId="46CD33A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12. členu se dodajajo nove alineje, tako, da so na enem mestu naštete naloge in pristojnosti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ki se konkretizirajo v nadaljnjih določbah zakona pri njegovih posameznih institutih. Besedilo določb je preglednejše in jasno našteva naloge in pristojnosti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izvaja tudi sistemske nadzore ter ukrepe za zaščito prijaviteljev. V zvezi s krepitvijo integritete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 usposablja zavezance po tem zakonu, kar omogoča podlago za izvedbo usposabljanj ne le iz področja integritete temveč tudi iz drugih področij ZIntPK;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z namenom spodbujanja poštenega in transparentnega vedenja javnih uslužbencev in spodbujanja dobrih praks vseh vpletenih v procese odločanja, opravlja tudi različne analize na sistemski ravni in objavlja njihove rezultate, 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2F1FA26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BA5A7D9" w14:textId="71A3C3AF" w:rsidR="0055047E" w:rsidRPr="0045492F"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je pristojna tudi za spremljanje in analiziranje podatkov o stanju in uresničevanju nalog za preprečevanje korupcije v Republiki Sloveniji, podatkov o številu kaznivih dejanj z elementi korupcije v Republiki Sloveniji in za spremljanje ter analiziranje zadev s področja mednarodne korupcije, poleg tega skrbi za izvajanje resolucije, ki ureja preprečevanje korupcije v Republiki Sloveniji in pripravlja resolucijo ter njene spremembe ter jih predlaga v obravnavo Vladi RS;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organizacij ter mednarodnimi neprofitnimi organizacijami zasebnega sektorja s področja dela </w:t>
      </w:r>
      <w:r w:rsidRPr="0045492F">
        <w:rPr>
          <w:rFonts w:ascii="Arial" w:eastAsia="Times New Roman" w:hAnsi="Arial" w:cs="Arial"/>
          <w:sz w:val="20"/>
          <w:szCs w:val="20"/>
          <w:lang w:eastAsia="ar-SA"/>
        </w:rPr>
        <w:t>KPK</w:t>
      </w:r>
      <w:r w:rsidR="0055047E" w:rsidRPr="0045492F">
        <w:rPr>
          <w:rFonts w:ascii="Arial" w:eastAsia="Times New Roman" w:hAnsi="Arial" w:cs="Arial"/>
          <w:sz w:val="20"/>
          <w:szCs w:val="20"/>
          <w:lang w:eastAsia="ar-SA"/>
        </w:rPr>
        <w:t xml:space="preserve">; sodeluje z znanstvenimi, strokovnimi, medijskimi in neprofitnimi organizacijami zasebnega sektorja s področja dela </w:t>
      </w:r>
      <w:r w:rsidRPr="0045492F">
        <w:rPr>
          <w:rFonts w:ascii="Arial" w:eastAsia="Times New Roman" w:hAnsi="Arial" w:cs="Arial"/>
          <w:sz w:val="20"/>
          <w:szCs w:val="20"/>
          <w:lang w:eastAsia="ar-SA"/>
        </w:rPr>
        <w:t>KPK</w:t>
      </w:r>
      <w:r w:rsidR="0055047E" w:rsidRPr="0045492F">
        <w:rPr>
          <w:rFonts w:ascii="Arial" w:eastAsia="Times New Roman" w:hAnsi="Arial" w:cs="Arial"/>
          <w:sz w:val="20"/>
          <w:szCs w:val="20"/>
          <w:lang w:eastAsia="ar-SA"/>
        </w:rPr>
        <w:t xml:space="preserve">; izdaja priporočila in pojasnila o vprašanjih, povezanih z vsebino tega zakona; sodeluje s pristojnimi državnimi organi pri pripravi predpisov s področja preprečevanja korupcije, spremlja uresničevanje teh predpisov in daje pobude za njihove spremembe in dopolnitve.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ZIntPK celo zaobšlo. Poleg navedenega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pripravlja tudi izhodišča za kodekse ravnanja, vodi evidence v skladu s tem zakonom in izvaja postopke in opravlja druge naloge, določene s tem in drugimi zakoni.</w:t>
      </w:r>
    </w:p>
    <w:p w14:paraId="4D2521A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88B3D9" w14:textId="3296F2F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Pristojnosti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 zvezi s spremljanjem in analiziranjem podatkov o stanju in uresničevanju nalog za preprečevanje korupcije v Republiki Sloveniji, podatkov o številu kaznivih dejanj z elementi korupcije v Republiki Sloveniji in za spremljanje ter analiziranje 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 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 S predlagano dopolnitvijo besedila (četrti odstavek) bo v ta namen zagotovljen tudi centralni zbir podatkov o domačih korupcijskih kaznivih dejanjih, za potrebe poročanja EK, UNCAC-u in drugim mednarodnim institucijam.</w:t>
      </w:r>
    </w:p>
    <w:p w14:paraId="2B685DC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E376B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A4EEE6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1CB2A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9. členu (13. člen ZIntPK)</w:t>
      </w:r>
    </w:p>
    <w:p w14:paraId="04FF2E74" w14:textId="4DE2C0A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Pristojnosti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ob sumu kršitev ZIntPK se urejajo na novo, pri čemer je bistvo novega pristopa v konkretizaciji postopkov v primeru suma posamezne kršitve določb ZIntPK, ki so v pristojnosti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zasleduje cilj ustreznega uravnoteženja javnega interesa, ki ga varuje in zagotavlja tudi kazenska zakonodaja, in zasebnih interesov, ki jih imajo posamezniki, ki jih v konkretnih primerih oziroma postopkih obravnava KPK.</w:t>
      </w:r>
    </w:p>
    <w:p w14:paraId="4CA5D3E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DB38CC5" w14:textId="6FEA3C95" w:rsidR="00FB4E1D"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Določitev preciznejših in različnih pogojev za uvedbo postopka ugotavljanja kršitev sledi dejstvu, da so kršitve iz pristojnosti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zaključi z načelnim mnenjem, z ugotovitvami o konkretnem primeru oziroma drugimi formalnimi izrazi odločitev (npr. prekrškovne ali upravne odločbe), ki jih izda bodisi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kot kolegijski organ ali pa posamezni pristojni uslužbenci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Ker se je v preteklosti izkazalo, da je veljavna ureditev v delu, ki se nanaša na ureditev posebnih postopkov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podnormirana, pri čemer so bile nekatere procesne določbe postopkovno urejene v poslovniku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kar se je izkazalo za neustrezno,</w:t>
      </w:r>
      <w:r w:rsidRPr="0045492F">
        <w:rPr>
          <w:rFonts w:ascii="Arial" w:eastAsia="Times New Roman" w:hAnsi="Arial" w:cs="Arial"/>
          <w:sz w:val="20"/>
          <w:szCs w:val="20"/>
          <w:vertAlign w:val="superscript"/>
          <w:lang w:eastAsia="ar-SA"/>
        </w:rPr>
        <w:footnoteReference w:id="24"/>
      </w:r>
      <w:r w:rsidRPr="0045492F">
        <w:rPr>
          <w:rFonts w:ascii="Arial" w:eastAsia="Times New Roman" w:hAnsi="Arial" w:cs="Arial"/>
          <w:sz w:val="20"/>
          <w:szCs w:val="20"/>
          <w:lang w:eastAsia="ar-SA"/>
        </w:rPr>
        <w:t xml:space="preserve"> se v predlaganem drugem odstavku eksplicitno določa obseg ureditve postopkovnih vprašanj v poslovniku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medtem ko se posamezne vsebine iz poslovnika vnašajo v sam zakon. Konkretneje se v predlaganem tretjem odstavku izrecno določa, kako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postopa, kadar ugotovi sum korupcije, ki ima hkrati znake kaznivega dejanja, za katero se storilec preganja po uradni dolžnosti, oziroma kako postopa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primeru, ko ugotovi sum korupcije, kot jo opredeljuje ZIntPK, ki pa nima znakov kaznivega dejanja. V tem primeru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izda ugotovitve o konkretnem primeru ali načelno mnenje, pri čemer predlagana ureditev glede varstva osebnih podatkov fizičnih in pravnih oseb, predstavlja dodatno omejitev oziroma varovalko glede na splošno pravilo o obveščanju javnosti iz šestega odstavka 11. člena zakona.</w:t>
      </w:r>
    </w:p>
    <w:p w14:paraId="3CBEFBCB" w14:textId="60A038E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5CE6C3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IP je v zvezi s tretjim odstavkom opozoril na strogo določbo in predlagal, da se namesto termina »anonimizacija« uporabi termin »psevdonimizacija«, ki je tudi usklajen s terminologijo Splošne uredbe o varstvu podatkov.</w:t>
      </w:r>
    </w:p>
    <w:p w14:paraId="5B197EA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C1C80E4" w14:textId="5BC9C3C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Kljub navedeni omejitvi glede objave osebnih podatkov v načelnem mnenju pa bo </w:t>
      </w:r>
      <w:r w:rsidR="003C78C2" w:rsidRPr="0045492F">
        <w:rPr>
          <w:rFonts w:ascii="Arial" w:eastAsia="Times New Roman" w:hAnsi="Arial" w:cs="Arial"/>
          <w:sz w:val="20"/>
          <w:szCs w:val="20"/>
          <w:lang w:eastAsia="ar-SA"/>
        </w:rPr>
        <w:t xml:space="preserve">lahko </w:t>
      </w:r>
      <w:r w:rsidRPr="0045492F">
        <w:rPr>
          <w:rFonts w:ascii="Arial" w:eastAsia="Times New Roman" w:hAnsi="Arial" w:cs="Arial"/>
          <w:sz w:val="20"/>
          <w:szCs w:val="20"/>
          <w:lang w:eastAsia="ar-SA"/>
        </w:rPr>
        <w:t xml:space="preserve">KPK skladno z drugim odstavkom 13.b člena s svojimi ugotovitvami ali drugimi odločitvami (torej tudi načelnim mnenjem) seznanila predstojnika ali odgovorno osebo organa, kjer je uradna oseba zaposlena in predlagala izvedbo ustreznih ukrepov. Poleg tega je izdaja načelnega mnenja predvidena le za primere, ko pred KPK teče postopek izključno zaradi suma korupcije, kar pomeni, da v ostalih primerih, KPK izda ugotovitve o konkretnem primeru. Predlagana ureditev, ki od veljavne odstopa v delu, glede obdelave osebnih podatkov, zasleduje cilj krepitve pravne varnosti obravnavanih oseb v postopkih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ki je na drugi strani ustrezno uravnotežen s krepitvijo pristojnosti KPK na tistih področjih, kjer je lahko dodana vrednost omejevanja korupcije s strani take institucije največja, to je identifikacija in odprava sistemskih korupcijskih tveganj, nasprotij interesov, krepitev integritete, nadzora nad premoženjskim stanjem zavezancev kot tudi krepitev instituta sistemskega nadzora na vsebinskih področjih, ki sodijo v pristojnost dela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6C899BD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62B9DD4" w14:textId="63B7E80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Skladno s pripombami KPK predlagani </w:t>
      </w:r>
      <w:r w:rsidR="009371BC" w:rsidRPr="0045492F">
        <w:rPr>
          <w:rFonts w:ascii="Arial" w:eastAsia="Times New Roman" w:hAnsi="Arial" w:cs="Arial"/>
          <w:sz w:val="20"/>
          <w:szCs w:val="20"/>
          <w:lang w:eastAsia="ar-SA"/>
        </w:rPr>
        <w:t xml:space="preserve">tretji </w:t>
      </w:r>
      <w:r w:rsidRPr="0045492F">
        <w:rPr>
          <w:rFonts w:ascii="Arial" w:eastAsia="Times New Roman" w:hAnsi="Arial" w:cs="Arial"/>
          <w:sz w:val="20"/>
          <w:szCs w:val="20"/>
          <w:lang w:eastAsia="ar-SA"/>
        </w:rPr>
        <w:t xml:space="preserve">odstavek ohranja možnost, da KPK, kot že po trenutno veljavni ureditvi v ZIntPK, v primeru zaznanega suma korupcije izdela ugotovitve o konkretnem primeru. V primeru, ko so izpolnjeni znaki kaznivega dejanja (presojo opravi KPK), KPK v zadevi poda kazensko ovadbo. Kadar ne gre za kaznivo dejanje, lahko KPK </w:t>
      </w:r>
      <w:r w:rsidR="009371BC" w:rsidRPr="0045492F">
        <w:rPr>
          <w:rFonts w:ascii="Arial" w:eastAsia="Times New Roman" w:hAnsi="Arial" w:cs="Arial"/>
          <w:sz w:val="20"/>
          <w:szCs w:val="20"/>
          <w:lang w:eastAsia="ar-SA"/>
        </w:rPr>
        <w:t xml:space="preserve">izda </w:t>
      </w:r>
      <w:r w:rsidRPr="0045492F">
        <w:rPr>
          <w:rFonts w:ascii="Arial" w:eastAsia="Times New Roman" w:hAnsi="Arial" w:cs="Arial"/>
          <w:sz w:val="20"/>
          <w:szCs w:val="20"/>
          <w:lang w:eastAsia="ar-SA"/>
        </w:rPr>
        <w:t>ugotovitv</w:t>
      </w:r>
      <w:r w:rsidR="009371BC" w:rsidRPr="0045492F">
        <w:rPr>
          <w:rFonts w:ascii="Arial" w:eastAsia="Times New Roman" w:hAnsi="Arial" w:cs="Arial"/>
          <w:sz w:val="20"/>
          <w:szCs w:val="20"/>
          <w:lang w:eastAsia="ar-SA"/>
        </w:rPr>
        <w:t>e</w:t>
      </w:r>
      <w:r w:rsidRPr="0045492F">
        <w:rPr>
          <w:rFonts w:ascii="Arial" w:eastAsia="Times New Roman" w:hAnsi="Arial" w:cs="Arial"/>
          <w:sz w:val="20"/>
          <w:szCs w:val="20"/>
          <w:lang w:eastAsia="ar-SA"/>
        </w:rPr>
        <w:t xml:space="preserve"> o konkretnem primeru in jih tudi objavi</w:t>
      </w:r>
      <w:r w:rsidR="00DD65B4" w:rsidRPr="0045492F">
        <w:rPr>
          <w:rFonts w:ascii="Arial" w:eastAsia="Times New Roman" w:hAnsi="Arial" w:cs="Arial"/>
          <w:sz w:val="20"/>
          <w:szCs w:val="20"/>
          <w:lang w:eastAsia="ar-SA"/>
        </w:rPr>
        <w:t xml:space="preserve"> ali </w:t>
      </w:r>
      <w:r w:rsidR="002D609A" w:rsidRPr="0045492F">
        <w:rPr>
          <w:rFonts w:ascii="Arial" w:eastAsia="Times New Roman" w:hAnsi="Arial" w:cs="Arial"/>
          <w:sz w:val="20"/>
          <w:szCs w:val="20"/>
          <w:lang w:eastAsia="ar-SA"/>
        </w:rPr>
        <w:t xml:space="preserve">pa izda </w:t>
      </w:r>
      <w:r w:rsidR="00DD65B4" w:rsidRPr="0045492F">
        <w:rPr>
          <w:rFonts w:ascii="Arial" w:eastAsia="Times New Roman" w:hAnsi="Arial" w:cs="Arial"/>
          <w:sz w:val="20"/>
          <w:szCs w:val="20"/>
          <w:lang w:eastAsia="ar-SA"/>
        </w:rPr>
        <w:t>načelno mnenje</w:t>
      </w:r>
      <w:r w:rsidRPr="0045492F">
        <w:rPr>
          <w:rFonts w:ascii="Arial" w:eastAsia="Times New Roman" w:hAnsi="Arial" w:cs="Arial"/>
          <w:sz w:val="20"/>
          <w:szCs w:val="20"/>
          <w:lang w:eastAsia="ar-SA"/>
        </w:rPr>
        <w:t xml:space="preserve">. </w:t>
      </w:r>
    </w:p>
    <w:p w14:paraId="0252C66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93198A" w14:textId="681E0F8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Predlagani </w:t>
      </w:r>
      <w:r w:rsidR="009371BC" w:rsidRPr="0045492F">
        <w:rPr>
          <w:rFonts w:ascii="Arial" w:eastAsia="Times New Roman" w:hAnsi="Arial" w:cs="Arial"/>
          <w:sz w:val="20"/>
          <w:szCs w:val="20"/>
          <w:lang w:eastAsia="ar-SA"/>
        </w:rPr>
        <w:t xml:space="preserve">četrti </w:t>
      </w:r>
      <w:r w:rsidRPr="0045492F">
        <w:rPr>
          <w:rFonts w:ascii="Arial" w:eastAsia="Times New Roman" w:hAnsi="Arial" w:cs="Arial"/>
          <w:sz w:val="20"/>
          <w:szCs w:val="20"/>
          <w:lang w:eastAsia="ar-SA"/>
        </w:rPr>
        <w:t xml:space="preserve">odstavek ureja postopek </w:t>
      </w:r>
      <w:r w:rsidR="009371BC" w:rsidRPr="0045492F">
        <w:rPr>
          <w:rFonts w:ascii="Arial" w:eastAsia="Times New Roman" w:hAnsi="Arial" w:cs="Arial"/>
          <w:sz w:val="20"/>
          <w:szCs w:val="20"/>
          <w:lang w:eastAsia="ar-SA"/>
        </w:rPr>
        <w:t xml:space="preserve">izdaje ugotovitev o konkretnem primeru </w:t>
      </w:r>
      <w:r w:rsidRPr="0045492F">
        <w:rPr>
          <w:rFonts w:ascii="Arial" w:eastAsia="Times New Roman" w:hAnsi="Arial" w:cs="Arial"/>
          <w:sz w:val="20"/>
          <w:szCs w:val="20"/>
          <w:lang w:eastAsia="ar-SA"/>
        </w:rPr>
        <w:t xml:space="preserve">v primeru </w:t>
      </w:r>
      <w:r w:rsidR="009371BC" w:rsidRPr="0045492F">
        <w:rPr>
          <w:rFonts w:ascii="Arial" w:eastAsia="Times New Roman" w:hAnsi="Arial" w:cs="Arial"/>
          <w:sz w:val="20"/>
          <w:szCs w:val="20"/>
          <w:lang w:eastAsia="ar-SA"/>
        </w:rPr>
        <w:t xml:space="preserve">suma korupcije in </w:t>
      </w:r>
      <w:r w:rsidRPr="0045492F">
        <w:rPr>
          <w:rFonts w:ascii="Arial" w:eastAsia="Times New Roman" w:hAnsi="Arial" w:cs="Arial"/>
          <w:sz w:val="20"/>
          <w:szCs w:val="20"/>
          <w:lang w:eastAsia="ar-SA"/>
        </w:rPr>
        <w:t>suma kršitve integritete, ki jo prav tako opredeljuje ZIntPK, pri čemer predlagana ureditev pošiljanja osnutka ugotovitev v izjasnitev obravnavani osebi, predstavlja udejanjanje načela zaslišanja strank kot enega temeljnih načel upravnega postopka. Osmi odstavek ureja ravna</w:t>
      </w:r>
      <w:r w:rsidR="003C78C2" w:rsidRPr="0045492F">
        <w:rPr>
          <w:rFonts w:ascii="Arial" w:eastAsia="Times New Roman" w:hAnsi="Arial" w:cs="Arial"/>
          <w:sz w:val="20"/>
          <w:szCs w:val="20"/>
          <w:lang w:eastAsia="ar-SA"/>
        </w:rPr>
        <w:t>nje</w:t>
      </w:r>
      <w:r w:rsidRPr="0045492F">
        <w:rPr>
          <w:rFonts w:ascii="Arial" w:eastAsia="Times New Roman" w:hAnsi="Arial" w:cs="Arial"/>
          <w:sz w:val="20"/>
          <w:szCs w:val="20"/>
          <w:lang w:eastAsia="ar-SA"/>
        </w:rPr>
        <w:t xml:space="preser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 prejetim odgovorom obravnavane osebe na ugotovitve </w:t>
      </w:r>
      <w:r w:rsidR="00BD195C" w:rsidRPr="0045492F">
        <w:rPr>
          <w:rFonts w:ascii="Arial" w:eastAsia="Times New Roman" w:hAnsi="Arial" w:cs="Arial"/>
          <w:sz w:val="20"/>
          <w:szCs w:val="20"/>
          <w:lang w:eastAsia="ar-SA"/>
        </w:rPr>
        <w:t>KPK</w:t>
      </w:r>
      <w:r w:rsidR="003C78C2" w:rsidRPr="0045492F">
        <w:rPr>
          <w:rFonts w:ascii="Arial" w:eastAsia="Times New Roman" w:hAnsi="Arial" w:cs="Arial"/>
          <w:sz w:val="20"/>
          <w:szCs w:val="20"/>
          <w:lang w:eastAsia="ar-SA"/>
        </w:rPr>
        <w:t xml:space="preserve">. </w:t>
      </w:r>
      <w:r w:rsidR="00BD195C" w:rsidRPr="0045492F">
        <w:rPr>
          <w:rFonts w:ascii="Arial" w:eastAsia="Times New Roman" w:hAnsi="Arial" w:cs="Arial"/>
          <w:sz w:val="20"/>
          <w:szCs w:val="20"/>
          <w:lang w:eastAsia="ar-SA"/>
        </w:rPr>
        <w:t xml:space="preserve">KPK </w:t>
      </w:r>
      <w:r w:rsidR="003C78C2" w:rsidRPr="0045492F">
        <w:rPr>
          <w:rFonts w:ascii="Arial" w:eastAsia="Times New Roman" w:hAnsi="Arial" w:cs="Arial"/>
          <w:sz w:val="20"/>
          <w:szCs w:val="20"/>
          <w:lang w:eastAsia="ar-SA"/>
        </w:rPr>
        <w:t xml:space="preserve">lahko </w:t>
      </w:r>
      <w:r w:rsidRPr="0045492F">
        <w:rPr>
          <w:rFonts w:ascii="Arial" w:eastAsia="Times New Roman" w:hAnsi="Arial" w:cs="Arial"/>
          <w:sz w:val="20"/>
          <w:szCs w:val="20"/>
          <w:lang w:eastAsia="ar-SA"/>
        </w:rPr>
        <w:t xml:space="preserve">po prejemu odgovora ugotovitve ali odločitve </w:t>
      </w:r>
      <w:r w:rsidR="003C78C2" w:rsidRPr="0045492F">
        <w:rPr>
          <w:rFonts w:ascii="Arial" w:eastAsia="Times New Roman" w:hAnsi="Arial" w:cs="Arial"/>
          <w:sz w:val="20"/>
          <w:szCs w:val="20"/>
          <w:lang w:eastAsia="ar-SA"/>
        </w:rPr>
        <w:t xml:space="preserve">sprejme </w:t>
      </w:r>
      <w:r w:rsidRPr="0045492F">
        <w:rPr>
          <w:rFonts w:ascii="Arial" w:eastAsia="Times New Roman" w:hAnsi="Arial" w:cs="Arial"/>
          <w:sz w:val="20"/>
          <w:szCs w:val="20"/>
          <w:lang w:eastAsia="ar-SA"/>
        </w:rPr>
        <w:t xml:space="preserve">brez sprememb, se opredeli do navedb iz odgovora obravnavane osebe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 namenom razjasnitve dodatnih okoliščin in izvede morebitne nadaljnje aktivnosti, potrebne za razjasnitev primera. Šesti in sedmi odstavek smiselno razlikujeta postopanje pri ostalih kršitvah ZIntPK na podlagi dejstva, ali je za kršitev predpisana prekrškovna sankcija ali ne. Upoštevaje navedeno določbo ter obseg zadev v katerih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odloča kot kolegijski organ (11. člen), je torej v zadevah, v katerih je predpisana prekrškovna sankcija, za izvedbo postopka pristojna pooblaščena uradna oseba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in ne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kot kolegijski organ, kar prispeva k dodatni razbremenitvi senata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7247AA1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4EE80" w14:textId="5E23A68C" w:rsidR="0055047E" w:rsidRPr="0045492F"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Šesti </w:t>
      </w:r>
      <w:r w:rsidR="0055047E" w:rsidRPr="0045492F">
        <w:rPr>
          <w:rFonts w:ascii="Arial" w:eastAsia="Times New Roman" w:hAnsi="Arial" w:cs="Arial"/>
          <w:sz w:val="20"/>
          <w:szCs w:val="20"/>
          <w:lang w:eastAsia="ar-SA"/>
        </w:rPr>
        <w:t xml:space="preserve">odstavek je predlagan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w:t>
      </w:r>
      <w:r w:rsidR="00BD195C"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takšnih ugotovitev ne objavlja. Zaradi zagotovitve večje transparentnosti v primeru, da KPK v prekrškovnem postopku zoper funkcionarja ugotovi prekršek, ki ga določa ZIntPK. Pri tem je v skladu za načelom sorazmernosti krog kršiteljev omejen na funkcionarje. Prav tako pa se ne objavlja celotna odločba o prekršku, ampak le določen obseg podatkov.</w:t>
      </w:r>
    </w:p>
    <w:p w14:paraId="4F4E7C8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0CA462" w14:textId="0A9D8EFC" w:rsidR="0055047E" w:rsidRPr="0045492F" w:rsidRDefault="009371B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Deseti </w:t>
      </w:r>
      <w:r w:rsidR="0055047E" w:rsidRPr="0045492F">
        <w:rPr>
          <w:rFonts w:ascii="Arial" w:eastAsia="Times New Roman" w:hAnsi="Arial" w:cs="Arial"/>
          <w:sz w:val="20"/>
          <w:szCs w:val="20"/>
          <w:lang w:eastAsia="ar-SA"/>
        </w:rPr>
        <w:t xml:space="preserve">odstavek </w:t>
      </w:r>
      <w:r w:rsidR="00BD195C"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pooblašča tudi za izdajo priporočil za zakonito in transparentno ravnanje subjektov na področjih, kjer </w:t>
      </w:r>
      <w:r w:rsidR="00BD195C"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zazna sistemska korupcijska tveganja. V </w:t>
      </w:r>
      <w:r w:rsidRPr="0045492F">
        <w:rPr>
          <w:rFonts w:ascii="Arial" w:eastAsia="Times New Roman" w:hAnsi="Arial" w:cs="Arial"/>
          <w:sz w:val="20"/>
          <w:szCs w:val="20"/>
          <w:lang w:eastAsia="ar-SA"/>
        </w:rPr>
        <w:t xml:space="preserve">enajstem </w:t>
      </w:r>
      <w:r w:rsidR="0055047E" w:rsidRPr="0045492F">
        <w:rPr>
          <w:rFonts w:ascii="Arial" w:eastAsia="Times New Roman" w:hAnsi="Arial" w:cs="Arial"/>
          <w:sz w:val="20"/>
          <w:szCs w:val="20"/>
          <w:lang w:eastAsia="ar-SA"/>
        </w:rPr>
        <w:t xml:space="preserve">odstavku se izrecno določa dolžnost </w:t>
      </w:r>
      <w:r w:rsidR="00BD195C" w:rsidRPr="0045492F">
        <w:rPr>
          <w:rFonts w:ascii="Arial" w:eastAsia="Times New Roman" w:hAnsi="Arial" w:cs="Arial"/>
          <w:sz w:val="20"/>
          <w:szCs w:val="20"/>
          <w:lang w:eastAsia="ar-SA"/>
        </w:rPr>
        <w:t>KPK</w:t>
      </w:r>
      <w:r w:rsidR="0055047E" w:rsidRPr="0045492F">
        <w:rPr>
          <w:rFonts w:ascii="Arial" w:eastAsia="Times New Roman" w:hAnsi="Arial" w:cs="Arial"/>
          <w:sz w:val="20"/>
          <w:szCs w:val="20"/>
          <w:lang w:eastAsia="ar-SA"/>
        </w:rPr>
        <w:t xml:space="preserve">, da na zahtevo drugih organov ter pravnih in fizičnih oseb daje pojasnila, odgovore in priporočila iz svojega področja delovanja. Predlagani </w:t>
      </w:r>
      <w:r w:rsidRPr="0045492F">
        <w:rPr>
          <w:rFonts w:ascii="Arial" w:eastAsia="Times New Roman" w:hAnsi="Arial" w:cs="Arial"/>
          <w:sz w:val="20"/>
          <w:szCs w:val="20"/>
          <w:lang w:eastAsia="ar-SA"/>
        </w:rPr>
        <w:t xml:space="preserve">dvanajsti </w:t>
      </w:r>
      <w:r w:rsidR="0055047E" w:rsidRPr="0045492F">
        <w:rPr>
          <w:rFonts w:ascii="Arial" w:eastAsia="Times New Roman" w:hAnsi="Arial" w:cs="Arial"/>
          <w:sz w:val="20"/>
          <w:szCs w:val="20"/>
          <w:lang w:eastAsia="ar-SA"/>
        </w:rPr>
        <w:t xml:space="preserve">odstavek določa, da </w:t>
      </w:r>
      <w:r w:rsidR="00BD195C"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ne obravnava zadev (tako na podlagi prijave kot tudi po uradni dolžnosti), če je od dogodka na katerega se nanaša zadeva, preteklo več kot pet let. V tem času funkcionarjem, uradnikom na položaju, poslovodnim osebam in drugim funkcija oziroma položaj pogosto že prenehata, poleg tega pa lahko daljša časovna oddaljenost dogodka onemogoča ali bistveno otežuje ugotavljanje dejanskega stanja. Podobna ureditev izhaja tudi iz 42. člena veljavnega poslovnika KPK.</w:t>
      </w:r>
    </w:p>
    <w:p w14:paraId="2D0B0CC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BF7266F"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10. členu (a13.a člen ZIntPK)</w:t>
      </w:r>
    </w:p>
    <w:p w14:paraId="738A43DE" w14:textId="6AC37BB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KPK je 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 </w:t>
      </w:r>
      <w:r w:rsidR="00E05F68"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p w14:paraId="1A5A89C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650B30" w14:textId="686DD40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a13.a člen tako predstavlja smiselno povzete dosedanje določbe poslovnika KPK in ureja pristojnost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 določb o pridobitvi izjave oziroma podatkov o udeležbi fizičnih in pravnih oseb v lastništvu ponudnika ter o gospodarskih subjektih, za katere se šteje, da so povezane družbe s ponudnikom, nadzor nad spoštovanjem določb o zaščiti prijaviteljev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Poleg taksativno naštetih področij, ki so lahko predmet nadzora, je v predlagani zadnji alineji prvega odstavka predvidena možnost izvajanja nadzorov tudi nad spoštovanjem drugih določb, povezanih s krepitvijo integritete in transparentnosti ter s preprečevanjem korupcije, kar so pravzaprav tudi osnovna vodila zakona.</w:t>
      </w:r>
    </w:p>
    <w:p w14:paraId="256AED2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217E9C7" w14:textId="598305D4" w:rsidR="0055047E" w:rsidRPr="0045492F" w:rsidRDefault="00BD195C"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metodologijo izvedbe sistemskega nadzora podrobneje uredi s poslovnikom. Odločitev o sistemskem nadzoru sprejme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s sklepom, ki ga vroči subjektu nadzora. Sklep o nadzoru mora vsebovati obseg in kratko utemeljitev razlogov za nadzor, osebno ime, status in vlogo posameznih članov nadzorne skupine, ki bo nadzor opravljala. Zoper sklep o določitvi sistemskega nadzora ni pritožbe, dopusten pa je upravni spor iz 15. člena zakona. Subjekt nadzora </w:t>
      </w:r>
      <w:r w:rsidR="003C78C2" w:rsidRPr="0045492F">
        <w:rPr>
          <w:rFonts w:ascii="Arial" w:eastAsia="Times New Roman" w:hAnsi="Arial" w:cs="Arial"/>
          <w:sz w:val="20"/>
          <w:szCs w:val="20"/>
          <w:lang w:eastAsia="ar-SA"/>
        </w:rPr>
        <w:t>mora</w:t>
      </w:r>
      <w:r w:rsidR="0055047E" w:rsidRPr="0045492F">
        <w:rPr>
          <w:rFonts w:ascii="Arial" w:eastAsia="Times New Roman" w:hAnsi="Arial" w:cs="Arial"/>
          <w:sz w:val="20"/>
          <w:szCs w:val="20"/>
          <w:lang w:eastAsia="ar-SA"/>
        </w:rPr>
        <w:t xml:space="preserve"> ravnati skladno s sklepom in zagotoviti vse, kar je potrebno za izvedbo in dokončanje sistemskega nadzora (v primeru nesodelovanja KPK o tem lahko obvesti javnost).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po zaključku sistemskega nadzora sprejme osnutek poročila o nadzoru in ga posreduje subjektu nadzora, ter ga pozove, da v roku, ki ni krajši od 30 dni, posreduje odzivno mnenje ali predlaga usklajevalni sestanek. Osnutek poročila in usklajevanje sta zaupna. Subjekt nadzora se mora v odzivnem mnenju opredeliti do ugotovitev iz osnutka poročila o nadzoru </w:t>
      </w:r>
      <w:r w:rsidRPr="0045492F">
        <w:rPr>
          <w:rFonts w:ascii="Arial" w:eastAsia="Times New Roman" w:hAnsi="Arial" w:cs="Arial"/>
          <w:sz w:val="20"/>
          <w:szCs w:val="20"/>
          <w:lang w:eastAsia="ar-SA"/>
        </w:rPr>
        <w:t>KPK</w:t>
      </w:r>
      <w:r w:rsidR="0055047E" w:rsidRPr="0045492F">
        <w:rPr>
          <w:rFonts w:ascii="Arial" w:eastAsia="Times New Roman" w:hAnsi="Arial" w:cs="Arial"/>
          <w:sz w:val="20"/>
          <w:szCs w:val="20"/>
          <w:lang w:eastAsia="ar-SA"/>
        </w:rPr>
        <w:t xml:space="preserve">, lahko pa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v zvezi z osnutkom poročila o nadzoru predlaga tudi usklajevalni sestanek.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sprejme končno poročilo o nadzoru s potrebnimi ukrepi in priporočili in ga vroči subjektu nadzora, ko oceni, da so vse pomembne okoliščine dovolj razjasnjene. Končno poročilo o nadzoru lahko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 xml:space="preserve">pod pogoji določenimi v 11. členu zakona tudi javno objavi. V sistemski nadzor se lahko na lastno pobudo ali na povabilo </w:t>
      </w: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vključijo tudi drugi nadzorni državni organi (inšpekcijske službe),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3A70222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ADB081C"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11. členu (13.b in 13.c člen ZIntPK)</w:t>
      </w:r>
    </w:p>
    <w:p w14:paraId="3FD30120"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13.b člen</w:t>
      </w:r>
    </w:p>
    <w:p w14:paraId="1CDEF248" w14:textId="0F3EA62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Vsebina člena se nanaša na vsebino, ki izhaja iz 49. člena poslovnika KPK. Gre za pobude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predstojnikom drugih organov, da ukrepajo skladno s svojimi pristojnostmi po delovnopravni zakonodaji in notranjih aktih in organizacijskih predpisih v povezavi z zadevami, ki jih ali pa jih je že obravnavala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r w:rsidR="009371BC" w:rsidRPr="0045492F">
        <w:rPr>
          <w:rFonts w:ascii="Arial" w:eastAsia="Times New Roman" w:hAnsi="Arial" w:cs="Arial"/>
          <w:sz w:val="20"/>
          <w:szCs w:val="20"/>
          <w:lang w:eastAsia="ar-SA"/>
        </w:rPr>
        <w:t xml:space="preserve"> Pri tem ne gre za predpisovanje obveznosti izvedbe postoka za razrešitev </w:t>
      </w:r>
      <w:r w:rsidR="009B3C83" w:rsidRPr="0045492F">
        <w:rPr>
          <w:rFonts w:ascii="Arial" w:eastAsia="Times New Roman" w:hAnsi="Arial" w:cs="Arial"/>
          <w:sz w:val="20"/>
          <w:szCs w:val="20"/>
          <w:lang w:eastAsia="ar-SA"/>
        </w:rPr>
        <w:t>uradne osebe, pač pa za obveznost, da se organ v roku 30 dni odloči, ali bo takšen postopek skladno z veljavno zakonodajo uvedel, in o svoji odločitvi obvesti KPK.</w:t>
      </w:r>
    </w:p>
    <w:p w14:paraId="30017CD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41EFEED"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13.c člen</w:t>
      </w:r>
    </w:p>
    <w:p w14:paraId="74269420" w14:textId="15D0437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Med pristojnostmi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se po novem določa tudi pristojnost predlagati revizijo, in sicer kadar so podane okoliščine in dejstva, ki izkazujejo sum korupcije ali nasprotja interesov s strani funkcionarjev, uradnikov na položaju, poslovodnih oseb in članov organov upravljanja, vodenja in nadzora v subjektih javnega sektorja in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oceni, da je za zaščito porabe javnih sredstev potrebna revizija poslovanja uporabnikov javnih sredstev. V takem primeru lahko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med ali po zaključku postopka sprejme obrazložen sklep, s katerim računskemu sodišču predlaga uvedbo revizije posameznega posla ali več poslov, sklenjenih s strani subjektov javnega sektorja.</w:t>
      </w:r>
    </w:p>
    <w:p w14:paraId="070D7B2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B3A2D7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12. členu (15. člen ZIntPK)</w:t>
      </w:r>
    </w:p>
    <w:p w14:paraId="71EEB45F" w14:textId="12837D4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Predlagana določba določa postopkovna pravila, ki jih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uporablja v svojih postopkih ter vrste postopkov. V tem členu se tudi izrecno določa, kot sicer že določa 34. člen Poslovnika, razmejevanje med posameznimi postopki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in sicer postopki odločanja v upravni zadevi, hitri prekrškovni postopki ter posebni postopki oz. t. i. »</w:t>
      </w:r>
      <w:r w:rsidRPr="00A926CD">
        <w:rPr>
          <w:rFonts w:ascii="Arial" w:eastAsia="Times New Roman" w:hAnsi="Arial" w:cs="Arial"/>
          <w:i/>
          <w:sz w:val="20"/>
          <w:szCs w:val="20"/>
          <w:lang w:eastAsia="ar-SA"/>
        </w:rPr>
        <w:t>sui generis</w:t>
      </w:r>
      <w:r w:rsidRPr="0045492F">
        <w:rPr>
          <w:rFonts w:ascii="Arial" w:eastAsia="Times New Roman" w:hAnsi="Arial" w:cs="Arial"/>
          <w:sz w:val="20"/>
          <w:szCs w:val="20"/>
          <w:lang w:eastAsia="ar-SA"/>
        </w:rPr>
        <w:t>« ali tudi »</w:t>
      </w:r>
      <w:r w:rsidRPr="00A926CD">
        <w:rPr>
          <w:rFonts w:ascii="Arial" w:eastAsia="Times New Roman" w:hAnsi="Arial" w:cs="Arial"/>
          <w:i/>
          <w:sz w:val="20"/>
          <w:szCs w:val="20"/>
          <w:lang w:eastAsia="ar-SA"/>
        </w:rPr>
        <w:t>fact finding</w:t>
      </w:r>
      <w:r w:rsidRPr="0045492F">
        <w:rPr>
          <w:rFonts w:ascii="Arial" w:eastAsia="Times New Roman" w:hAnsi="Arial" w:cs="Arial"/>
          <w:sz w:val="20"/>
          <w:szCs w:val="20"/>
          <w:lang w:eastAsia="ar-SA"/>
        </w:rPr>
        <w:t>«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 Medtem ko pri upravnih postopkih njihova narava odločanja o pravicah in obveznostih ter pravnih koristih oziroma teža sankcij pri prekrškovnih postopkih terja ustrezno močne procesne garancije za stranke teh postopkov oziroma kršitelje, neupravni oz. t. i. »</w:t>
      </w:r>
      <w:r w:rsidRPr="006B313D">
        <w:rPr>
          <w:rFonts w:ascii="Arial" w:eastAsia="Times New Roman" w:hAnsi="Arial" w:cs="Arial"/>
          <w:i/>
          <w:sz w:val="20"/>
          <w:szCs w:val="20"/>
          <w:lang w:eastAsia="ar-SA"/>
        </w:rPr>
        <w:t>sui generis</w:t>
      </w:r>
      <w:r w:rsidRPr="0045492F">
        <w:rPr>
          <w:rFonts w:ascii="Arial" w:eastAsia="Times New Roman" w:hAnsi="Arial" w:cs="Arial"/>
          <w:sz w:val="20"/>
          <w:szCs w:val="20"/>
          <w:lang w:eastAsia="ar-SA"/>
        </w:rPr>
        <w:t>« postopki v svojem bistvu predstavljajo zgolj ugotovitev določenih dejstev in mnenje KPK brez kakršnihkoli neposrednih pravnih učinkov za kogarkoli in to po samem zakonu.</w:t>
      </w:r>
      <w:r w:rsidRPr="0045492F">
        <w:rPr>
          <w:rFonts w:ascii="Arial" w:eastAsia="Times New Roman" w:hAnsi="Arial" w:cs="Arial"/>
          <w:sz w:val="20"/>
          <w:szCs w:val="20"/>
          <w:vertAlign w:val="superscript"/>
          <w:lang w:eastAsia="ar-SA"/>
        </w:rPr>
        <w:footnoteReference w:id="25"/>
      </w:r>
      <w:r w:rsidRPr="0045492F">
        <w:rPr>
          <w:rFonts w:ascii="Arial" w:eastAsia="Times New Roman" w:hAnsi="Arial" w:cs="Arial"/>
          <w:sz w:val="20"/>
          <w:szCs w:val="20"/>
          <w:lang w:eastAsia="ar-SA"/>
        </w:rPr>
        <w:t xml:space="preserve"> O pravni naravi posameznih aktov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se je ob upoštevanju veljavne ureditve, ki za razliko od predlagane, v primeru teh postopkov napotuje na subsidiarno uporabo določb ZUP, opredelila tudi sodna praksa.</w:t>
      </w:r>
      <w:r w:rsidRPr="0045492F">
        <w:rPr>
          <w:rFonts w:ascii="Arial" w:eastAsia="Times New Roman" w:hAnsi="Arial" w:cs="Arial"/>
          <w:sz w:val="20"/>
          <w:szCs w:val="20"/>
          <w:vertAlign w:val="superscript"/>
          <w:lang w:eastAsia="ar-SA"/>
        </w:rPr>
        <w:footnoteReference w:id="26"/>
      </w:r>
      <w:r w:rsidRPr="0045492F">
        <w:rPr>
          <w:rFonts w:ascii="Arial" w:eastAsia="Times New Roman" w:hAnsi="Arial" w:cs="Arial"/>
          <w:sz w:val="20"/>
          <w:szCs w:val="20"/>
          <w:lang w:eastAsia="ar-SA"/>
        </w:rPr>
        <w:t xml:space="preserve"> Zlasti pomembno je za delovanje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in izvajanje njenih pristojnosti, da se ZUP ne uporablja subsidiarno temveč zgolj smiselno, kar bo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olajšajo izvajanje določenih pristojnosti, za katere subsidiarna uporaba ZUP otežuje učinkovitost (drugi odstavek 15. člena). Strogo formalizirani in podrobno regulirani klasični upravni postopek, ki je prilagojen hierarhičnemu sistemu državne uprave, bi namreč pri vodenju neupravnih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(neupravnih, »sui generis«, nadzornih …) postopkov z manjšimi procesnimi kavtelami, je že dolgo sprejeto tudi v razvitih sodnih demokracijah. »Sui generis« postopki primerljivi neupravnim postopkom pred KPK po določbah ZIntPK so že bili predmet presoje tako Evropskega sodišča za človekove pravice,</w:t>
      </w:r>
      <w:r w:rsidRPr="0045492F">
        <w:rPr>
          <w:rFonts w:ascii="Arial" w:eastAsia="Times New Roman" w:hAnsi="Arial" w:cs="Arial"/>
          <w:sz w:val="20"/>
          <w:szCs w:val="20"/>
          <w:vertAlign w:val="superscript"/>
          <w:lang w:eastAsia="ar-SA"/>
        </w:rPr>
        <w:footnoteReference w:id="27"/>
      </w:r>
      <w:r w:rsidRPr="0045492F">
        <w:rPr>
          <w:rFonts w:ascii="Arial" w:eastAsia="Times New Roman" w:hAnsi="Arial" w:cs="Arial"/>
          <w:sz w:val="20"/>
          <w:szCs w:val="20"/>
          <w:lang w:eastAsia="ar-SA"/>
        </w:rPr>
        <w:t xml:space="preserve"> Vrhovnega sodišča ZDA</w:t>
      </w:r>
      <w:r w:rsidRPr="0045492F">
        <w:rPr>
          <w:rFonts w:ascii="Arial" w:eastAsia="Times New Roman" w:hAnsi="Arial" w:cs="Arial"/>
          <w:sz w:val="20"/>
          <w:szCs w:val="20"/>
          <w:vertAlign w:val="superscript"/>
          <w:lang w:eastAsia="ar-SA"/>
        </w:rPr>
        <w:footnoteReference w:id="28"/>
      </w:r>
      <w:r w:rsidRPr="0045492F">
        <w:rPr>
          <w:rFonts w:ascii="Arial" w:eastAsia="Times New Roman" w:hAnsi="Arial" w:cs="Arial"/>
          <w:sz w:val="20"/>
          <w:szCs w:val="20"/>
          <w:lang w:eastAsia="ar-SA"/>
        </w:rPr>
        <w:t xml:space="preserve"> kot tudi Ustavnega sodišča.</w:t>
      </w:r>
      <w:r w:rsidRPr="0045492F">
        <w:rPr>
          <w:rFonts w:ascii="Arial" w:eastAsia="Times New Roman" w:hAnsi="Arial" w:cs="Arial"/>
          <w:sz w:val="20"/>
          <w:szCs w:val="20"/>
          <w:vertAlign w:val="superscript"/>
          <w:lang w:eastAsia="ar-SA"/>
        </w:rPr>
        <w:footnoteReference w:id="29"/>
      </w:r>
      <w:r w:rsidRPr="0045492F">
        <w:rPr>
          <w:rFonts w:ascii="Arial" w:eastAsia="Times New Roman" w:hAnsi="Arial" w:cs="Arial"/>
          <w:sz w:val="20"/>
          <w:szCs w:val="20"/>
          <w:lang w:eastAsia="ar-SA"/>
        </w:rPr>
        <w:t xml:space="preserve"> Takšnemu stališču nenazadnje sledi tudi ZUP, ki v 4. členu določa, da se upravni postopek smiselno uporablja tudi v drugih javnopravnih stvareh, ki imajo značaj upravne zadeve po 2. členu ZUP (torej v neupravnih, a javnopravnih zadevah), če ta področja niso urejena s posebnim zakonom.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sidRPr="0045492F">
        <w:rPr>
          <w:rFonts w:ascii="Arial" w:eastAsia="Times New Roman" w:hAnsi="Arial" w:cs="Arial"/>
          <w:sz w:val="20"/>
          <w:szCs w:val="20"/>
          <w:vertAlign w:val="superscript"/>
          <w:lang w:eastAsia="ar-SA"/>
        </w:rPr>
        <w:footnoteReference w:id="30"/>
      </w:r>
    </w:p>
    <w:p w14:paraId="6D8A9CA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A92535" w14:textId="71798B7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tretjem odstavku 15. člen</w:t>
      </w:r>
      <w:r w:rsidR="003C78C2" w:rsidRPr="0045492F">
        <w:rPr>
          <w:rFonts w:ascii="Arial" w:eastAsia="Times New Roman" w:hAnsi="Arial" w:cs="Arial"/>
          <w:sz w:val="20"/>
          <w:szCs w:val="20"/>
          <w:lang w:eastAsia="ar-SA"/>
        </w:rPr>
        <w:t>a</w:t>
      </w:r>
      <w:r w:rsidRPr="0045492F">
        <w:rPr>
          <w:rFonts w:ascii="Arial" w:eastAsia="Times New Roman" w:hAnsi="Arial" w:cs="Arial"/>
          <w:sz w:val="20"/>
          <w:szCs w:val="20"/>
          <w:lang w:eastAsia="ar-SA"/>
        </w:rPr>
        <w:t xml:space="preserve"> zakon določa tudi, da lahko v upravni zadevi postopek do odločitve vodi uslužbenec pri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ki ga za to pooblasti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in da v teh postopkih odločitev sprejme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6905616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E76B611" w14:textId="23D9DC2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četrtem odstavku 15. člena je</w:t>
      </w:r>
      <w:r w:rsidR="003C78C2"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tako, da je bolj skoncentriran, kar pomeni hitrejšo izdajo sodbe. KPK ni prav nič učinkovita, če se v upravnem sporu o njeni odločitvi odloča dve ali več let. Tudi z vidika tožnika (obravnavane osebe) to ne prispeva k učinkovitemu uresničevanju njegovih procesnih pravic, nenazadnje pa tudi ne k njegovi pravici do dostojanstva, če bi recimo s tožbo uspel in nato sodbo prejel šele po dolgih letih.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7B33512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ABC96EF" w14:textId="4B11D39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Nadalje je v petem odstavku 15. člena izrecno zapisano, (podobno je določeno v četrtem odstavku 10. člena Zakona o informacijskem pooblaščencu</w:t>
      </w:r>
      <w:r w:rsidRPr="0045492F">
        <w:rPr>
          <w:rFonts w:ascii="Arial" w:eastAsia="Times New Roman" w:hAnsi="Arial" w:cs="Arial"/>
          <w:sz w:val="20"/>
          <w:szCs w:val="20"/>
          <w:vertAlign w:val="superscript"/>
          <w:lang w:eastAsia="ar-SA"/>
        </w:rPr>
        <w:footnoteReference w:id="31"/>
      </w:r>
      <w:r w:rsidRPr="0045492F">
        <w:rPr>
          <w:rFonts w:ascii="Arial" w:eastAsia="Times New Roman" w:hAnsi="Arial" w:cs="Arial"/>
          <w:sz w:val="20"/>
          <w:szCs w:val="20"/>
          <w:lang w:eastAsia="ar-SA"/>
        </w:rPr>
        <w:t xml:space="preserve">), da je tudi zoper sklepe, ne le odločbe iz upravnega postopka dopusten upravni spor, pri čemer se v teh zadevah glede rokov uporabljajo določbe Zakona o upravnem sporu. Zoper odločitve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namreč ni pritožbenega organa, po ZUP-u pa mora biti zoper sklepe dopustna pritožba npr. o zavrženju vloge lobista, ker je ni dopolnil. Na to je opozoril tudi upravni inšpektor, ko je na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opravljal upravni nadzor, v zapisniku Inšpektorata za javni sektor Ministrstva za javno upravo, številka 0610-140/2015/22 z dne 10.11.2015 zato je taka določba izrecno dodana. Ne glede na določbo 15. člena je izločitev člana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ali uslužbenca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 postopkov, ki jih vodi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posebej urejena v 7.a členu. V četrtem odstavku 7.a člena je namreč izrecno določeno, da se glede izločitev za vse postopke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(razen prekrškovnih) uporabljajo le določbe ZIntPK. S to določbo se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izogne uporabi dveh različnih predpisov za izločitev (ZIntPK in ZUP) npr. na eni seji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2FF74C5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3815F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13. členu (15.a, 15.b in 15.c člen ZIntPK)</w:t>
      </w:r>
    </w:p>
    <w:p w14:paraId="2BAEC02E"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15.a in 15.b člen</w:t>
      </w:r>
    </w:p>
    <w:p w14:paraId="6A0F6153" w14:textId="16560E83"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Namen predlaganih 15.a in 15.b člena je jasna določitev zavezancev in postopka vabljenja, zbiranja informacij od oseb in razgovora z osebami pred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ter celovita ureditev te pristojnosti in postopka z zakonom, zlasti učinkovitejša izvedba razgovora in ugotavljanja dejanskega stanja z možnostjo soočenja vabljenih oseb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omogočiti uradnim osebam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oziroma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da lahko zbirajo informacije ali opravijo razgovore pred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 uresničevanje ciljev in nalog tega zakona z vsakim uslužbencem oziroma zaposlenim v subjektih javnega sektorja kot jih opredeljuje ZIntPK, v zvezi s sumom korupcije ali drugih kršitev tega zakona, pa tudi od drugih oseb oziroma posameznikov z ustaljeno poslovniško prakso načina zbiranja informacij od oseb, ki ga izvajajo uslužbenci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zaradi bolj transparentne ureditve teh pristojnosti in ukrepov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in kakovostnejše možnosti uresničevanja pravic vabljenih oseb.</w:t>
      </w:r>
    </w:p>
    <w:p w14:paraId="6B15AB5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95AB139" w14:textId="47A0ADD8"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Osebe, ki so se dolžne udeležiti razgovora na seji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so osebe, ki delujejo v javnem sektorju (alineje 1-3 drugega odstavka) in osebe, ki so zaradi svojega posebnega položaja še posebej močno povezane z javnim sektorjem (osebe iz drugega odstavka 40. člena). Neupravičen izostanek se lahko sankcionira kot prekršek (šesti odstavek). Preostale osebe lahko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vabi na razgovor, vendar se ga le te niso dolžne udeležiti (četrti odstavek).</w:t>
      </w:r>
    </w:p>
    <w:p w14:paraId="674DAD5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A0020C6" w14:textId="05EEB2A8"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Namen vabljenja oseb in njihovega podajanja odgovorov ter pojasnil pred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je ugotavljanje dejanskega stanja obravnavane zadeve iz pristojnosti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zato je določena tudi možnost soočenja vabljenih oseb v razgovoru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Ker namen vabljenja oziroma razgovorov ni ugotavljanje individualne odgovornosti vabljenih oseb, je v izogib dvomom o razliki med statusom in pravnim položajem vabljenih oseb v upravnih postopkih, ki jih po tem zakonu vodi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potrebno namen, način vabljenja ter postopek izvajanja razgovorov vabljenih oseb v posebnem (sui generis) postopku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jasno opredeliti ter izvajati izključno po tem zakonu. Jasno je določen postopek, kdaj je oseba vabljena na razgovor pred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zaradi ravnanja drugih oseb oziroma razjasnjevanja okoliščin in kdaj zaradi njenega ravnanja. Posebej pomemben je časovni vidik, ko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med razgovorom z vabljeno osebo zaradi ravnanja drugih oseb ugotovi, da je potrebno osebo vabiti na razgovor zaradi njenega ravnanja, zato je v štirinajstem odstavku 15.a člena izrecno vključeno, da v tem primeru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razgovor prekine in osebo seznani, da jo bo ponovno vabila skladno s petim odstavkom tega člena zaradi njenega ravnanja, pri čemer se zapisnik, zvočni zapis in morebitna dokumentacija, ki jo je oseba izročila, iz spisa izločijo in jih v nadaljevanju tega postopka ni mogoče pregledovati in ne uporabiti (ne pa tudi v morebitnih kasnejših postopkih, ki bi se vodili npr. po določbah Zakona o kazenskem postopku in v katerih imajo udeleženci vse procesne pravice, ki jim gredo glede na naravo postopka).</w:t>
      </w:r>
    </w:p>
    <w:p w14:paraId="61F625E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1987FB" w14:textId="3150EB2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Predlagana določba na enem mestu celovito in določno ureja namen in način vabljenja ter postopek in način izvajanja zbiranja informacij od oseb ter postopek in način opravljanja razgovorov z vabljenimi osebami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pri čemer predlagana ureditev upoštevaje specifično naravo postopkov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sledi tudi temeljnim načelom ZUP, kot sta načelo zaslišanja strank in dolžnost govoriti resnico. S predlogom se za učinkovitejše izvajanje nalog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oziroma zagotavljanje navzočnosti vabljenih oseb neupravičena odsotnost oziroma ne odzivanje vabljene osebe sankcionira z globo (z izjemo oseb, ki ne sodijo v drugi in tretji odstavek tega člena).</w:t>
      </w:r>
    </w:p>
    <w:p w14:paraId="5D82795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7580DA"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15.c člen</w:t>
      </w:r>
    </w:p>
    <w:p w14:paraId="43DD1645" w14:textId="31487B00"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Vpogled v spis po tem členu je izključno vezan na druge javnopravne postopke, kar pomeni, da se ta določba ne uporablja, kadar gre za vodenje upravnega postopka po ZUP-u ali za prekrškovni postopek. V posebnih postopkih ima obravnavana oseba oziroma oseba, zoper katere je podana prijava, pravico vpogleda v spis, vendar ne prej dokler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zvezi s prijavo ni opravila predhodnega preizkusa prijave. Predhodni preizkus prijave obsega delo na prijavi kot je določen v drugem odstavku 13. člena. Druge osebe imajo pravico do vpogleda v spis, če izkažejo svoj pravni interes, in sicer po zaključku postopka pred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Pri tem morajo biti varovani podatki o prijavitelju ter drugi podatki pomembni za druge postopke. Če bi vpogled v spis ogrožal prijavitelja ali druge postopke, vpogled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zavrne. Kadar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vpogled v spis omeji ali zavrne, o tem izda sklep, če vpogled dovoli, pa sklepa ne izda. Ustavno sodišče</w:t>
      </w:r>
      <w:r w:rsidRPr="0045492F">
        <w:rPr>
          <w:rFonts w:ascii="Arial" w:eastAsia="Times New Roman" w:hAnsi="Arial" w:cs="Arial"/>
          <w:sz w:val="20"/>
          <w:szCs w:val="20"/>
          <w:vertAlign w:val="superscript"/>
          <w:lang w:eastAsia="ar-SA"/>
        </w:rPr>
        <w:footnoteReference w:id="32"/>
      </w:r>
      <w:r w:rsidRPr="0045492F">
        <w:rPr>
          <w:rFonts w:ascii="Arial" w:eastAsia="Times New Roman" w:hAnsi="Arial" w:cs="Arial"/>
          <w:sz w:val="20"/>
          <w:szCs w:val="20"/>
          <w:lang w:eastAsia="ar-SA"/>
        </w:rPr>
        <w:t xml:space="preserve"> 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13AC1E4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D1228AA"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14. členu (16. člen ZIntPK)</w:t>
      </w:r>
    </w:p>
    <w:p w14:paraId="4CAED54D" w14:textId="327CF70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S predlagano spremembo prvega odstavka 16. člena je dodatno določena obveznost samostojnih podjetnikov in posameznikov, ki samostojno opravljajo dejavnost (torej tudi notarjev), da ne glede na določbe drugih zakonov in ne glede na obliko podatkov, v roku, ki ga določi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s.p.-ji ali posamezniki, ki samostojno opravljajo dejavnost. Vključuje se tudi nov šesti odstavek in sicer se iz Poslovnika KPK v zakon prenaša določba, ki v zvezi z razjasnjevanjem okoliščin v zvezi z zadevo, ki se vodi v KPK določa, da lahko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torej funkcionarji KPK in uslužbenci KPK opravljajo razgovore oziroma zbirajo informacije od oseb, ki bi lahko dale koristne informacije za razjasnitev okoliščin v tej zadevi, tudi izven seje ali izven prostorov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če se oseba s tem strinja. 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in oseba, ki je dala izjavo.</w:t>
      </w:r>
    </w:p>
    <w:p w14:paraId="6A39D91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84B2E30" w14:textId="570D869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Črtanje </w:t>
      </w:r>
      <w:r w:rsidR="002E62B0">
        <w:rPr>
          <w:rFonts w:ascii="Arial" w:eastAsia="Times New Roman" w:hAnsi="Arial" w:cs="Arial"/>
          <w:sz w:val="20"/>
          <w:szCs w:val="20"/>
          <w:lang w:eastAsia="ar-SA"/>
        </w:rPr>
        <w:t xml:space="preserve">dosedanjega </w:t>
      </w:r>
      <w:r w:rsidRPr="0045492F">
        <w:rPr>
          <w:rFonts w:ascii="Arial" w:eastAsia="Times New Roman" w:hAnsi="Arial" w:cs="Arial"/>
          <w:sz w:val="20"/>
          <w:szCs w:val="20"/>
          <w:lang w:eastAsia="ar-SA"/>
        </w:rPr>
        <w:t>petega odstavka</w:t>
      </w:r>
      <w:r w:rsidR="002E62B0">
        <w:rPr>
          <w:rFonts w:ascii="Arial" w:eastAsia="Times New Roman" w:hAnsi="Arial" w:cs="Arial"/>
          <w:sz w:val="20"/>
          <w:szCs w:val="20"/>
          <w:lang w:eastAsia="ar-SA"/>
        </w:rPr>
        <w:t xml:space="preserve"> tega člena</w:t>
      </w:r>
      <w:r w:rsidRPr="0045492F">
        <w:rPr>
          <w:rFonts w:ascii="Arial" w:eastAsia="Times New Roman" w:hAnsi="Arial" w:cs="Arial"/>
          <w:sz w:val="20"/>
          <w:szCs w:val="20"/>
          <w:lang w:eastAsia="ar-SA"/>
        </w:rPr>
        <w:t xml:space="preserve"> je posledica predlagane ureditve v 44.a in 44.b členu. Črtanje sedmega, osmega in devetega odstavka pa je posledica ureditve navedene vsebine v novem 15.a in 15.b členu.</w:t>
      </w:r>
    </w:p>
    <w:p w14:paraId="0737BC8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497A9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15. členu (17. člen ZIntPK)</w:t>
      </w:r>
    </w:p>
    <w:p w14:paraId="1DF1A983" w14:textId="1187CF0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k financiranju neprofitnih organizacij kot eni od oblik sodelovanja in ker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(za postopek financiranja projektov se uporabljajo pravila, ki veljajo na področju državnih pomoči), pri čemer navedena zakonska obveznost na drugi strani narekuje tudi izboljšanje finančnega okvirja (z zagotovitvijo proračunskih sredstev), namenjenega delovanju KPK na tem pomembnem segmentu preventivnega delovanja.</w:t>
      </w:r>
    </w:p>
    <w:p w14:paraId="5B00BD3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67B8CD"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16. členu (18. člen ZIntPK)</w:t>
      </w:r>
    </w:p>
    <w:p w14:paraId="142977CD" w14:textId="75E341E9"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Predlagana določba predstavlja dopolnitev 18. člena veljavnega zakona z določbami Poslovnika. Prvi odstavek pomeni prenos v zakon prvega odstavka 13. člena Poslovnika, gre za splošno določbo glede zaveze po javnosti delovanja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ob upoštevanju varovanja integritete organov, interesov postopkov, zaščite prijaviteljev ter dostojanstva in pravic oseb v postopkih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Drugi odstavek primeroma našteva dokumente, ki jih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javno objavlja. Poleg zagotavljanja javnosti in transparentnosti dela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je obveščanje javnosti namenjeno predvsem tudi izvajanju preventivne funkcije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v smeri krepitve integritete zavezancev po ZIntPK. Podrobnejše določbe v zvezi s spletno objavo odločitev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konkretnih primerih oziroma postopkih so predvidene v okviru 11. in 13. člena ZIntPK. 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 katerih podatkov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ne razkriva, razen če bi v zvezi s tem pridobila izrecno privolitev. Četrti odstavek daje pravno podlago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da kadar zaključi enega od posebnih postopkov (določenih v prvem odstavku 13. člena ZIntPK) ali sistemski nadzor po a13.a členu in je bila javnost o uvedbi postopka že seznanjena, obvesti javnost tudi v primeru, ko ni ugotovila kršitev ZIntPK. Peti odstavek predstavlja pravno podlago za podrobnejšo ureditev obveščanja javnosti v poslovniku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w:t>
      </w:r>
    </w:p>
    <w:p w14:paraId="15E5B97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9088A0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17. členu (21. člen ZIntPK)</w:t>
      </w:r>
    </w:p>
    <w:p w14:paraId="47A333A9" w14:textId="6D6BDE8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Določba prvega odstavka se dopolnjuje, ker je v dosedanji ureditvi izostala podlaga za nadzor državnega zbora nad omejitvami poslovanja funkcionarjev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Z ostalimi spremembami tega člena se izenačujejo obveznosti funkcionarjev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 obveznostmi drugih funkcionarjev pri istih institutih. Glede na to, da že iz veljavne ureditve izhaja, da je KPK prekrškovni organ za kršitve funkcionarjev (kamor sodijo tudi funkcionarji KPK) in glede na to, da pooblaščena uradna oseba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kot prekrškovnega organa uvede in izvede prekrškovni postopek, bo Državni zbor o morebitnih zaznanih kršitvah v okviru svoje nadzorne funkcije obvestil KPK, ki bo v nadaljevanju postopala po določbah Zakona o prekrških.</w:t>
      </w:r>
    </w:p>
    <w:p w14:paraId="5B01B86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C0D2C3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18. členu (22. člen ZIntPK)</w:t>
      </w:r>
    </w:p>
    <w:p w14:paraId="506685DC" w14:textId="5E440C2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Predlagana sprememba se nanaša na redakcijske popravke in vsebinske uskladitve razrešitvenih razlogov s pogoji za imenovanje.</w:t>
      </w:r>
      <w:r w:rsidR="00B6440E" w:rsidRPr="0045492F">
        <w:rPr>
          <w:rFonts w:ascii="Arial" w:eastAsia="Times New Roman" w:hAnsi="Arial" w:cs="Arial"/>
          <w:sz w:val="20"/>
          <w:szCs w:val="20"/>
          <w:lang w:eastAsia="ar-SA"/>
        </w:rPr>
        <w:t xml:space="preserve"> Na predlog Ministrstva za javno upravo se pogoj za razrešitev funkcionarja </w:t>
      </w:r>
      <w:r w:rsidR="00BD195C" w:rsidRPr="0045492F">
        <w:rPr>
          <w:rFonts w:ascii="Arial" w:eastAsia="Times New Roman" w:hAnsi="Arial" w:cs="Arial"/>
          <w:sz w:val="20"/>
          <w:szCs w:val="20"/>
          <w:lang w:eastAsia="ar-SA"/>
        </w:rPr>
        <w:t>KPK</w:t>
      </w:r>
      <w:r w:rsidR="00B6440E" w:rsidRPr="0045492F">
        <w:rPr>
          <w:rFonts w:ascii="Arial" w:eastAsia="Times New Roman" w:hAnsi="Arial" w:cs="Arial"/>
          <w:sz w:val="20"/>
          <w:szCs w:val="20"/>
          <w:lang w:eastAsia="ar-SA"/>
        </w:rPr>
        <w:t>, ki se nanaša na nekaznovanost, razširi na kakršnokoli pravnomočno sodbo zaradi naklepnega kaznivega dejanja</w:t>
      </w:r>
      <w:r w:rsidR="005B317D" w:rsidRPr="0045492F">
        <w:rPr>
          <w:rFonts w:ascii="Arial" w:eastAsia="Times New Roman" w:hAnsi="Arial" w:cs="Arial"/>
          <w:sz w:val="20"/>
          <w:szCs w:val="20"/>
          <w:lang w:eastAsia="ar-SA"/>
        </w:rPr>
        <w:t>, kar predstavlja višji standard, ki se zahteva za funkcionarje KPK</w:t>
      </w:r>
      <w:r w:rsidR="00B6440E" w:rsidRPr="0045492F">
        <w:rPr>
          <w:rFonts w:ascii="Arial" w:eastAsia="Times New Roman" w:hAnsi="Arial" w:cs="Arial"/>
          <w:sz w:val="20"/>
          <w:szCs w:val="20"/>
          <w:lang w:eastAsia="ar-SA"/>
        </w:rPr>
        <w:t>.</w:t>
      </w:r>
    </w:p>
    <w:p w14:paraId="082A2C3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EE943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17" w:name="_Hlk4751720"/>
      <w:r w:rsidRPr="0045492F">
        <w:rPr>
          <w:rFonts w:ascii="Arial" w:eastAsia="Times New Roman" w:hAnsi="Arial" w:cs="Arial"/>
          <w:sz w:val="20"/>
          <w:szCs w:val="20"/>
          <w:lang w:eastAsia="ar-SA"/>
        </w:rPr>
        <w:t>Na predlog Urada predsednika Republike Slovenije v strokovnem usklajevanju, predsednik republike ne more razrešiti funkcionarjev KPK na lastno pobudo, pač pa lahko to naredi le na pobudo državnega zbora (tretji in četrti odstavek).</w:t>
      </w:r>
    </w:p>
    <w:bookmarkEnd w:id="17"/>
    <w:p w14:paraId="5FB8ED3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70BAF5" w14:textId="69B56DBF"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19. členu (30. člen</w:t>
      </w:r>
      <w:r w:rsidR="001C1ABE">
        <w:rPr>
          <w:rFonts w:ascii="Arial" w:eastAsia="Times New Roman" w:hAnsi="Arial" w:cs="Arial"/>
          <w:b/>
          <w:szCs w:val="16"/>
          <w:lang w:eastAsia="ar-SA"/>
        </w:rPr>
        <w:t xml:space="preserve"> ZIntPK</w:t>
      </w:r>
      <w:r w:rsidRPr="0055047E">
        <w:rPr>
          <w:rFonts w:ascii="Arial" w:eastAsia="Times New Roman" w:hAnsi="Arial" w:cs="Arial"/>
          <w:b/>
          <w:szCs w:val="16"/>
          <w:lang w:eastAsia="ar-SA"/>
        </w:rPr>
        <w:t>)</w:t>
      </w:r>
    </w:p>
    <w:p w14:paraId="03C12565" w14:textId="5D09FEA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Spremenjeni 30. člen ureja prepovedi in omejitve v zvezi s sprejemanjem daril v javnem sektorju. Termin »darila« se nanaša na vsa darila in druge koristi</w:t>
      </w:r>
      <w:r w:rsidR="000128F1" w:rsidRPr="0045492F">
        <w:rPr>
          <w:rFonts w:ascii="Arial" w:eastAsia="Times New Roman" w:hAnsi="Arial" w:cs="Arial"/>
          <w:sz w:val="20"/>
          <w:szCs w:val="20"/>
          <w:lang w:eastAsia="ar-SA"/>
        </w:rPr>
        <w:t xml:space="preserve">. </w:t>
      </w:r>
      <w:r w:rsidR="008B2654" w:rsidRPr="0045492F">
        <w:rPr>
          <w:rFonts w:ascii="Arial" w:eastAsia="Times New Roman" w:hAnsi="Arial" w:cs="Arial"/>
          <w:sz w:val="20"/>
          <w:szCs w:val="20"/>
          <w:lang w:eastAsia="ar-SA"/>
        </w:rPr>
        <w:t xml:space="preserve">Glede na pripombe KPK se </w:t>
      </w:r>
      <w:r w:rsidRPr="0045492F">
        <w:rPr>
          <w:rFonts w:ascii="Arial" w:eastAsia="Times New Roman" w:hAnsi="Arial" w:cs="Arial"/>
          <w:sz w:val="20"/>
          <w:szCs w:val="20"/>
          <w:lang w:eastAsia="ar-SA"/>
        </w:rPr>
        <w:t>donacije (kot so opredeljene v Zakonu o javnih financah</w:t>
      </w:r>
      <w:r w:rsidRPr="0045492F">
        <w:rPr>
          <w:rFonts w:ascii="Arial" w:eastAsia="Times New Roman" w:hAnsi="Arial" w:cs="Arial"/>
          <w:sz w:val="20"/>
          <w:szCs w:val="20"/>
          <w:vertAlign w:val="superscript"/>
          <w:lang w:eastAsia="ar-SA"/>
        </w:rPr>
        <w:footnoteReference w:id="33"/>
      </w:r>
      <w:r w:rsidRPr="0045492F">
        <w:rPr>
          <w:rFonts w:ascii="Arial" w:eastAsia="Times New Roman" w:hAnsi="Arial" w:cs="Arial"/>
          <w:sz w:val="20"/>
          <w:szCs w:val="20"/>
          <w:lang w:eastAsia="ar-SA"/>
        </w:rPr>
        <w:t xml:space="preserve"> in drugih predpisih)</w:t>
      </w:r>
      <w:r w:rsidR="000128F1" w:rsidRPr="0045492F">
        <w:rPr>
          <w:rFonts w:ascii="Arial" w:eastAsia="Times New Roman" w:hAnsi="Arial" w:cs="Arial"/>
          <w:sz w:val="20"/>
          <w:szCs w:val="20"/>
          <w:lang w:eastAsia="ar-SA"/>
        </w:rPr>
        <w:t>,</w:t>
      </w:r>
      <w:r w:rsidR="008B2654" w:rsidRPr="0045492F">
        <w:rPr>
          <w:rFonts w:ascii="Arial" w:eastAsia="Times New Roman" w:hAnsi="Arial" w:cs="Arial"/>
          <w:sz w:val="20"/>
          <w:szCs w:val="20"/>
          <w:lang w:eastAsia="ar-SA"/>
        </w:rPr>
        <w:t xml:space="preserve"> ki jih lahko prejme le organizacija, v tem </w:t>
      </w:r>
      <w:r w:rsidR="000128F1" w:rsidRPr="0045492F">
        <w:rPr>
          <w:rFonts w:ascii="Arial" w:eastAsia="Times New Roman" w:hAnsi="Arial" w:cs="Arial"/>
          <w:sz w:val="20"/>
          <w:szCs w:val="20"/>
          <w:lang w:eastAsia="ar-SA"/>
        </w:rPr>
        <w:t>člen</w:t>
      </w:r>
      <w:r w:rsidR="008B2654" w:rsidRPr="0045492F">
        <w:rPr>
          <w:rFonts w:ascii="Arial" w:eastAsia="Times New Roman" w:hAnsi="Arial" w:cs="Arial"/>
          <w:sz w:val="20"/>
          <w:szCs w:val="20"/>
          <w:lang w:eastAsia="ar-SA"/>
        </w:rPr>
        <w:t>u</w:t>
      </w:r>
      <w:r w:rsidR="000128F1" w:rsidRPr="0045492F">
        <w:rPr>
          <w:rFonts w:ascii="Arial" w:eastAsia="Times New Roman" w:hAnsi="Arial" w:cs="Arial"/>
          <w:sz w:val="20"/>
          <w:szCs w:val="20"/>
          <w:lang w:eastAsia="ar-SA"/>
        </w:rPr>
        <w:t xml:space="preserve"> ne ureja</w:t>
      </w:r>
      <w:r w:rsidR="008B2654" w:rsidRPr="0045492F">
        <w:rPr>
          <w:rFonts w:ascii="Arial" w:eastAsia="Times New Roman" w:hAnsi="Arial" w:cs="Arial"/>
          <w:sz w:val="20"/>
          <w:szCs w:val="20"/>
          <w:lang w:eastAsia="ar-SA"/>
        </w:rPr>
        <w:t>jo</w:t>
      </w:r>
      <w:r w:rsidR="000128F1" w:rsidRPr="0045492F">
        <w:rPr>
          <w:rFonts w:ascii="Arial" w:eastAsia="Times New Roman" w:hAnsi="Arial" w:cs="Arial"/>
          <w:sz w:val="20"/>
          <w:szCs w:val="20"/>
          <w:lang w:eastAsia="ar-SA"/>
        </w:rPr>
        <w:t>, pač pa se za njih uporabljajo splošni predpisi</w:t>
      </w:r>
      <w:r w:rsidRPr="0045492F">
        <w:rPr>
          <w:rFonts w:ascii="Arial" w:eastAsia="Times New Roman" w:hAnsi="Arial" w:cs="Arial"/>
          <w:sz w:val="20"/>
          <w:szCs w:val="20"/>
          <w:lang w:eastAsia="ar-SA"/>
        </w:rPr>
        <w:t xml:space="preserve">. </w:t>
      </w:r>
    </w:p>
    <w:p w14:paraId="23C445B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BB470C0" w14:textId="637B218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Za uradne osebe, kot to določa prvi odstavek te določbe, velja prepoved sprejemanja daril ali </w:t>
      </w:r>
      <w:r w:rsidR="009B3C83" w:rsidRPr="0045492F">
        <w:rPr>
          <w:rFonts w:ascii="Arial" w:eastAsia="Times New Roman" w:hAnsi="Arial" w:cs="Arial"/>
          <w:sz w:val="20"/>
          <w:szCs w:val="20"/>
          <w:lang w:eastAsia="ar-SA"/>
        </w:rPr>
        <w:t xml:space="preserve">drugih </w:t>
      </w:r>
      <w:r w:rsidRPr="0045492F">
        <w:rPr>
          <w:rFonts w:ascii="Arial" w:eastAsia="Times New Roman" w:hAnsi="Arial" w:cs="Arial"/>
          <w:sz w:val="20"/>
          <w:szCs w:val="20"/>
          <w:lang w:eastAsia="ar-SA"/>
        </w:rPr>
        <w:t xml:space="preserve">koristi (v nadaljevanju: darila), v zvezi z opravljanjem njihove funkcije, nalog na položaju ali dela v okviru javne službe. Smiselno in upravičeno je v prvem odstavku določena enaka obravnava družinskih članov uradnih oseb. </w:t>
      </w:r>
    </w:p>
    <w:p w14:paraId="145650B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E634396" w14:textId="75D4404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Skladno s predlaganim drugim odstavkom, lahko uradna oseba ali njen družinski član sprejme protokolarno darilo v imenu organa, pri katerem dela, tako darilo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w:t>
      </w:r>
      <w:r w:rsidR="009B3C83" w:rsidRPr="0045492F">
        <w:rPr>
          <w:rFonts w:ascii="Arial" w:eastAsia="Times New Roman" w:hAnsi="Arial" w:cs="Arial"/>
          <w:sz w:val="20"/>
          <w:szCs w:val="20"/>
          <w:lang w:eastAsia="ar-SA"/>
        </w:rPr>
        <w:t xml:space="preserve"> in</w:t>
      </w:r>
      <w:r w:rsidRPr="0045492F">
        <w:rPr>
          <w:rFonts w:ascii="Arial" w:eastAsia="Times New Roman" w:hAnsi="Arial" w:cs="Arial"/>
          <w:sz w:val="20"/>
          <w:szCs w:val="20"/>
          <w:lang w:eastAsia="ar-SA"/>
        </w:rPr>
        <w:t xml:space="preserve"> državniški obiski. Darovalec je lahko domača ali tuja pravna ali fizična oseba, glede tega zakon ne dela razlike. V predlaganem tretjem odstavku je poleg izjeme iz drugega odstavka, ki se nanaša na protokolarna darila, določena še ena izjema, ko uradna oseba sme sprejeti darilo. Gre za darila, katerih vrednost ne sme presegati 60 evrov, hkrati pa za takšna, ki se tradicionalno ali običajno izročajo ob določenih dogodkih, kar izhaja iz tradicij, navad, običajev, poslovnih običajev</w:t>
      </w:r>
      <w:r w:rsidR="000128F1" w:rsidRPr="0045492F">
        <w:rPr>
          <w:rFonts w:ascii="Arial" w:eastAsia="Times New Roman" w:hAnsi="Arial" w:cs="Arial"/>
          <w:sz w:val="20"/>
          <w:szCs w:val="20"/>
          <w:lang w:eastAsia="ar-SA"/>
        </w:rPr>
        <w:t>, diplomatskih aktivnosti</w:t>
      </w:r>
      <w:r w:rsidRPr="0045492F">
        <w:rPr>
          <w:rFonts w:ascii="Arial" w:eastAsia="Times New Roman" w:hAnsi="Arial" w:cs="Arial"/>
          <w:sz w:val="20"/>
          <w:szCs w:val="20"/>
          <w:lang w:eastAsia="ar-SA"/>
        </w:rPr>
        <w:t xml:space="preserve"> in podobno. Ob tem morata biti torej oba navedena pogoja podana kumulativno, pri čemer je vrednost darila fiksna, ne glede na to, koliko darovalcev podarja skupno darilo. Sprejem daril, ki niso niti protokolarna, niti niso dana ob službenih dogodkih</w:t>
      </w:r>
      <w:r w:rsidR="009B3C83" w:rsidRPr="0045492F">
        <w:rPr>
          <w:rFonts w:ascii="Arial" w:eastAsia="Times New Roman" w:hAnsi="Arial" w:cs="Arial"/>
          <w:sz w:val="20"/>
          <w:szCs w:val="20"/>
          <w:lang w:eastAsia="ar-SA"/>
        </w:rPr>
        <w:t xml:space="preserve"> ali ob opravljanju diplomatskih aktivnosti</w:t>
      </w:r>
      <w:r w:rsidRPr="0045492F">
        <w:rPr>
          <w:rFonts w:ascii="Arial" w:eastAsia="Times New Roman" w:hAnsi="Arial" w:cs="Arial"/>
          <w:sz w:val="20"/>
          <w:szCs w:val="20"/>
          <w:lang w:eastAsia="ar-SA"/>
        </w:rPr>
        <w:t xml:space="preserve"> oziroma presegajo vrednost 60 evrov, morajo osebe iz prvega odstavka tega člena zavrniti. Ob tem zakon uradni osebi in njenemu družinskemu članu nalaga, da darovalca opozori na prepoved sprejetja darila, predvsem iz razloga nepoznavanja te določbe s strani oseb, ki ureditve ne poznajo. V primeru vztrajanja darovalca mora uradna oseba oziroma njen družinski član darilo izročiti delodajalcu uradne osebe. Možne so namreč situacije, ko prejemnik darila tega prejme na druge načine, razen osebno, </w:t>
      </w:r>
      <w:r w:rsidR="009B3C83" w:rsidRPr="0045492F">
        <w:rPr>
          <w:rFonts w:ascii="Arial" w:eastAsia="Times New Roman" w:hAnsi="Arial" w:cs="Arial"/>
          <w:sz w:val="20"/>
          <w:szCs w:val="20"/>
          <w:lang w:eastAsia="ar-SA"/>
        </w:rPr>
        <w:t xml:space="preserve">na primer </w:t>
      </w:r>
      <w:r w:rsidRPr="0045492F">
        <w:rPr>
          <w:rFonts w:ascii="Arial" w:eastAsia="Times New Roman" w:hAnsi="Arial" w:cs="Arial"/>
          <w:sz w:val="20"/>
          <w:szCs w:val="20"/>
          <w:lang w:eastAsia="ar-SA"/>
        </w:rPr>
        <w:t xml:space="preserve">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uradna oseba ne sme sprejeti, pri čemer med darila sodijo tudi darila v obliki različnih storitev in vrednostnih bonov. </w:t>
      </w:r>
      <w:r w:rsidR="000128F1" w:rsidRPr="0045492F">
        <w:rPr>
          <w:rFonts w:ascii="Arial" w:eastAsia="Times New Roman" w:hAnsi="Arial" w:cs="Arial"/>
          <w:sz w:val="20"/>
          <w:szCs w:val="20"/>
          <w:lang w:eastAsia="ar-SA"/>
        </w:rPr>
        <w:t>Med prepovedana darila sodijo tudi denar in žlahtne kovine, pri tem pa je mišljen denar – plačilno sredstvo in npr. investicijsko zlato, ne pa tudi na primer darilni kovanci ali seti kovancev, ki so običajn</w:t>
      </w:r>
      <w:r w:rsidR="00DD65B4" w:rsidRPr="0045492F">
        <w:rPr>
          <w:rFonts w:ascii="Arial" w:eastAsia="Times New Roman" w:hAnsi="Arial" w:cs="Arial"/>
          <w:sz w:val="20"/>
          <w:szCs w:val="20"/>
          <w:lang w:eastAsia="ar-SA"/>
        </w:rPr>
        <w:t>o darilo</w:t>
      </w:r>
      <w:r w:rsidR="000128F1" w:rsidRPr="0045492F">
        <w:rPr>
          <w:rFonts w:ascii="Arial" w:eastAsia="Times New Roman" w:hAnsi="Arial" w:cs="Arial"/>
          <w:sz w:val="20"/>
          <w:szCs w:val="20"/>
          <w:lang w:eastAsia="ar-SA"/>
        </w:rPr>
        <w:t xml:space="preserve"> na mednarodnem bančnem področju. </w:t>
      </w:r>
      <w:r w:rsidRPr="0045492F">
        <w:rPr>
          <w:rFonts w:ascii="Arial" w:eastAsia="Times New Roman" w:hAnsi="Arial" w:cs="Arial"/>
          <w:sz w:val="20"/>
          <w:szCs w:val="20"/>
          <w:lang w:eastAsia="ar-SA"/>
        </w:rPr>
        <w:t>Kot določa predlagani šesti odstavek</w:t>
      </w:r>
      <w:r w:rsidR="00A60B0E"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se morajo podatki o vrsti in ocenjeni vrednosti darila, darovalcu in drugih okoliščinah izročitve darila vpisati v seznam daril, ki ga vodi </w:t>
      </w:r>
      <w:r w:rsidR="00A60B0E" w:rsidRPr="0045492F">
        <w:rPr>
          <w:rFonts w:ascii="Arial" w:eastAsia="Times New Roman" w:hAnsi="Arial" w:cs="Arial"/>
          <w:sz w:val="20"/>
          <w:szCs w:val="20"/>
          <w:lang w:eastAsia="ar-SA"/>
        </w:rPr>
        <w:t>subjekt javnega sektorja</w:t>
      </w:r>
      <w:r w:rsidRPr="0045492F">
        <w:rPr>
          <w:rFonts w:ascii="Arial" w:eastAsia="Times New Roman" w:hAnsi="Arial" w:cs="Arial"/>
          <w:sz w:val="20"/>
          <w:szCs w:val="20"/>
          <w:lang w:eastAsia="ar-SA"/>
        </w:rPr>
        <w:t xml:space="preserve">. Navedene podatke delodajalcu oziroma osebi, ki je pri tem pooblaščena za vodenje seznama daril, sporoči uradna oseba, kar bo verjetno običajno tudi v primeru, ko darilo prejme družinski član uradne osebe. V seznam je treba vpisovati darila katerih vrednost presega 25 evrov. V tem delu je predlagana ureditev po vzoru ureditve v Zakonu o javnih uslužbencih, ki se razveljavlja v prehodnih in končnih določbah. Delodajalec je seznam daril za uradne osebe dolžan posredovati </w:t>
      </w:r>
      <w:r w:rsidR="00BD195C"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do 31. marca tekočega leta za preteklo leto preko elektronskega obrazca, dostopnega na spletnih straneh </w:t>
      </w:r>
      <w:r w:rsidR="00BD195C"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s čimer se uvaja racionalnejša ureditev obveznosti poročanja.</w:t>
      </w:r>
    </w:p>
    <w:p w14:paraId="3E9DA883" w14:textId="7E4283E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8CAE64B" w14:textId="0A98A0AB" w:rsidR="006061FF" w:rsidRPr="0045492F"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Sedmi odstavek določa, da KPK sprejme pravilnik o razpolaganju z darili, določanju vrednosti daril in o vodenju seznama daril ter o drugih izvedbenih vprašanjih v zvezi z izvajanjem člena.</w:t>
      </w:r>
      <w:r w:rsidR="00A60B0E" w:rsidRPr="0045492F">
        <w:rPr>
          <w:rFonts w:ascii="Arial" w:eastAsia="Times New Roman" w:hAnsi="Arial" w:cs="Arial"/>
          <w:sz w:val="20"/>
          <w:szCs w:val="20"/>
          <w:lang w:eastAsia="ar-SA"/>
        </w:rPr>
        <w:t xml:space="preserve"> KPK je pravilnik že sprejela </w:t>
      </w:r>
      <w:r w:rsidR="002E62B0">
        <w:rPr>
          <w:rFonts w:ascii="Arial" w:eastAsia="Times New Roman" w:hAnsi="Arial" w:cs="Arial"/>
          <w:sz w:val="20"/>
          <w:szCs w:val="20"/>
          <w:lang w:eastAsia="ar-SA"/>
        </w:rPr>
        <w:t>leta 2010</w:t>
      </w:r>
      <w:r w:rsidR="002E62B0">
        <w:rPr>
          <w:rStyle w:val="Sprotnaopomba-sklic"/>
          <w:rFonts w:ascii="Arial" w:eastAsia="Times New Roman" w:hAnsi="Arial" w:cs="Arial"/>
          <w:sz w:val="20"/>
          <w:szCs w:val="20"/>
          <w:lang w:eastAsia="ar-SA"/>
        </w:rPr>
        <w:footnoteReference w:id="34"/>
      </w:r>
      <w:r w:rsidR="002E62B0">
        <w:rPr>
          <w:rFonts w:ascii="Arial" w:eastAsia="Times New Roman" w:hAnsi="Arial" w:cs="Arial"/>
          <w:sz w:val="20"/>
          <w:szCs w:val="20"/>
          <w:lang w:eastAsia="ar-SA"/>
        </w:rPr>
        <w:t xml:space="preserve"> </w:t>
      </w:r>
      <w:r w:rsidR="00A60B0E" w:rsidRPr="0045492F">
        <w:rPr>
          <w:rFonts w:ascii="Arial" w:eastAsia="Times New Roman" w:hAnsi="Arial" w:cs="Arial"/>
          <w:sz w:val="20"/>
          <w:szCs w:val="20"/>
          <w:lang w:eastAsia="ar-SA"/>
        </w:rPr>
        <w:t>na podlagi veljavnega zakona, na podlagi sprememb, ki jih prinaša novela, pa ga bo treba dopolniti.</w:t>
      </w:r>
    </w:p>
    <w:p w14:paraId="2761E01C" w14:textId="77777777" w:rsidR="006061FF" w:rsidRPr="0045492F"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567365" w14:textId="2A13586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SDH, DUTB</w:t>
      </w:r>
      <w:r w:rsidR="006061FF" w:rsidRPr="0045492F">
        <w:rPr>
          <w:rFonts w:ascii="Arial" w:eastAsia="Times New Roman" w:hAnsi="Arial" w:cs="Arial"/>
          <w:sz w:val="20"/>
          <w:szCs w:val="20"/>
          <w:lang w:eastAsia="ar-SA"/>
        </w:rPr>
        <w:t>, SiDG, 2TDK</w:t>
      </w:r>
      <w:r w:rsidRPr="0045492F">
        <w:rPr>
          <w:rFonts w:ascii="Arial" w:eastAsia="Times New Roman" w:hAnsi="Arial" w:cs="Arial"/>
          <w:sz w:val="20"/>
          <w:szCs w:val="20"/>
          <w:lang w:eastAsia="ar-SA"/>
        </w:rPr>
        <w:t>), kar je upravičeno in smiselno zaradi njihovega položaja, ki ga opredeljuje predvsem njihova udeležba na trgu.</w:t>
      </w:r>
    </w:p>
    <w:p w14:paraId="2C95C04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7FF6FA5" w14:textId="433263B2"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20.</w:t>
      </w:r>
      <w:r w:rsidR="00A33C5C">
        <w:rPr>
          <w:rFonts w:ascii="Arial" w:eastAsia="Times New Roman" w:hAnsi="Arial" w:cs="Arial"/>
          <w:b/>
          <w:szCs w:val="16"/>
          <w:lang w:eastAsia="ar-SA"/>
        </w:rPr>
        <w:t>, 21., 22. in 23</w:t>
      </w:r>
      <w:r w:rsidR="00027917">
        <w:rPr>
          <w:rFonts w:ascii="Arial" w:eastAsia="Times New Roman" w:hAnsi="Arial" w:cs="Arial"/>
          <w:b/>
          <w:szCs w:val="16"/>
          <w:lang w:eastAsia="ar-SA"/>
        </w:rPr>
        <w:t xml:space="preserve">. </w:t>
      </w:r>
      <w:r w:rsidRPr="0055047E">
        <w:rPr>
          <w:rFonts w:ascii="Arial" w:eastAsia="Times New Roman" w:hAnsi="Arial" w:cs="Arial"/>
          <w:b/>
          <w:szCs w:val="16"/>
          <w:lang w:eastAsia="ar-SA"/>
        </w:rPr>
        <w:t>členu (31., 32., 33. in 34. člen ZIntPK)</w:t>
      </w:r>
    </w:p>
    <w:p w14:paraId="6D6AB15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se vsebina, ki se nanaša na prepoved in omejitve v zvezi s sprejemanjem daril v javnem sektorju, enovito ureja v spremenjenem 30. členu, se predlaga črtanje 31., 32., 33. in 34. člena.</w:t>
      </w:r>
    </w:p>
    <w:p w14:paraId="3122D48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0407BF0" w14:textId="27296501" w:rsidR="0055047E" w:rsidRPr="0045492F"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 w:val="20"/>
          <w:szCs w:val="20"/>
          <w:lang w:eastAsia="ar-SA"/>
        </w:rPr>
      </w:pPr>
      <w:r w:rsidRPr="0045492F">
        <w:rPr>
          <w:rFonts w:ascii="Arial" w:eastAsia="Times New Roman" w:hAnsi="Arial" w:cs="Arial"/>
          <w:b/>
          <w:sz w:val="20"/>
          <w:szCs w:val="20"/>
          <w:lang w:eastAsia="ar-SA"/>
        </w:rPr>
        <w:t xml:space="preserve">K </w:t>
      </w:r>
      <w:r w:rsidR="00A33C5C" w:rsidRPr="0045492F">
        <w:rPr>
          <w:rFonts w:ascii="Arial" w:eastAsia="Times New Roman" w:hAnsi="Arial" w:cs="Arial"/>
          <w:b/>
          <w:sz w:val="20"/>
          <w:szCs w:val="20"/>
          <w:lang w:eastAsia="ar-SA"/>
        </w:rPr>
        <w:t>24</w:t>
      </w:r>
      <w:r w:rsidRPr="0045492F">
        <w:rPr>
          <w:rFonts w:ascii="Arial" w:eastAsia="Times New Roman" w:hAnsi="Arial" w:cs="Arial"/>
          <w:b/>
          <w:sz w:val="20"/>
          <w:szCs w:val="20"/>
          <w:lang w:eastAsia="ar-SA"/>
        </w:rPr>
        <w:t>. členu (35. člen ZIntPK)</w:t>
      </w:r>
    </w:p>
    <w:p w14:paraId="3683BB2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funkcionarji v posameznih primerih v praksi ne poročajo oziroma ne poročajo ažurno o poslovnih subjektih v razmerju do katerih so podane okoliščine omejitve poslovanja, se glede na veljavno ureditev predlaga dolžnost poslovnega subjekta, da pred sklenitvijo pogodbe s subjektom javnega sektorja (oziroma že v postopku javnega naročanja v primeru, ko je ta z zakonom predviden) poda izjavo, da zanj v razmerju do relevantnega subjekta javnega sektorja ne veljajo omejitve poslovanja. Navedena dolžnost na drugi strani vzpostavlja obveznost organa ali organizacije javnega sektorja, da poslovni subjekt seznani s podatki o funkcionarju v organu.</w:t>
      </w:r>
    </w:p>
    <w:p w14:paraId="76B0384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color w:val="000000"/>
          <w:sz w:val="20"/>
          <w:szCs w:val="20"/>
          <w:lang w:eastAsia="ar-SA"/>
        </w:rPr>
      </w:pPr>
    </w:p>
    <w:p w14:paraId="616C364A" w14:textId="317A3EB4" w:rsidR="0055047E" w:rsidRPr="0045492F" w:rsidRDefault="0055047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r w:rsidRPr="0045492F">
        <w:rPr>
          <w:rFonts w:ascii="Arial" w:eastAsia="Times New Roman" w:hAnsi="Arial" w:cs="Arial"/>
          <w:sz w:val="20"/>
          <w:szCs w:val="20"/>
          <w:lang w:eastAsia="ar-SA"/>
        </w:rPr>
        <w:t>Določba petega odstavka 35. člena, da poslovni subjekt predloži izjavo, da ni povezan s funkcionarjem ali družinskim članom a) v postopku javnega naročanja, podelitve koncesije ali sklepanja javno-zasebnega partnerstva in b) če ta ni bil izveden (ker ga skladno z zakonom, ki ureja javno naročanje ni bilo treba izvesti), pa pred sklenitvijo pogodbe, se nanaša na a) prepoved poslovanja, v povezavi s postopkom javnega naročanja iz prvega odstavka 35. člena ter b) na dodatno omejitev poslovanja iz tretjega odstavka tega člena, ko je predvidena i</w:t>
      </w:r>
      <w:r w:rsidRPr="0045492F">
        <w:rPr>
          <w:rFonts w:ascii="Helv" w:eastAsia="Times New Roman" w:hAnsi="Helv" w:cs="Arial"/>
          <w:sz w:val="20"/>
          <w:szCs w:val="20"/>
          <w:lang w:eastAsia="ar-SA"/>
        </w:rPr>
        <w:t xml:space="preserve">zločitev funkcionarja iz vseh faz odločanja o sklenitvi in izvedbi postopka ali posla zaradi obstoja nasprotja interesov (tudi v primeru, če ni bil izveden postopek javnega naročanja). </w:t>
      </w:r>
      <w:r w:rsidR="00BD195C" w:rsidRPr="0045492F">
        <w:rPr>
          <w:rFonts w:ascii="Arial" w:eastAsia="Times New Roman" w:hAnsi="Arial" w:cs="Arial"/>
          <w:sz w:val="20"/>
          <w:szCs w:val="20"/>
          <w:lang w:eastAsia="ar-SA"/>
        </w:rPr>
        <w:t>KPK</w:t>
      </w:r>
      <w:r w:rsidRPr="0045492F">
        <w:rPr>
          <w:rFonts w:ascii="Helv" w:eastAsia="Times New Roman" w:hAnsi="Helv" w:cs="Arial"/>
          <w:sz w:val="20"/>
          <w:szCs w:val="20"/>
          <w:lang w:eastAsia="ar-SA"/>
        </w:rPr>
        <w:t xml:space="preserve"> je 19.4.2011 sprejela pojasnilo št. 035-2/2011/1 o obsegu omejitev poslovanja po spremembi 35. člena ZIntPK, ki pojasnjuje tudi pomen prvega in tretjega odstavka 35. člena.</w:t>
      </w:r>
    </w:p>
    <w:p w14:paraId="583E1B46" w14:textId="77777777" w:rsidR="00A60B0E" w:rsidRPr="0045492F" w:rsidRDefault="00A60B0E" w:rsidP="0055047E">
      <w:pPr>
        <w:suppressAutoHyphens/>
        <w:overflowPunct w:val="0"/>
        <w:autoSpaceDE w:val="0"/>
        <w:spacing w:after="0" w:line="240" w:lineRule="auto"/>
        <w:jc w:val="both"/>
        <w:textAlignment w:val="baseline"/>
        <w:rPr>
          <w:rFonts w:ascii="Helv" w:eastAsia="Times New Roman" w:hAnsi="Helv" w:cs="Arial"/>
          <w:sz w:val="20"/>
          <w:szCs w:val="20"/>
          <w:lang w:eastAsia="ar-SA"/>
        </w:rPr>
      </w:pPr>
    </w:p>
    <w:p w14:paraId="0F6B92C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CEA59E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878739" w14:textId="163574F4"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25. členu (</w:t>
      </w:r>
      <w:r w:rsidR="0055047E" w:rsidRPr="00A33C5C">
        <w:rPr>
          <w:rFonts w:ascii="Arial" w:eastAsia="Times New Roman" w:hAnsi="Arial" w:cs="Arial"/>
          <w:b/>
          <w:szCs w:val="20"/>
          <w:lang w:eastAsia="ar-SA"/>
        </w:rPr>
        <w:t>36. člen</w:t>
      </w:r>
      <w:r w:rsidRPr="00A33C5C">
        <w:rPr>
          <w:rFonts w:ascii="Arial" w:eastAsia="Times New Roman" w:hAnsi="Arial" w:cs="Arial"/>
          <w:b/>
          <w:szCs w:val="20"/>
          <w:lang w:eastAsia="ar-SA"/>
        </w:rPr>
        <w:t xml:space="preserve"> ZIntPK)</w:t>
      </w:r>
    </w:p>
    <w:p w14:paraId="2B5B782A" w14:textId="7339A1D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 prinaša dodatno omejitev poslovanja s funkcionarjem kot fizično osebo še eno leto po prenehanju njegove funkcije.</w:t>
      </w:r>
    </w:p>
    <w:p w14:paraId="0503D14A" w14:textId="7E80BF4C" w:rsidR="00FF553D" w:rsidRPr="0045492F" w:rsidRDefault="00FF553D"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C37C863" w14:textId="6447B817" w:rsidR="00FF553D" w:rsidRPr="0045492F" w:rsidRDefault="006061F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Sprememba</w:t>
      </w:r>
      <w:r w:rsidR="00FF553D"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termina</w:t>
      </w:r>
      <w:r w:rsidR="00FF553D" w:rsidRPr="0045492F">
        <w:rPr>
          <w:rFonts w:ascii="Arial" w:eastAsia="Times New Roman" w:hAnsi="Arial" w:cs="Arial"/>
          <w:sz w:val="20"/>
          <w:szCs w:val="20"/>
          <w:lang w:eastAsia="ar-SA"/>
        </w:rPr>
        <w:t xml:space="preserve"> »organ javnega sektorja« </w:t>
      </w:r>
      <w:r w:rsidRPr="0045492F">
        <w:rPr>
          <w:rFonts w:ascii="Arial" w:eastAsia="Times New Roman" w:hAnsi="Arial" w:cs="Arial"/>
          <w:sz w:val="20"/>
          <w:szCs w:val="20"/>
          <w:lang w:eastAsia="ar-SA"/>
        </w:rPr>
        <w:t>v</w:t>
      </w:r>
      <w:r w:rsidR="00FF553D" w:rsidRPr="0045492F">
        <w:rPr>
          <w:rFonts w:ascii="Arial" w:eastAsia="Times New Roman" w:hAnsi="Arial" w:cs="Arial"/>
          <w:sz w:val="20"/>
          <w:szCs w:val="20"/>
          <w:lang w:eastAsia="ar-SA"/>
        </w:rPr>
        <w:t xml:space="preserve"> »organ ali organizacij</w:t>
      </w:r>
      <w:r w:rsidRPr="0045492F">
        <w:rPr>
          <w:rFonts w:ascii="Arial" w:eastAsia="Times New Roman" w:hAnsi="Arial" w:cs="Arial"/>
          <w:sz w:val="20"/>
          <w:szCs w:val="20"/>
          <w:lang w:eastAsia="ar-SA"/>
        </w:rPr>
        <w:t>a</w:t>
      </w:r>
      <w:r w:rsidR="00FF553D" w:rsidRPr="0045492F">
        <w:rPr>
          <w:rFonts w:ascii="Arial" w:eastAsia="Times New Roman" w:hAnsi="Arial" w:cs="Arial"/>
          <w:sz w:val="20"/>
          <w:szCs w:val="20"/>
          <w:lang w:eastAsia="ar-SA"/>
        </w:rPr>
        <w:t xml:space="preserve"> javnega sektorja«</w:t>
      </w:r>
      <w:r w:rsidRPr="0045492F">
        <w:rPr>
          <w:rFonts w:ascii="Arial" w:eastAsia="Times New Roman" w:hAnsi="Arial" w:cs="Arial"/>
          <w:sz w:val="20"/>
          <w:szCs w:val="20"/>
          <w:lang w:eastAsia="ar-SA"/>
        </w:rPr>
        <w:t xml:space="preserve"> v drugem in tretjem odstavku</w:t>
      </w:r>
      <w:r w:rsidR="00FF553D" w:rsidRPr="0045492F">
        <w:rPr>
          <w:rFonts w:ascii="Arial" w:eastAsia="Times New Roman" w:hAnsi="Arial" w:cs="Arial"/>
          <w:sz w:val="20"/>
          <w:szCs w:val="20"/>
          <w:lang w:eastAsia="ar-SA"/>
        </w:rPr>
        <w:t xml:space="preserve"> je predlagana, da se v opredelitev zajame tudi Banka Slovenije, ki ni tipičen državni organ in člani sveta Banke Slovenije niso tipični funkcionarji. Banka Slovenije je izrecno našteta v definiciji javnega sektorja, člani sveta Banke Slovenije pa v definiciji funkcionarjev.</w:t>
      </w:r>
    </w:p>
    <w:p w14:paraId="6F1DB0A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10F0F38" w14:textId="38CB6BA1"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26</w:t>
      </w:r>
      <w:r w:rsidRPr="0055047E">
        <w:rPr>
          <w:rFonts w:ascii="Arial" w:eastAsia="Times New Roman" w:hAnsi="Arial" w:cs="Arial"/>
          <w:b/>
          <w:szCs w:val="16"/>
          <w:lang w:eastAsia="ar-SA"/>
        </w:rPr>
        <w:t>. členu (37. člen ZIntPK)</w:t>
      </w:r>
    </w:p>
    <w:p w14:paraId="0070FEA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09E7360D"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lang w:eastAsia="ar-SA"/>
        </w:rPr>
      </w:pPr>
    </w:p>
    <w:p w14:paraId="0611463A" w14:textId="4E15899B"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Pr>
          <w:rFonts w:ascii="Arial" w:eastAsia="Times New Roman" w:hAnsi="Arial" w:cs="Arial"/>
          <w:b/>
          <w:szCs w:val="20"/>
          <w:lang w:eastAsia="ar-SA"/>
        </w:rPr>
        <w:t xml:space="preserve">K </w:t>
      </w:r>
      <w:r w:rsidRPr="00A33C5C">
        <w:rPr>
          <w:rFonts w:ascii="Arial" w:eastAsia="Times New Roman" w:hAnsi="Arial" w:cs="Arial"/>
          <w:b/>
          <w:szCs w:val="20"/>
          <w:lang w:eastAsia="ar-SA"/>
        </w:rPr>
        <w:t>27. člen</w:t>
      </w:r>
      <w:r>
        <w:rPr>
          <w:rFonts w:ascii="Arial" w:eastAsia="Times New Roman" w:hAnsi="Arial" w:cs="Arial"/>
          <w:b/>
          <w:szCs w:val="20"/>
          <w:lang w:eastAsia="ar-SA"/>
        </w:rPr>
        <w:t>u</w:t>
      </w:r>
      <w:r w:rsidRPr="00A33C5C">
        <w:rPr>
          <w:rFonts w:ascii="Arial" w:eastAsia="Times New Roman" w:hAnsi="Arial" w:cs="Arial"/>
          <w:b/>
          <w:szCs w:val="20"/>
          <w:lang w:eastAsia="ar-SA"/>
        </w:rPr>
        <w:t xml:space="preserve"> (</w:t>
      </w:r>
      <w:r w:rsidR="0055047E" w:rsidRPr="00A33C5C">
        <w:rPr>
          <w:rFonts w:ascii="Arial" w:eastAsia="Times New Roman" w:hAnsi="Arial" w:cs="Arial"/>
          <w:b/>
          <w:szCs w:val="20"/>
          <w:lang w:eastAsia="ar-SA"/>
        </w:rPr>
        <w:t>38. člen</w:t>
      </w:r>
      <w:r w:rsidRPr="00A33C5C">
        <w:rPr>
          <w:rFonts w:ascii="Arial" w:eastAsia="Times New Roman" w:hAnsi="Arial" w:cs="Arial"/>
          <w:b/>
          <w:szCs w:val="20"/>
          <w:lang w:eastAsia="ar-SA"/>
        </w:rPr>
        <w:t xml:space="preserve"> ZIntPK)</w:t>
      </w:r>
    </w:p>
    <w:p w14:paraId="5FBFD23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predlagani spremembi 38. člena se posebej kot samostojen ukrep za odpravo nasprotja interesov ureja prenehanje uradne osebe z opravljanjem uradnih dejanj v primeru, ko so podane okoliščine nasprotja interesov, s čimer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tem, da v zadevi preneha z delom in o tem obvesti nadrejenega, ki odloči o nadaljnjih ukrepih.</w:t>
      </w:r>
    </w:p>
    <w:p w14:paraId="5CF0271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4195C41" w14:textId="5EDC8E9B" w:rsidR="0055047E" w:rsidRPr="0045492F"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5BF4DF7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2E88E3" w14:textId="0580A1A0"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28. členu (</w:t>
      </w:r>
      <w:r w:rsidR="0055047E" w:rsidRPr="00A33C5C">
        <w:rPr>
          <w:rFonts w:ascii="Arial" w:eastAsia="Times New Roman" w:hAnsi="Arial" w:cs="Arial"/>
          <w:b/>
          <w:szCs w:val="20"/>
          <w:lang w:eastAsia="ar-SA"/>
        </w:rPr>
        <w:t>39. člen</w:t>
      </w:r>
      <w:r w:rsidRPr="00A33C5C">
        <w:rPr>
          <w:rFonts w:ascii="Arial" w:eastAsia="Times New Roman" w:hAnsi="Arial" w:cs="Arial"/>
          <w:b/>
          <w:szCs w:val="20"/>
          <w:lang w:eastAsia="ar-SA"/>
        </w:rPr>
        <w:t xml:space="preserve"> ZIntPK)</w:t>
      </w:r>
    </w:p>
    <w:p w14:paraId="00465B70" w14:textId="6AB2D89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w:t>
      </w:r>
    </w:p>
    <w:p w14:paraId="262E8B8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62ABFB48" w14:textId="68DFE454"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29. členu (</w:t>
      </w:r>
      <w:r w:rsidR="0055047E" w:rsidRPr="00A33C5C">
        <w:rPr>
          <w:rFonts w:ascii="Arial" w:eastAsia="Times New Roman" w:hAnsi="Arial" w:cs="Arial"/>
          <w:b/>
          <w:szCs w:val="20"/>
          <w:lang w:eastAsia="ar-SA"/>
        </w:rPr>
        <w:t>40. člen</w:t>
      </w:r>
      <w:r w:rsidRPr="00A33C5C">
        <w:rPr>
          <w:rFonts w:ascii="Arial" w:eastAsia="Times New Roman" w:hAnsi="Arial" w:cs="Arial"/>
          <w:b/>
          <w:szCs w:val="20"/>
          <w:lang w:eastAsia="ar-SA"/>
        </w:rPr>
        <w:t xml:space="preserve"> ZIntPK)</w:t>
      </w:r>
    </w:p>
    <w:p w14:paraId="7AD3F2B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40. členu se jasno določa, da določbe 37. do 39. člena, ki urejajo nasprotje interesov v tem zakonu veljajo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w:t>
      </w:r>
    </w:p>
    <w:p w14:paraId="30123B9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68571EA" w14:textId="008EA393" w:rsidR="0055047E" w:rsidRPr="0045492F"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 ne vključuje, se s predlagano spremembo obveznost spoštovanja določb o nasprotju interesov krog zavezancev širi.</w:t>
      </w:r>
    </w:p>
    <w:p w14:paraId="086FF83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4A9270DB" w14:textId="7AA30C10"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30</w:t>
      </w:r>
      <w:r w:rsidRPr="0055047E">
        <w:rPr>
          <w:rFonts w:ascii="Arial" w:eastAsia="Times New Roman" w:hAnsi="Arial" w:cs="Arial"/>
          <w:b/>
          <w:szCs w:val="16"/>
          <w:lang w:eastAsia="ar-SA"/>
        </w:rPr>
        <w:t>. členu (41. člen ZIntPK)</w:t>
      </w:r>
    </w:p>
    <w:p w14:paraId="713A2AC6" w14:textId="54E97960"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p>
    <w:p w14:paraId="5F87F36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Določba 41. člena z naštevanjem zavezancev natančno določa za koga vse velja obveznost prijave premoženjskega stanja. </w:t>
      </w:r>
      <w:bookmarkStart w:id="18" w:name="_Hlk10038552"/>
      <w:r w:rsidRPr="0045492F">
        <w:rPr>
          <w:rFonts w:ascii="Arial" w:eastAsia="Times New Roman" w:hAnsi="Arial" w:cs="Arial"/>
          <w:sz w:val="20"/>
          <w:szCs w:val="20"/>
          <w:lang w:eastAsia="ar-SA"/>
        </w:rPr>
        <w:t>Po novem morajo premoženjsko stanje prijaviti tudi člani državnega sveta, člani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in druge pravne osebe, v katerih ima večinski delež oziroma prevladujoč vpliv država ali lokalna skupnost.</w:t>
      </w:r>
      <w:bookmarkEnd w:id="18"/>
      <w:r w:rsidRPr="0045492F">
        <w:rPr>
          <w:rFonts w:ascii="Arial" w:eastAsia="Times New Roman" w:hAnsi="Arial" w:cs="Arial"/>
          <w:sz w:val="20"/>
          <w:szCs w:val="20"/>
          <w:lang w:eastAsia="ar-SA"/>
        </w:rPr>
        <w:t xml:space="preserve"> Zavezanci po novem 41. členu so sedaj: poklicni funkcionarji, člani državnega sveta, nepoklicni župani in podžupani, uradniki na položaju, poslovodne osebe in člani organov nadzora v javnih podjetjih in gospodarskih družbah, v katerih imata država ali samoupravna lokalna skupnost posredni ali neposredni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D90970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EFF73CA" w14:textId="2B20658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3404A8">
        <w:rPr>
          <w:rFonts w:ascii="Arial" w:eastAsia="Times New Roman" w:hAnsi="Arial" w:cs="Arial"/>
          <w:sz w:val="20"/>
          <w:szCs w:val="20"/>
          <w:lang w:eastAsia="ar-SA"/>
        </w:rPr>
        <w:t>Določba določa tudi rok enega meseca od nastopa funkcije ali položaja, ko morajo zavezanci</w:t>
      </w:r>
      <w:r w:rsidRPr="0045492F">
        <w:rPr>
          <w:rFonts w:ascii="Arial" w:eastAsia="Times New Roman" w:hAnsi="Arial" w:cs="Arial"/>
          <w:sz w:val="20"/>
          <w:szCs w:val="20"/>
          <w:lang w:eastAsia="ar-SA"/>
        </w:rPr>
        <w:t xml:space="preserve"> razen oseb, odgovornih za javna naročila, prvič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posredovati podatke o njihovem premoženjskem stanju. Stanje o katerem mora zavezanec poročati je določeno na dan nastopa oziroma prenehanja funkcije. Osebe, odgovorne za javna naročila, </w:t>
      </w:r>
      <w:r w:rsidR="003C78C2" w:rsidRPr="0045492F">
        <w:rPr>
          <w:rFonts w:ascii="Arial" w:eastAsia="Times New Roman" w:hAnsi="Arial" w:cs="Arial"/>
          <w:sz w:val="20"/>
          <w:szCs w:val="20"/>
          <w:lang w:eastAsia="ar-SA"/>
        </w:rPr>
        <w:t>morajo posredovati</w:t>
      </w:r>
      <w:r w:rsidRPr="0045492F">
        <w:rPr>
          <w:rFonts w:ascii="Arial" w:eastAsia="Times New Roman" w:hAnsi="Arial" w:cs="Arial"/>
          <w:sz w:val="20"/>
          <w:szCs w:val="20"/>
          <w:lang w:eastAsia="ar-SA"/>
        </w:rPr>
        <w:t xml:space="preserve"> podatke o svojem premoženjskem stanju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do 31. januarja za preteklo leto, če so v preteklem koledarskem letu sodelovale pri oddaji javnega naročila, kot je opredeljen v 10. točki 4. člena tega zakona.</w:t>
      </w:r>
      <w:r w:rsidR="006061FF" w:rsidRPr="0045492F">
        <w:rPr>
          <w:rFonts w:ascii="Arial" w:eastAsia="Times New Roman" w:hAnsi="Arial" w:cs="Arial"/>
          <w:sz w:val="20"/>
          <w:szCs w:val="20"/>
          <w:lang w:eastAsia="ar-SA"/>
        </w:rPr>
        <w:t xml:space="preserve"> Poročilo mora vsebovati podatke o premoženjskem stanju na dan 31. december</w:t>
      </w:r>
      <w:r w:rsidR="008024CA">
        <w:rPr>
          <w:rFonts w:ascii="Arial" w:eastAsia="Times New Roman" w:hAnsi="Arial" w:cs="Arial"/>
          <w:sz w:val="20"/>
          <w:szCs w:val="20"/>
          <w:lang w:eastAsia="ar-SA"/>
        </w:rPr>
        <w:t>, ne glede na začetek ali zaključek javnega naročila</w:t>
      </w:r>
      <w:r w:rsidR="006061FF" w:rsidRPr="0045492F">
        <w:rPr>
          <w:rFonts w:ascii="Arial" w:eastAsia="Times New Roman" w:hAnsi="Arial" w:cs="Arial"/>
          <w:sz w:val="20"/>
          <w:szCs w:val="20"/>
          <w:lang w:eastAsia="ar-SA"/>
        </w:rPr>
        <w:t>.</w:t>
      </w:r>
    </w:p>
    <w:p w14:paraId="1909CA5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A49A7D" w14:textId="14E393C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Enak rok enega meseca za prijavo premoženjskega stanja</w:t>
      </w:r>
      <w:r w:rsidR="0096759A"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šteto od nastopa funkcije ali dela</w:t>
      </w:r>
      <w:r w:rsidR="0096759A"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velja za zavezance tudi po prenehanju funkcije ali opravljanju dela. Dolžnost prijave premoženjskega stanja velja za zavezance še leto dni po prenehanju funkcije ali dela, ki ga je zavezanec opravljal.</w:t>
      </w:r>
    </w:p>
    <w:p w14:paraId="70C7854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151B749" w14:textId="79A8374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predlaganem četrtem odstavku se za razliko od veljavnega petega odstavka, določa, da naročniki, ki poslujejo po predpisih, ki urejajo javno naročanje,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7F220B73" w14:textId="581E2DA4" w:rsidR="008270D9" w:rsidRPr="0045492F"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8C9D7F4" w14:textId="6E4DE8D3" w:rsidR="008270D9" w:rsidRPr="0045492F" w:rsidRDefault="008270D9"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Peti odstavek določa obveznost zavezancev, da podatke KPK posredujejo v elektronski obliki prek obrazca, ki je dostopen na spletnih straneh KPK. </w:t>
      </w:r>
      <w:r w:rsidR="001C6F0D" w:rsidRPr="0045492F">
        <w:rPr>
          <w:rFonts w:ascii="Arial" w:eastAsia="Times New Roman" w:hAnsi="Arial" w:cs="Arial"/>
          <w:sz w:val="20"/>
          <w:szCs w:val="20"/>
          <w:lang w:eastAsia="ar-SA"/>
        </w:rPr>
        <w:t>KPK lahko obrazec vzpostavi bodisi na lastni infrastrukturi v obliki spletne aplikacije za poročanje ali pa v drugi primerni obliki (na primer v okviru eUprave). Bistveno je, da je dostop do obrazcev (spletna povezava) dostopna na spletnih straneh KPK, kjer jo lahko zavezanci najdejo.</w:t>
      </w:r>
    </w:p>
    <w:p w14:paraId="26F13CF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FBCBA95" w14:textId="0363FB0A"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31. členu (</w:t>
      </w:r>
      <w:r w:rsidR="0055047E" w:rsidRPr="00A33C5C">
        <w:rPr>
          <w:rFonts w:ascii="Arial" w:eastAsia="Times New Roman" w:hAnsi="Arial" w:cs="Arial"/>
          <w:b/>
          <w:szCs w:val="20"/>
          <w:lang w:eastAsia="ar-SA"/>
        </w:rPr>
        <w:t>42. člen</w:t>
      </w:r>
      <w:r w:rsidRPr="00A33C5C">
        <w:rPr>
          <w:rFonts w:ascii="Arial" w:eastAsia="Times New Roman" w:hAnsi="Arial" w:cs="Arial"/>
          <w:b/>
          <w:szCs w:val="20"/>
          <w:lang w:eastAsia="ar-SA"/>
        </w:rPr>
        <w:t xml:space="preserve"> ZIntPK)</w:t>
      </w:r>
    </w:p>
    <w:p w14:paraId="564E9A5A" w14:textId="455E0C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Določba 42. člena natančno določa, katere podatke mora zavezanec na obrazcu za prijavo premoženjskega stanja posredovati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20845FB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7B97C" w14:textId="5D66146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zvezi s podatki o premoženju, ki se nanaša</w:t>
      </w:r>
      <w:r w:rsidR="003C78C2" w:rsidRPr="0045492F">
        <w:rPr>
          <w:rFonts w:ascii="Arial" w:eastAsia="Times New Roman" w:hAnsi="Arial" w:cs="Arial"/>
          <w:sz w:val="20"/>
          <w:szCs w:val="20"/>
          <w:lang w:eastAsia="ar-SA"/>
        </w:rPr>
        <w:t>jo</w:t>
      </w:r>
      <w:r w:rsidRPr="0045492F">
        <w:rPr>
          <w:rFonts w:ascii="Arial" w:eastAsia="Times New Roman" w:hAnsi="Arial" w:cs="Arial"/>
          <w:sz w:val="20"/>
          <w:szCs w:val="20"/>
          <w:lang w:eastAsia="ar-SA"/>
        </w:rPr>
        <w:t xml:space="preserve"> tako na premoženje v RS kot v tujini, pa mora zavezanec posredovati naslednje podatke: zakonsko določno naštete podatke o nepremičninah, upoštevaje določbo drugega odstavka 69. člena Zakona o davčnem postopku</w:t>
      </w:r>
      <w:r w:rsidRPr="0045492F">
        <w:rPr>
          <w:rFonts w:ascii="Arial" w:eastAsia="Times New Roman" w:hAnsi="Arial" w:cs="Arial"/>
          <w:sz w:val="20"/>
          <w:szCs w:val="20"/>
          <w:vertAlign w:val="superscript"/>
          <w:lang w:eastAsia="ar-SA"/>
        </w:rPr>
        <w:footnoteReference w:id="35"/>
      </w:r>
      <w:r w:rsidRPr="0045492F">
        <w:rPr>
          <w:rFonts w:ascii="Arial" w:eastAsia="Times New Roman" w:hAnsi="Arial" w:cs="Arial"/>
          <w:sz w:val="20"/>
          <w:szCs w:val="20"/>
          <w:lang w:eastAsia="ar-SA"/>
        </w:rPr>
        <w:t xml:space="preserve"> podatke o pravicah na nepremičninah in drugih premoženjskih pravicah, podatke o premičninah, če vrednost posamezne premičnine presega 10.000 eurov, podatke o denarnih sredstvih pri bankah, hranilnicah in hranilno</w:t>
      </w:r>
      <w:r w:rsidR="00FB4E1D">
        <w:rPr>
          <w:rFonts w:ascii="Arial" w:eastAsia="Times New Roman" w:hAnsi="Arial" w:cs="Arial"/>
          <w:sz w:val="20"/>
          <w:szCs w:val="20"/>
          <w:lang w:eastAsia="ar-SA"/>
        </w:rPr>
        <w:t xml:space="preserve"> – </w:t>
      </w:r>
      <w:r w:rsidRPr="0045492F">
        <w:rPr>
          <w:rFonts w:ascii="Arial" w:eastAsia="Times New Roman" w:hAnsi="Arial" w:cs="Arial"/>
          <w:sz w:val="20"/>
          <w:szCs w:val="20"/>
          <w:lang w:eastAsia="ar-SA"/>
        </w:rPr>
        <w:t>kreditnih službah, če skupna vrednost sredstev na posameznih računih presega 10.000 eurov (na ta način se v primerjavi z veljavno ureditvijo onemogoča, da bi posameznik odpiral nove račune v vrednosti sredstev do 10.000 eurov in se na ta način izognil razkritju sredstev na teh računih),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6D7375A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757CE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Predlagana določba tretjega odstavka 42. člena uporablja izraza »dejansko lastništvo« oz. »dejanski lastnik« za razlago katerih se uporabljajo določbe 35., 36. in 37. člena ZPPDFT-1. Navedeni zakon namreč določa tudi uvedbo obveznosti za poslovne subjekte, da podatke o svojih dejanskih lastnikih prijavijo v register o dejanskih lastnikih.</w:t>
      </w:r>
    </w:p>
    <w:p w14:paraId="13469AA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6A759CD" w14:textId="4411115D"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32</w:t>
      </w:r>
      <w:r w:rsidR="00027917">
        <w:rPr>
          <w:rFonts w:ascii="Arial" w:eastAsia="Times New Roman" w:hAnsi="Arial" w:cs="Arial"/>
          <w:b/>
          <w:szCs w:val="20"/>
          <w:lang w:eastAsia="ar-SA"/>
        </w:rPr>
        <w:t>.</w:t>
      </w:r>
      <w:r w:rsidRPr="00A33C5C">
        <w:rPr>
          <w:rFonts w:ascii="Arial" w:eastAsia="Times New Roman" w:hAnsi="Arial" w:cs="Arial"/>
          <w:b/>
          <w:szCs w:val="20"/>
          <w:lang w:eastAsia="ar-SA"/>
        </w:rPr>
        <w:t xml:space="preserve"> členu (</w:t>
      </w:r>
      <w:r w:rsidR="0055047E" w:rsidRPr="00A33C5C">
        <w:rPr>
          <w:rFonts w:ascii="Arial" w:eastAsia="Times New Roman" w:hAnsi="Arial" w:cs="Arial"/>
          <w:b/>
          <w:szCs w:val="20"/>
          <w:lang w:eastAsia="ar-SA"/>
        </w:rPr>
        <w:t>43. člen</w:t>
      </w:r>
      <w:r w:rsidRPr="00A33C5C">
        <w:rPr>
          <w:rFonts w:ascii="Arial" w:eastAsia="Times New Roman" w:hAnsi="Arial" w:cs="Arial"/>
          <w:b/>
          <w:szCs w:val="20"/>
          <w:lang w:eastAsia="ar-SA"/>
        </w:rPr>
        <w:t xml:space="preserve"> ZIntPK)</w:t>
      </w:r>
    </w:p>
    <w:p w14:paraId="2D2CD2BF" w14:textId="3DE5616C"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Določba 43. člena določa dolžnost zavezancev, da sporočajo spremembe premoženjskega stanja, način in rok v katerem morajo izpolniti svojo dolžnost. Zavezanci morajo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sporočiti taksativno naštete spremembe osebnih podatkov in vsako spremembo v premoženjskem stanju v roku 30 dni po nastanku spremembe. Pri enotah premoženja, ki se skladno z drugim odstavkom 42. člena prijavi le, če presega določeno vrednost, </w:t>
      </w:r>
      <w:r w:rsidR="003C78C2" w:rsidRPr="0045492F">
        <w:rPr>
          <w:rFonts w:ascii="Arial" w:eastAsia="Times New Roman" w:hAnsi="Arial" w:cs="Arial"/>
          <w:sz w:val="20"/>
          <w:szCs w:val="20"/>
          <w:lang w:eastAsia="ar-SA"/>
        </w:rPr>
        <w:t xml:space="preserve">mora </w:t>
      </w:r>
      <w:r w:rsidRPr="0045492F">
        <w:rPr>
          <w:rFonts w:ascii="Arial" w:eastAsia="Times New Roman" w:hAnsi="Arial" w:cs="Arial"/>
          <w:sz w:val="20"/>
          <w:szCs w:val="20"/>
          <w:lang w:eastAsia="ar-SA"/>
        </w:rPr>
        <w:t xml:space="preserve">zavezanec kot spremembo prijaviti povečanje premoženja, s katerim doseže prag za prijavo posamezne vrste premoženja. Pri že prijavljenih enotah premoženja pa sporoči spremembo, ko se premoženje poveča ali zmanjša za več kot 10.000 eurov. Sporočanje sprememb premoženjskega stanja se izvede prek elektronskega obrazca, dostopnega na spletnih straneh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Obrazec za sporočanje sprememb premoženjskega stanja obsega tudi možnost navedbe razloga za povečanje ali zmanjšanje premoženja.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lahko kadarkoli zahteva od zavezanca, da ji predloži celovite podatke iz prvega in drugega odstavka 42. člena. Zavezanec mora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predložiti te podatke najkasneje v 15 dneh po prejemu zahteve.</w:t>
      </w:r>
    </w:p>
    <w:p w14:paraId="2B9DAD3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5B0BAFB3" w14:textId="23D751C4"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33</w:t>
      </w:r>
      <w:r w:rsidRPr="0055047E">
        <w:rPr>
          <w:rFonts w:ascii="Arial" w:eastAsia="Times New Roman" w:hAnsi="Arial" w:cs="Arial"/>
          <w:b/>
          <w:szCs w:val="16"/>
          <w:lang w:eastAsia="ar-SA"/>
        </w:rPr>
        <w:t>. členu (44.a in 44.b člen ZIntPK)</w:t>
      </w:r>
    </w:p>
    <w:p w14:paraId="6A604080"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44.a in 44.b člen</w:t>
      </w:r>
    </w:p>
    <w:p w14:paraId="09976830" w14:textId="1E2966C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Določbi 44.a in 44.b člena določata nadzor nad premoženjskim stanjem in ugotavljanje nesorazmernega povečanja premoženja ter okoliščine</w:t>
      </w:r>
      <w:r w:rsidR="003C78C2"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v katerih lahko nadzor nad premoženjskim stanjem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razširi tudi na druge osebe, ki sicer niso zavezanci za prijavo premoženjskega stanja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pri izvajanju pristojnosti nadzora nad premoženjskim stanjem nadzoruje pravilnost, pravočasnost in popolnost zavezančeve prijave podatkov o premoženjskem stanju in sprememb tega stanja s primerjanjem prijavljenih podatkov s podatki iz uradnih evidenc, iz evidenc centralnih depotnih družb, bank in drugih finančnih ustanov, in sicer ob obstoju v zakonu določenih okoliščin (sum kršitve dolžnosti prijave premoženjskega stanja, sum nesorazmernega povečanja premoženja…). Če ob tej primerjavi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ugotovi neskladje podatkov, zahteva od zavezanca, da v roku 15 dni pisno pojasni to neskladje in priloži ustrezna dokazila, lahko pa z zavezancem zaradi razjasnitve dejanskega stanja opravi razgovor.</w:t>
      </w:r>
    </w:p>
    <w:p w14:paraId="1084AC5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CD35FB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predlaganem tretjem odstavku se v izogib nejasnostim, kaj sodi v okvir »nesorazmernega povečanja premoženja«, povzema definicija iz veljavnega prvega odstavka 45. člena ZIntPK.</w:t>
      </w:r>
    </w:p>
    <w:p w14:paraId="640BC37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256EA8D" w14:textId="44A369A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Nadalje pa se tudi določa, kako ravna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primeru, če iz podatkov, pridobljenih v postopku iz tega člena ali iz drugih podatkov, s katerimi razpolaga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izhaja sum nesorazmernega povečanja premoženja ali sum, da zavezanec razpolaga s premoženjem neznanega izvora. V takem primeru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izvede postopek zaradi suma nesorazmernega povečanja premoženja, in sicer od dne, ko je zavezanec nastopil funkcijo, položaj ali delo, na podlagi katerega je zavezan za prijavo premoženjskega stanja. Za potrebe ugotavljanja dejanskega stanja lahko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od pristojnih organov pregona in nadzora, vključno z organom, pristojnim za preprečevanje pranja denarja, zahteva, da v okviru svojih pristojnosti ugotovijo dejansko stanje glede premoženja in lastništva v Republiki Sloveniji in v tujini in ugotovitve posredujejo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w:t>
      </w:r>
      <w:r w:rsidR="008024CA">
        <w:rPr>
          <w:rFonts w:ascii="Arial" w:eastAsia="Times New Roman" w:hAnsi="Arial" w:cs="Arial"/>
          <w:sz w:val="20"/>
          <w:szCs w:val="20"/>
          <w:lang w:eastAsia="ar-SA"/>
        </w:rPr>
        <w:t xml:space="preserve">Organi </w:t>
      </w:r>
      <w:r w:rsidR="00286BCD" w:rsidRPr="0045492F">
        <w:rPr>
          <w:rFonts w:ascii="Arial" w:eastAsia="Times New Roman" w:hAnsi="Arial" w:cs="Arial"/>
          <w:sz w:val="20"/>
          <w:szCs w:val="20"/>
          <w:lang w:eastAsia="ar-SA"/>
        </w:rPr>
        <w:t>podatke</w:t>
      </w:r>
      <w:r w:rsidR="008024CA">
        <w:rPr>
          <w:rFonts w:ascii="Arial" w:eastAsia="Times New Roman" w:hAnsi="Arial" w:cs="Arial"/>
          <w:sz w:val="20"/>
          <w:szCs w:val="20"/>
          <w:lang w:eastAsia="ar-SA"/>
        </w:rPr>
        <w:t xml:space="preserve"> na podlagi zahteve KPK pridobivajo le, če so hkrati izpolnjeni pogoji za izvajanje njihovih</w:t>
      </w:r>
      <w:r w:rsidR="00286BCD" w:rsidRPr="0045492F">
        <w:rPr>
          <w:rFonts w:ascii="Arial" w:eastAsia="Times New Roman" w:hAnsi="Arial" w:cs="Arial"/>
          <w:sz w:val="20"/>
          <w:szCs w:val="20"/>
          <w:lang w:eastAsia="ar-SA"/>
        </w:rPr>
        <w:t xml:space="preserve"> pristojnosti. Organi, ki KPK posredujejo podatke, to storijo skladno </w:t>
      </w:r>
      <w:r w:rsidR="00CB62A3" w:rsidRPr="0045492F">
        <w:rPr>
          <w:rFonts w:ascii="Arial" w:eastAsia="Times New Roman" w:hAnsi="Arial" w:cs="Arial"/>
          <w:sz w:val="20"/>
          <w:szCs w:val="20"/>
          <w:lang w:eastAsia="ar-SA"/>
        </w:rPr>
        <w:t>s pristojnostmi, določeni</w:t>
      </w:r>
      <w:r w:rsidR="008024CA">
        <w:rPr>
          <w:rFonts w:ascii="Arial" w:eastAsia="Times New Roman" w:hAnsi="Arial" w:cs="Arial"/>
          <w:sz w:val="20"/>
          <w:szCs w:val="20"/>
          <w:lang w:eastAsia="ar-SA"/>
        </w:rPr>
        <w:t>h</w:t>
      </w:r>
      <w:r w:rsidR="00CB62A3" w:rsidRPr="0045492F">
        <w:rPr>
          <w:rFonts w:ascii="Arial" w:eastAsia="Times New Roman" w:hAnsi="Arial" w:cs="Arial"/>
          <w:sz w:val="20"/>
          <w:szCs w:val="20"/>
          <w:lang w:eastAsia="ar-SA"/>
        </w:rPr>
        <w:t xml:space="preserve"> </w:t>
      </w:r>
      <w:r w:rsidR="00286BCD" w:rsidRPr="0045492F">
        <w:rPr>
          <w:rFonts w:ascii="Arial" w:eastAsia="Times New Roman" w:hAnsi="Arial" w:cs="Arial"/>
          <w:sz w:val="20"/>
          <w:szCs w:val="20"/>
          <w:lang w:eastAsia="ar-SA"/>
        </w:rPr>
        <w:t xml:space="preserve">z veljavno zakonodajo in mednarodnimi pravili izmenjave podatkov. </w:t>
      </w:r>
      <w:r w:rsidR="008024CA">
        <w:rPr>
          <w:rFonts w:ascii="Arial" w:eastAsia="Times New Roman" w:hAnsi="Arial" w:cs="Arial"/>
          <w:sz w:val="20"/>
          <w:szCs w:val="20"/>
          <w:lang w:eastAsia="ar-SA"/>
        </w:rPr>
        <w:t xml:space="preserve">Tako na primer zahteva KPK sama po sebi ne zadostuje Uradu za preprečevanje pranja denarja za pridobivanje podatkov v tujini, kolikor niso podani tudi pogoji za ukrepanje Urada. </w:t>
      </w:r>
      <w:r w:rsidRPr="0045492F">
        <w:rPr>
          <w:rFonts w:ascii="Arial" w:eastAsia="Times New Roman" w:hAnsi="Arial" w:cs="Arial"/>
          <w:sz w:val="20"/>
          <w:szCs w:val="20"/>
          <w:lang w:eastAsia="ar-SA"/>
        </w:rPr>
        <w:t xml:space="preserve">Določba 44.a člena določa tudi obliko in vsebino njenih ugotovitev.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tako pripravi »osnutek ugotovitev v konkretnem primeru«, ki vsebuje seznam premoženja, ki po ugotovitvah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presega prijavljeno premoženje, uradne znane prihodke zavezanca ali za katerega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postopku ni mogla ugotoviti vira oziroma izvora. Ta osnutek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pošlje zavezancu in ga pozove, da pisno pojasni način povečanja ali vire premoženja in priloži ustrezna dokazila. Na lastno pobudo ali na predlog zavezanca lahko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zvezi s tem z zavezancem opravi razgovor. V primeru, da zavezanec ne pojasni načina povečanja ali virov premoženja oziroma tega ne stori na prepričljiv, verodostojen in razumljiv način,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ravna skladno s 45. členom tega zakona. Upoštevaje predlagano določbo 11. člena pa lahko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tudi v teh primerih javnost obvesti o ugotovitvah. Kadar pa bi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med postopkom po tem členu ocenila, da obstaja utemeljena nevarnost, da bo zavezanec s premoženjem neznanega oziroma nepojasnjenega izvora razpolagal, ga skril ali odtujil</w:t>
      </w:r>
      <w:r w:rsidR="00BD59D3"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najpozneje v 72 urah pisno sporočiti, katere ukrepe je sprejel ali obrazložiti, zakaj ne bo ukrepal.</w:t>
      </w:r>
    </w:p>
    <w:p w14:paraId="4B70E4C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505CA6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Zavezanec je lahko predmet nadzora po tem členu za čas opravljanja funkcije, položaja ali dela ter še eno leto po prenehanju funkcije, položaja ali dela.</w:t>
      </w:r>
    </w:p>
    <w:p w14:paraId="0A3209D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B12B38" w14:textId="7BEDDB2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Ker pa bi se zavezanec lahko nadzoru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nad premoženjskim stanjem izognil tudi tako, da bi svoje premoženje prikrival s prenašanjem na družinske člane, ali da te osebe od tretjih oseb neposredno pridobivajo enote premoženja, ki na kakršen koli način izvirajo iz funkcije ali dela zavezanca in če bi se v postopku nadzora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iz 44.a člena izkazal ta sum,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44.b člen daje pristojnost, da svoj nadzor razširi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 Tudi za postopek tega nadzora se smiselno uporabljajo določbe prejšnjega člena.</w:t>
      </w:r>
    </w:p>
    <w:p w14:paraId="73D3C53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414F22" w14:textId="7B64C6C2"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34</w:t>
      </w:r>
      <w:r w:rsidRPr="0055047E">
        <w:rPr>
          <w:rFonts w:ascii="Arial" w:eastAsia="Times New Roman" w:hAnsi="Arial" w:cs="Arial"/>
          <w:b/>
          <w:szCs w:val="16"/>
          <w:lang w:eastAsia="ar-SA"/>
        </w:rPr>
        <w:t>. členu (45. člen ZIntPK)</w:t>
      </w:r>
    </w:p>
    <w:p w14:paraId="007BC461" w14:textId="6A2C930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Določba 45. člena določa ukrepe, ki jih izvede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če zavezanec v postopku iz 44.a člena ne pojasni načina povečanja premoženja, virov premoženja ali razlike med dejanskim in prijavljenim premoženjem ali tega ne stori na prepričljiv, verodostojen in razumljiv način. V takem primeru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zadevo z vsemi zbranimi podatki nemudoma odstopi državnemu tožilstvu zaradi preverbe možnosti ukrepanja po zakonu, ki ureja odvzem premoženja nezakonitega izvora ali pristojnemu organu s področja davkov zaradi preverbe možnosti ukrepanja po davčnih predpisih. Državno tožilstvo, ki prejme takšno zadevo, obvesti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 odločitvah in ukrepih po zaključku postopka. Naslednji ukrep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je, da lahko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v kolikor ugotovi, da s tem ne bi ogrozila interes</w:t>
      </w:r>
      <w:r w:rsidR="00BD59D3" w:rsidRPr="0045492F">
        <w:rPr>
          <w:rFonts w:ascii="Arial" w:eastAsia="Times New Roman" w:hAnsi="Arial" w:cs="Arial"/>
          <w:sz w:val="20"/>
          <w:szCs w:val="20"/>
          <w:lang w:eastAsia="ar-SA"/>
        </w:rPr>
        <w:t>ov</w:t>
      </w:r>
      <w:r w:rsidRPr="0045492F">
        <w:rPr>
          <w:rFonts w:ascii="Arial" w:eastAsia="Times New Roman" w:hAnsi="Arial" w:cs="Arial"/>
          <w:sz w:val="20"/>
          <w:szCs w:val="20"/>
          <w:lang w:eastAsia="ar-SA"/>
        </w:rPr>
        <w:t xml:space="preserve"> postopkov drugih pristojnih organov, o tem obvesti tudi organ, pri katerem zavezanec opravlja funkcijo ali delo, oziroma organ, pristojen za izvolitev ali imenovanje zavezanca. Ta organ mora nato na podlagi obvestila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preveriti ustavne in zakonske možnosti za izvedbo postopka za prenehanje mandata ali za razrešitev zavezanca ali za uveljavljanje drug</w:t>
      </w:r>
      <w:r w:rsidR="00BD59D3" w:rsidRPr="0045492F">
        <w:rPr>
          <w:rFonts w:ascii="Arial" w:eastAsia="Times New Roman" w:hAnsi="Arial" w:cs="Arial"/>
          <w:sz w:val="20"/>
          <w:szCs w:val="20"/>
          <w:lang w:eastAsia="ar-SA"/>
        </w:rPr>
        <w:t>ih</w:t>
      </w:r>
      <w:r w:rsidRPr="0045492F">
        <w:rPr>
          <w:rFonts w:ascii="Arial" w:eastAsia="Times New Roman" w:hAnsi="Arial" w:cs="Arial"/>
          <w:sz w:val="20"/>
          <w:szCs w:val="20"/>
          <w:lang w:eastAsia="ar-SA"/>
        </w:rPr>
        <w:t xml:space="preserve"> oblik odgovornosti zavezanca v skladu z zakonom, in v roku treh mesecev od prejema obvestila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sporočiti svoje ugotovitve, ukrepe in odločitve.</w:t>
      </w:r>
    </w:p>
    <w:p w14:paraId="272968C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p>
    <w:p w14:paraId="7AA53BDC" w14:textId="2CFBF6E5" w:rsidR="0055047E" w:rsidRPr="00A33C5C" w:rsidRDefault="00A33C5C"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r w:rsidRPr="00A33C5C">
        <w:rPr>
          <w:rFonts w:ascii="Arial" w:eastAsia="Times New Roman" w:hAnsi="Arial" w:cs="Arial"/>
          <w:b/>
          <w:szCs w:val="20"/>
          <w:lang w:eastAsia="ar-SA"/>
        </w:rPr>
        <w:t>K 35. členu (</w:t>
      </w:r>
      <w:r w:rsidR="0055047E" w:rsidRPr="00A33C5C">
        <w:rPr>
          <w:rFonts w:ascii="Arial" w:eastAsia="Times New Roman" w:hAnsi="Arial" w:cs="Arial"/>
          <w:b/>
          <w:szCs w:val="20"/>
          <w:lang w:eastAsia="ar-SA"/>
        </w:rPr>
        <w:t>46. člen</w:t>
      </w:r>
      <w:r w:rsidRPr="00A33C5C">
        <w:rPr>
          <w:rFonts w:ascii="Arial" w:eastAsia="Times New Roman" w:hAnsi="Arial" w:cs="Arial"/>
          <w:b/>
          <w:szCs w:val="20"/>
          <w:lang w:eastAsia="ar-SA"/>
        </w:rPr>
        <w:t xml:space="preserve"> ZIntPK)</w:t>
      </w:r>
    </w:p>
    <w:p w14:paraId="2FF65AA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Estonija, Latvija in Litva.</w:t>
      </w:r>
    </w:p>
    <w:p w14:paraId="19006DF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0869602" w14:textId="6B2E283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prvem odstavku je določena ožja skupina zavezancev za prijavo premoženjskega stanja po zakonu, katerih podatki so predvideni za objavo. Gre za funkcionarje, ki zasedajo ene najbolj odgovornih položajev v državi: poslanci in predsednik državnega zbora, predsednik državnega sveta, predsednik republike, predsednik vlade, ministri, državni sekretarji, poklicni in nepoklicni župani in podžupani, funkcionarji Banke Slovenije ter funkcionarji samostojnih in neodvisnih državnih organov, ki opravljajo naloge predstojnika ali njegovega namestnika (med slednje sodijo generalni državni tožilec in njegov namestnik, vodje državnih tožilstev in njihovi namestniki, generalni državni odvetnik in njegov namestnik, predsednik Vrhovnega sodišča RS in podpredsednik, predsedniki in podpredsedniki sodišč</w:t>
      </w:r>
      <w:r w:rsidR="00A00E26"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 xml:space="preserve">Informacijski pooblaščenec, Varuh človekovih pravic in njegovi namestniki, predsednik Računskega sodišča in njegova namestnika, funkcionarji KPK …) in sodniki Ustavnega sodišča. Določba veljavnega 46. člena ZIntPK glede javne objave premoženja zavezancev za prijavo premoženjskega stanja, se </w:t>
      </w:r>
      <w:r w:rsidR="00FC3926">
        <w:rPr>
          <w:rFonts w:ascii="Arial" w:eastAsia="Times New Roman" w:hAnsi="Arial" w:cs="Arial"/>
          <w:sz w:val="20"/>
          <w:szCs w:val="20"/>
          <w:lang w:eastAsia="ar-SA"/>
        </w:rPr>
        <w:t xml:space="preserve">v praksi do slej </w:t>
      </w:r>
      <w:r w:rsidRPr="0045492F">
        <w:rPr>
          <w:rFonts w:ascii="Arial" w:eastAsia="Times New Roman" w:hAnsi="Arial" w:cs="Arial"/>
          <w:sz w:val="20"/>
          <w:szCs w:val="20"/>
          <w:lang w:eastAsia="ar-SA"/>
        </w:rPr>
        <w:t xml:space="preserve">ni izvajala. Podatki o premoženjskem stanju so se na tej podlagi sicer sporočali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prav tako spremembe, in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Pr="0045492F">
        <w:rPr>
          <w:rFonts w:ascii="Arial" w:eastAsia="Times New Roman" w:hAnsi="Arial" w:cs="Arial"/>
          <w:iCs/>
          <w:sz w:val="20"/>
          <w:szCs w:val="20"/>
          <w:lang w:eastAsia="ar-SA"/>
        </w:rPr>
        <w:t>Skladno s pripombami deležnikov</w:t>
      </w:r>
      <w:r w:rsidR="006B313D">
        <w:rPr>
          <w:rFonts w:ascii="Arial" w:eastAsia="Times New Roman" w:hAnsi="Arial" w:cs="Arial"/>
          <w:iCs/>
          <w:sz w:val="20"/>
          <w:szCs w:val="20"/>
          <w:lang w:eastAsia="ar-SA"/>
        </w:rPr>
        <w:t xml:space="preserve">, vključno z </w:t>
      </w:r>
      <w:r w:rsidR="003F1A64">
        <w:rPr>
          <w:rFonts w:ascii="Arial" w:eastAsia="Times New Roman" w:hAnsi="Arial" w:cs="Arial"/>
          <w:iCs/>
          <w:sz w:val="20"/>
          <w:szCs w:val="20"/>
          <w:lang w:eastAsia="ar-SA"/>
        </w:rPr>
        <w:t>Informacijskim pooblaščencem</w:t>
      </w:r>
      <w:r w:rsidR="006B313D">
        <w:rPr>
          <w:rFonts w:ascii="Arial" w:eastAsia="Times New Roman" w:hAnsi="Arial" w:cs="Arial"/>
          <w:iCs/>
          <w:sz w:val="20"/>
          <w:szCs w:val="20"/>
          <w:lang w:eastAsia="ar-SA"/>
        </w:rPr>
        <w:t>,</w:t>
      </w:r>
      <w:r w:rsidRPr="0045492F">
        <w:rPr>
          <w:rFonts w:ascii="Arial" w:eastAsia="Times New Roman" w:hAnsi="Arial" w:cs="Arial"/>
          <w:iCs/>
          <w:sz w:val="20"/>
          <w:szCs w:val="20"/>
          <w:lang w:eastAsia="ar-SA"/>
        </w:rPr>
        <w:t xml:space="preserve"> se ohranja obveznost objave spremembe premoženjskega stanja, in se ne objavlja celotno premoženjsko stanje</w:t>
      </w:r>
      <w:r w:rsidR="006B313D">
        <w:rPr>
          <w:rFonts w:ascii="Arial" w:eastAsia="Times New Roman" w:hAnsi="Arial" w:cs="Arial"/>
          <w:iCs/>
          <w:sz w:val="20"/>
          <w:szCs w:val="20"/>
          <w:lang w:eastAsia="ar-SA"/>
        </w:rPr>
        <w:t xml:space="preserve">, kot je bilo </w:t>
      </w:r>
      <w:r w:rsidR="003F1A64">
        <w:rPr>
          <w:rFonts w:ascii="Arial" w:eastAsia="Times New Roman" w:hAnsi="Arial" w:cs="Arial"/>
          <w:iCs/>
          <w:sz w:val="20"/>
          <w:szCs w:val="20"/>
          <w:lang w:eastAsia="ar-SA"/>
        </w:rPr>
        <w:t xml:space="preserve">prvotno </w:t>
      </w:r>
      <w:r w:rsidR="006B313D">
        <w:rPr>
          <w:rFonts w:ascii="Arial" w:eastAsia="Times New Roman" w:hAnsi="Arial" w:cs="Arial"/>
          <w:iCs/>
          <w:sz w:val="20"/>
          <w:szCs w:val="20"/>
          <w:lang w:eastAsia="ar-SA"/>
        </w:rPr>
        <w:t>predvideno</w:t>
      </w:r>
      <w:r w:rsidRPr="0045492F">
        <w:rPr>
          <w:rFonts w:ascii="Arial" w:eastAsia="Times New Roman" w:hAnsi="Arial" w:cs="Arial"/>
          <w:iCs/>
          <w:sz w:val="20"/>
          <w:szCs w:val="20"/>
          <w:lang w:eastAsia="ar-SA"/>
        </w:rPr>
        <w:t xml:space="preserve">. </w:t>
      </w:r>
      <w:r w:rsidR="006B313D">
        <w:rPr>
          <w:rFonts w:ascii="Arial" w:eastAsia="Times New Roman" w:hAnsi="Arial" w:cs="Arial"/>
          <w:iCs/>
          <w:sz w:val="20"/>
          <w:szCs w:val="20"/>
          <w:lang w:eastAsia="ar-SA"/>
        </w:rPr>
        <w:t>Deležniki so izhajali iz</w:t>
      </w:r>
      <w:r w:rsidR="00FC3926" w:rsidRPr="0045492F">
        <w:rPr>
          <w:rFonts w:ascii="Arial" w:eastAsia="Times New Roman" w:hAnsi="Arial" w:cs="Arial"/>
          <w:iCs/>
          <w:sz w:val="20"/>
          <w:szCs w:val="20"/>
          <w:lang w:eastAsia="ar-SA"/>
        </w:rPr>
        <w:t xml:space="preserve"> sorazmernost</w:t>
      </w:r>
      <w:r w:rsidR="006B313D">
        <w:rPr>
          <w:rFonts w:ascii="Arial" w:eastAsia="Times New Roman" w:hAnsi="Arial" w:cs="Arial"/>
          <w:iCs/>
          <w:sz w:val="20"/>
          <w:szCs w:val="20"/>
          <w:lang w:eastAsia="ar-SA"/>
        </w:rPr>
        <w:t>i</w:t>
      </w:r>
      <w:r w:rsidR="00FC3926" w:rsidRPr="0045492F">
        <w:rPr>
          <w:rFonts w:ascii="Arial" w:eastAsia="Times New Roman" w:hAnsi="Arial" w:cs="Arial"/>
          <w:iCs/>
          <w:sz w:val="20"/>
          <w:szCs w:val="20"/>
          <w:lang w:eastAsia="ar-SA"/>
        </w:rPr>
        <w:t xml:space="preserve"> med ciljem krepitve transparentnosti in zaupanja javnosti v nosilce javnih funkcij na eni strani ter posegom v zasebnost teh oseb na drugi strani. </w:t>
      </w:r>
      <w:r w:rsidRPr="0045492F">
        <w:rPr>
          <w:rFonts w:ascii="Arial" w:eastAsia="Times New Roman" w:hAnsi="Arial" w:cs="Arial"/>
          <w:iCs/>
          <w:sz w:val="20"/>
          <w:szCs w:val="20"/>
          <w:lang w:eastAsia="ar-SA"/>
        </w:rPr>
        <w:t>Za poenostavitev postopka objave sprememb je določeno, da KPK objavi vsebino obrazca, v katerem zavezanci sporočajo spremembe, s čimer se odgovornost za podatke, ki so objavljeni prenaša na zavezance (veljavna ureditev določa objavo povečanja premoženja, pri čemer mora povečanje izračunati KPK, s tem pa tudi odgovarja za pravilnost objavljenih podatkov).</w:t>
      </w:r>
    </w:p>
    <w:p w14:paraId="0635B44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552C53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6363ACC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1E78504" w14:textId="12EBE9E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tretjem odstavku je določeno, da mora podatke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objaviti najkasneje 30 dni po prejeti prijavi spremembe premoženjskega stanja, kar glede na obseg prejetih prijav, ki jih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prejme v relativno kratkem časovnem obdobju, predstavlja ustrezno obdobje za predhodno obdelavo prejetih prijav. Po predlagani ureditvi torej po vsakokratni prijavi, pride do ažuriranja podatkov, kar pomeni tudi v času po prenehanju mandata oziroma funkcije.</w:t>
      </w:r>
    </w:p>
    <w:p w14:paraId="29E6AB9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50AD9A" w14:textId="7F79679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četrtem odstavku je določeno, da podatki o premoženjskem stanju in spremembah premoženjskega stanja drugih zavezancev po tem zakonu niso javni. Peti odstavek zato omogoča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da podrobnejšo metodologijo preko ustrezne informacijske podpore za javno objavo podatkov določi s poslovnikom.</w:t>
      </w:r>
    </w:p>
    <w:p w14:paraId="5F20A1D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01EDBE74" w14:textId="6F88AEF3"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36</w:t>
      </w:r>
      <w:r w:rsidRPr="0055047E">
        <w:rPr>
          <w:rFonts w:ascii="Arial" w:eastAsia="Times New Roman" w:hAnsi="Arial" w:cs="Arial"/>
          <w:b/>
          <w:szCs w:val="16"/>
          <w:lang w:eastAsia="ar-SA"/>
        </w:rPr>
        <w:t>. členu (63. člen ZIntPK)</w:t>
      </w:r>
    </w:p>
    <w:p w14:paraId="18B01999" w14:textId="1CB835E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 določiti dolžnost posredovanja letnega poročila tudi za 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 Poročanje se izvede prek elektronskega obrazca, ki je dostopen na spletnih straneh KPK. Za posamezne organizacije, ki imajo na letni ravni veliko število stikov (nekatere zbornice tudi več kot tisoč) je celoletno zbiranje podatkov in enkratno vnašanje v spletni obrazec nepraktično. Novela predvideva, da bo KPK pripravila aplikacijo (spletni obrazec), ki bo omogočala vnašanje podatkov </w:t>
      </w:r>
      <w:r w:rsidR="003D760D" w:rsidRPr="0045492F">
        <w:rPr>
          <w:rFonts w:ascii="Arial" w:eastAsia="Times New Roman" w:hAnsi="Arial" w:cs="Arial"/>
          <w:sz w:val="20"/>
          <w:szCs w:val="20"/>
          <w:lang w:eastAsia="ar-SA"/>
        </w:rPr>
        <w:t>posameznih lobističnih stikih</w:t>
      </w:r>
      <w:r w:rsidRPr="0045492F">
        <w:rPr>
          <w:rFonts w:ascii="Arial" w:eastAsia="Times New Roman" w:hAnsi="Arial" w:cs="Arial"/>
          <w:sz w:val="20"/>
          <w:szCs w:val="20"/>
          <w:lang w:eastAsia="ar-SA"/>
        </w:rPr>
        <w:t xml:space="preserve">, in ne zgolj </w:t>
      </w:r>
      <w:r w:rsidR="003D760D" w:rsidRPr="0045492F">
        <w:rPr>
          <w:rFonts w:ascii="Arial" w:eastAsia="Times New Roman" w:hAnsi="Arial" w:cs="Arial"/>
          <w:sz w:val="20"/>
          <w:szCs w:val="20"/>
          <w:lang w:eastAsia="ar-SA"/>
        </w:rPr>
        <w:t>celotnega poročila o vseh sestankih</w:t>
      </w:r>
      <w:r w:rsidRPr="0045492F">
        <w:rPr>
          <w:rFonts w:ascii="Arial" w:eastAsia="Times New Roman" w:hAnsi="Arial" w:cs="Arial"/>
          <w:sz w:val="20"/>
          <w:szCs w:val="20"/>
          <w:lang w:eastAsia="ar-SA"/>
        </w:rPr>
        <w:t>. Na ta način lahko zavezanci že med letom sporočajo podatke in obremenitev s poročanjem razporedijo na daljše obdobje. Hkrati je še vedno predviden skrajni rok v katerem morajo zavezanci poročati, na ta rok je vezan tudi prekršek.</w:t>
      </w:r>
    </w:p>
    <w:p w14:paraId="36D2B19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96592A" w14:textId="1CEB4D87" w:rsidR="00241780" w:rsidRPr="0045492F" w:rsidRDefault="002417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Predlagani novi četrti odstavek uvaja izjemo k poročanju interesnih organizacij, ki nimajo zaposlenih. Tako o lobiranju ne bodo poročala na primer </w:t>
      </w:r>
      <w:r w:rsidR="008024CA">
        <w:rPr>
          <w:rFonts w:ascii="Arial" w:eastAsia="Times New Roman" w:hAnsi="Arial" w:cs="Arial"/>
          <w:sz w:val="20"/>
          <w:szCs w:val="20"/>
          <w:lang w:eastAsia="ar-SA"/>
        </w:rPr>
        <w:t xml:space="preserve">zlasti </w:t>
      </w:r>
      <w:r w:rsidR="00FC3926">
        <w:rPr>
          <w:rFonts w:ascii="Arial" w:eastAsia="Times New Roman" w:hAnsi="Arial" w:cs="Arial"/>
          <w:sz w:val="20"/>
          <w:szCs w:val="20"/>
          <w:lang w:eastAsia="ar-SA"/>
        </w:rPr>
        <w:t xml:space="preserve">športna, gasilska in druga </w:t>
      </w:r>
      <w:r w:rsidRPr="0045492F">
        <w:rPr>
          <w:rFonts w:ascii="Arial" w:eastAsia="Times New Roman" w:hAnsi="Arial" w:cs="Arial"/>
          <w:sz w:val="20"/>
          <w:szCs w:val="20"/>
          <w:lang w:eastAsia="ar-SA"/>
        </w:rPr>
        <w:t>društva</w:t>
      </w:r>
      <w:r w:rsidR="00CB62A3" w:rsidRPr="0045492F">
        <w:rPr>
          <w:rFonts w:ascii="Arial" w:eastAsia="Times New Roman" w:hAnsi="Arial" w:cs="Arial"/>
          <w:sz w:val="20"/>
          <w:szCs w:val="20"/>
          <w:lang w:eastAsia="ar-SA"/>
        </w:rPr>
        <w:t>.</w:t>
      </w:r>
    </w:p>
    <w:p w14:paraId="3CD1388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171B229" w14:textId="0A09EB6B"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37</w:t>
      </w:r>
      <w:r w:rsidRPr="0055047E">
        <w:rPr>
          <w:rFonts w:ascii="Arial" w:eastAsia="Times New Roman" w:hAnsi="Arial" w:cs="Arial"/>
          <w:b/>
          <w:szCs w:val="16"/>
          <w:lang w:eastAsia="ar-SA"/>
        </w:rPr>
        <w:t>. členu (68. člen ZIntPK)</w:t>
      </w:r>
    </w:p>
    <w:p w14:paraId="41CCAE0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Prvi odstavek 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643E1CC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DE332B9" w14:textId="3999244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Sprememba drugega odstavka v primerjavi z veljavnim členom med obvezne podatke zapisa o lobiranju, navaja še podatek o namenu in cilju lobiranja, podaljšuje pa se tudi rok, v katerem je potrebno zapis o lobističnem stiku posredovati nadrejenemu in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in sicer iz treh dni na osem dni.</w:t>
      </w:r>
    </w:p>
    <w:p w14:paraId="501DA5A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696F62" w14:textId="1BB671B2"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Dodan</w:t>
      </w:r>
      <w:r w:rsidR="00BD59D3" w:rsidRPr="0045492F">
        <w:rPr>
          <w:rFonts w:ascii="Arial" w:eastAsia="Times New Roman" w:hAnsi="Arial" w:cs="Arial"/>
          <w:sz w:val="20"/>
          <w:szCs w:val="20"/>
          <w:lang w:eastAsia="ar-SA"/>
        </w:rPr>
        <w:t>i</w:t>
      </w:r>
      <w:r w:rsidRPr="0045492F">
        <w:rPr>
          <w:rFonts w:ascii="Arial" w:eastAsia="Times New Roman" w:hAnsi="Arial" w:cs="Arial"/>
          <w:sz w:val="20"/>
          <w:szCs w:val="20"/>
          <w:lang w:eastAsia="ar-SA"/>
        </w:rPr>
        <w:t xml:space="preserve"> tretji odstavek ureja 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dopis, ki bi ga posredovala katerakoli druga stranka, kar pomeni, da se s takim dopisom ravna skladno s predpisi, ki urejajo ravnanje z dokumentarnim gradivom.</w:t>
      </w:r>
    </w:p>
    <w:p w14:paraId="13E2C96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558D91" w14:textId="4311079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Nov četrti odstavek </w:t>
      </w:r>
      <w:r w:rsidR="00F24D4F">
        <w:rPr>
          <w:rFonts w:ascii="Arial" w:eastAsia="Times New Roman" w:hAnsi="Arial" w:cs="Arial"/>
          <w:sz w:val="20"/>
          <w:szCs w:val="20"/>
          <w:lang w:eastAsia="ar-SA"/>
        </w:rPr>
        <w:t xml:space="preserve">je bil predlagan </w:t>
      </w:r>
      <w:r w:rsidRPr="0045492F">
        <w:rPr>
          <w:rFonts w:ascii="Arial" w:eastAsia="Times New Roman" w:hAnsi="Arial" w:cs="Arial"/>
          <w:sz w:val="20"/>
          <w:szCs w:val="20"/>
          <w:lang w:eastAsia="ar-SA"/>
        </w:rPr>
        <w:t>s strani poslancev med javno razpravo v prvi obravnavi predloga zakona dne 20.2.2018. Izpostavljeni so bili številni primeri, ko se z elektronskim sporočilom na večje število poslancev s predlogi zakonskega urejanja obračajo posamezniki, tudi (registrirani in neregistrirani) lobisti, kar predstavlja nepotrebno administrativno breme, zlasti kadar se na sporočila ne odzivajo, niti ne pride do fizičnega stika.</w:t>
      </w:r>
    </w:p>
    <w:p w14:paraId="3324FE5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3F3E62" w14:textId="7F5DF3B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novem petem odstavku se predlaga, da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6E48EE1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EE30D45" w14:textId="525C9478"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38</w:t>
      </w:r>
      <w:r w:rsidRPr="0055047E">
        <w:rPr>
          <w:rFonts w:ascii="Arial" w:eastAsia="Times New Roman" w:hAnsi="Arial" w:cs="Arial"/>
          <w:b/>
          <w:szCs w:val="16"/>
          <w:lang w:eastAsia="ar-SA"/>
        </w:rPr>
        <w:t>. členu (75.a</w:t>
      </w:r>
      <w:r w:rsidR="00EF2D7C">
        <w:rPr>
          <w:rFonts w:ascii="Arial" w:eastAsia="Times New Roman" w:hAnsi="Arial" w:cs="Arial"/>
          <w:b/>
          <w:szCs w:val="16"/>
          <w:lang w:eastAsia="ar-SA"/>
        </w:rPr>
        <w:t xml:space="preserve"> in 75.b</w:t>
      </w:r>
      <w:r w:rsidRPr="0055047E">
        <w:rPr>
          <w:rFonts w:ascii="Arial" w:eastAsia="Times New Roman" w:hAnsi="Arial" w:cs="Arial"/>
          <w:b/>
          <w:szCs w:val="16"/>
          <w:lang w:eastAsia="ar-SA"/>
        </w:rPr>
        <w:t xml:space="preserve"> člen ZIntPK)</w:t>
      </w:r>
    </w:p>
    <w:p w14:paraId="081305CF" w14:textId="7827C034" w:rsidR="004806D5" w:rsidRPr="0045492F" w:rsidRDefault="004806D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 predlog </w:t>
      </w:r>
      <w:r w:rsidR="00A96175" w:rsidRPr="0045492F">
        <w:rPr>
          <w:rFonts w:ascii="Arial" w:eastAsia="Times New Roman" w:hAnsi="Arial" w:cs="Arial"/>
          <w:sz w:val="20"/>
          <w:szCs w:val="20"/>
          <w:lang w:eastAsia="ar-SA"/>
        </w:rPr>
        <w:t xml:space="preserve">MJU in IP je bil predlagani </w:t>
      </w:r>
      <w:r w:rsidR="002E6FEE">
        <w:rPr>
          <w:rFonts w:ascii="Arial" w:eastAsia="Times New Roman" w:hAnsi="Arial" w:cs="Arial"/>
          <w:sz w:val="20"/>
          <w:szCs w:val="20"/>
          <w:lang w:eastAsia="ar-SA"/>
        </w:rPr>
        <w:t>38</w:t>
      </w:r>
      <w:r w:rsidR="00A96175" w:rsidRPr="0045492F">
        <w:rPr>
          <w:rFonts w:ascii="Arial" w:eastAsia="Times New Roman" w:hAnsi="Arial" w:cs="Arial"/>
          <w:sz w:val="20"/>
          <w:szCs w:val="20"/>
          <w:lang w:eastAsia="ar-SA"/>
        </w:rPr>
        <w:t>. člen pripravljen na novo. Pri tem so bile upoštevane pripombe, ki so jih podali deležniki, in sicer so v novem predlogu natančno naštete evidence</w:t>
      </w:r>
      <w:r w:rsidR="002E6FEE">
        <w:rPr>
          <w:rFonts w:ascii="Arial" w:eastAsia="Times New Roman" w:hAnsi="Arial" w:cs="Arial"/>
          <w:sz w:val="20"/>
          <w:szCs w:val="20"/>
          <w:lang w:eastAsia="ar-SA"/>
        </w:rPr>
        <w:t xml:space="preserve"> in</w:t>
      </w:r>
      <w:r w:rsidR="00A96175" w:rsidRPr="0045492F">
        <w:rPr>
          <w:rFonts w:ascii="Arial" w:eastAsia="Times New Roman" w:hAnsi="Arial" w:cs="Arial"/>
          <w:sz w:val="20"/>
          <w:szCs w:val="20"/>
          <w:lang w:eastAsia="ar-SA"/>
        </w:rPr>
        <w:t xml:space="preserve"> določeni podatki, vključno z osebnimi, ki jih bo KPK lahko iz navedenih evidenc pridobila. Zaradi drugačne nomotehnike je bilo potrebno besedilo člena razdeliti v dva nova, in sicer 75.a člen, ki določa pristojnost KPK, da pridobiva, uporablja, obdeluje in povezuje podatke ter 75.b člen, ki določa pristojnost KPK, da podatke objavi na spletnih straneh in v portalu odprtih podatkov.</w:t>
      </w:r>
    </w:p>
    <w:p w14:paraId="61FF79FF" w14:textId="77777777" w:rsidR="00A96175" w:rsidRPr="0045492F" w:rsidRDefault="00A96175"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7810853" w14:textId="17CB33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Namen </w:t>
      </w:r>
      <w:r w:rsidR="00EF2D7C" w:rsidRPr="0045492F">
        <w:rPr>
          <w:rFonts w:ascii="Arial" w:eastAsia="Times New Roman" w:hAnsi="Arial" w:cs="Arial"/>
          <w:sz w:val="20"/>
          <w:szCs w:val="20"/>
          <w:lang w:eastAsia="ar-SA"/>
        </w:rPr>
        <w:t xml:space="preserve">novih členov </w:t>
      </w:r>
      <w:r w:rsidRPr="0045492F">
        <w:rPr>
          <w:rFonts w:ascii="Arial" w:eastAsia="Times New Roman" w:hAnsi="Arial" w:cs="Arial"/>
          <w:sz w:val="20"/>
          <w:szCs w:val="20"/>
          <w:lang w:eastAsia="ar-SA"/>
        </w:rPr>
        <w:t xml:space="preserve">je </w:t>
      </w:r>
      <w:r w:rsidR="00A96175" w:rsidRPr="0045492F">
        <w:rPr>
          <w:rFonts w:ascii="Arial" w:eastAsia="Times New Roman" w:hAnsi="Arial" w:cs="Arial"/>
          <w:sz w:val="20"/>
          <w:szCs w:val="20"/>
          <w:lang w:eastAsia="ar-SA"/>
        </w:rPr>
        <w:t xml:space="preserve">nespremenjen in je </w:t>
      </w:r>
      <w:r w:rsidRPr="0045492F">
        <w:rPr>
          <w:rFonts w:ascii="Arial" w:eastAsia="Times New Roman" w:hAnsi="Arial" w:cs="Arial"/>
          <w:sz w:val="20"/>
          <w:szCs w:val="20"/>
          <w:lang w:eastAsia="ar-SA"/>
        </w:rPr>
        <w:t xml:space="preserve">zagotoviti </w:t>
      </w:r>
      <w:r w:rsidR="00EF2D7C" w:rsidRPr="0045492F">
        <w:rPr>
          <w:rFonts w:ascii="Arial" w:eastAsia="Times New Roman" w:hAnsi="Arial" w:cs="Arial"/>
          <w:sz w:val="20"/>
          <w:szCs w:val="20"/>
          <w:lang w:eastAsia="ar-SA"/>
        </w:rPr>
        <w:t>KPK pristojnost, da pridobi</w:t>
      </w:r>
      <w:r w:rsidR="00FF2F05" w:rsidRPr="0045492F">
        <w:rPr>
          <w:rFonts w:ascii="Arial" w:eastAsia="Times New Roman" w:hAnsi="Arial" w:cs="Arial"/>
          <w:sz w:val="20"/>
          <w:szCs w:val="20"/>
          <w:lang w:eastAsia="ar-SA"/>
        </w:rPr>
        <w:t>va</w:t>
      </w:r>
      <w:r w:rsidR="00AB4187" w:rsidRPr="0045492F">
        <w:rPr>
          <w:rFonts w:ascii="Arial" w:eastAsia="Times New Roman" w:hAnsi="Arial" w:cs="Arial"/>
          <w:sz w:val="20"/>
          <w:szCs w:val="20"/>
          <w:lang w:eastAsia="ar-SA"/>
        </w:rPr>
        <w:t>, uporablja, obdeluje, povezuje</w:t>
      </w:r>
      <w:r w:rsidR="00EF2D7C" w:rsidRPr="0045492F">
        <w:rPr>
          <w:rFonts w:ascii="Arial" w:eastAsia="Times New Roman" w:hAnsi="Arial" w:cs="Arial"/>
          <w:sz w:val="20"/>
          <w:szCs w:val="20"/>
          <w:lang w:eastAsia="ar-SA"/>
        </w:rPr>
        <w:t xml:space="preserve"> in objavi podatke, ki se nanašajo na porabo javnih sredstev. </w:t>
      </w:r>
      <w:r w:rsidRPr="0045492F">
        <w:rPr>
          <w:rFonts w:ascii="Arial" w:eastAsia="Times New Roman" w:hAnsi="Arial" w:cs="Arial"/>
          <w:sz w:val="20"/>
          <w:szCs w:val="20"/>
          <w:lang w:eastAsia="ar-SA"/>
        </w:rPr>
        <w:t xml:space="preserve">Namen </w:t>
      </w:r>
      <w:r w:rsidR="00AB4187" w:rsidRPr="0045492F">
        <w:rPr>
          <w:rFonts w:ascii="Arial" w:eastAsia="Times New Roman" w:hAnsi="Arial" w:cs="Arial"/>
          <w:sz w:val="20"/>
          <w:szCs w:val="20"/>
          <w:lang w:eastAsia="ar-SA"/>
        </w:rPr>
        <w:t xml:space="preserve">predlaganih </w:t>
      </w:r>
      <w:r w:rsidRPr="0045492F">
        <w:rPr>
          <w:rFonts w:ascii="Arial" w:eastAsia="Times New Roman" w:hAnsi="Arial" w:cs="Arial"/>
          <w:sz w:val="20"/>
          <w:szCs w:val="20"/>
          <w:lang w:eastAsia="ar-SA"/>
        </w:rPr>
        <w:t>določb je zagotoviti:</w:t>
      </w:r>
    </w:p>
    <w:p w14:paraId="43DA025A" w14:textId="69822B6D" w:rsidR="0046256E" w:rsidRPr="0045492F" w:rsidRDefault="0046256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Da KPK dobi </w:t>
      </w:r>
      <w:r w:rsidR="002E6FEE">
        <w:rPr>
          <w:rFonts w:ascii="Arial" w:eastAsia="Times New Roman" w:hAnsi="Arial" w:cs="Arial"/>
          <w:sz w:val="20"/>
          <w:szCs w:val="20"/>
          <w:lang w:eastAsia="ar-SA"/>
        </w:rPr>
        <w:t>pristojnost</w:t>
      </w:r>
      <w:r w:rsidR="002E6FEE"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za pridobivanje podatkov</w:t>
      </w:r>
      <w:r w:rsidR="00EF2D7C" w:rsidRPr="0045492F">
        <w:rPr>
          <w:rFonts w:ascii="Arial" w:eastAsia="Times New Roman" w:hAnsi="Arial" w:cs="Arial"/>
          <w:sz w:val="20"/>
          <w:szCs w:val="20"/>
          <w:lang w:eastAsia="ar-SA"/>
        </w:rPr>
        <w:t xml:space="preserve"> iz zbirk</w:t>
      </w:r>
      <w:r w:rsidRPr="0045492F">
        <w:rPr>
          <w:rFonts w:ascii="Arial" w:eastAsia="Times New Roman" w:hAnsi="Arial" w:cs="Arial"/>
          <w:sz w:val="20"/>
          <w:szCs w:val="20"/>
          <w:lang w:eastAsia="ar-SA"/>
        </w:rPr>
        <w:t>, navedenih v prvem odstavku</w:t>
      </w:r>
      <w:r w:rsidR="00EF2D7C" w:rsidRPr="0045492F">
        <w:rPr>
          <w:rFonts w:ascii="Arial" w:eastAsia="Times New Roman" w:hAnsi="Arial" w:cs="Arial"/>
          <w:sz w:val="20"/>
          <w:szCs w:val="20"/>
          <w:lang w:eastAsia="ar-SA"/>
        </w:rPr>
        <w:t xml:space="preserve"> novega 75.a člena</w:t>
      </w:r>
      <w:r w:rsidRPr="0045492F">
        <w:rPr>
          <w:rFonts w:ascii="Arial" w:eastAsia="Times New Roman" w:hAnsi="Arial" w:cs="Arial"/>
          <w:sz w:val="20"/>
          <w:szCs w:val="20"/>
          <w:lang w:eastAsia="ar-SA"/>
        </w:rPr>
        <w:t>;</w:t>
      </w:r>
    </w:p>
    <w:p w14:paraId="5C294685" w14:textId="5322E300" w:rsidR="0055047E" w:rsidRPr="0045492F"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Da KPK </w:t>
      </w:r>
      <w:r w:rsidR="002E6FEE">
        <w:rPr>
          <w:rFonts w:ascii="Arial" w:eastAsia="Times New Roman" w:hAnsi="Arial" w:cs="Arial"/>
          <w:sz w:val="20"/>
          <w:szCs w:val="20"/>
          <w:lang w:eastAsia="ar-SA"/>
        </w:rPr>
        <w:t xml:space="preserve">dobi pristojnost za </w:t>
      </w:r>
      <w:r w:rsidR="00A96175" w:rsidRPr="0045492F">
        <w:rPr>
          <w:rFonts w:ascii="Arial" w:eastAsia="Times New Roman" w:hAnsi="Arial" w:cs="Arial"/>
          <w:sz w:val="20"/>
          <w:szCs w:val="20"/>
          <w:lang w:eastAsia="ar-SA"/>
        </w:rPr>
        <w:t>uporab</w:t>
      </w:r>
      <w:r w:rsidR="002E6FEE">
        <w:rPr>
          <w:rFonts w:ascii="Arial" w:eastAsia="Times New Roman" w:hAnsi="Arial" w:cs="Arial"/>
          <w:sz w:val="20"/>
          <w:szCs w:val="20"/>
          <w:lang w:eastAsia="ar-SA"/>
        </w:rPr>
        <w:t>o</w:t>
      </w:r>
      <w:r w:rsidR="00FB288F" w:rsidRPr="0045492F">
        <w:rPr>
          <w:rFonts w:ascii="Arial" w:eastAsia="Times New Roman" w:hAnsi="Arial" w:cs="Arial"/>
          <w:sz w:val="20"/>
          <w:szCs w:val="20"/>
          <w:lang w:eastAsia="ar-SA"/>
        </w:rPr>
        <w:t>,</w:t>
      </w:r>
      <w:r w:rsidR="00A96175"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obdel</w:t>
      </w:r>
      <w:r w:rsidR="002E6FEE">
        <w:rPr>
          <w:rFonts w:ascii="Arial" w:eastAsia="Times New Roman" w:hAnsi="Arial" w:cs="Arial"/>
          <w:sz w:val="20"/>
          <w:szCs w:val="20"/>
          <w:lang w:eastAsia="ar-SA"/>
        </w:rPr>
        <w:t>avo</w:t>
      </w:r>
      <w:r w:rsidR="00EF2D7C" w:rsidRPr="0045492F">
        <w:rPr>
          <w:rFonts w:ascii="Arial" w:eastAsia="Times New Roman" w:hAnsi="Arial" w:cs="Arial"/>
          <w:sz w:val="20"/>
          <w:szCs w:val="20"/>
          <w:lang w:eastAsia="ar-SA"/>
        </w:rPr>
        <w:t>, povez</w:t>
      </w:r>
      <w:r w:rsidR="002E6FEE">
        <w:rPr>
          <w:rFonts w:ascii="Arial" w:eastAsia="Times New Roman" w:hAnsi="Arial" w:cs="Arial"/>
          <w:sz w:val="20"/>
          <w:szCs w:val="20"/>
          <w:lang w:eastAsia="ar-SA"/>
        </w:rPr>
        <w:t>ovanje</w:t>
      </w:r>
      <w:r w:rsidRPr="0045492F">
        <w:rPr>
          <w:rFonts w:ascii="Arial" w:eastAsia="Times New Roman" w:hAnsi="Arial" w:cs="Arial"/>
          <w:sz w:val="20"/>
          <w:szCs w:val="20"/>
          <w:lang w:eastAsia="ar-SA"/>
        </w:rPr>
        <w:t xml:space="preserve"> in objav</w:t>
      </w:r>
      <w:r w:rsidR="002E6FEE">
        <w:rPr>
          <w:rFonts w:ascii="Arial" w:eastAsia="Times New Roman" w:hAnsi="Arial" w:cs="Arial"/>
          <w:sz w:val="20"/>
          <w:szCs w:val="20"/>
          <w:lang w:eastAsia="ar-SA"/>
        </w:rPr>
        <w:t>o</w:t>
      </w:r>
      <w:r w:rsidRPr="0045492F">
        <w:rPr>
          <w:rFonts w:ascii="Arial" w:eastAsia="Times New Roman" w:hAnsi="Arial" w:cs="Arial"/>
          <w:sz w:val="20"/>
          <w:szCs w:val="20"/>
          <w:lang w:eastAsia="ar-SA"/>
        </w:rPr>
        <w:t xml:space="preserve"> </w:t>
      </w:r>
      <w:r w:rsidR="00EF2D7C" w:rsidRPr="0045492F">
        <w:rPr>
          <w:rFonts w:ascii="Arial" w:eastAsia="Times New Roman" w:hAnsi="Arial" w:cs="Arial"/>
          <w:sz w:val="20"/>
          <w:szCs w:val="20"/>
          <w:lang w:eastAsia="ar-SA"/>
        </w:rPr>
        <w:t>podatk</w:t>
      </w:r>
      <w:r w:rsidR="002E6FEE">
        <w:rPr>
          <w:rFonts w:ascii="Arial" w:eastAsia="Times New Roman" w:hAnsi="Arial" w:cs="Arial"/>
          <w:sz w:val="20"/>
          <w:szCs w:val="20"/>
          <w:lang w:eastAsia="ar-SA"/>
        </w:rPr>
        <w:t>ov</w:t>
      </w:r>
      <w:r w:rsidR="00EF2D7C" w:rsidRPr="0045492F">
        <w:rPr>
          <w:rFonts w:ascii="Arial" w:eastAsia="Times New Roman" w:hAnsi="Arial" w:cs="Arial"/>
          <w:sz w:val="20"/>
          <w:szCs w:val="20"/>
          <w:lang w:eastAsia="ar-SA"/>
        </w:rPr>
        <w:t xml:space="preserve"> iz zbirk, navedenih </w:t>
      </w:r>
      <w:r w:rsidRPr="0045492F">
        <w:rPr>
          <w:rFonts w:ascii="Arial" w:eastAsia="Times New Roman" w:hAnsi="Arial" w:cs="Arial"/>
          <w:sz w:val="20"/>
          <w:szCs w:val="20"/>
          <w:lang w:eastAsia="ar-SA"/>
        </w:rPr>
        <w:t>v prvem odstavku</w:t>
      </w:r>
      <w:r w:rsidR="00EF2D7C" w:rsidRPr="0045492F">
        <w:rPr>
          <w:rFonts w:ascii="Arial" w:eastAsia="Times New Roman" w:hAnsi="Arial" w:cs="Arial"/>
          <w:sz w:val="20"/>
          <w:szCs w:val="20"/>
          <w:lang w:eastAsia="ar-SA"/>
        </w:rPr>
        <w:t xml:space="preserve"> 75.a člena</w:t>
      </w:r>
      <w:r w:rsidRPr="0045492F">
        <w:rPr>
          <w:rFonts w:ascii="Arial" w:eastAsia="Times New Roman" w:hAnsi="Arial" w:cs="Arial"/>
          <w:sz w:val="20"/>
          <w:szCs w:val="20"/>
          <w:lang w:eastAsia="ar-SA"/>
        </w:rPr>
        <w:t>, vključno z osebnimi</w:t>
      </w:r>
      <w:r w:rsidR="00EF2D7C" w:rsidRPr="0045492F">
        <w:rPr>
          <w:rFonts w:ascii="Arial" w:eastAsia="Times New Roman" w:hAnsi="Arial" w:cs="Arial"/>
          <w:sz w:val="20"/>
          <w:szCs w:val="20"/>
          <w:lang w:eastAsia="ar-SA"/>
        </w:rPr>
        <w:t xml:space="preserve"> podatki,</w:t>
      </w:r>
      <w:r w:rsidR="0046256E" w:rsidRPr="0045492F">
        <w:rPr>
          <w:rFonts w:ascii="Arial" w:eastAsia="Times New Roman" w:hAnsi="Arial" w:cs="Arial"/>
          <w:sz w:val="20"/>
          <w:szCs w:val="20"/>
          <w:lang w:eastAsia="ar-SA"/>
        </w:rPr>
        <w:t xml:space="preserve"> v aplikacij</w:t>
      </w:r>
      <w:r w:rsidR="00EF2D7C" w:rsidRPr="0045492F">
        <w:rPr>
          <w:rFonts w:ascii="Arial" w:eastAsia="Times New Roman" w:hAnsi="Arial" w:cs="Arial"/>
          <w:sz w:val="20"/>
          <w:szCs w:val="20"/>
          <w:lang w:eastAsia="ar-SA"/>
        </w:rPr>
        <w:t>i</w:t>
      </w:r>
      <w:r w:rsidR="0046256E" w:rsidRPr="0045492F">
        <w:rPr>
          <w:rFonts w:ascii="Arial" w:eastAsia="Times New Roman" w:hAnsi="Arial" w:cs="Arial"/>
          <w:sz w:val="20"/>
          <w:szCs w:val="20"/>
          <w:lang w:eastAsia="ar-SA"/>
        </w:rPr>
        <w:t xml:space="preserve"> Erar in v strojno berljivi obliki;</w:t>
      </w:r>
    </w:p>
    <w:p w14:paraId="36834B83" w14:textId="0E44DAAE" w:rsidR="0055047E" w:rsidRPr="0045492F" w:rsidRDefault="0055047E" w:rsidP="006F190F">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Da lahko uporabniki podatkov le te </w:t>
      </w:r>
      <w:r w:rsidR="008024CA">
        <w:rPr>
          <w:rFonts w:ascii="Arial" w:eastAsia="Times New Roman" w:hAnsi="Arial" w:cs="Arial"/>
          <w:sz w:val="20"/>
          <w:szCs w:val="20"/>
          <w:lang w:eastAsia="ar-SA"/>
        </w:rPr>
        <w:t xml:space="preserve">ponovno </w:t>
      </w:r>
      <w:r w:rsidRPr="0045492F">
        <w:rPr>
          <w:rFonts w:ascii="Arial" w:eastAsia="Times New Roman" w:hAnsi="Arial" w:cs="Arial"/>
          <w:sz w:val="20"/>
          <w:szCs w:val="20"/>
          <w:lang w:eastAsia="ar-SA"/>
        </w:rPr>
        <w:t>uporabljajo</w:t>
      </w:r>
      <w:r w:rsidR="0046256E" w:rsidRPr="0045492F">
        <w:rPr>
          <w:rFonts w:ascii="Arial" w:eastAsia="Times New Roman" w:hAnsi="Arial" w:cs="Arial"/>
          <w:sz w:val="20"/>
          <w:szCs w:val="20"/>
          <w:lang w:eastAsia="ar-SA"/>
        </w:rPr>
        <w:t>;</w:t>
      </w:r>
    </w:p>
    <w:p w14:paraId="65F4A95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64D6197" w14:textId="7FEC8DA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ki je bila prvič vzpostavljena leta 2011 (</w:t>
      </w:r>
      <w:r w:rsidR="00664C37" w:rsidRPr="0045492F">
        <w:rPr>
          <w:rFonts w:ascii="Arial" w:eastAsia="Times New Roman" w:hAnsi="Arial" w:cs="Arial"/>
          <w:sz w:val="20"/>
          <w:szCs w:val="20"/>
          <w:lang w:eastAsia="ar-SA"/>
        </w:rPr>
        <w:t xml:space="preserve">takrat pod imenom </w:t>
      </w:r>
      <w:r w:rsidRPr="0045492F">
        <w:rPr>
          <w:rFonts w:ascii="Arial" w:eastAsia="Times New Roman" w:hAnsi="Arial" w:cs="Arial"/>
          <w:sz w:val="20"/>
          <w:szCs w:val="20"/>
          <w:lang w:eastAsia="ar-SA"/>
        </w:rPr>
        <w:t>Supervizor) in je leta 2013 prejela nagrado Združenih narodov za odličnost v javni upravi, je bila v letu 2016 na novo oblikovana in poimenovana Erar. Splošni javnosti, medijem, stroki in državnim organom omogoča vpogled v transakcije javnih institucij in družb v lasti države ter občin, ki se nanašajo na blago in storitve, pa tudi plače, socialne prejemke, pokojnine, subvencije, štipendije itd.</w:t>
      </w:r>
    </w:p>
    <w:p w14:paraId="41A5D43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1CC2811" w14:textId="4186340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Aplikacija </w:t>
      </w:r>
      <w:r w:rsidR="00EF2D7C" w:rsidRPr="0045492F">
        <w:rPr>
          <w:rFonts w:ascii="Arial" w:eastAsia="Times New Roman" w:hAnsi="Arial" w:cs="Arial"/>
          <w:sz w:val="20"/>
          <w:szCs w:val="20"/>
          <w:lang w:eastAsia="ar-SA"/>
        </w:rPr>
        <w:t xml:space="preserve">Erar </w:t>
      </w:r>
      <w:r w:rsidRPr="0045492F">
        <w:rPr>
          <w:rFonts w:ascii="Arial" w:eastAsia="Times New Roman" w:hAnsi="Arial" w:cs="Arial"/>
          <w:sz w:val="20"/>
          <w:szCs w:val="20"/>
          <w:lang w:eastAsia="ar-SA"/>
        </w:rPr>
        <w:t>od junija 2016 kot novost omogoča vpogled v poslovanje z e-računi, v podatke</w:t>
      </w:r>
      <w:r w:rsidR="002E6FEE">
        <w:rPr>
          <w:rFonts w:ascii="Arial" w:eastAsia="Times New Roman" w:hAnsi="Arial" w:cs="Arial"/>
          <w:sz w:val="20"/>
          <w:szCs w:val="20"/>
          <w:lang w:eastAsia="ar-SA"/>
        </w:rPr>
        <w:t xml:space="preserve"> o </w:t>
      </w:r>
      <w:r w:rsidRPr="0045492F">
        <w:rPr>
          <w:rFonts w:ascii="Arial" w:eastAsia="Times New Roman" w:hAnsi="Arial" w:cs="Arial"/>
          <w:sz w:val="20"/>
          <w:szCs w:val="20"/>
          <w:lang w:eastAsia="ar-SA"/>
        </w:rPr>
        <w:t>omejitv</w:t>
      </w:r>
      <w:r w:rsidR="002E6FEE">
        <w:rPr>
          <w:rFonts w:ascii="Arial" w:eastAsia="Times New Roman" w:hAnsi="Arial" w:cs="Arial"/>
          <w:sz w:val="20"/>
          <w:szCs w:val="20"/>
          <w:lang w:eastAsia="ar-SA"/>
        </w:rPr>
        <w:t>ah</w:t>
      </w:r>
      <w:r w:rsidRPr="0045492F">
        <w:rPr>
          <w:rFonts w:ascii="Arial" w:eastAsia="Times New Roman" w:hAnsi="Arial" w:cs="Arial"/>
          <w:sz w:val="20"/>
          <w:szCs w:val="20"/>
          <w:lang w:eastAsia="ar-SA"/>
        </w:rPr>
        <w:t xml:space="preserve"> poslovanja in prejet</w:t>
      </w:r>
      <w:r w:rsidR="002E6FEE">
        <w:rPr>
          <w:rFonts w:ascii="Arial" w:eastAsia="Times New Roman" w:hAnsi="Arial" w:cs="Arial"/>
          <w:sz w:val="20"/>
          <w:szCs w:val="20"/>
          <w:lang w:eastAsia="ar-SA"/>
        </w:rPr>
        <w:t>ih</w:t>
      </w:r>
      <w:r w:rsidRPr="0045492F">
        <w:rPr>
          <w:rFonts w:ascii="Arial" w:eastAsia="Times New Roman" w:hAnsi="Arial" w:cs="Arial"/>
          <w:sz w:val="20"/>
          <w:szCs w:val="20"/>
          <w:lang w:eastAsia="ar-SA"/>
        </w:rPr>
        <w:t xml:space="preserve"> daril</w:t>
      </w:r>
      <w:r w:rsidR="002E6FEE">
        <w:rPr>
          <w:rFonts w:ascii="Arial" w:eastAsia="Times New Roman" w:hAnsi="Arial" w:cs="Arial"/>
          <w:sz w:val="20"/>
          <w:szCs w:val="20"/>
          <w:lang w:eastAsia="ar-SA"/>
        </w:rPr>
        <w:t>ih</w:t>
      </w:r>
      <w:r w:rsidRPr="0045492F">
        <w:rPr>
          <w:rFonts w:ascii="Arial" w:eastAsia="Times New Roman" w:hAnsi="Arial" w:cs="Arial"/>
          <w:sz w:val="20"/>
          <w:szCs w:val="20"/>
          <w:lang w:eastAsia="ar-SA"/>
        </w:rPr>
        <w:t xml:space="preserve"> ter prikaz tujih bančnih računov poslovnih subjektov. Uporabniki aplikacije lahko vidijo račune, ki so jih gospodarski subjekti izdali državnim organom. Podatki o e-računih se povezujejo tudi s transakcijami, kjer je to mogoče. </w:t>
      </w:r>
    </w:p>
    <w:p w14:paraId="6029C9F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363F55" w14:textId="4C19A79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w:t>
      </w:r>
      <w:r w:rsidR="002E6FEE">
        <w:rPr>
          <w:rFonts w:ascii="Arial" w:eastAsia="Times New Roman" w:hAnsi="Arial" w:cs="Arial"/>
          <w:sz w:val="20"/>
          <w:szCs w:val="20"/>
          <w:lang w:eastAsia="ar-SA"/>
        </w:rPr>
        <w:t xml:space="preserve"> veljavnem</w:t>
      </w:r>
      <w:r w:rsidRPr="0045492F">
        <w:rPr>
          <w:rFonts w:ascii="Arial" w:eastAsia="Times New Roman" w:hAnsi="Arial" w:cs="Arial"/>
          <w:sz w:val="20"/>
          <w:szCs w:val="20"/>
          <w:lang w:eastAsia="ar-SA"/>
        </w:rPr>
        <w:t xml:space="preserve"> ZIntPK sta določbi, ki pomenita pravno podlago za obdelavo in objavo podatkov, določba prvega odstavka 16. člena in določba 75. člena tega zakona. V skladu s prvim odstavkom 16. člena ZIntPK morajo državni organi, organi samoupravnih lokalnih skupnosti in nosilci javnih pooblastil ter druge pravne osebe javnega in zasebnega prava,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na obrazloženo zahtevo, ne glede na določbe drugih zakonov in ne glede na obliko podatkov, brezplačno posredovati vse podatke, tudi osebne, in dokumente, ki so potrebni za opravljanje zakonskih nalog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xml:space="preserve">. Nadalje pa je v določbi 75. člena ZIntPK določeno, da se smejo podatki, ki jih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 K oblikovanju predlagane rešitve, ki jasneje določa pravno podlago za pridobivanje, obdelavo in objavo podatkov v okviru aplikacije Erar in za potrebe nadaljnjih nadgradenj aplikacije so spodbudile odločbe Ustavnega sodišča RS</w:t>
      </w:r>
      <w:r w:rsidRPr="0045492F">
        <w:rPr>
          <w:rFonts w:ascii="Arial" w:eastAsia="Times New Roman" w:hAnsi="Arial" w:cs="Arial"/>
          <w:sz w:val="20"/>
          <w:szCs w:val="20"/>
          <w:vertAlign w:val="superscript"/>
          <w:lang w:eastAsia="ar-SA"/>
        </w:rPr>
        <w:footnoteReference w:id="36"/>
      </w:r>
      <w:r w:rsidRPr="0045492F">
        <w:rPr>
          <w:rFonts w:ascii="Arial" w:eastAsia="Times New Roman" w:hAnsi="Arial" w:cs="Arial"/>
          <w:sz w:val="20"/>
          <w:szCs w:val="20"/>
          <w:lang w:eastAsia="ar-SA"/>
        </w:rPr>
        <w:t xml:space="preserve"> in sodbi Vrhovnega sodišča RS.</w:t>
      </w:r>
      <w:r w:rsidRPr="0045492F">
        <w:rPr>
          <w:rFonts w:ascii="Arial" w:eastAsia="Times New Roman" w:hAnsi="Arial" w:cs="Arial"/>
          <w:sz w:val="20"/>
          <w:szCs w:val="20"/>
          <w:vertAlign w:val="superscript"/>
          <w:lang w:eastAsia="ar-SA"/>
        </w:rPr>
        <w:footnoteReference w:id="37"/>
      </w:r>
    </w:p>
    <w:p w14:paraId="42286C9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18C88B5" w14:textId="78D3EF5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Iz določbe prve alineje tretjega odstavka 6. člena ZDIJZ izhaja, da se, ne glede na morebitne izjeme (tudi izjeme varstva osebnih podatkov) dostop do informacij po ZDIJZ dovoli, če gre za podatke o porabi javnih sredstev ali podatke, povezane z opravljanjem javne funkcije ali delovnega razmerja javnega uslužbenca, razen v primerih iz 1. in 5. do 8. točke prvega odstavka 6. člena ter v primerih, ko zakon, ki ureja javne finance ali zakon, ki ureja javna naročila, določata drugače</w:t>
      </w:r>
      <w:r w:rsidR="00A329E1">
        <w:rPr>
          <w:rFonts w:ascii="Arial" w:eastAsia="Times New Roman" w:hAnsi="Arial" w:cs="Arial"/>
          <w:sz w:val="20"/>
          <w:szCs w:val="20"/>
          <w:lang w:eastAsia="ar-SA"/>
        </w:rPr>
        <w:t>.</w:t>
      </w:r>
    </w:p>
    <w:p w14:paraId="37657C5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B6007B9" w14:textId="32D7CF7B" w:rsidR="0055047E" w:rsidRPr="0045492F"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Novi d</w:t>
      </w:r>
      <w:r w:rsidR="008024CA">
        <w:rPr>
          <w:rFonts w:ascii="Arial" w:eastAsia="Times New Roman" w:hAnsi="Arial" w:cs="Arial"/>
          <w:sz w:val="20"/>
          <w:szCs w:val="20"/>
          <w:lang w:eastAsia="ar-SA"/>
        </w:rPr>
        <w:t>oločb</w:t>
      </w:r>
      <w:r>
        <w:rPr>
          <w:rFonts w:ascii="Arial" w:eastAsia="Times New Roman" w:hAnsi="Arial" w:cs="Arial"/>
          <w:sz w:val="20"/>
          <w:szCs w:val="20"/>
          <w:lang w:eastAsia="ar-SA"/>
        </w:rPr>
        <w:t>i</w:t>
      </w:r>
      <w:r w:rsidR="008024CA">
        <w:rPr>
          <w:rFonts w:ascii="Arial" w:eastAsia="Times New Roman" w:hAnsi="Arial" w:cs="Arial"/>
          <w:sz w:val="20"/>
          <w:szCs w:val="20"/>
          <w:lang w:eastAsia="ar-SA"/>
        </w:rPr>
        <w:t xml:space="preserve"> daje</w:t>
      </w:r>
      <w:r>
        <w:rPr>
          <w:rFonts w:ascii="Arial" w:eastAsia="Times New Roman" w:hAnsi="Arial" w:cs="Arial"/>
          <w:sz w:val="20"/>
          <w:szCs w:val="20"/>
          <w:lang w:eastAsia="ar-SA"/>
        </w:rPr>
        <w:t>ta</w:t>
      </w:r>
      <w:r w:rsidR="008024CA">
        <w:rPr>
          <w:rFonts w:ascii="Arial" w:eastAsia="Times New Roman" w:hAnsi="Arial" w:cs="Arial"/>
          <w:sz w:val="20"/>
          <w:szCs w:val="20"/>
          <w:lang w:eastAsia="ar-SA"/>
        </w:rPr>
        <w:t xml:space="preserve"> pravno podlago, </w:t>
      </w:r>
      <w:r w:rsidR="0055047E" w:rsidRPr="0045492F">
        <w:rPr>
          <w:rFonts w:ascii="Arial" w:eastAsia="Times New Roman" w:hAnsi="Arial" w:cs="Arial"/>
          <w:sz w:val="20"/>
          <w:szCs w:val="20"/>
          <w:lang w:eastAsia="ar-SA"/>
        </w:rPr>
        <w:t xml:space="preserve">da </w:t>
      </w:r>
      <w:r w:rsidR="008024CA">
        <w:rPr>
          <w:rFonts w:ascii="Arial" w:eastAsia="Times New Roman" w:hAnsi="Arial" w:cs="Arial"/>
          <w:sz w:val="20"/>
          <w:szCs w:val="20"/>
          <w:lang w:eastAsia="ar-SA"/>
        </w:rPr>
        <w:t xml:space="preserve">se </w:t>
      </w:r>
      <w:r w:rsidR="0055047E" w:rsidRPr="0045492F">
        <w:rPr>
          <w:rFonts w:ascii="Arial" w:eastAsia="Times New Roman" w:hAnsi="Arial" w:cs="Arial"/>
          <w:sz w:val="20"/>
          <w:szCs w:val="20"/>
          <w:lang w:eastAsia="ar-SA"/>
        </w:rPr>
        <w:t>za namen zagotavljanja transparentnosti delovanja javnega sektorja ter s tem povezanim pridobivanjem, obdelovanjem in objavljanjem podatkov o denarnih tokovih subjektov javnega sektorja, in za namen izvajanja ukrepov ter metod za krepitev integritete, povezuje do sedaj med seboj nepovezane, a javne zbirke podatkov. Ponovna uporaba podatkov in njihova objava predstavlja tudi javno korist, saj več uporabnikov pomeni tudi večji nadzor</w:t>
      </w:r>
      <w:r w:rsidR="000F4493">
        <w:rPr>
          <w:rFonts w:ascii="Arial" w:eastAsia="Times New Roman" w:hAnsi="Arial" w:cs="Arial"/>
          <w:sz w:val="20"/>
          <w:szCs w:val="20"/>
          <w:lang w:eastAsia="ar-SA"/>
        </w:rPr>
        <w:t xml:space="preserve"> (javnosti) nad vsebino podatkov.</w:t>
      </w:r>
      <w:r w:rsidR="0055047E" w:rsidRPr="0045492F">
        <w:rPr>
          <w:rFonts w:ascii="Arial" w:eastAsia="Times New Roman" w:hAnsi="Arial" w:cs="Arial"/>
          <w:sz w:val="20"/>
          <w:szCs w:val="20"/>
          <w:lang w:eastAsia="ar-SA"/>
        </w:rPr>
        <w:t xml:space="preserve"> </w:t>
      </w:r>
    </w:p>
    <w:p w14:paraId="3E15102F" w14:textId="4083A5EF"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97D7CC7" w14:textId="09122A38" w:rsidR="00EF2D7C" w:rsidRPr="0045492F" w:rsidRDefault="00EF2D7C"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75.a člen</w:t>
      </w:r>
    </w:p>
    <w:p w14:paraId="491ABBF5" w14:textId="5351CD6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prvem odstavku </w:t>
      </w:r>
      <w:r w:rsidR="00EF2D7C" w:rsidRPr="0045492F">
        <w:rPr>
          <w:rFonts w:ascii="Arial" w:eastAsia="Times New Roman" w:hAnsi="Arial" w:cs="Arial"/>
          <w:sz w:val="20"/>
          <w:szCs w:val="20"/>
          <w:lang w:eastAsia="ar-SA"/>
        </w:rPr>
        <w:t xml:space="preserve">75.a člena </w:t>
      </w:r>
      <w:r w:rsidRPr="0045492F">
        <w:rPr>
          <w:rFonts w:ascii="Arial" w:eastAsia="Times New Roman" w:hAnsi="Arial" w:cs="Arial"/>
          <w:sz w:val="20"/>
          <w:szCs w:val="20"/>
          <w:lang w:eastAsia="ar-SA"/>
        </w:rPr>
        <w:t xml:space="preserve">so poleg namena pridobivanja, uporabe, obdelave in </w:t>
      </w:r>
      <w:r w:rsidR="002963B5" w:rsidRPr="0045492F">
        <w:rPr>
          <w:rFonts w:ascii="Arial" w:eastAsia="Times New Roman" w:hAnsi="Arial" w:cs="Arial"/>
          <w:sz w:val="20"/>
          <w:szCs w:val="20"/>
          <w:lang w:eastAsia="ar-SA"/>
        </w:rPr>
        <w:t xml:space="preserve">povezovanja </w:t>
      </w:r>
      <w:r w:rsidRPr="0045492F">
        <w:rPr>
          <w:rFonts w:ascii="Arial" w:eastAsia="Times New Roman" w:hAnsi="Arial" w:cs="Arial"/>
          <w:sz w:val="20"/>
          <w:szCs w:val="20"/>
          <w:lang w:eastAsia="ar-SA"/>
        </w:rPr>
        <w:t>podatkov, naveden</w:t>
      </w:r>
      <w:r w:rsidR="00EF2D7C" w:rsidRPr="0045492F">
        <w:rPr>
          <w:rFonts w:ascii="Arial" w:eastAsia="Times New Roman" w:hAnsi="Arial" w:cs="Arial"/>
          <w:sz w:val="20"/>
          <w:szCs w:val="20"/>
          <w:lang w:eastAsia="ar-SA"/>
        </w:rPr>
        <w:t xml:space="preserve">e </w:t>
      </w:r>
      <w:r w:rsidR="00566A62" w:rsidRPr="0045492F">
        <w:rPr>
          <w:rFonts w:ascii="Arial" w:eastAsia="Times New Roman" w:hAnsi="Arial" w:cs="Arial"/>
          <w:sz w:val="20"/>
          <w:szCs w:val="20"/>
          <w:lang w:eastAsia="ar-SA"/>
        </w:rPr>
        <w:t xml:space="preserve">primarne </w:t>
      </w:r>
      <w:r w:rsidR="00EF2D7C" w:rsidRPr="0045492F">
        <w:rPr>
          <w:rFonts w:ascii="Arial" w:eastAsia="Times New Roman" w:hAnsi="Arial" w:cs="Arial"/>
          <w:sz w:val="20"/>
          <w:szCs w:val="20"/>
          <w:lang w:eastAsia="ar-SA"/>
        </w:rPr>
        <w:t>zbirke</w:t>
      </w:r>
      <w:r w:rsidRPr="0045492F">
        <w:rPr>
          <w:rFonts w:ascii="Arial" w:eastAsia="Times New Roman" w:hAnsi="Arial" w:cs="Arial"/>
          <w:sz w:val="20"/>
          <w:szCs w:val="20"/>
          <w:lang w:eastAsia="ar-SA"/>
        </w:rPr>
        <w:t xml:space="preserve"> podatk</w:t>
      </w:r>
      <w:r w:rsidR="00EF2D7C" w:rsidRPr="0045492F">
        <w:rPr>
          <w:rFonts w:ascii="Arial" w:eastAsia="Times New Roman" w:hAnsi="Arial" w:cs="Arial"/>
          <w:sz w:val="20"/>
          <w:szCs w:val="20"/>
          <w:lang w:eastAsia="ar-SA"/>
        </w:rPr>
        <w:t>ov</w:t>
      </w:r>
      <w:r w:rsidRPr="0045492F">
        <w:rPr>
          <w:rFonts w:ascii="Arial" w:eastAsia="Times New Roman" w:hAnsi="Arial" w:cs="Arial"/>
          <w:sz w:val="20"/>
          <w:szCs w:val="20"/>
          <w:lang w:eastAsia="ar-SA"/>
        </w:rPr>
        <w:t xml:space="preserve"> iz katerih ima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pravico brezplačno, samodejno (torej avtomatizirano, vsakodnevno) ali na zahtevo pridobivati podatke</w:t>
      </w:r>
      <w:r w:rsidR="00566A62" w:rsidRPr="0045492F">
        <w:rPr>
          <w:rFonts w:ascii="Arial" w:eastAsia="Times New Roman" w:hAnsi="Arial" w:cs="Arial"/>
          <w:sz w:val="20"/>
          <w:szCs w:val="20"/>
          <w:lang w:eastAsia="ar-SA"/>
        </w:rPr>
        <w:t>.</w:t>
      </w:r>
      <w:r w:rsidR="002963B5" w:rsidRPr="0045492F">
        <w:rPr>
          <w:rFonts w:ascii="Arial" w:eastAsia="Times New Roman" w:hAnsi="Arial" w:cs="Arial"/>
          <w:sz w:val="20"/>
          <w:szCs w:val="20"/>
          <w:lang w:eastAsia="ar-SA"/>
        </w:rPr>
        <w:t xml:space="preserve"> Določba, da KPK podatke lahko pridobiva avtomatizirano, ne pomeni, da imajo organi, ki upravljajo izvorne podatkovne zbirke</w:t>
      </w:r>
      <w:r w:rsidR="00A329E1">
        <w:rPr>
          <w:rFonts w:ascii="Arial" w:eastAsia="Times New Roman" w:hAnsi="Arial" w:cs="Arial"/>
          <w:sz w:val="20"/>
          <w:szCs w:val="20"/>
          <w:lang w:eastAsia="ar-SA"/>
        </w:rPr>
        <w:t>,</w:t>
      </w:r>
      <w:r w:rsidR="002963B5" w:rsidRPr="0045492F">
        <w:rPr>
          <w:rFonts w:ascii="Arial" w:eastAsia="Times New Roman" w:hAnsi="Arial" w:cs="Arial"/>
          <w:sz w:val="20"/>
          <w:szCs w:val="20"/>
          <w:lang w:eastAsia="ar-SA"/>
        </w:rPr>
        <w:t xml:space="preserve"> obveznost vzpostaviti avtomatizirano posredovanje, pomeni zgolj, da lahko KPK podatke pridobiva tudi avtomatizirano, če se z upravljavcem tako dogovori.</w:t>
      </w:r>
    </w:p>
    <w:p w14:paraId="3B9E4082" w14:textId="77777777" w:rsidR="00664C37" w:rsidRPr="0045492F" w:rsidRDefault="00664C37"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2818941" w14:textId="7B642E6F" w:rsidR="00566A62" w:rsidRDefault="00566A6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Drugi do dvanajsti odstavek natančno določajo nabor podatkov, vključno z osebnimi podatki, ki jih KPK lahko pridobiva iz primarnih zbirk. Gre za podatke o porabi javnih sredstev in podatkih, ki predstavljajo kontekst </w:t>
      </w:r>
      <w:r w:rsidR="002963B5" w:rsidRPr="0045492F">
        <w:rPr>
          <w:rFonts w:ascii="Arial" w:eastAsia="Times New Roman" w:hAnsi="Arial" w:cs="Arial"/>
          <w:sz w:val="20"/>
          <w:szCs w:val="20"/>
          <w:lang w:eastAsia="ar-SA"/>
        </w:rPr>
        <w:t xml:space="preserve">javne </w:t>
      </w:r>
      <w:r w:rsidRPr="0045492F">
        <w:rPr>
          <w:rFonts w:ascii="Arial" w:eastAsia="Times New Roman" w:hAnsi="Arial" w:cs="Arial"/>
          <w:sz w:val="20"/>
          <w:szCs w:val="20"/>
          <w:lang w:eastAsia="ar-SA"/>
        </w:rPr>
        <w:t>porabe. Trinajsti odstavek določa izjemo od pravila, določenega v ZVOP-1, skladno s katerim je o obdelavi osebnih podatkov obveščati osebe, na katere se podatki nanašajo.</w:t>
      </w:r>
      <w:r w:rsidR="00A329E1">
        <w:rPr>
          <w:rFonts w:ascii="Arial" w:eastAsia="Times New Roman" w:hAnsi="Arial" w:cs="Arial"/>
          <w:sz w:val="20"/>
          <w:szCs w:val="20"/>
          <w:lang w:eastAsia="ar-SA"/>
        </w:rPr>
        <w:t xml:space="preserve"> Isto pravilo je vsebovano tudi v 14. in 15. členu Splošne uredbe</w:t>
      </w:r>
      <w:r w:rsidRPr="0045492F">
        <w:rPr>
          <w:rFonts w:ascii="Arial" w:eastAsia="Times New Roman" w:hAnsi="Arial" w:cs="Arial"/>
          <w:sz w:val="20"/>
          <w:szCs w:val="20"/>
          <w:lang w:eastAsia="ar-SA"/>
        </w:rPr>
        <w:t xml:space="preserve"> </w:t>
      </w:r>
      <w:r w:rsidR="009A0E7E" w:rsidRPr="0045492F">
        <w:rPr>
          <w:rFonts w:ascii="Arial" w:eastAsia="Times New Roman" w:hAnsi="Arial" w:cs="Arial"/>
          <w:sz w:val="20"/>
          <w:szCs w:val="20"/>
          <w:lang w:eastAsia="ar-SA"/>
        </w:rPr>
        <w:t xml:space="preserve">Štirinajsti odstavek </w:t>
      </w:r>
      <w:r w:rsidR="00C731FE" w:rsidRPr="0045492F">
        <w:rPr>
          <w:rFonts w:ascii="Arial" w:eastAsia="Times New Roman" w:hAnsi="Arial" w:cs="Arial"/>
          <w:sz w:val="20"/>
          <w:szCs w:val="20"/>
          <w:lang w:eastAsia="ar-SA"/>
        </w:rPr>
        <w:t>določa, da KPK po tem členu ne more pridobiti tajnih podatkov. Petnajsti odstavek določa povezovalne znake za različne zbirke podatkov, ki jih lahko uporablja KPK, šestnajsti pa določa časovne omejitve glede pridobivanja podatkov.</w:t>
      </w:r>
    </w:p>
    <w:p w14:paraId="4D56487E" w14:textId="77777777" w:rsidR="00CC7FD2" w:rsidRPr="0045492F" w:rsidRDefault="00CC7FD2"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DD93988" w14:textId="49910B68" w:rsidR="00C731FE" w:rsidRPr="0045492F" w:rsidRDefault="00C731FE" w:rsidP="0055047E">
      <w:pPr>
        <w:suppressAutoHyphens/>
        <w:overflowPunct w:val="0"/>
        <w:autoSpaceDE w:val="0"/>
        <w:spacing w:after="0" w:line="240" w:lineRule="auto"/>
        <w:jc w:val="both"/>
        <w:textAlignment w:val="baseline"/>
        <w:rPr>
          <w:rFonts w:ascii="Arial" w:eastAsia="Times New Roman" w:hAnsi="Arial" w:cs="Arial"/>
          <w:sz w:val="20"/>
          <w:szCs w:val="20"/>
          <w:u w:val="single"/>
          <w:lang w:eastAsia="ar-SA"/>
        </w:rPr>
      </w:pPr>
      <w:r w:rsidRPr="0045492F">
        <w:rPr>
          <w:rFonts w:ascii="Arial" w:eastAsia="Times New Roman" w:hAnsi="Arial" w:cs="Arial"/>
          <w:sz w:val="20"/>
          <w:szCs w:val="20"/>
          <w:u w:val="single"/>
          <w:lang w:eastAsia="ar-SA"/>
        </w:rPr>
        <w:t>75.b člen</w:t>
      </w:r>
    </w:p>
    <w:p w14:paraId="00356845" w14:textId="4D93ED6C" w:rsidR="00FB4E1D" w:rsidRDefault="0055047E"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45492F">
        <w:rPr>
          <w:rFonts w:ascii="Arial" w:eastAsia="Times New Roman" w:hAnsi="Arial" w:cs="Arial"/>
          <w:color w:val="000000"/>
          <w:sz w:val="20"/>
          <w:szCs w:val="20"/>
          <w:lang w:eastAsia="sl-SI"/>
        </w:rPr>
        <w:t xml:space="preserve">Zaradi omogočanja državljanom, da dejavno sodelujejo pri upravljanju skupnega dobra (Republike Slovenije), predlagani </w:t>
      </w:r>
      <w:r w:rsidR="008F0D23" w:rsidRPr="0045492F">
        <w:rPr>
          <w:rFonts w:ascii="Arial" w:eastAsia="Times New Roman" w:hAnsi="Arial" w:cs="Arial"/>
          <w:color w:val="000000"/>
          <w:sz w:val="20"/>
          <w:szCs w:val="20"/>
          <w:lang w:eastAsia="sl-SI"/>
        </w:rPr>
        <w:t>75.b člen</w:t>
      </w:r>
      <w:r w:rsidRPr="0045492F">
        <w:rPr>
          <w:rFonts w:ascii="Arial" w:eastAsia="Times New Roman" w:hAnsi="Arial" w:cs="Arial"/>
          <w:color w:val="000000"/>
          <w:sz w:val="20"/>
          <w:szCs w:val="20"/>
          <w:lang w:eastAsia="sl-SI"/>
        </w:rPr>
        <w:t xml:space="preserve"> določa, da lahko </w:t>
      </w:r>
      <w:r w:rsidR="008F0D23" w:rsidRPr="0045492F">
        <w:rPr>
          <w:rFonts w:ascii="Arial" w:eastAsia="Times New Roman" w:hAnsi="Arial" w:cs="Arial"/>
          <w:color w:val="000000"/>
          <w:sz w:val="20"/>
          <w:szCs w:val="20"/>
          <w:lang w:eastAsia="sl-SI"/>
        </w:rPr>
        <w:t xml:space="preserve">KPK </w:t>
      </w:r>
      <w:r w:rsidRPr="0045492F">
        <w:rPr>
          <w:rFonts w:ascii="Arial" w:eastAsia="Times New Roman" w:hAnsi="Arial" w:cs="Arial"/>
          <w:color w:val="000000"/>
          <w:sz w:val="20"/>
          <w:szCs w:val="20"/>
          <w:lang w:eastAsia="sl-SI"/>
        </w:rPr>
        <w:t xml:space="preserve">podatke, ki jih </w:t>
      </w:r>
      <w:r w:rsidR="008F0D23" w:rsidRPr="0045492F">
        <w:rPr>
          <w:rFonts w:ascii="Arial" w:eastAsia="Times New Roman" w:hAnsi="Arial" w:cs="Arial"/>
          <w:color w:val="000000"/>
          <w:sz w:val="20"/>
          <w:szCs w:val="20"/>
          <w:lang w:eastAsia="sl-SI"/>
        </w:rPr>
        <w:t xml:space="preserve">pridobi </w:t>
      </w:r>
      <w:r w:rsidRPr="0045492F">
        <w:rPr>
          <w:rFonts w:ascii="Arial" w:eastAsia="Times New Roman" w:hAnsi="Arial" w:cs="Arial"/>
          <w:color w:val="000000"/>
          <w:sz w:val="20"/>
          <w:szCs w:val="20"/>
          <w:lang w:eastAsia="sl-SI"/>
        </w:rPr>
        <w:t xml:space="preserve">po </w:t>
      </w:r>
      <w:r w:rsidR="008F0D23" w:rsidRPr="0045492F">
        <w:rPr>
          <w:rFonts w:ascii="Arial" w:eastAsia="Times New Roman" w:hAnsi="Arial" w:cs="Arial"/>
          <w:color w:val="000000"/>
          <w:sz w:val="20"/>
          <w:szCs w:val="20"/>
          <w:lang w:eastAsia="sl-SI"/>
        </w:rPr>
        <w:t xml:space="preserve">75.a </w:t>
      </w:r>
      <w:r w:rsidRPr="0045492F">
        <w:rPr>
          <w:rFonts w:ascii="Arial" w:eastAsia="Times New Roman" w:hAnsi="Arial" w:cs="Arial"/>
          <w:color w:val="000000"/>
          <w:sz w:val="20"/>
          <w:szCs w:val="20"/>
          <w:lang w:eastAsia="sl-SI"/>
        </w:rPr>
        <w:t>členu</w:t>
      </w:r>
      <w:r w:rsidR="008F0D23" w:rsidRPr="0045492F">
        <w:rPr>
          <w:rFonts w:ascii="Arial" w:eastAsia="Times New Roman" w:hAnsi="Arial" w:cs="Arial"/>
          <w:color w:val="000000"/>
          <w:sz w:val="20"/>
          <w:szCs w:val="20"/>
          <w:lang w:eastAsia="sl-SI"/>
        </w:rPr>
        <w:t>,</w:t>
      </w:r>
      <w:r w:rsidRPr="0045492F">
        <w:rPr>
          <w:rFonts w:ascii="Arial" w:eastAsia="Times New Roman" w:hAnsi="Arial" w:cs="Arial"/>
          <w:color w:val="000000"/>
          <w:sz w:val="20"/>
          <w:szCs w:val="20"/>
          <w:lang w:eastAsia="sl-SI"/>
        </w:rPr>
        <w:t xml:space="preserve"> objav</w:t>
      </w:r>
      <w:r w:rsidR="008F0D23" w:rsidRPr="0045492F">
        <w:rPr>
          <w:rFonts w:ascii="Arial" w:eastAsia="Times New Roman" w:hAnsi="Arial" w:cs="Arial"/>
          <w:color w:val="000000"/>
          <w:sz w:val="20"/>
          <w:szCs w:val="20"/>
          <w:lang w:eastAsia="sl-SI"/>
        </w:rPr>
        <w:t>i.</w:t>
      </w:r>
      <w:r w:rsidR="008F0D23" w:rsidRPr="0045492F">
        <w:rPr>
          <w:rFonts w:ascii="Helv" w:eastAsia="Times New Roman" w:hAnsi="Helv" w:cs="Helv"/>
          <w:color w:val="000000"/>
          <w:sz w:val="20"/>
          <w:szCs w:val="20"/>
          <w:lang w:eastAsia="sl-SI"/>
        </w:rPr>
        <w:t xml:space="preserve"> KPK podatke o porabi javnih sredstev že zdaj objavlja v spletni aplikaciji Erar</w:t>
      </w:r>
      <w:r w:rsidR="008B4580" w:rsidRPr="0045492F">
        <w:rPr>
          <w:rFonts w:ascii="Helv" w:eastAsia="Times New Roman" w:hAnsi="Helv" w:cs="Helv"/>
          <w:color w:val="000000"/>
          <w:sz w:val="20"/>
          <w:szCs w:val="20"/>
          <w:lang w:eastAsia="sl-SI"/>
        </w:rPr>
        <w:t>,</w:t>
      </w:r>
      <w:r w:rsidR="008F0D23" w:rsidRPr="0045492F">
        <w:rPr>
          <w:rFonts w:ascii="Helv" w:eastAsia="Times New Roman" w:hAnsi="Helv" w:cs="Helv"/>
          <w:color w:val="000000"/>
          <w:sz w:val="20"/>
          <w:szCs w:val="20"/>
          <w:lang w:eastAsia="sl-SI"/>
        </w:rPr>
        <w:t xml:space="preserve"> 75.b člen </w:t>
      </w:r>
      <w:r w:rsidR="008B4580" w:rsidRPr="0045492F">
        <w:rPr>
          <w:rFonts w:ascii="Helv" w:eastAsia="Times New Roman" w:hAnsi="Helv" w:cs="Helv"/>
          <w:color w:val="000000"/>
          <w:sz w:val="20"/>
          <w:szCs w:val="20"/>
          <w:lang w:eastAsia="sl-SI"/>
        </w:rPr>
        <w:t xml:space="preserve">pa ji </w:t>
      </w:r>
      <w:r w:rsidR="008F0D23" w:rsidRPr="0045492F">
        <w:rPr>
          <w:rFonts w:ascii="Helv" w:eastAsia="Times New Roman" w:hAnsi="Helv" w:cs="Helv"/>
          <w:color w:val="000000"/>
          <w:sz w:val="20"/>
          <w:szCs w:val="20"/>
          <w:lang w:eastAsia="sl-SI"/>
        </w:rPr>
        <w:t>daje pravno podlago, da na isti način objavi še dodatne podatke, določene v 75.a členu.</w:t>
      </w:r>
    </w:p>
    <w:p w14:paraId="14E9BA6E" w14:textId="073465E3" w:rsidR="008B4580" w:rsidRPr="0045492F" w:rsidRDefault="008B4580"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p>
    <w:p w14:paraId="7F3B3C92" w14:textId="3618A430" w:rsidR="0055047E" w:rsidRPr="0045492F" w:rsidRDefault="008F0D23" w:rsidP="0055047E">
      <w:pPr>
        <w:suppressAutoHyphens/>
        <w:overflowPunct w:val="0"/>
        <w:autoSpaceDE w:val="0"/>
        <w:spacing w:after="0" w:line="240" w:lineRule="auto"/>
        <w:jc w:val="both"/>
        <w:textAlignment w:val="baseline"/>
        <w:rPr>
          <w:rFonts w:ascii="Helv" w:eastAsia="Times New Roman" w:hAnsi="Helv" w:cs="Helv"/>
          <w:color w:val="000000"/>
          <w:sz w:val="20"/>
          <w:szCs w:val="20"/>
          <w:lang w:eastAsia="sl-SI"/>
        </w:rPr>
      </w:pPr>
      <w:r w:rsidRPr="0045492F">
        <w:rPr>
          <w:rFonts w:ascii="Helv" w:eastAsia="Times New Roman" w:hAnsi="Helv" w:cs="Helv"/>
          <w:color w:val="000000"/>
          <w:sz w:val="20"/>
          <w:szCs w:val="20"/>
          <w:lang w:eastAsia="sl-SI"/>
        </w:rPr>
        <w:t>75.b člen v prvem odstavku določa, da s</w:t>
      </w:r>
      <w:r w:rsidR="008B4580" w:rsidRPr="0045492F">
        <w:rPr>
          <w:rFonts w:ascii="Helv" w:eastAsia="Times New Roman" w:hAnsi="Helv" w:cs="Helv"/>
          <w:color w:val="000000"/>
          <w:sz w:val="20"/>
          <w:szCs w:val="20"/>
          <w:lang w:eastAsia="sl-SI"/>
        </w:rPr>
        <w:t>e</w:t>
      </w:r>
      <w:r w:rsidRPr="0045492F">
        <w:rPr>
          <w:rFonts w:ascii="Helv" w:eastAsia="Times New Roman" w:hAnsi="Helv" w:cs="Helv"/>
          <w:color w:val="000000"/>
          <w:sz w:val="20"/>
          <w:szCs w:val="20"/>
          <w:lang w:eastAsia="sl-SI"/>
        </w:rPr>
        <w:t xml:space="preserve"> načeloma objavijo vsi podatki iz prejšnjega člena, naslednji odstavki pa določajo izjeme od tega pravila. Prvi odstavek izključuje iz uporabe ZDIJZ in ZVOP-1. Razlog za izključitev ZDIJZ je predvsem v dejstvu, da podatki, ki jih KPK pridobiva po 75.a členu, vsebujejo </w:t>
      </w:r>
      <w:r w:rsidR="008B4580" w:rsidRPr="0045492F">
        <w:rPr>
          <w:rFonts w:ascii="Helv" w:eastAsia="Times New Roman" w:hAnsi="Helv" w:cs="Helv"/>
          <w:color w:val="000000"/>
          <w:sz w:val="20"/>
          <w:szCs w:val="20"/>
          <w:lang w:eastAsia="sl-SI"/>
        </w:rPr>
        <w:t>določene osebne podatke</w:t>
      </w:r>
      <w:r w:rsidRPr="0045492F">
        <w:rPr>
          <w:rFonts w:ascii="Helv" w:eastAsia="Times New Roman" w:hAnsi="Helv" w:cs="Helv"/>
          <w:color w:val="000000"/>
          <w:sz w:val="20"/>
          <w:szCs w:val="20"/>
          <w:lang w:eastAsia="sl-SI"/>
        </w:rPr>
        <w:t xml:space="preserve">, </w:t>
      </w:r>
      <w:r w:rsidR="008B4580" w:rsidRPr="0045492F">
        <w:rPr>
          <w:rFonts w:ascii="Helv" w:eastAsia="Times New Roman" w:hAnsi="Helv" w:cs="Helv"/>
          <w:color w:val="000000"/>
          <w:sz w:val="20"/>
          <w:szCs w:val="20"/>
          <w:lang w:eastAsia="sl-SI"/>
        </w:rPr>
        <w:t>ki</w:t>
      </w:r>
      <w:r w:rsidRPr="0045492F">
        <w:rPr>
          <w:rFonts w:ascii="Helv" w:eastAsia="Times New Roman" w:hAnsi="Helv" w:cs="Helv"/>
          <w:color w:val="000000"/>
          <w:sz w:val="20"/>
          <w:szCs w:val="20"/>
          <w:lang w:eastAsia="sl-SI"/>
        </w:rPr>
        <w:t xml:space="preserve"> niso nujno javni (KPK jih ne objavi</w:t>
      </w:r>
      <w:r w:rsidR="008B4580" w:rsidRPr="0045492F">
        <w:rPr>
          <w:rFonts w:ascii="Helv" w:eastAsia="Times New Roman" w:hAnsi="Helv" w:cs="Helv"/>
          <w:color w:val="000000"/>
          <w:sz w:val="20"/>
          <w:szCs w:val="20"/>
          <w:lang w:eastAsia="sl-SI"/>
        </w:rPr>
        <w:t xml:space="preserve"> na spletnih straneh</w:t>
      </w:r>
      <w:r w:rsidRPr="0045492F">
        <w:rPr>
          <w:rFonts w:ascii="Helv" w:eastAsia="Times New Roman" w:hAnsi="Helv" w:cs="Helv"/>
          <w:color w:val="000000"/>
          <w:sz w:val="20"/>
          <w:szCs w:val="20"/>
          <w:lang w:eastAsia="sl-SI"/>
        </w:rPr>
        <w:t xml:space="preserve">). Priprava takšne velike količine podatkov za posredovanje </w:t>
      </w:r>
      <w:r w:rsidR="003257A8" w:rsidRPr="0045492F">
        <w:rPr>
          <w:rFonts w:ascii="Helv" w:eastAsia="Times New Roman" w:hAnsi="Helv" w:cs="Helv"/>
          <w:color w:val="000000"/>
          <w:sz w:val="20"/>
          <w:szCs w:val="20"/>
          <w:lang w:eastAsia="sl-SI"/>
        </w:rPr>
        <w:t>na podlagi zahteve po ZDIJZ bi bil</w:t>
      </w:r>
      <w:r w:rsidR="008B4580" w:rsidRPr="0045492F">
        <w:rPr>
          <w:rFonts w:ascii="Helv" w:eastAsia="Times New Roman" w:hAnsi="Helv" w:cs="Helv"/>
          <w:color w:val="000000"/>
          <w:sz w:val="20"/>
          <w:szCs w:val="20"/>
          <w:lang w:eastAsia="sl-SI"/>
        </w:rPr>
        <w:t>a</w:t>
      </w:r>
      <w:r w:rsidR="003257A8" w:rsidRPr="0045492F">
        <w:rPr>
          <w:rFonts w:ascii="Helv" w:eastAsia="Times New Roman" w:hAnsi="Helv" w:cs="Helv"/>
          <w:color w:val="000000"/>
          <w:sz w:val="20"/>
          <w:szCs w:val="20"/>
          <w:lang w:eastAsia="sl-SI"/>
        </w:rPr>
        <w:t xml:space="preserve"> praktično nemogoč</w:t>
      </w:r>
      <w:r w:rsidR="008B4580" w:rsidRPr="0045492F">
        <w:rPr>
          <w:rFonts w:ascii="Helv" w:eastAsia="Times New Roman" w:hAnsi="Helv" w:cs="Helv"/>
          <w:color w:val="000000"/>
          <w:sz w:val="20"/>
          <w:szCs w:val="20"/>
          <w:lang w:eastAsia="sl-SI"/>
        </w:rPr>
        <w:t>a</w:t>
      </w:r>
      <w:r w:rsidR="003257A8" w:rsidRPr="0045492F">
        <w:rPr>
          <w:rFonts w:ascii="Helv" w:eastAsia="Times New Roman" w:hAnsi="Helv" w:cs="Helv"/>
          <w:color w:val="000000"/>
          <w:sz w:val="20"/>
          <w:szCs w:val="20"/>
          <w:lang w:eastAsia="sl-SI"/>
        </w:rPr>
        <w:t>, ker KPK ne bi mogla zagotoviti priprave podatkov skladno z zahtevami zakona</w:t>
      </w:r>
      <w:r w:rsidR="008B4580" w:rsidRPr="0045492F">
        <w:rPr>
          <w:rFonts w:ascii="Helv" w:eastAsia="Times New Roman" w:hAnsi="Helv" w:cs="Helv"/>
          <w:color w:val="000000"/>
          <w:sz w:val="20"/>
          <w:szCs w:val="20"/>
          <w:lang w:eastAsia="sl-SI"/>
        </w:rPr>
        <w:t xml:space="preserve"> (zbirka podatkov o transakcijah vsebuje več milijonov zapisov, ki bi jih bilo treba ročno pregledati)</w:t>
      </w:r>
      <w:r w:rsidR="003257A8" w:rsidRPr="0045492F">
        <w:rPr>
          <w:rFonts w:ascii="Helv" w:eastAsia="Times New Roman" w:hAnsi="Helv" w:cs="Helv"/>
          <w:color w:val="000000"/>
          <w:sz w:val="20"/>
          <w:szCs w:val="20"/>
          <w:lang w:eastAsia="sl-SI"/>
        </w:rPr>
        <w:t>.</w:t>
      </w:r>
    </w:p>
    <w:p w14:paraId="1E8F9AA9"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62D1559" w14:textId="6A5F927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Zaradi zasledovanja namena javne objave, se v </w:t>
      </w:r>
      <w:r w:rsidR="008F0D23" w:rsidRPr="0045492F">
        <w:rPr>
          <w:rFonts w:ascii="Arial" w:eastAsia="Times New Roman" w:hAnsi="Arial" w:cs="Arial"/>
          <w:sz w:val="20"/>
          <w:szCs w:val="20"/>
          <w:lang w:eastAsia="ar-SA"/>
        </w:rPr>
        <w:t xml:space="preserve">povezavi z načelom sorazmernosti v </w:t>
      </w:r>
      <w:r w:rsidRPr="0045492F">
        <w:rPr>
          <w:rFonts w:ascii="Arial" w:eastAsia="Times New Roman" w:hAnsi="Arial" w:cs="Arial"/>
          <w:sz w:val="20"/>
          <w:szCs w:val="20"/>
          <w:lang w:eastAsia="ar-SA"/>
        </w:rPr>
        <w:t xml:space="preserve">predlaganem </w:t>
      </w:r>
      <w:r w:rsidR="008F0D23" w:rsidRPr="0045492F">
        <w:rPr>
          <w:rFonts w:ascii="Arial" w:eastAsia="Times New Roman" w:hAnsi="Arial" w:cs="Arial"/>
          <w:sz w:val="20"/>
          <w:szCs w:val="20"/>
          <w:lang w:eastAsia="ar-SA"/>
        </w:rPr>
        <w:t>75.b členu</w:t>
      </w:r>
      <w:r w:rsidRPr="0045492F">
        <w:rPr>
          <w:rFonts w:ascii="Arial" w:eastAsia="Times New Roman" w:hAnsi="Arial" w:cs="Arial"/>
          <w:sz w:val="20"/>
          <w:szCs w:val="20"/>
          <w:lang w:eastAsia="ar-SA"/>
        </w:rPr>
        <w:t xml:space="preserve"> iz objave izloča </w:t>
      </w:r>
      <w:r w:rsidR="00A40A6E" w:rsidRPr="0045492F">
        <w:rPr>
          <w:rFonts w:ascii="Arial" w:eastAsia="Times New Roman" w:hAnsi="Arial" w:cs="Arial"/>
          <w:sz w:val="20"/>
          <w:szCs w:val="20"/>
          <w:lang w:eastAsia="ar-SA"/>
        </w:rPr>
        <w:t xml:space="preserve">podatke o namenu in prejemniku </w:t>
      </w:r>
      <w:r w:rsidRPr="0045492F">
        <w:rPr>
          <w:rFonts w:ascii="Arial" w:eastAsia="Times New Roman" w:hAnsi="Arial" w:cs="Arial"/>
          <w:sz w:val="20"/>
          <w:szCs w:val="20"/>
          <w:lang w:eastAsia="ar-SA"/>
        </w:rPr>
        <w:t>individualne transakcije fizičnim osebam, ki v trenutku izvedbe transakcije ne presega bruto plače predsednika republike (plača predsednika republike glede na njegov položaj v državi je po mnenju predlagatelja najbolj primerno referenčno sidro za presojo morebitnih ekscesov). Podatek o plači predsednika republike lahko KPK pridobi iz Portala plač javnega sektorja</w:t>
      </w:r>
      <w:r w:rsidRPr="0045492F">
        <w:rPr>
          <w:rFonts w:ascii="Arial" w:eastAsia="Times New Roman" w:hAnsi="Arial" w:cs="Arial"/>
          <w:sz w:val="20"/>
          <w:szCs w:val="20"/>
          <w:vertAlign w:val="superscript"/>
          <w:lang w:eastAsia="ar-SA"/>
        </w:rPr>
        <w:footnoteReference w:id="38"/>
      </w:r>
      <w:r w:rsidRPr="0045492F">
        <w:rPr>
          <w:rFonts w:ascii="Arial" w:eastAsia="Times New Roman" w:hAnsi="Arial" w:cs="Arial"/>
          <w:sz w:val="20"/>
          <w:szCs w:val="20"/>
          <w:lang w:eastAsia="ar-SA"/>
        </w:rPr>
        <w:t xml:space="preserve"> ali na drug primeren način. Na ta način se na eni strani iz individualiziranih plačilnih podatkov izloča podatke o plačah javnih uslužbencev, pokojnine, nadomestila bolniških odsotnosti ter »bagatelna« nakazila fizičnim osebam, na drugi strani pa se v podatkih toliko bolj izpostavlja nakazila, ki so po svoji naravi izjemna in kot taka potrebna posebne pozornosti.</w:t>
      </w:r>
    </w:p>
    <w:p w14:paraId="0A98A38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CC6C56B" w14:textId="03704B52" w:rsidR="0055047E" w:rsidRPr="0045492F" w:rsidRDefault="008B4580"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S</w:t>
      </w:r>
      <w:r w:rsidR="0055047E" w:rsidRPr="0045492F">
        <w:rPr>
          <w:rFonts w:ascii="Arial" w:eastAsia="Times New Roman" w:hAnsi="Arial" w:cs="Arial"/>
          <w:sz w:val="20"/>
          <w:szCs w:val="20"/>
          <w:lang w:eastAsia="ar-SA"/>
        </w:rPr>
        <w:t xml:space="preserve"> predlagano ureditvijo</w:t>
      </w:r>
      <w:r w:rsidRPr="0045492F">
        <w:rPr>
          <w:rFonts w:ascii="Arial" w:eastAsia="Times New Roman" w:hAnsi="Arial" w:cs="Arial"/>
          <w:sz w:val="20"/>
          <w:szCs w:val="20"/>
          <w:lang w:eastAsia="ar-SA"/>
        </w:rPr>
        <w:t xml:space="preserve"> se</w:t>
      </w:r>
      <w:r w:rsidR="0055047E" w:rsidRPr="0045492F">
        <w:rPr>
          <w:rFonts w:ascii="Arial" w:eastAsia="Times New Roman" w:hAnsi="Arial" w:cs="Arial"/>
          <w:sz w:val="20"/>
          <w:szCs w:val="20"/>
          <w:lang w:eastAsia="ar-SA"/>
        </w:rPr>
        <w:t xml:space="preserve"> </w:t>
      </w:r>
      <w:r w:rsidR="00664C37" w:rsidRPr="0045492F">
        <w:rPr>
          <w:rFonts w:ascii="Arial" w:eastAsia="Times New Roman" w:hAnsi="Arial" w:cs="Arial"/>
          <w:sz w:val="20"/>
          <w:szCs w:val="20"/>
          <w:lang w:eastAsia="ar-SA"/>
        </w:rPr>
        <w:t xml:space="preserve">KPK </w:t>
      </w:r>
      <w:r w:rsidR="0055047E" w:rsidRPr="0045492F">
        <w:rPr>
          <w:rFonts w:ascii="Arial" w:eastAsia="Times New Roman" w:hAnsi="Arial" w:cs="Arial"/>
          <w:sz w:val="20"/>
          <w:szCs w:val="20"/>
          <w:lang w:eastAsia="ar-SA"/>
        </w:rPr>
        <w:t>omogoča, da iz nepregledne množice odprtih, a individualno precej neuporabnih zbirk javnih podatkov</w:t>
      </w:r>
      <w:r w:rsidRPr="0045492F">
        <w:rPr>
          <w:rFonts w:ascii="Arial" w:eastAsia="Times New Roman" w:hAnsi="Arial" w:cs="Arial"/>
          <w:sz w:val="20"/>
          <w:szCs w:val="20"/>
          <w:lang w:eastAsia="ar-SA"/>
        </w:rPr>
        <w:t>,</w:t>
      </w:r>
      <w:r w:rsidR="0055047E" w:rsidRPr="0045492F">
        <w:rPr>
          <w:rFonts w:ascii="Arial" w:eastAsia="Times New Roman" w:hAnsi="Arial" w:cs="Arial"/>
          <w:sz w:val="20"/>
          <w:szCs w:val="20"/>
          <w:lang w:eastAsia="ar-SA"/>
        </w:rPr>
        <w:t xml:space="preserve"> ustvari podatkovni portal za spodbujanje transparentnosti delovanja Republike Slovenije ter krepitve integritete njenih organov.</w:t>
      </w:r>
    </w:p>
    <w:p w14:paraId="10905D0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D4CE5F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transparentne. Očitki o zgolj "pro forma" transparentnosti porabe javnih sredstev bodo s predlagano ureditvijo odpravljeni, finančne transakcije javnega sektorja pa ne bodo več potekale v senci, temveč se jih bo osvetlilo.</w:t>
      </w:r>
    </w:p>
    <w:p w14:paraId="5A1F6FE6" w14:textId="20F9E2C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D7D8984" w14:textId="68A40B14" w:rsidR="003257A8" w:rsidRPr="0045492F"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Drugi do deseti odstavek določajo način objave podatkov. </w:t>
      </w:r>
      <w:r w:rsidR="00982D1A" w:rsidRPr="0045492F">
        <w:rPr>
          <w:rFonts w:ascii="Arial" w:eastAsia="Times New Roman" w:hAnsi="Arial" w:cs="Arial"/>
          <w:sz w:val="20"/>
          <w:szCs w:val="20"/>
          <w:lang w:eastAsia="ar-SA"/>
        </w:rPr>
        <w:t>Določbe izhajajo</w:t>
      </w:r>
      <w:r w:rsidRPr="0045492F">
        <w:rPr>
          <w:rFonts w:ascii="Arial" w:eastAsia="Times New Roman" w:hAnsi="Arial" w:cs="Arial"/>
          <w:sz w:val="20"/>
          <w:szCs w:val="20"/>
          <w:lang w:eastAsia="ar-SA"/>
        </w:rPr>
        <w:t xml:space="preserve"> iz prvega odstavka, ki določa, da se lahko objavijo vsi podatki</w:t>
      </w:r>
      <w:r w:rsidR="008B4580" w:rsidRPr="0045492F">
        <w:rPr>
          <w:rFonts w:ascii="Arial" w:eastAsia="Times New Roman" w:hAnsi="Arial" w:cs="Arial"/>
          <w:sz w:val="20"/>
          <w:szCs w:val="20"/>
          <w:lang w:eastAsia="ar-SA"/>
        </w:rPr>
        <w:t xml:space="preserve"> iz 75.a člena</w:t>
      </w:r>
      <w:r w:rsidRPr="0045492F">
        <w:rPr>
          <w:rFonts w:ascii="Arial" w:eastAsia="Times New Roman" w:hAnsi="Arial" w:cs="Arial"/>
          <w:sz w:val="20"/>
          <w:szCs w:val="20"/>
          <w:lang w:eastAsia="ar-SA"/>
        </w:rPr>
        <w:t xml:space="preserve">, navedeni </w:t>
      </w:r>
      <w:r w:rsidR="00982D1A" w:rsidRPr="0045492F">
        <w:rPr>
          <w:rFonts w:ascii="Arial" w:eastAsia="Times New Roman" w:hAnsi="Arial" w:cs="Arial"/>
          <w:sz w:val="20"/>
          <w:szCs w:val="20"/>
          <w:lang w:eastAsia="ar-SA"/>
        </w:rPr>
        <w:t>odstavki</w:t>
      </w:r>
      <w:r w:rsidRPr="0045492F">
        <w:rPr>
          <w:rFonts w:ascii="Arial" w:eastAsia="Times New Roman" w:hAnsi="Arial" w:cs="Arial"/>
          <w:sz w:val="20"/>
          <w:szCs w:val="20"/>
          <w:lang w:eastAsia="ar-SA"/>
        </w:rPr>
        <w:t xml:space="preserve"> pa določajo omejitve</w:t>
      </w:r>
      <w:r w:rsidR="00982D1A" w:rsidRPr="0045492F">
        <w:rPr>
          <w:rFonts w:ascii="Arial" w:eastAsia="Times New Roman" w:hAnsi="Arial" w:cs="Arial"/>
          <w:sz w:val="20"/>
          <w:szCs w:val="20"/>
          <w:lang w:eastAsia="ar-SA"/>
        </w:rPr>
        <w:t xml:space="preserve"> glede objave</w:t>
      </w:r>
      <w:r w:rsidRPr="0045492F">
        <w:rPr>
          <w:rFonts w:ascii="Arial" w:eastAsia="Times New Roman" w:hAnsi="Arial" w:cs="Arial"/>
          <w:sz w:val="20"/>
          <w:szCs w:val="20"/>
          <w:lang w:eastAsia="ar-SA"/>
        </w:rPr>
        <w:t xml:space="preserve">. Omejitve se nanašajo predvsem na objavo osebnih podatkov, ki niso ključni za razumevanje transakcij javnega sektorja. Po pravilu se </w:t>
      </w:r>
      <w:r w:rsidR="008B4580" w:rsidRPr="0045492F">
        <w:rPr>
          <w:rFonts w:ascii="Arial" w:eastAsia="Times New Roman" w:hAnsi="Arial" w:cs="Arial"/>
          <w:sz w:val="20"/>
          <w:szCs w:val="20"/>
          <w:lang w:eastAsia="ar-SA"/>
        </w:rPr>
        <w:t xml:space="preserve">tako </w:t>
      </w:r>
      <w:r w:rsidRPr="0045492F">
        <w:rPr>
          <w:rFonts w:ascii="Arial" w:eastAsia="Times New Roman" w:hAnsi="Arial" w:cs="Arial"/>
          <w:sz w:val="20"/>
          <w:szCs w:val="20"/>
          <w:lang w:eastAsia="ar-SA"/>
        </w:rPr>
        <w:t>ne objavijo podatki o davčni številki, EMŠO, transakcijskem računu, in naslovu fizičnih oseb, njihovo ime in namen nakazila pa le, če gre za transakcije v vrednosti, ki presega bruto mesečno plačo predsednika republike.</w:t>
      </w:r>
    </w:p>
    <w:p w14:paraId="0945E88C" w14:textId="59F6E8FF" w:rsidR="003257A8" w:rsidRPr="0045492F"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05569EE" w14:textId="06063D78" w:rsidR="003257A8" w:rsidRPr="0045492F" w:rsidRDefault="003257A8"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Trinajsti odstavek določa ravnanje s podatki. KPK jih mora na svoji spletni strani objavljati 10 let od prve objave. Po 10 letih jih iz spletne strani odstrani, kopijo pa preda Arhivu Republike Slovenije</w:t>
      </w:r>
      <w:r w:rsidR="00982D1A" w:rsidRPr="0045492F">
        <w:rPr>
          <w:rFonts w:ascii="Arial" w:eastAsia="Times New Roman" w:hAnsi="Arial" w:cs="Arial"/>
          <w:sz w:val="20"/>
          <w:szCs w:val="20"/>
          <w:lang w:eastAsia="ar-SA"/>
        </w:rPr>
        <w:t>, ki s podatki ravna skladno s predpisi, ki veljajo za hrambo arhivskega gradiva</w:t>
      </w:r>
      <w:r w:rsidRPr="0045492F">
        <w:rPr>
          <w:rFonts w:ascii="Arial" w:eastAsia="Times New Roman" w:hAnsi="Arial" w:cs="Arial"/>
          <w:sz w:val="20"/>
          <w:szCs w:val="20"/>
          <w:lang w:eastAsia="ar-SA"/>
        </w:rPr>
        <w:t>. Objavljene podatke (ob upoštevanju omejitev iz drugega do desetega odstavka tega člena) KPK pripravi tudi v strojno berljivi obliki</w:t>
      </w:r>
      <w:r w:rsidR="00982D1A" w:rsidRPr="0045492F">
        <w:rPr>
          <w:rFonts w:ascii="Arial" w:eastAsia="Times New Roman" w:hAnsi="Arial" w:cs="Arial"/>
          <w:sz w:val="20"/>
          <w:szCs w:val="20"/>
          <w:lang w:eastAsia="ar-SA"/>
        </w:rPr>
        <w:t xml:space="preserve">. </w:t>
      </w:r>
      <w:r w:rsidR="008B4580" w:rsidRPr="0045492F">
        <w:rPr>
          <w:rFonts w:ascii="Arial" w:eastAsia="Times New Roman" w:hAnsi="Arial" w:cs="Arial"/>
          <w:sz w:val="20"/>
          <w:szCs w:val="20"/>
          <w:lang w:eastAsia="ar-SA"/>
        </w:rPr>
        <w:t>Tako pripravljene p</w:t>
      </w:r>
      <w:r w:rsidR="00982D1A" w:rsidRPr="0045492F">
        <w:rPr>
          <w:rFonts w:ascii="Arial" w:eastAsia="Times New Roman" w:hAnsi="Arial" w:cs="Arial"/>
          <w:sz w:val="20"/>
          <w:szCs w:val="20"/>
          <w:lang w:eastAsia="ar-SA"/>
        </w:rPr>
        <w:t xml:space="preserve">odatke KPK objavi </w:t>
      </w:r>
      <w:r w:rsidR="008B4580" w:rsidRPr="0045492F">
        <w:rPr>
          <w:rFonts w:ascii="Arial" w:eastAsia="Times New Roman" w:hAnsi="Arial" w:cs="Arial"/>
          <w:sz w:val="20"/>
          <w:szCs w:val="20"/>
          <w:lang w:eastAsia="ar-SA"/>
        </w:rPr>
        <w:t xml:space="preserve">tudi </w:t>
      </w:r>
      <w:r w:rsidR="00982D1A" w:rsidRPr="0045492F">
        <w:rPr>
          <w:rFonts w:ascii="Arial" w:eastAsia="Times New Roman" w:hAnsi="Arial" w:cs="Arial"/>
          <w:sz w:val="20"/>
          <w:szCs w:val="20"/>
          <w:lang w:eastAsia="ar-SA"/>
        </w:rPr>
        <w:t xml:space="preserve">v Nacionalnem portalu odprtih podatkov, skupaj z metapodatkovnim opisom zbirk. Iste podatke </w:t>
      </w:r>
      <w:r w:rsidR="008B4580" w:rsidRPr="0045492F">
        <w:rPr>
          <w:rFonts w:ascii="Arial" w:eastAsia="Times New Roman" w:hAnsi="Arial" w:cs="Arial"/>
          <w:sz w:val="20"/>
          <w:szCs w:val="20"/>
          <w:lang w:eastAsia="ar-SA"/>
        </w:rPr>
        <w:t xml:space="preserve">v strojno berljivi obliki </w:t>
      </w:r>
      <w:r w:rsidR="00982D1A" w:rsidRPr="0045492F">
        <w:rPr>
          <w:rFonts w:ascii="Arial" w:eastAsia="Times New Roman" w:hAnsi="Arial" w:cs="Arial"/>
          <w:sz w:val="20"/>
          <w:szCs w:val="20"/>
          <w:lang w:eastAsia="ar-SA"/>
        </w:rPr>
        <w:t>lahko</w:t>
      </w:r>
      <w:r w:rsidR="008B4580" w:rsidRPr="0045492F">
        <w:rPr>
          <w:rFonts w:ascii="Arial" w:eastAsia="Times New Roman" w:hAnsi="Arial" w:cs="Arial"/>
          <w:sz w:val="20"/>
          <w:szCs w:val="20"/>
          <w:lang w:eastAsia="ar-SA"/>
        </w:rPr>
        <w:t xml:space="preserve"> KPK</w:t>
      </w:r>
      <w:r w:rsidR="00982D1A" w:rsidRPr="0045492F">
        <w:rPr>
          <w:rFonts w:ascii="Arial" w:eastAsia="Times New Roman" w:hAnsi="Arial" w:cs="Arial"/>
          <w:sz w:val="20"/>
          <w:szCs w:val="20"/>
          <w:lang w:eastAsia="ar-SA"/>
        </w:rPr>
        <w:t xml:space="preserve"> objavi tudi na lastni spletni strani, kot to </w:t>
      </w:r>
      <w:r w:rsidR="00905514" w:rsidRPr="0045492F">
        <w:rPr>
          <w:rFonts w:ascii="Arial" w:eastAsia="Times New Roman" w:hAnsi="Arial" w:cs="Arial"/>
          <w:sz w:val="20"/>
          <w:szCs w:val="20"/>
          <w:lang w:eastAsia="ar-SA"/>
        </w:rPr>
        <w:t xml:space="preserve">za del podatkov </w:t>
      </w:r>
      <w:r w:rsidR="00982D1A" w:rsidRPr="0045492F">
        <w:rPr>
          <w:rFonts w:ascii="Arial" w:eastAsia="Times New Roman" w:hAnsi="Arial" w:cs="Arial"/>
          <w:sz w:val="20"/>
          <w:szCs w:val="20"/>
          <w:lang w:eastAsia="ar-SA"/>
        </w:rPr>
        <w:t>sicer tudi že počne.</w:t>
      </w:r>
      <w:r w:rsidR="00905514" w:rsidRPr="0045492F">
        <w:rPr>
          <w:rFonts w:ascii="Arial" w:eastAsia="Times New Roman" w:hAnsi="Arial" w:cs="Arial"/>
          <w:sz w:val="20"/>
          <w:szCs w:val="20"/>
          <w:lang w:eastAsia="ar-SA"/>
        </w:rPr>
        <w:t xml:space="preserve"> V strojno berljivi obliki se sicer ne objavijo vsi podatki, le tisti, izrecno našteti v 13 odstavku.</w:t>
      </w:r>
    </w:p>
    <w:p w14:paraId="4C676138" w14:textId="35098839" w:rsidR="00905514" w:rsidRPr="0045492F"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BBB53E" w14:textId="3870CC4E" w:rsidR="00905514" w:rsidRPr="0045492F" w:rsidRDefault="00905514"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podatkih se lahko pojavijo tudi napake. Javnost podatkov, ki jih je v aplikaciji Supervizor in kasneje Erar objavljala KPK, je ugodno vplivala na odkrivanje in odpravljanje napak v primarnih zbirkah, iz katerih so se pridobivali podatki, s tem pa tudi na kakovost primarnih zbirk. Dvanajsti odstavek določa, da lahko osebe s pravnim interesom zahtevajo odpravo napak. KPK bo takšno zahtevo obravnavala skladno z določbami ZUP. Če gre za napako pri zbirkah, ki jih vodi KPK ali za napako pri obdelavi podatkov, povezovanju, prikazu in podobno, bo KPK napake odpravila. Če bo zahtevku s tem v celoti ugodila, se o tem napravi uradni zaznamek</w:t>
      </w:r>
      <w:r w:rsidR="0090389F" w:rsidRPr="0045492F">
        <w:rPr>
          <w:rFonts w:ascii="Arial" w:eastAsia="Times New Roman" w:hAnsi="Arial" w:cs="Arial"/>
          <w:sz w:val="20"/>
          <w:szCs w:val="20"/>
          <w:lang w:eastAsia="ar-SA"/>
        </w:rPr>
        <w:t>. Če se zahtevku ne ugodi, se o zahtevku odloči z odločbo. Zoper odločitev KPK v tem primeru ni dovoljena pritožba, ker ni organa druge stopnje, ki bi o takšni pritožbi lahko odločal</w:t>
      </w:r>
      <w:r w:rsidR="002D2BB8" w:rsidRPr="0045492F">
        <w:rPr>
          <w:rFonts w:ascii="Arial" w:eastAsia="Times New Roman" w:hAnsi="Arial" w:cs="Arial"/>
          <w:sz w:val="20"/>
          <w:szCs w:val="20"/>
          <w:lang w:eastAsia="ar-SA"/>
        </w:rPr>
        <w:t>.</w:t>
      </w:r>
    </w:p>
    <w:p w14:paraId="44D84461" w14:textId="37C41C06" w:rsidR="0090389F" w:rsidRPr="0045492F"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7973E366" w14:textId="66563093" w:rsidR="0090389F" w:rsidRPr="0045492F" w:rsidRDefault="0090389F"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Če bo oseba opozorila na napako v podatkih v primarnih zbirkah, bo KPK skladno z ZUP vlogo odstopila pristojnemu organu. Kot izhaja iz obstoječih dogovorov KPK s posameznimi upravljavci primarnih zbirk, KPK </w:t>
      </w:r>
      <w:r w:rsidR="002D2BB8" w:rsidRPr="0045492F">
        <w:rPr>
          <w:rFonts w:ascii="Arial" w:eastAsia="Times New Roman" w:hAnsi="Arial" w:cs="Arial"/>
          <w:sz w:val="20"/>
          <w:szCs w:val="20"/>
          <w:lang w:eastAsia="ar-SA"/>
        </w:rPr>
        <w:t xml:space="preserve">načeloma </w:t>
      </w:r>
      <w:r w:rsidRPr="0045492F">
        <w:rPr>
          <w:rFonts w:ascii="Arial" w:eastAsia="Times New Roman" w:hAnsi="Arial" w:cs="Arial"/>
          <w:sz w:val="20"/>
          <w:szCs w:val="20"/>
          <w:lang w:eastAsia="ar-SA"/>
        </w:rPr>
        <w:t xml:space="preserve">ne sme spreminjati podatkov, ki jih </w:t>
      </w:r>
      <w:r w:rsidR="002D2BB8" w:rsidRPr="0045492F">
        <w:rPr>
          <w:rFonts w:ascii="Arial" w:eastAsia="Times New Roman" w:hAnsi="Arial" w:cs="Arial"/>
          <w:sz w:val="20"/>
          <w:szCs w:val="20"/>
          <w:lang w:eastAsia="ar-SA"/>
        </w:rPr>
        <w:t>pridobi</w:t>
      </w:r>
      <w:r w:rsidRPr="0045492F">
        <w:rPr>
          <w:rFonts w:ascii="Arial" w:eastAsia="Times New Roman" w:hAnsi="Arial" w:cs="Arial"/>
          <w:sz w:val="20"/>
          <w:szCs w:val="20"/>
          <w:lang w:eastAsia="ar-SA"/>
        </w:rPr>
        <w:t>. Vsak vsebinski poseg v podatke mora biti usklajen z upravljavci primarnih zbirk in dokumentiran. Integriteta podatkov je pomembna z vidika zaupanja v podatke.</w:t>
      </w:r>
    </w:p>
    <w:p w14:paraId="674AF97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25078A2" w14:textId="33B4E041"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39</w:t>
      </w:r>
      <w:r w:rsidRPr="0055047E">
        <w:rPr>
          <w:rFonts w:ascii="Arial" w:eastAsia="Times New Roman" w:hAnsi="Arial" w:cs="Arial"/>
          <w:b/>
          <w:szCs w:val="16"/>
          <w:lang w:eastAsia="ar-SA"/>
        </w:rPr>
        <w:t>. členu (76. člen ZIntPK)</w:t>
      </w:r>
    </w:p>
    <w:p w14:paraId="5A3FD2C3" w14:textId="0DA68452" w:rsidR="007C5FCA" w:rsidRPr="0045492F"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 prvem odstavku 76. člena se bolj jasno določa, da se z gradivom, ki nastane pri delovanju KPK ravna skladno z veljavnimi predpisi, ki urejajo varstvo dokumentarnega in arhivskega gradiva. Pristojni arhiv s pisnim strokovnimi navodili določi arhivsko gradivo za vsako javnopravno osebo</w:t>
      </w:r>
      <w:r w:rsidR="00D75E07" w:rsidRPr="0045492F">
        <w:rPr>
          <w:rFonts w:ascii="Arial" w:eastAsia="Times New Roman" w:hAnsi="Arial" w:cs="Arial"/>
          <w:sz w:val="20"/>
          <w:szCs w:val="20"/>
          <w:lang w:eastAsia="ar-SA"/>
        </w:rPr>
        <w:t>,</w:t>
      </w:r>
      <w:r w:rsidRPr="0045492F">
        <w:rPr>
          <w:rFonts w:ascii="Arial" w:eastAsia="Times New Roman" w:hAnsi="Arial" w:cs="Arial"/>
          <w:sz w:val="20"/>
          <w:szCs w:val="20"/>
          <w:lang w:eastAsia="ar-SA"/>
        </w:rPr>
        <w:t xml:space="preserve"> tudi </w:t>
      </w:r>
      <w:r w:rsidR="00D75E07" w:rsidRPr="0045492F">
        <w:rPr>
          <w:rFonts w:ascii="Arial" w:eastAsia="Times New Roman" w:hAnsi="Arial" w:cs="Arial"/>
          <w:sz w:val="20"/>
          <w:szCs w:val="20"/>
          <w:lang w:eastAsia="ar-SA"/>
        </w:rPr>
        <w:t xml:space="preserve">za </w:t>
      </w:r>
      <w:r w:rsidRPr="0045492F">
        <w:rPr>
          <w:rFonts w:ascii="Arial" w:eastAsia="Times New Roman" w:hAnsi="Arial" w:cs="Arial"/>
          <w:sz w:val="20"/>
          <w:szCs w:val="20"/>
          <w:lang w:eastAsia="ar-SA"/>
        </w:rPr>
        <w:t>KPK. Že veljavni zakon je določal podobno, vendar je v praksi prihajalo do različnih interpretacij glede vprašanja, katero gradivo bo moral sprejeti arhiv – vse gradivo, ki nastane pri delu KPK ali gradivo, skladno z veljavno področno zakonodajo.</w:t>
      </w:r>
    </w:p>
    <w:p w14:paraId="6052901B" w14:textId="77777777" w:rsidR="007C5FCA" w:rsidRPr="0045492F" w:rsidRDefault="007C5FCA"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430C01C" w14:textId="5D855D21"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Poleg redakcijskih popravkov druge, tretje in sedme do enajste alineje drugega odstavka 76. člena ZIntPK, ki so posledica sprememb členov, na katere se evidence nanašajo, se v novi šestnajsti alineji 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 (izjema je kot izhaja v nadaljevanju predvidena le za t. i. »</w:t>
      </w:r>
      <w:r w:rsidRPr="00A926CD">
        <w:rPr>
          <w:rFonts w:ascii="Arial" w:eastAsia="Times New Roman" w:hAnsi="Arial" w:cs="Arial"/>
          <w:i/>
          <w:sz w:val="20"/>
          <w:szCs w:val="20"/>
          <w:lang w:eastAsia="ar-SA"/>
        </w:rPr>
        <w:t>in house</w:t>
      </w:r>
      <w:r w:rsidRPr="0045492F">
        <w:rPr>
          <w:rFonts w:ascii="Arial" w:eastAsia="Times New Roman" w:hAnsi="Arial" w:cs="Arial"/>
          <w:sz w:val="20"/>
          <w:szCs w:val="20"/>
          <w:lang w:eastAsia="ar-SA"/>
        </w:rPr>
        <w:t xml:space="preserve"> lobiste«). V skladu z definicijo lobista iz 4. člena ZIntPK je lobist oseba, ki opravlja dejanja lobiranja,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7D46C32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BA3006" w14:textId="482F01D3"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40</w:t>
      </w:r>
      <w:r w:rsidRPr="0055047E">
        <w:rPr>
          <w:rFonts w:ascii="Arial" w:eastAsia="Times New Roman" w:hAnsi="Arial" w:cs="Arial"/>
          <w:b/>
          <w:szCs w:val="16"/>
          <w:lang w:eastAsia="ar-SA"/>
        </w:rPr>
        <w:t>. členu (77. člen ZIntPK)</w:t>
      </w:r>
    </w:p>
    <w:p w14:paraId="67D12321" w14:textId="3354991A"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Predlagana sprememba 77. člena vključuje redakcijske popravke prve, šeste, sedme in devete alineje dosedanjega prvega odstavka in desetega, enajstega, dvanajstega in (dosedanjega) petnajstega odstavka 77. člena ZIntPK, ki so posledica sprememb členov, na katere se prekrški nanašajo. V praksi se je izkazalo, da narava določenih opustitev ravnanj oziroma ravnanj, ki so v nasprotju z določbami tega zakona upravičujejo potrebo, da je določena kršitev </w:t>
      </w:r>
      <w:r w:rsidR="00BD59D3" w:rsidRPr="0045492F">
        <w:rPr>
          <w:rFonts w:ascii="Arial" w:eastAsia="Times New Roman" w:hAnsi="Arial" w:cs="Arial"/>
          <w:sz w:val="20"/>
          <w:szCs w:val="20"/>
          <w:lang w:eastAsia="ar-SA"/>
        </w:rPr>
        <w:t xml:space="preserve">predpisana </w:t>
      </w:r>
      <w:r w:rsidRPr="0045492F">
        <w:rPr>
          <w:rFonts w:ascii="Arial" w:eastAsia="Times New Roman" w:hAnsi="Arial" w:cs="Arial"/>
          <w:sz w:val="20"/>
          <w:szCs w:val="20"/>
          <w:lang w:eastAsia="ar-SA"/>
        </w:rPr>
        <w:t xml:space="preserve">kot prekršek. Upoštevaje navedeno in ker predlog zakona določa tudi nekatere nove obveznosti za zavezance oziroma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ravnanja v nasprotju z določbo tretjega odstavka 70. člena pri lobiranju, ravnanja v nasprotju z drugim odstavkom 35. člena oziroma drugim odstavkom 36. člena, ravnanja, ki se nanašajo na dolžno postopanje v primeru nasprotja interesov in ravnanja, ki se nanašajo na obveznosti v zvezi z izdelavo in izvajanjem načrta integritete.</w:t>
      </w:r>
    </w:p>
    <w:p w14:paraId="5D3D97B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1EF2CC9C" w14:textId="4F824EBD"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41</w:t>
      </w:r>
      <w:r w:rsidRPr="0055047E">
        <w:rPr>
          <w:rFonts w:ascii="Arial" w:eastAsia="Times New Roman" w:hAnsi="Arial" w:cs="Arial"/>
          <w:b/>
          <w:szCs w:val="16"/>
          <w:lang w:eastAsia="ar-SA"/>
        </w:rPr>
        <w:t>. členu (78. člen ZIntPK)</w:t>
      </w:r>
    </w:p>
    <w:p w14:paraId="63A030D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Veljavna določba 78. člena ZIntPK, ki ureja prekrške pravnih oseb, se spreminja zaradi redakcijske uskladitve s spremenjenim 77. členom ZIntPK. Poleg tega se črta besedilo, ki se nanaša na Republiko Slovenijo in lokalne skupnosti, saj navedeno vsebino sistemsko ureja 13.a člen ZP-1.</w:t>
      </w:r>
    </w:p>
    <w:p w14:paraId="137DD25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CFA21B9" w14:textId="55138FC3"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42</w:t>
      </w:r>
      <w:r w:rsidRPr="0055047E">
        <w:rPr>
          <w:rFonts w:ascii="Arial" w:eastAsia="Times New Roman" w:hAnsi="Arial" w:cs="Arial"/>
          <w:b/>
          <w:szCs w:val="16"/>
          <w:lang w:eastAsia="ar-SA"/>
        </w:rPr>
        <w:t>. členu (79. člen ZIntPK)</w:t>
      </w:r>
    </w:p>
    <w:p w14:paraId="02ECAE2C"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Veljavna določba 79. člena, ki ureja prekrške interesnih organizacij se upoštevaje novo predvideno obveznost interesnih organizacij glede letnega pošiljanja poročila o lobiranju iz tretjega odstavka 63. člena, dopolnjuje z novim drugim odstavkom.</w:t>
      </w:r>
    </w:p>
    <w:p w14:paraId="4CE27A0B"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2770CA5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prehodnim in končnim določbam</w:t>
      </w:r>
    </w:p>
    <w:p w14:paraId="2D0F745A" w14:textId="77777777" w:rsidR="0055047E" w:rsidRPr="0045492F" w:rsidRDefault="0055047E" w:rsidP="0055047E">
      <w:pPr>
        <w:suppressAutoHyphens/>
        <w:overflowPunct w:val="0"/>
        <w:autoSpaceDE w:val="0"/>
        <w:spacing w:after="0" w:line="260" w:lineRule="atLeast"/>
        <w:jc w:val="both"/>
        <w:textAlignment w:val="baseline"/>
        <w:rPr>
          <w:rFonts w:ascii="Arial" w:eastAsia="Times New Roman" w:hAnsi="Arial" w:cs="Arial"/>
          <w:b/>
          <w:sz w:val="20"/>
          <w:szCs w:val="20"/>
          <w:lang w:eastAsia="ar-SA"/>
        </w:rPr>
      </w:pPr>
    </w:p>
    <w:p w14:paraId="44EF6721" w14:textId="6A7F034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43</w:t>
      </w:r>
      <w:r w:rsidRPr="0055047E">
        <w:rPr>
          <w:rFonts w:ascii="Arial" w:eastAsia="Times New Roman" w:hAnsi="Arial" w:cs="Arial"/>
          <w:b/>
          <w:szCs w:val="16"/>
          <w:lang w:eastAsia="ar-SA"/>
        </w:rPr>
        <w:t>. členu (poslovnik komisije)</w:t>
      </w:r>
    </w:p>
    <w:p w14:paraId="2F542CF0" w14:textId="14C63BFE"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Upoštevaje vsebino predlaganih sprememb zakona, predlagana določba narekuje sprejem novega poslovnika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 </w:t>
      </w:r>
      <w:r w:rsidR="002270A7" w:rsidRPr="0045492F">
        <w:rPr>
          <w:rFonts w:ascii="Arial" w:eastAsia="Times New Roman" w:hAnsi="Arial" w:cs="Arial"/>
          <w:sz w:val="20"/>
          <w:szCs w:val="20"/>
          <w:lang w:eastAsia="ar-SA"/>
        </w:rPr>
        <w:t xml:space="preserve">šestih </w:t>
      </w:r>
      <w:r w:rsidRPr="0045492F">
        <w:rPr>
          <w:rFonts w:ascii="Arial" w:eastAsia="Times New Roman" w:hAnsi="Arial" w:cs="Arial"/>
          <w:sz w:val="20"/>
          <w:szCs w:val="20"/>
          <w:lang w:eastAsia="ar-SA"/>
        </w:rPr>
        <w:t>mesecih od uveljavitve tega zakona.</w:t>
      </w:r>
    </w:p>
    <w:p w14:paraId="4B4CC5C2"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B4B83C2" w14:textId="13F84183"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44</w:t>
      </w:r>
      <w:r w:rsidRPr="0055047E">
        <w:rPr>
          <w:rFonts w:ascii="Arial" w:eastAsia="Times New Roman" w:hAnsi="Arial" w:cs="Arial"/>
          <w:b/>
          <w:szCs w:val="16"/>
          <w:lang w:eastAsia="ar-SA"/>
        </w:rPr>
        <w:t>. členu (pravilnik o načinu razpolaganja z darili)</w:t>
      </w:r>
    </w:p>
    <w:p w14:paraId="7B0A92F9" w14:textId="3A9BA21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Predlog zakona v </w:t>
      </w:r>
      <w:r w:rsidR="008C1181">
        <w:rPr>
          <w:rFonts w:ascii="Arial" w:eastAsia="Times New Roman" w:hAnsi="Arial" w:cs="Arial"/>
          <w:sz w:val="20"/>
          <w:szCs w:val="20"/>
          <w:lang w:eastAsia="ar-SA"/>
        </w:rPr>
        <w:t>sedmem</w:t>
      </w:r>
      <w:r w:rsidR="008C1181" w:rsidRPr="0045492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 xml:space="preserve">odstavku 30. člena predvideva izdajo pravilnika, ki bo urejal način razpolaganja z darili, določanje vrednosti daril, vodenje seznama daril ter druga izvedbena vprašanja v zvezi s tem členom. V predlagani prehodni določbi se tako določa rok za sprejem smernic, in sicer v </w:t>
      </w:r>
      <w:r w:rsidR="00563090" w:rsidRPr="0045492F">
        <w:rPr>
          <w:rFonts w:ascii="Arial" w:eastAsia="Times New Roman" w:hAnsi="Arial" w:cs="Arial"/>
          <w:sz w:val="20"/>
          <w:szCs w:val="20"/>
          <w:lang w:eastAsia="ar-SA"/>
        </w:rPr>
        <w:t xml:space="preserve">šestih </w:t>
      </w:r>
      <w:r w:rsidRPr="0045492F">
        <w:rPr>
          <w:rFonts w:ascii="Arial" w:eastAsia="Times New Roman" w:hAnsi="Arial" w:cs="Arial"/>
          <w:sz w:val="20"/>
          <w:szCs w:val="20"/>
          <w:lang w:eastAsia="ar-SA"/>
        </w:rPr>
        <w:t>mesecih od uveljavitve tega zakona.</w:t>
      </w:r>
    </w:p>
    <w:p w14:paraId="5FB55111"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49F3E7B2" w14:textId="7FA5F14B"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45</w:t>
      </w:r>
      <w:r w:rsidRPr="0055047E">
        <w:rPr>
          <w:rFonts w:ascii="Arial" w:eastAsia="Times New Roman" w:hAnsi="Arial" w:cs="Arial"/>
          <w:b/>
          <w:szCs w:val="16"/>
          <w:lang w:eastAsia="ar-SA"/>
        </w:rPr>
        <w:t>. členu (omejitev poslovanja)</w:t>
      </w:r>
    </w:p>
    <w:p w14:paraId="2D0C6E6F" w14:textId="1C26B924"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Ker se s predlagano spremembo 35. člena širi nabor podatkov, ki so jih zavezanci dolžni posredovati </w:t>
      </w:r>
      <w:r w:rsidR="00664C37" w:rsidRPr="0045492F">
        <w:rPr>
          <w:rFonts w:ascii="Arial" w:eastAsia="Times New Roman" w:hAnsi="Arial" w:cs="Arial"/>
          <w:sz w:val="20"/>
          <w:szCs w:val="20"/>
          <w:lang w:eastAsia="ar-SA"/>
        </w:rPr>
        <w:t>KPK</w:t>
      </w:r>
      <w:r w:rsidRPr="0045492F">
        <w:rPr>
          <w:rFonts w:ascii="Arial" w:eastAsia="Times New Roman" w:hAnsi="Arial" w:cs="Arial"/>
          <w:sz w:val="20"/>
          <w:szCs w:val="20"/>
          <w:lang w:eastAsia="ar-SA"/>
        </w:rPr>
        <w:t>, se z namenom vzpostavitve ažurne evidence, v prehodni določbi določa rok za posredovanje zahtevanih podatkov kot tudi prekršek za neizpolnitev te obveznosti.</w:t>
      </w:r>
    </w:p>
    <w:p w14:paraId="50F558D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6F5DF2A4" w14:textId="14996D54"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46</w:t>
      </w:r>
      <w:r w:rsidRPr="0055047E">
        <w:rPr>
          <w:rFonts w:ascii="Arial" w:eastAsia="Times New Roman" w:hAnsi="Arial" w:cs="Arial"/>
          <w:b/>
          <w:szCs w:val="16"/>
          <w:lang w:eastAsia="ar-SA"/>
        </w:rPr>
        <w:t>. členu (poročanje o premoženjskem stanju)</w:t>
      </w:r>
    </w:p>
    <w:p w14:paraId="023262CF" w14:textId="5D03DB6C"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Predlagana sprememba prvega odstavka 41. člena zakona širi krog zavezancev za prijavo premoženjskega stanja, in sicer je ta dolžnost na novo določena za člane državnega sveta, člane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w:t>
      </w:r>
      <w:r w:rsidRPr="0045492F">
        <w:rPr>
          <w:rFonts w:ascii="Helv" w:eastAsia="Times New Roman" w:hAnsi="Helv" w:cs="Helv"/>
          <w:sz w:val="20"/>
          <w:szCs w:val="20"/>
          <w:lang w:eastAsia="ar-SA"/>
        </w:rPr>
        <w:t>in drugih pravnih oseb, v katerih imata država ali lokalna skupnost večinski delež ali prevladujoč vpliv</w:t>
      </w:r>
      <w:r w:rsidRPr="0045492F">
        <w:rPr>
          <w:rFonts w:ascii="Arial" w:eastAsia="Times New Roman" w:hAnsi="Arial" w:cs="Arial"/>
          <w:sz w:val="20"/>
          <w:szCs w:val="20"/>
          <w:lang w:eastAsia="ar-SA"/>
        </w:rPr>
        <w:t xml:space="preserve">. Upoštevaje navedeno ter dejstvo, da bo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20561F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38BEE25" w14:textId="7805A901"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47</w:t>
      </w:r>
      <w:r w:rsidRPr="0055047E">
        <w:rPr>
          <w:rFonts w:ascii="Arial" w:eastAsia="Times New Roman" w:hAnsi="Arial" w:cs="Arial"/>
          <w:b/>
          <w:szCs w:val="16"/>
          <w:lang w:eastAsia="ar-SA"/>
        </w:rPr>
        <w:t>. členu (sporočanje sprememb premoženjskega stanja)</w:t>
      </w:r>
    </w:p>
    <w:p w14:paraId="2A3BA868"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4DB862A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5AD04A5" w14:textId="0C31855A"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48</w:t>
      </w:r>
      <w:r w:rsidRPr="0055047E">
        <w:rPr>
          <w:rFonts w:ascii="Arial" w:eastAsia="Times New Roman" w:hAnsi="Arial" w:cs="Arial"/>
          <w:b/>
          <w:szCs w:val="16"/>
          <w:lang w:eastAsia="ar-SA"/>
        </w:rPr>
        <w:t>. členu (vzpostavitev informacijskega sistema za javno objavo podatkov)</w:t>
      </w:r>
    </w:p>
    <w:p w14:paraId="49980A54" w14:textId="0AF33C9B"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V prehodni določbi se določa </w:t>
      </w:r>
      <w:r w:rsidR="00E61219" w:rsidRPr="0045492F">
        <w:rPr>
          <w:rFonts w:ascii="Arial" w:eastAsia="Times New Roman" w:hAnsi="Arial" w:cs="Arial"/>
          <w:sz w:val="20"/>
          <w:szCs w:val="20"/>
          <w:lang w:eastAsia="ar-SA"/>
        </w:rPr>
        <w:t xml:space="preserve">enoletni </w:t>
      </w:r>
      <w:r w:rsidRPr="0045492F">
        <w:rPr>
          <w:rFonts w:ascii="Arial" w:eastAsia="Times New Roman" w:hAnsi="Arial" w:cs="Arial"/>
          <w:sz w:val="20"/>
          <w:szCs w:val="20"/>
          <w:lang w:eastAsia="ar-SA"/>
        </w:rPr>
        <w:t xml:space="preserve">rok v katerem mora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 xml:space="preserve">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ponovno v celoti prijavijo premoženjsko stanje, ki bo odsevalo zadnje realno stanje, kot tudi prekršek za neizpolnitev navedene obveznosti.</w:t>
      </w:r>
    </w:p>
    <w:p w14:paraId="68D110EE"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7836130" w14:textId="3068C374"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49</w:t>
      </w:r>
      <w:r w:rsidRPr="0055047E">
        <w:rPr>
          <w:rFonts w:ascii="Arial" w:eastAsia="Times New Roman" w:hAnsi="Arial" w:cs="Arial"/>
          <w:b/>
          <w:szCs w:val="16"/>
          <w:lang w:eastAsia="ar-SA"/>
        </w:rPr>
        <w:t>. členu (vzpostavitev evidenc)</w:t>
      </w:r>
    </w:p>
    <w:p w14:paraId="46344967" w14:textId="42443D69"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Glede na to, da se poleg redakcijskih popravkov predlaga vzpostavitev dodatne evidence lobističnih stikov iz 68. člena ZIntPK, se v prehodni določbi določa rok</w:t>
      </w:r>
      <w:r w:rsidR="00563090" w:rsidRPr="0045492F">
        <w:rPr>
          <w:rFonts w:ascii="Arial" w:eastAsia="Times New Roman" w:hAnsi="Arial" w:cs="Arial"/>
          <w:sz w:val="20"/>
          <w:szCs w:val="20"/>
          <w:lang w:eastAsia="ar-SA"/>
        </w:rPr>
        <w:t xml:space="preserve"> šestih mesecev</w:t>
      </w:r>
      <w:r w:rsidRPr="0045492F">
        <w:rPr>
          <w:rFonts w:ascii="Arial" w:eastAsia="Times New Roman" w:hAnsi="Arial" w:cs="Arial"/>
          <w:sz w:val="20"/>
          <w:szCs w:val="20"/>
          <w:lang w:eastAsia="ar-SA"/>
        </w:rPr>
        <w:t xml:space="preserve"> za vzpostavitev oziroma uskladitev evidenc podatkov po tem zakonu.</w:t>
      </w:r>
    </w:p>
    <w:p w14:paraId="5EF0BB86"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456EBFB" w14:textId="3E1EF502"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50</w:t>
      </w:r>
      <w:r w:rsidRPr="0055047E">
        <w:rPr>
          <w:rFonts w:ascii="Arial" w:eastAsia="Times New Roman" w:hAnsi="Arial" w:cs="Arial"/>
          <w:b/>
          <w:szCs w:val="16"/>
          <w:lang w:eastAsia="ar-SA"/>
        </w:rPr>
        <w:t>. členu (financiranje neprofitnih organizacij zasebnega sektorja)</w:t>
      </w:r>
    </w:p>
    <w:p w14:paraId="25A7D008" w14:textId="44AA2C96"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Upoštevaje predlagano spremembo 17. člena zakona, ki določa obveznost KPK, da enkrat letno objavi razpis za (so)financiranje projektov neprofitnih organizacij zasebnega sektorja pri izvajanju nalog na področju usposabljanja, informiranja, osveščanja javnosti in organov javnega sektorja ter prenašanja dobrih praks na področju uresničevanja namena tega zakona, kar na drugi strani terja zagotovitev finančnih sredstev iz tega naslova, se v prehodni določbi predlaga, da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pristopi k izpolnitvi navedene obveznosti s pričetkom proračunskega leta, ki sledi uveljavitvi tega zakona.</w:t>
      </w:r>
    </w:p>
    <w:p w14:paraId="31E4803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2616EE55" w14:textId="4F7D4EAF"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51</w:t>
      </w:r>
      <w:r w:rsidRPr="0055047E">
        <w:rPr>
          <w:rFonts w:ascii="Arial" w:eastAsia="Times New Roman" w:hAnsi="Arial" w:cs="Arial"/>
          <w:b/>
          <w:szCs w:val="16"/>
          <w:lang w:eastAsia="ar-SA"/>
        </w:rPr>
        <w:t>. členu (zaključek postopkov)</w:t>
      </w:r>
    </w:p>
    <w:p w14:paraId="58C2097F"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Vsi postopki, ki so se začeli na podlagi določb Zakona o integriteti in preprečevanju korupcije (Uradni list RS, št. 69/11 – uradno prečiščeno besedilo), se po začetku veljavnosti tega zakona nadaljujejo in končajo po določbah tega zakona.</w:t>
      </w:r>
    </w:p>
    <w:p w14:paraId="26F32614"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5908980B" w14:textId="61E54704"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52</w:t>
      </w:r>
      <w:r w:rsidRPr="0055047E">
        <w:rPr>
          <w:rFonts w:ascii="Arial" w:eastAsia="Times New Roman" w:hAnsi="Arial" w:cs="Arial"/>
          <w:b/>
          <w:szCs w:val="16"/>
          <w:lang w:eastAsia="ar-SA"/>
        </w:rPr>
        <w:t xml:space="preserve">. členu (prenehanje veljavnosti in uporaba </w:t>
      </w:r>
      <w:r w:rsidR="00A33C5C">
        <w:rPr>
          <w:rFonts w:ascii="Arial" w:eastAsia="Times New Roman" w:hAnsi="Arial" w:cs="Arial"/>
          <w:b/>
          <w:szCs w:val="16"/>
          <w:lang w:eastAsia="ar-SA"/>
        </w:rPr>
        <w:t>ter spremembe predpisov</w:t>
      </w:r>
      <w:r w:rsidRPr="0055047E">
        <w:rPr>
          <w:rFonts w:ascii="Arial" w:eastAsia="Times New Roman" w:hAnsi="Arial" w:cs="Arial"/>
          <w:b/>
          <w:szCs w:val="16"/>
          <w:lang w:eastAsia="ar-SA"/>
        </w:rPr>
        <w:t>)</w:t>
      </w:r>
    </w:p>
    <w:p w14:paraId="39BDC27A" w14:textId="33E250CD"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bookmarkStart w:id="19" w:name="_Hlk10108280"/>
      <w:r w:rsidRPr="0045492F">
        <w:rPr>
          <w:rFonts w:ascii="Arial" w:eastAsia="Times New Roman" w:hAnsi="Arial" w:cs="Arial"/>
          <w:sz w:val="20"/>
          <w:szCs w:val="20"/>
          <w:lang w:eastAsia="ar-SA"/>
        </w:rPr>
        <w:t>Zakon o poslancih</w:t>
      </w:r>
      <w:r w:rsidRPr="0045492F">
        <w:rPr>
          <w:rFonts w:ascii="Arial" w:eastAsia="Times New Roman" w:hAnsi="Arial" w:cs="Arial"/>
          <w:sz w:val="20"/>
          <w:szCs w:val="20"/>
          <w:vertAlign w:val="superscript"/>
          <w:lang w:eastAsia="ar-SA"/>
        </w:rPr>
        <w:footnoteReference w:id="39"/>
      </w:r>
      <w:r w:rsidRPr="0045492F">
        <w:rPr>
          <w:rFonts w:ascii="Arial" w:eastAsia="Times New Roman" w:hAnsi="Arial" w:cs="Arial"/>
          <w:sz w:val="20"/>
          <w:szCs w:val="20"/>
          <w:lang w:eastAsia="ar-SA"/>
        </w:rPr>
        <w:t xml:space="preserve"> v 4. členu določa, da poslanec ne sme opravljati funkcije ali dejavnosti, ki po zakonu ni združljiva s funkcijo poslanca. Isti zakon v III. </w:t>
      </w:r>
      <w:r w:rsidR="00563090" w:rsidRPr="0045492F">
        <w:rPr>
          <w:rFonts w:ascii="Arial" w:eastAsia="Times New Roman" w:hAnsi="Arial" w:cs="Arial"/>
          <w:sz w:val="20"/>
          <w:szCs w:val="20"/>
          <w:lang w:eastAsia="ar-SA"/>
        </w:rPr>
        <w:t>p</w:t>
      </w:r>
      <w:r w:rsidRPr="0045492F">
        <w:rPr>
          <w:rFonts w:ascii="Arial" w:eastAsia="Times New Roman" w:hAnsi="Arial" w:cs="Arial"/>
          <w:sz w:val="20"/>
          <w:szCs w:val="20"/>
          <w:lang w:eastAsia="ar-SA"/>
        </w:rPr>
        <w:t>oglavju (10. do 14. člen) vsebuje določbe v zvezi z nezdružljivostjo funkcije poslanca z drugimi funkcijami in dejavnostmi.</w:t>
      </w:r>
      <w:r w:rsidR="00BA5D9F">
        <w:rPr>
          <w:rFonts w:ascii="Arial" w:eastAsia="Times New Roman" w:hAnsi="Arial" w:cs="Arial"/>
          <w:sz w:val="20"/>
          <w:szCs w:val="20"/>
          <w:lang w:eastAsia="ar-SA"/>
        </w:rPr>
        <w:t xml:space="preserve"> </w:t>
      </w:r>
      <w:r w:rsidRPr="0045492F">
        <w:rPr>
          <w:rFonts w:ascii="Arial" w:eastAsia="Times New Roman" w:hAnsi="Arial" w:cs="Arial"/>
          <w:sz w:val="20"/>
          <w:szCs w:val="20"/>
          <w:lang w:eastAsia="ar-SA"/>
        </w:rPr>
        <w:t>Razveljavlja se 13. člen Zakona o poslancih, ki ureja vprašanje nasprotja interesov, in ki je v ZIntPK-C sedaj enotno urejeno. Posledično to pomeni, da bo o opravljanju »dodatnega dela« poslancev odločala KPK in ne več Mandatno-volilna komisija.</w:t>
      </w:r>
    </w:p>
    <w:p w14:paraId="3FDA8C0D"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E3B9E5F" w14:textId="7159FFC0"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Upoštevaje vsebino 3. člena ZIntPK, ki določa subsidiarno uporabo, določbe ZIntPK o omejitvah poslovanja (35. do 40. člen) in s tem povezanih pristojnostih </w:t>
      </w:r>
      <w:r w:rsidR="00664C37" w:rsidRPr="0045492F">
        <w:rPr>
          <w:rFonts w:ascii="Arial" w:eastAsia="Times New Roman" w:hAnsi="Arial" w:cs="Arial"/>
          <w:sz w:val="20"/>
          <w:szCs w:val="20"/>
          <w:lang w:eastAsia="ar-SA"/>
        </w:rPr>
        <w:t xml:space="preserve">KPK </w:t>
      </w:r>
      <w:r w:rsidRPr="0045492F">
        <w:rPr>
          <w:rFonts w:ascii="Arial" w:eastAsia="Times New Roman" w:hAnsi="Arial" w:cs="Arial"/>
          <w:sz w:val="20"/>
          <w:szCs w:val="20"/>
          <w:lang w:eastAsia="ar-SA"/>
        </w:rPr>
        <w:t>ne zadevajo članov organa vodenja ali nadzora in poslovodnih oseb gospodarskih družb v večinski državni ali občinski lasti, ki sicer sodijo v kategorijo »uradnih oseb« po določbah ZIntPK, za slednje namreč velja Zakon o gospodarskih družbah</w:t>
      </w:r>
      <w:r w:rsidRPr="0045492F">
        <w:rPr>
          <w:rFonts w:ascii="Arial" w:eastAsia="Times New Roman" w:hAnsi="Arial" w:cs="Arial"/>
          <w:sz w:val="20"/>
          <w:szCs w:val="20"/>
          <w:vertAlign w:val="superscript"/>
          <w:lang w:eastAsia="ar-SA"/>
        </w:rPr>
        <w:footnoteReference w:id="40"/>
      </w:r>
      <w:r w:rsidRPr="0045492F">
        <w:rPr>
          <w:rFonts w:ascii="Arial" w:eastAsia="Times New Roman" w:hAnsi="Arial" w:cs="Arial"/>
          <w:sz w:val="20"/>
          <w:szCs w:val="20"/>
          <w:lang w:eastAsia="ar-SA"/>
        </w:rPr>
        <w:t xml:space="preserve"> kot specialen predpis.</w:t>
      </w:r>
    </w:p>
    <w:p w14:paraId="10377F93"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3C25F4CF" w14:textId="1EE06E69"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w:t>
      </w:r>
      <w:r w:rsidR="00BD59D3" w:rsidRPr="0045492F">
        <w:rPr>
          <w:rFonts w:ascii="Arial" w:eastAsia="Times New Roman" w:hAnsi="Arial" w:cs="Arial"/>
          <w:sz w:val="20"/>
          <w:szCs w:val="20"/>
          <w:lang w:eastAsia="ar-SA"/>
        </w:rPr>
        <w:t>ih</w:t>
      </w:r>
      <w:r w:rsidRPr="0045492F">
        <w:rPr>
          <w:rFonts w:ascii="Arial" w:eastAsia="Times New Roman" w:hAnsi="Arial" w:cs="Arial"/>
          <w:sz w:val="20"/>
          <w:szCs w:val="20"/>
          <w:lang w:eastAsia="ar-SA"/>
        </w:rPr>
        <w:t xml:space="preserve"> pravnih in sistemskih razlogov, se z namenom preglednosti in zagotavljanja enakopravnosti posameznikov (tudi z vidika obravnave v primeru neizpolnjevanja obveznosti), ki so v primerljivih pravnih položajih, v predlagani določbi razveljavljajo posamezne določbe ZPos oziroma ZGD-1.</w:t>
      </w:r>
    </w:p>
    <w:p w14:paraId="172D6AD7"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44687214" w14:textId="5F292325"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45492F">
        <w:rPr>
          <w:rFonts w:ascii="Arial" w:eastAsia="Times New Roman" w:hAnsi="Arial" w:cs="Arial"/>
          <w:bCs/>
          <w:sz w:val="20"/>
          <w:szCs w:val="20"/>
          <w:lang w:eastAsia="ar-SA"/>
        </w:rPr>
        <w:t>Ker se predlagana ureditev v 30. členu zvezi z omejitvami in prepovedmi glede sprejemanja daril razširja na celoten javni sektor (za javne uslužbence navedeno vsebino ureja 11. člen Zakona o javnih uslužbencih</w:t>
      </w:r>
      <w:r w:rsidRPr="0045492F">
        <w:rPr>
          <w:rFonts w:ascii="Arial" w:eastAsia="Times New Roman" w:hAnsi="Arial" w:cs="Arial"/>
          <w:bCs/>
          <w:sz w:val="20"/>
          <w:szCs w:val="20"/>
          <w:vertAlign w:val="superscript"/>
          <w:lang w:eastAsia="ar-SA"/>
        </w:rPr>
        <w:footnoteReference w:id="41"/>
      </w:r>
      <w:r w:rsidRPr="0045492F">
        <w:rPr>
          <w:rFonts w:ascii="Arial" w:eastAsia="Times New Roman" w:hAnsi="Arial" w:cs="Arial"/>
          <w:bCs/>
          <w:sz w:val="20"/>
          <w:szCs w:val="20"/>
          <w:lang w:eastAsia="ar-SA"/>
        </w:rPr>
        <w:t xml:space="preserve"> oziroma podzakonski predpis izdan na njegovi podlagi), se v prehodnih določbah razveljavlja tudi navedena določba ZJU (vključujoč 8. točko drugega 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w:t>
      </w:r>
      <w:r w:rsidR="008C1181">
        <w:rPr>
          <w:rFonts w:ascii="Arial" w:eastAsia="Times New Roman" w:hAnsi="Arial" w:cs="Arial"/>
          <w:bCs/>
          <w:sz w:val="20"/>
          <w:szCs w:val="20"/>
          <w:lang w:eastAsia="ar-SA"/>
        </w:rPr>
        <w:t>sedmega</w:t>
      </w:r>
      <w:r w:rsidR="008C1181" w:rsidRPr="0045492F">
        <w:rPr>
          <w:rFonts w:ascii="Arial" w:eastAsia="Times New Roman" w:hAnsi="Arial" w:cs="Arial"/>
          <w:bCs/>
          <w:sz w:val="20"/>
          <w:szCs w:val="20"/>
          <w:lang w:eastAsia="ar-SA"/>
        </w:rPr>
        <w:t xml:space="preserve"> </w:t>
      </w:r>
      <w:r w:rsidRPr="0045492F">
        <w:rPr>
          <w:rFonts w:ascii="Arial" w:eastAsia="Times New Roman" w:hAnsi="Arial" w:cs="Arial"/>
          <w:bCs/>
          <w:sz w:val="20"/>
          <w:szCs w:val="20"/>
          <w:lang w:eastAsia="ar-SA"/>
        </w:rPr>
        <w:t xml:space="preserve">odstavka 30. člena zakona (to je v </w:t>
      </w:r>
      <w:r w:rsidR="00563090" w:rsidRPr="0045492F">
        <w:rPr>
          <w:rFonts w:ascii="Arial" w:eastAsia="Times New Roman" w:hAnsi="Arial" w:cs="Arial"/>
          <w:bCs/>
          <w:sz w:val="20"/>
          <w:szCs w:val="20"/>
          <w:lang w:eastAsia="ar-SA"/>
        </w:rPr>
        <w:t xml:space="preserve">šestih </w:t>
      </w:r>
      <w:r w:rsidRPr="0045492F">
        <w:rPr>
          <w:rFonts w:ascii="Arial" w:eastAsia="Times New Roman" w:hAnsi="Arial" w:cs="Arial"/>
          <w:bCs/>
          <w:sz w:val="20"/>
          <w:szCs w:val="20"/>
          <w:lang w:eastAsia="ar-SA"/>
        </w:rPr>
        <w:t>mesecih od uveljavitve zakona), če niso v nasprotju z določbami tega zakona.</w:t>
      </w:r>
    </w:p>
    <w:p w14:paraId="75ED370A"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14:paraId="2865694E" w14:textId="5FCADD9C"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20"/>
          <w:lang w:eastAsia="ar-SA"/>
        </w:rPr>
      </w:pPr>
      <w:r w:rsidRPr="0045492F">
        <w:rPr>
          <w:rFonts w:ascii="Arial" w:eastAsia="Times New Roman" w:hAnsi="Arial" w:cs="Arial"/>
          <w:sz w:val="20"/>
          <w:szCs w:val="20"/>
          <w:lang w:eastAsia="ar-SA"/>
        </w:rPr>
        <w:t xml:space="preserve">Predlagana določba zagotavlja tudi nadaljnjo uporabo </w:t>
      </w:r>
      <w:r w:rsidRPr="0045492F">
        <w:rPr>
          <w:rFonts w:ascii="Arial" w:eastAsia="Times New Roman" w:hAnsi="Arial" w:cs="Arial"/>
          <w:bCs/>
          <w:sz w:val="20"/>
          <w:szCs w:val="20"/>
          <w:lang w:eastAsia="ar-SA"/>
        </w:rPr>
        <w:t xml:space="preserve">veljavnega poslovnika </w:t>
      </w:r>
      <w:r w:rsidR="00664C37" w:rsidRPr="0045492F">
        <w:rPr>
          <w:rFonts w:ascii="Arial" w:eastAsia="Times New Roman" w:hAnsi="Arial" w:cs="Arial"/>
          <w:sz w:val="20"/>
          <w:szCs w:val="20"/>
          <w:lang w:eastAsia="ar-SA"/>
        </w:rPr>
        <w:t>KPK</w:t>
      </w:r>
      <w:r w:rsidRPr="0045492F">
        <w:rPr>
          <w:rFonts w:ascii="Arial" w:eastAsia="Times New Roman" w:hAnsi="Arial" w:cs="Arial"/>
          <w:bCs/>
          <w:sz w:val="20"/>
          <w:szCs w:val="20"/>
          <w:lang w:eastAsia="ar-SA"/>
        </w:rPr>
        <w:t>, in sicer do sprejema novega.</w:t>
      </w:r>
    </w:p>
    <w:p w14:paraId="558593C0"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14:paraId="0082125B" w14:textId="3938C90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Namen novega tretjega odstavka je poenotenje ureditve instituta nezdružljivosti funkcije za vse funkcionarje. S črtanjem drugega odstavka 12. člena ZPos se jasneje določa, da za poslance veljajo vse prepovedi in omejitve, ki jih določa ZIntPK v 26. in 27. členu, pri čemer so možne tudi izjeme, ki jih določata ta člena (pedagoška dejavnost itd.). Ohranja pa se specialna ureditev glede posledice neupoštevanja omejitev in prepovedi, torej prenehanje poslanskega mandata. KPK bo tako lahko ugotovila obstoj nezdružljivosti funkcije in o tem obvestila Državni zbor </w:t>
      </w:r>
      <w:r w:rsidR="00E06568" w:rsidRPr="0045492F">
        <w:rPr>
          <w:rFonts w:ascii="Arial" w:eastAsia="Times New Roman" w:hAnsi="Arial" w:cs="Arial"/>
          <w:sz w:val="20"/>
          <w:szCs w:val="20"/>
          <w:lang w:eastAsia="ar-SA"/>
        </w:rPr>
        <w:t>Republike Slovenije</w:t>
      </w:r>
      <w:r w:rsidRPr="0045492F">
        <w:rPr>
          <w:rFonts w:ascii="Arial" w:eastAsia="Times New Roman" w:hAnsi="Arial" w:cs="Arial"/>
          <w:sz w:val="20"/>
          <w:szCs w:val="20"/>
          <w:lang w:eastAsia="ar-SA"/>
        </w:rPr>
        <w:t>. Postopek o prenehanju poslanskega mandata poteka v skladu s predpisi, ki urejajo mandat poslancev.</w:t>
      </w:r>
    </w:p>
    <w:bookmarkEnd w:id="19"/>
    <w:p w14:paraId="39A12545" w14:textId="77777777" w:rsidR="0055047E" w:rsidRPr="0045492F"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14:paraId="761F8FE2" w14:textId="2F50EFFA"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 xml:space="preserve">K </w:t>
      </w:r>
      <w:r w:rsidR="00A33C5C">
        <w:rPr>
          <w:rFonts w:ascii="Arial" w:eastAsia="Times New Roman" w:hAnsi="Arial" w:cs="Arial"/>
          <w:b/>
          <w:szCs w:val="16"/>
          <w:lang w:eastAsia="ar-SA"/>
        </w:rPr>
        <w:t>53</w:t>
      </w:r>
      <w:r w:rsidRPr="0055047E">
        <w:rPr>
          <w:rFonts w:ascii="Arial" w:eastAsia="Times New Roman" w:hAnsi="Arial" w:cs="Arial"/>
          <w:b/>
          <w:szCs w:val="16"/>
          <w:lang w:eastAsia="ar-SA"/>
        </w:rPr>
        <w:t>. členu (začetek veljavnosti)</w:t>
      </w:r>
    </w:p>
    <w:p w14:paraId="3D31D4E6" w14:textId="4F13046A" w:rsidR="0081342F" w:rsidRPr="0045492F" w:rsidRDefault="0055047E" w:rsidP="0081342F">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45492F">
        <w:rPr>
          <w:rFonts w:ascii="Arial" w:eastAsia="Times New Roman" w:hAnsi="Arial" w:cs="Arial"/>
          <w:sz w:val="20"/>
          <w:szCs w:val="20"/>
          <w:lang w:eastAsia="ar-SA"/>
        </w:rPr>
        <w:t xml:space="preserve">Predlagano je, da začne zakon veljati petnajsti dan po objavi v Uradnem listu </w:t>
      </w:r>
      <w:r w:rsidR="00A569CE">
        <w:rPr>
          <w:rFonts w:ascii="Arial" w:eastAsia="Times New Roman" w:hAnsi="Arial" w:cs="Arial"/>
          <w:sz w:val="20"/>
          <w:szCs w:val="20"/>
          <w:lang w:eastAsia="ar-SA"/>
        </w:rPr>
        <w:t>Republike Slovenije</w:t>
      </w:r>
      <w:r w:rsidRPr="0045492F">
        <w:rPr>
          <w:rFonts w:ascii="Arial" w:eastAsia="Times New Roman" w:hAnsi="Arial" w:cs="Arial"/>
          <w:sz w:val="20"/>
          <w:szCs w:val="20"/>
          <w:lang w:eastAsia="ar-SA"/>
        </w:rPr>
        <w:t>.</w:t>
      </w:r>
    </w:p>
    <w:p w14:paraId="169813F2" w14:textId="7AC3E71F" w:rsidR="005E328C" w:rsidRDefault="005E328C">
      <w:pPr>
        <w:rPr>
          <w:rFonts w:ascii="Calibri" w:hAnsi="Calibri" w:cs="Calibri"/>
        </w:rPr>
      </w:pPr>
      <w:r>
        <w:rPr>
          <w:rFonts w:ascii="Calibri" w:hAnsi="Calibri" w:cs="Calibri"/>
        </w:rPr>
        <w:br w:type="page"/>
      </w:r>
    </w:p>
    <w:p w14:paraId="03AB6F2B" w14:textId="77777777" w:rsidR="0081342F" w:rsidRPr="00D94D25" w:rsidRDefault="0081342F" w:rsidP="00D94D25">
      <w:pPr>
        <w:spacing w:after="0" w:line="240" w:lineRule="atLeast"/>
        <w:rPr>
          <w:rFonts w:ascii="Arial" w:eastAsia="Times New Roman" w:hAnsi="Arial" w:cs="Times New Roman"/>
          <w:sz w:val="20"/>
          <w:szCs w:val="20"/>
        </w:rPr>
      </w:pPr>
    </w:p>
    <w:p w14:paraId="3BA127A2" w14:textId="3765E521" w:rsidR="005E328C" w:rsidRPr="00D94D25" w:rsidRDefault="009D1567"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94D25">
        <w:rPr>
          <w:rFonts w:ascii="Arial" w:eastAsia="Times New Roman" w:hAnsi="Arial" w:cs="Arial"/>
          <w:b/>
          <w:sz w:val="20"/>
          <w:szCs w:val="20"/>
          <w:lang w:eastAsia="sl-SI"/>
        </w:rPr>
        <w:t>IV</w:t>
      </w:r>
      <w:r w:rsidR="00AB29B0" w:rsidRPr="00D94D25">
        <w:rPr>
          <w:rFonts w:ascii="Arial" w:eastAsia="Times New Roman" w:hAnsi="Arial" w:cs="Arial"/>
          <w:b/>
          <w:sz w:val="20"/>
          <w:szCs w:val="20"/>
          <w:lang w:eastAsia="sl-SI"/>
        </w:rPr>
        <w:t xml:space="preserve">. </w:t>
      </w:r>
      <w:r w:rsidR="005E328C" w:rsidRPr="00D94D25">
        <w:rPr>
          <w:rFonts w:ascii="Arial" w:eastAsia="Times New Roman" w:hAnsi="Arial" w:cs="Arial"/>
          <w:b/>
          <w:sz w:val="20"/>
          <w:szCs w:val="20"/>
          <w:lang w:eastAsia="sl-SI"/>
        </w:rPr>
        <w:t>BESEDILO ČLENOV, KI SE SPREMINJAJO</w:t>
      </w:r>
      <w:r w:rsidRPr="00D94D25">
        <w:rPr>
          <w:rFonts w:ascii="Arial" w:eastAsia="Times New Roman" w:hAnsi="Arial" w:cs="Arial"/>
          <w:b/>
          <w:sz w:val="20"/>
          <w:szCs w:val="20"/>
          <w:lang w:eastAsia="sl-SI"/>
        </w:rPr>
        <w:t xml:space="preserve"> IN DOPOLNJUJEJO:</w:t>
      </w:r>
    </w:p>
    <w:p w14:paraId="307A3A15" w14:textId="6CB68B78" w:rsidR="005E328C" w:rsidRPr="00D94D25" w:rsidRDefault="005E328C" w:rsidP="00D94D25">
      <w:pPr>
        <w:spacing w:after="0" w:line="240" w:lineRule="atLeast"/>
        <w:rPr>
          <w:rFonts w:ascii="Arial" w:eastAsia="Times New Roman" w:hAnsi="Arial" w:cs="Times New Roman"/>
          <w:sz w:val="20"/>
          <w:szCs w:val="20"/>
        </w:rPr>
      </w:pPr>
    </w:p>
    <w:p w14:paraId="3DBBD787" w14:textId="196713CB" w:rsidR="0081342F" w:rsidRPr="00331ED5" w:rsidRDefault="00242891" w:rsidP="0081342F">
      <w:pPr>
        <w:spacing w:after="0" w:line="240" w:lineRule="atLeast"/>
        <w:rPr>
          <w:rFonts w:ascii="Arial" w:eastAsia="Times New Roman" w:hAnsi="Arial" w:cs="Times New Roman"/>
          <w:b/>
          <w:sz w:val="20"/>
          <w:szCs w:val="20"/>
          <w:u w:val="single"/>
        </w:rPr>
      </w:pPr>
      <w:r w:rsidRPr="00331ED5">
        <w:rPr>
          <w:rFonts w:ascii="Arial" w:eastAsia="Times New Roman" w:hAnsi="Arial" w:cs="Times New Roman"/>
          <w:b/>
          <w:sz w:val="20"/>
          <w:szCs w:val="20"/>
          <w:u w:val="single"/>
        </w:rPr>
        <w:t>Zakon o integriteti in preprečevanju korupcije (Uradni list RS, št. 69/11 – uradno prečiščeno besedilo)</w:t>
      </w:r>
    </w:p>
    <w:p w14:paraId="6A483A9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6FFCD04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 člen</w:t>
      </w:r>
    </w:p>
    <w:p w14:paraId="50CF25A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(pomen izrazov)</w:t>
      </w:r>
    </w:p>
    <w:p w14:paraId="35E58803" w14:textId="77777777" w:rsidR="0081342F" w:rsidRPr="0081342F" w:rsidRDefault="0081342F" w:rsidP="0081342F">
      <w:pPr>
        <w:spacing w:after="0" w:line="260" w:lineRule="atLeast"/>
        <w:rPr>
          <w:rFonts w:ascii="Arial" w:eastAsia="Times New Roman" w:hAnsi="Arial" w:cs="Times New Roman"/>
          <w:sz w:val="20"/>
          <w:szCs w:val="20"/>
        </w:rPr>
      </w:pPr>
    </w:p>
    <w:p w14:paraId="419FA1F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Izrazi, uporabljeni v tem zakonu, imajo naslednji pomen:</w:t>
      </w:r>
    </w:p>
    <w:p w14:paraId="2415A0DB"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6CC8AB67"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»mednarodna korupcija« je korupcija, v kateri je udeležena najmanj ena fizična ali pravna oseba iz tujine;</w:t>
      </w:r>
    </w:p>
    <w:p w14:paraId="696470F2"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4D4DEEB9"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»javni sektor« ima isti pomen kot javni sektor po zakonu, ki ureja javne uslužbence vključno z javnimi podjetji in gospodarskimi družbami, v katerih ima večinski delež oziroma prevladujoč vpliv država ali lokalna skupnost;</w:t>
      </w:r>
    </w:p>
    <w:p w14:paraId="41CBFDE2"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»zaposleni v javnem sektorju« so funkcionarji, javni uslužbenci in zaposleni v javnih podjetjih in gospodarskih družbah, v katerih ima večinski delež oziroma prevladujoč vpliv država ali samoupravna lokalna skupnost;</w:t>
      </w:r>
    </w:p>
    <w:p w14:paraId="49D7964D"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6EADE196"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»družinski člani« so zakonec, otroci, posvojenci, starši, posvojitelji, bratje, sestre in osebe, ki s posameznikom živijo v skupnem gospodinjstvu ali v zunajzakonski skupnosti;</w:t>
      </w:r>
    </w:p>
    <w:p w14:paraId="1FB41AA0"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5B6E2B97"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2C8B13ED"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»uradne osebe« so funkcionarji, uradniki na položaju in drugi javni uslužbenci, poslovodne osebe in člani organov upravljanja, vodenja in nadzora v subjektih javnega sektorja;</w:t>
      </w:r>
    </w:p>
    <w:p w14:paraId="6E883D4B"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7BA44A0C"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»nasprotje interesov« so okoliščine, v katerih zasebni interes uradne osebe vpliva ali ustvarja videz, da vpliva na nepristransko in objektivno opravljanje njenih javnih nalog;</w:t>
      </w:r>
    </w:p>
    <w:p w14:paraId="68B9AC76"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»zasebni interes uradne osebe« pomeni premoženjsko ali nepremoženjsko korist zanjo, za njene družinske člane in za druge fizične osebe ali pravne osebe, s katerimi ima ali je imela osebne, poslovne ali politične stike;</w:t>
      </w:r>
    </w:p>
    <w:p w14:paraId="361A1FAE"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3E36DF"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4CBC8A1"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38DC8422"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»interesne organizacije« so pravne osebe zasebnega prava in druge pravno urejene oblike združevanja fizičnih ali pravnih oseb, v imenu in na račun katerih lobist opravlja dejavnost lobiranja;</w:t>
      </w:r>
    </w:p>
    <w:p w14:paraId="7EC5D64D" w14:textId="77777777" w:rsidR="0081342F" w:rsidRPr="0081342F" w:rsidRDefault="0081342F" w:rsidP="006F190F">
      <w:pPr>
        <w:numPr>
          <w:ilvl w:val="0"/>
          <w:numId w:val="6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»nosilci ukrepov« so organi in organizacije, ki so z akcijskim načrtom za uresničevanje resolucije določeni kot izvajalci ukrepov za dosego ciljev resolucije.</w:t>
      </w:r>
    </w:p>
    <w:p w14:paraId="06BB52E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B67C5A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 člen</w:t>
      </w:r>
    </w:p>
    <w:p w14:paraId="3717575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(imenovanje funkcionarjev komisije)</w:t>
      </w:r>
    </w:p>
    <w:p w14:paraId="157D6D4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7D5449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ima predsednika komisije in dva namestnika predsednika komisije. Predsednik komisije in namestnika predsednika komisije so funkcionarji.</w:t>
      </w:r>
    </w:p>
    <w:p w14:paraId="1BB5E10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B8680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61FE14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B61D7A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Predsednik komisije in njegov namestnik mora biti oseba, za katero je na podlagi dosedanjega dela, ravnanja ali vedenja možno utemeljeno sklepati, da bo funkcijo v komisiji opravljala zakonito in v skladu s pravili stroke.</w:t>
      </w:r>
    </w:p>
    <w:p w14:paraId="239B4E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Funkcija predsednika in namestnika predsednika komisije ni združljiva z opravljanjem funkcije ali delom v drugi osebi javnega ali zasebnega prava, ki deluje na področjih, kjer komisija izvršuje pristojnosti po tem zakonu.</w:t>
      </w:r>
    </w:p>
    <w:p w14:paraId="1814ED3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DC871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Predsednik in namestnika predsednika komisije morajo najkasneje v roku enega meseca po nastopu funkcije prenehati opravljati delo ali funkcijo iz prejšnjega odstavka.</w:t>
      </w:r>
    </w:p>
    <w:p w14:paraId="2837FE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73A097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Predsednik komisije je imenovan za dobo šestih let, namestnika predsednika za dobo petih let, na svoje funkcije pa so lahko imenovani dvakrat zapored.</w:t>
      </w:r>
    </w:p>
    <w:p w14:paraId="588A844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5028F4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9. člen</w:t>
      </w:r>
    </w:p>
    <w:p w14:paraId="5E3EB88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(imenovanje komisije)</w:t>
      </w:r>
    </w:p>
    <w:p w14:paraId="273A264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CDB48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03813C92" w14:textId="77777777" w:rsidR="0081342F" w:rsidRPr="0081342F" w:rsidRDefault="0081342F" w:rsidP="0081342F">
      <w:pPr>
        <w:spacing w:after="0" w:line="260" w:lineRule="atLeast"/>
        <w:jc w:val="both"/>
        <w:rPr>
          <w:rFonts w:ascii="Arial" w:eastAsia="Times New Roman" w:hAnsi="Arial" w:cs="Times New Roman"/>
          <w:sz w:val="20"/>
          <w:szCs w:val="20"/>
        </w:rPr>
      </w:pPr>
    </w:p>
    <w:p w14:paraId="0FFD6769" w14:textId="77777777" w:rsidR="0081342F" w:rsidRPr="0081342F" w:rsidRDefault="0081342F" w:rsidP="0081342F">
      <w:pPr>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Izbirni postopek za izbiro primernih kandidatov za predsednika in namestnika izvede izbirna komisija, sestavljena iz petih članov. V izbirno komisijo po enega člana imenujejo:</w:t>
      </w:r>
    </w:p>
    <w:p w14:paraId="0774EDBB"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Vlada Republike Slovenije (v nadaljnjem besedilu: vlada),</w:t>
      </w:r>
    </w:p>
    <w:p w14:paraId="2BD0D675"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Državni zbor Republike Slovenije (v nadaljnjem besedilu: državni zbor),</w:t>
      </w:r>
    </w:p>
    <w:p w14:paraId="05C010D6"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neprofitne organizacije zasebnega sektorja s področja preprečevanja korupcije izmed svojih članov,</w:t>
      </w:r>
    </w:p>
    <w:p w14:paraId="34529C69"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Sodni svet izmed svojih članov,</w:t>
      </w:r>
    </w:p>
    <w:p w14:paraId="60474A99"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Uradniški svet izmed svojih članov</w:t>
      </w:r>
    </w:p>
    <w:p w14:paraId="2A05C359" w14:textId="77777777" w:rsidR="0081342F" w:rsidRPr="0081342F" w:rsidRDefault="0081342F" w:rsidP="00377995">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 imenovanja sporočijo Uradu predsednika Republike Slovenije (v nadaljnjem besedilu: urad predsednika republike).</w:t>
      </w:r>
    </w:p>
    <w:p w14:paraId="3A23F9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11A6CD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3DCE50D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0129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5AA38B9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F3009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00DF1E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AA8076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Predsednik republike izmed kandidatov, ki mu jih je posredovala izbirna komisije, imenuje predsednika komisije in namestnika predsednika komisije v 30 dneh po prejemu kandidatur.</w:t>
      </w:r>
    </w:p>
    <w:p w14:paraId="6B308AE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04DA3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7D9037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C108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Funkcionar komisije, ki mu je potekel mandat, opravlja funkcijo do imenovanja novega funkcionarja na njegovo funkcijo.</w:t>
      </w:r>
    </w:p>
    <w:p w14:paraId="286C3E7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A46B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Naloge iz tega člena, potrebne za izvedbo zbiranja kandidatur in izbor primernih kandidatov, opravlja urad predsednika republike.</w:t>
      </w:r>
    </w:p>
    <w:p w14:paraId="4DCBC07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CA2E59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10. člen</w:t>
      </w:r>
    </w:p>
    <w:p w14:paraId="304E248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predsednika komisije)</w:t>
      </w:r>
    </w:p>
    <w:p w14:paraId="40DC06A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3F792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komisije zastopa komisijo ter vodi in organizira njeno delo.</w:t>
      </w:r>
    </w:p>
    <w:p w14:paraId="5BCA78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756B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Predsednik komisije izmed imenovanih namestnikov predsednika komisije določi prvega in drugega namestnika.</w:t>
      </w:r>
    </w:p>
    <w:p w14:paraId="10A4259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4255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Predsednik komisije lahko pooblasti posameznega namestnika, da organizira in vodi delo na posameznih področjih.</w:t>
      </w:r>
    </w:p>
    <w:p w14:paraId="7FE9AB3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25AD0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30F36F4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0600DC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11. člen</w:t>
      </w:r>
    </w:p>
    <w:p w14:paraId="6A1F73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(način delovanja komisije)</w:t>
      </w:r>
    </w:p>
    <w:p w14:paraId="53A68E7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7B44F6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1B57435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DC026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svoje poslovanje uredi s poslovnikom in drugimi splošnimi akti. Poslovnik se objavi v Uradnem listu Republike Slovenije.</w:t>
      </w:r>
    </w:p>
    <w:p w14:paraId="4FA1E0E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03F097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12. člen</w:t>
      </w:r>
    </w:p>
    <w:p w14:paraId="5D5AEF7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(naloge in pristojnosti komisije)</w:t>
      </w:r>
    </w:p>
    <w:p w14:paraId="04A2D01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5163DA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w:t>
      </w:r>
    </w:p>
    <w:p w14:paraId="7148F395"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strokovne podlage za krepitev integritete in za programe usposabljanja;</w:t>
      </w:r>
    </w:p>
    <w:p w14:paraId="16B57DF6"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usposablja osebe, ki so odgovorne za načrte integritete;</w:t>
      </w:r>
    </w:p>
    <w:p w14:paraId="4BAE1052"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 predstavniki istovrstnih oseb javnega prava ali njihovih združenj pripravi vzorce njihovih načrtov integritete;</w:t>
      </w:r>
    </w:p>
    <w:p w14:paraId="6FB4FE57"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svetuje pri krepitvi integritete in preprečevanju ter odpravljanju tveganj za korupcijo v javnem in zasebnem sektorju;</w:t>
      </w:r>
    </w:p>
    <w:p w14:paraId="0D8E46AC"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in analizira podatke o stanju in uresničevanju nalog za preprečevanje korupcije v Republiki Sloveniji;</w:t>
      </w:r>
    </w:p>
    <w:p w14:paraId="2639D9BA"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zadeve s področja mednarodne korupcije ter spremlja in analizira podatke o številu in pojavnih oblikah kaznivih dejanj z elementi korupcije v Republiki Sloveniji;</w:t>
      </w:r>
    </w:p>
    <w:p w14:paraId="1462729D"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opravlja naloge v zvezi z lobiranjem;</w:t>
      </w:r>
    </w:p>
    <w:p w14:paraId="1FD3B3CC"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izdaja načelna mnenja, stališča, priporočila in pojasnila o vprašanjih, povezanih z vsebino tega zakona;</w:t>
      </w:r>
    </w:p>
    <w:p w14:paraId="17A56CE2"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skrbi za izvajanje resolucije, ki ureja preprečevanje korupcije v Republiki Sloveniji;</w:t>
      </w:r>
    </w:p>
    <w:p w14:paraId="404ED06D"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spremembe resolucije, ki ureja preprečevanje korupcije v Republiki Sloveniji in jih predlaga v obravnavo vladi, ki jih predloži v sprejem državnemu zboru;</w:t>
      </w:r>
    </w:p>
    <w:p w14:paraId="2A9EB386"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daje soglasje k načrtom aktivnosti za uresničevanje resolucije, ki ureja preprečevanje korupcije v Republiki Sloveniji, posameznim organom, opredeljenim v resoluciji;</w:t>
      </w:r>
    </w:p>
    <w:p w14:paraId="2559F1ED"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opozarja pristojne organe v Republiki Sloveniji na uresničevanje obveznosti, ki izhajajo iz mednarodnih aktov s področja preprečevanja korupcije in jim daje predloge glede načina uresničevanja teh obveznosti;</w:t>
      </w:r>
    </w:p>
    <w:p w14:paraId="06A2C733"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sodeluje s pristojnimi državnimi organi pri pripravi predpisov s področja preprečevanja korupcije;</w:t>
      </w:r>
    </w:p>
    <w:p w14:paraId="2DC0A88D"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uresničevanje predpisov iz prejšnje alineje in daje pobude za njihove spremembe in dopolnitve;</w:t>
      </w:r>
    </w:p>
    <w:p w14:paraId="530EE577"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7D85E191"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lahko daje državnemu zboru in vladi pobude za ureditev določenega področja s sprejetjem zakona ali drugega predpisa, v skladu z njenimi nalogami in pristojnostmi;</w:t>
      </w:r>
    </w:p>
    <w:p w14:paraId="5D9F2F05" w14:textId="77777777" w:rsidR="00FB4E1D"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sodeluje s podobnimi organi drugih držav in mednarodnih integracij ter mednarodnimi neprofitnimi organizacijami zasebnega sektorja s področja preprečevanja korupcije;</w:t>
      </w:r>
    </w:p>
    <w:p w14:paraId="5F4D0AF8" w14:textId="43E5B009"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sodeluje z znanstvenimi, strokovnimi, medijskimi in neprofitnimi organizacijami zasebnega sektorja s področja preprečevanja korupcije;</w:t>
      </w:r>
    </w:p>
    <w:p w14:paraId="29AAAFC0"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izhodišča za kodekse ravnanja;</w:t>
      </w:r>
    </w:p>
    <w:p w14:paraId="1425228F"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objavlja strokovno literaturo;</w:t>
      </w:r>
    </w:p>
    <w:p w14:paraId="6FAB7833"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odplačno izvaja strokovne naloge v zvezi s pripravo in izdelavo načrtov integritete in pripravo ukrepov za preprečevanje korupcije za uporabnike iz zasebnega sektorja;</w:t>
      </w:r>
    </w:p>
    <w:p w14:paraId="202F3BD5"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vodi evidence v skladu s tem zakonom;</w:t>
      </w:r>
    </w:p>
    <w:p w14:paraId="4F17253B" w14:textId="77777777" w:rsidR="0081342F" w:rsidRPr="0081342F" w:rsidRDefault="0081342F" w:rsidP="00377995">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opravlja druge naloge, določene s tem in drugimi zakoni.</w:t>
      </w:r>
    </w:p>
    <w:p w14:paraId="45FC33E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75F2A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18F6582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DA0369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465C278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86682D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13. člen</w:t>
      </w:r>
    </w:p>
    <w:p w14:paraId="6FB5A56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komisije ob sumu korupcije ali drugih kršitev)</w:t>
      </w:r>
    </w:p>
    <w:p w14:paraId="2696541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024550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3CDE347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38EEA0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Zahtevo za uvedbo postopka iz prvega odstavka lahko podajo tudi:</w:t>
      </w:r>
    </w:p>
    <w:p w14:paraId="0CB50EF9" w14:textId="77777777" w:rsidR="0081342F" w:rsidRPr="0081342F"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državni zbor,</w:t>
      </w:r>
    </w:p>
    <w:p w14:paraId="190C26AC" w14:textId="77777777" w:rsidR="0081342F" w:rsidRPr="0081342F"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vlada,</w:t>
      </w:r>
    </w:p>
    <w:p w14:paraId="02346184" w14:textId="77777777" w:rsidR="0081342F" w:rsidRPr="0081342F"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2E8DADF1" w14:textId="77777777" w:rsidR="0081342F" w:rsidRPr="0081342F"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sodni svet, državno-tožilski svet,</w:t>
      </w:r>
    </w:p>
    <w:p w14:paraId="0C56B7BF" w14:textId="77777777" w:rsidR="0081342F" w:rsidRPr="0081342F" w:rsidRDefault="0081342F" w:rsidP="00377995">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državno tožilstvo in sodišče, če ne gre za dejanja, ki sta jih pristojna preganjati oziroma odločati o njih v okviru svojih zakonskih pristojnosti.</w:t>
      </w:r>
    </w:p>
    <w:p w14:paraId="75D3BF8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6861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5A77575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5EF20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6879058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5D63BA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06BC2CB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0B822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608C012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6162FC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C33DEF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FDF60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35D5841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39AD9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EC5530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30EC6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68E1F49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F721C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(11) Komisija na podlagi zahteve državnih organov, organizacij in drugih fizičnih ali pravnih oseb oblikuje odgovore, mnenja in pojasnila tudi o drugih vprašanjih iz svojega delovnega področja.</w:t>
      </w:r>
    </w:p>
    <w:p w14:paraId="17B2C5B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05746E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13.a člen</w:t>
      </w:r>
    </w:p>
    <w:p w14:paraId="6F490FA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 zahtevati nadzor)</w:t>
      </w:r>
    </w:p>
    <w:p w14:paraId="60EB12F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542C99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lahko na podlagi nepravilnosti ali kršitev, ugotovljenih pri izvajanju postopka iz prejšnjega člena da obrazloženo pobudo:</w:t>
      </w:r>
    </w:p>
    <w:p w14:paraId="5E3DAE54"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generalnemu državnemu tožilcu za izvedbo nadzorstvenega pregleda nad delovanjem določene organizacijske enote vrhovnega državnega tožilstva oziroma okrožnega državnega tožilstva ali za izvedbo delnega nadzorstvenega pregleda nad delom posameznega državnega tožilca ali nad delom na posamezni zadevi;</w:t>
      </w:r>
    </w:p>
    <w:p w14:paraId="7F55B6FC"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sodnemu svetu ali ministru za pravosodje za izvedbo službenega nadzora nad delom določenega sodišča ali nad delom določenega sodnika;</w:t>
      </w:r>
    </w:p>
    <w:p w14:paraId="1659E606"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predsedniku višjega sodišča za pregled poslovanja sodišča skladno z zakonom, ki ureja sodišča,</w:t>
      </w:r>
    </w:p>
    <w:p w14:paraId="11DA2D0E"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pristojnemu inšpekcijskemu organu ali drugemu državnemu organu za izvedbo upravnega ali strokovnega nadzora nad delom določenega organa, organizacijske enote ali nad delom v posamezni zadevi,</w:t>
      </w:r>
    </w:p>
    <w:p w14:paraId="79FF2063"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predsednikom oziroma organom poklicnih organizacij z javnimi pooblastili za izvedbo strokovnega nadzora v okviru svojih pristojnosti ali</w:t>
      </w:r>
    </w:p>
    <w:p w14:paraId="4B8A7FE8"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drugim organom oziroma njihovim predstavnikom za izvedbo nadzora nad delovanjem posameznika, organa ali dela na posameznem primeru,</w:t>
      </w:r>
    </w:p>
    <w:p w14:paraId="1B59D08F" w14:textId="77777777" w:rsidR="0081342F" w:rsidRPr="0081342F" w:rsidRDefault="0081342F" w:rsidP="00377995">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predstojniku ali pristojnemu organu za uvedbo disciplinskega postopka zoper posameznega javnega uslužbenca ali funkcionarja.</w:t>
      </w:r>
    </w:p>
    <w:p w14:paraId="5FA2B94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0AB46B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zavrne pobudo iz prejšnjega odstavka, mora pristojna oseba oziroma organ najkasneje v 15 dneh od prejema pobude komisiji posredovati pisno obrazložitev zavrnitve pobude za izvedbo nadzora oziroma za uvedbo disciplinskega postopka.</w:t>
      </w:r>
    </w:p>
    <w:p w14:paraId="45C3C2FA"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DA264E4" w14:textId="05AF2B32" w:rsidR="0081342F" w:rsidRPr="0081342F" w:rsidRDefault="0081342F" w:rsidP="00FB4E1D">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izvede nadzor na podlagi pobude iz prvega odstavka tega člena, mora pristojna oseba oziroma organ končno poročilo o izvedbi nadzora in o ugotovitvah in izvedenih ukrepih posredovati komisiji najkasneje v osmih dneh od sprejema. Če uvede disciplinski postopek, mora o zaključku in rezultatih tega postopka prav tako obvestiti komisijo v osmih dneh od zaključenega postopka.</w:t>
      </w:r>
    </w:p>
    <w:p w14:paraId="5A05804E" w14:textId="77777777" w:rsidR="0081342F" w:rsidRPr="0081342F" w:rsidRDefault="0081342F" w:rsidP="00FB4E1D">
      <w:pPr>
        <w:autoSpaceDN w:val="0"/>
        <w:adjustRightInd w:val="0"/>
        <w:spacing w:after="0" w:line="260" w:lineRule="exact"/>
        <w:jc w:val="both"/>
        <w:rPr>
          <w:rFonts w:ascii="Arial" w:eastAsia="Times New Roman" w:hAnsi="Arial" w:cs="Times New Roman"/>
          <w:sz w:val="20"/>
          <w:szCs w:val="20"/>
        </w:rPr>
      </w:pPr>
    </w:p>
    <w:p w14:paraId="20181C7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15. člen</w:t>
      </w:r>
    </w:p>
    <w:p w14:paraId="5808927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(pravila postopka)</w:t>
      </w:r>
    </w:p>
    <w:p w14:paraId="5BE7B08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26C07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s tem zakonom ni določeno drugače, pri svojih postopkih komisija uporablja zakon, ki ureja splošni upravni postopek.</w:t>
      </w:r>
    </w:p>
    <w:p w14:paraId="6579FE7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2431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Zoper odločbo komisije ni mogoča pritožba, dopusten pa je upravni spor.</w:t>
      </w:r>
    </w:p>
    <w:p w14:paraId="4B98BC5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D7DB75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16. člen</w:t>
      </w:r>
    </w:p>
    <w:p w14:paraId="1AEF296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(pridobivanje podatkov in dokumentov s strani komisije)</w:t>
      </w:r>
    </w:p>
    <w:p w14:paraId="6413E8A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AD103C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F8B544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F2CA68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Obrazložena zahteva iz prejšnjega odstavka mora vsebovati navedbo pravne podlage za pridobitev podatkov in razloge ter namen, za katerega se zahtevajo podatki.</w:t>
      </w:r>
    </w:p>
    <w:p w14:paraId="7EFD12D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DC953E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3FA4473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C4DE13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2C54CE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623F89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7D035A1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A423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80174F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AEFDA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EACAC5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5CBE8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5E0625F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CEB8EA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63CBC599"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B687C3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17. člen</w:t>
      </w:r>
    </w:p>
    <w:p w14:paraId="1272FB1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(neprofitne organizacije zasebnega sektorja)</w:t>
      </w:r>
    </w:p>
    <w:p w14:paraId="60176D6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DCD16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3FEA154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23E0E5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71B9147E"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4540D6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18. člen</w:t>
      </w:r>
    </w:p>
    <w:p w14:paraId="0792E3F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(obveščanje javnosti)</w:t>
      </w:r>
    </w:p>
    <w:p w14:paraId="294123E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30AF0D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o svojem delu obvešča javnost.</w:t>
      </w:r>
    </w:p>
    <w:p w14:paraId="15C744F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8ADD38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javnost obvešča z objavo svojih načelnih mnenj, stališč in odločitev ter sklicev sej in njihovih zapisnikov.</w:t>
      </w:r>
    </w:p>
    <w:p w14:paraId="5F97EDE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28EA24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Na svoje seje lahko komisija vabi predstavnike neprofitnih organizacij zasebnega sektorja s področja preprečevanja korupcije in sindikatov iz prejšnjega člena.</w:t>
      </w:r>
    </w:p>
    <w:p w14:paraId="14F4D5E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0FBE399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21. člen</w:t>
      </w:r>
    </w:p>
    <w:p w14:paraId="0FB4EED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državnega zbora pri nadzoru)</w:t>
      </w:r>
    </w:p>
    <w:p w14:paraId="2B3B676D"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0FB98B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6F1E6F5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7DA1FB5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22. člen</w:t>
      </w:r>
    </w:p>
    <w:p w14:paraId="4A338B4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(razrešitev komisije)</w:t>
      </w:r>
    </w:p>
    <w:p w14:paraId="3672DA7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F33DF7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republike predsednika komisije ali namestnika predsednika komisije razreši:</w:t>
      </w:r>
    </w:p>
    <w:p w14:paraId="3411E3EE" w14:textId="77777777" w:rsidR="0081342F" w:rsidRPr="0081342F"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predsednik komisije ali namestnik predsednika komisije to zahteva,</w:t>
      </w:r>
    </w:p>
    <w:p w14:paraId="2D61DE61" w14:textId="77777777" w:rsidR="0081342F" w:rsidRPr="0081342F"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je s pravnomočno sodbo obsojen na kazen zapora,</w:t>
      </w:r>
    </w:p>
    <w:p w14:paraId="1E9CFC91" w14:textId="77777777" w:rsidR="0081342F" w:rsidRPr="0081342F"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zaradi trajne izgube delovne zmožnosti za opravljanje funkcije,</w:t>
      </w:r>
    </w:p>
    <w:p w14:paraId="07920B8A" w14:textId="77777777" w:rsidR="0081342F" w:rsidRPr="0081342F" w:rsidRDefault="0081342F" w:rsidP="00377995">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ne ravna v skladu s petim odstavkom 7. člena tega zakona.</w:t>
      </w:r>
    </w:p>
    <w:p w14:paraId="08D15D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O dejstvih iz druge in tretje alineje prejšnjega odstavka mora predsednik komisije ali namestnik predsednika komisije predsednika republike seznaniti v roku treh dni od dne nastanka prej navedenih dejstev.</w:t>
      </w:r>
    </w:p>
    <w:p w14:paraId="6309B72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6C345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se ugotovi, da predsednik komisije in namestnik predsednika komisije ne ravna v skladu s petim odstavkom 7. člena tega zakona, ga predsednik republike razreši na predlog državnega zbora.</w:t>
      </w:r>
    </w:p>
    <w:p w14:paraId="0C4A672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D63D1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Predsednik republike lahko na predlog državnega zbora razreši predsednika komisije ali namestnika predsednika komisije, če funkcije ne opravlja v skladu z ustavo in zakonom.</w:t>
      </w:r>
    </w:p>
    <w:p w14:paraId="196549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DD071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Kadar je predsednik ali namestnik predsednika predčasno razrešen, se za obdobje mandata imenuje nov funkcionar v skladu s postopkom iz 9. člena tega zakona.</w:t>
      </w:r>
    </w:p>
    <w:p w14:paraId="20A9400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80AF00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30. člen</w:t>
      </w:r>
    </w:p>
    <w:p w14:paraId="76A6934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(prepoved in omejitve sprejemanja daril funkcionarjev)</w:t>
      </w:r>
    </w:p>
    <w:p w14:paraId="6F6C219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2519D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Funkcionar ne sme sprejemati daril ali drugih koristi (v nadaljnjem besedilu: darila) v zvezi z opravljanjem funkcije, razen protokolarnih daril in priložnostnih daril manjše vrednosti.</w:t>
      </w:r>
    </w:p>
    <w:p w14:paraId="3006F8C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681A2D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0650B1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0B099B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7206016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B6FE8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Ne glede na njihovo vrednost funkcionar ne sme sprejemati daril, ki so ali bi lahko vplivala na objektivno in nepristransko opravljanje njegove funkcije.</w:t>
      </w:r>
    </w:p>
    <w:p w14:paraId="3F416AD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AD7B0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Prepovedi in omejitve iz tega člena veljajo tudi za družinske člane funkcionarja.</w:t>
      </w:r>
    </w:p>
    <w:p w14:paraId="59556DB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D6006B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31. člen</w:t>
      </w:r>
    </w:p>
    <w:p w14:paraId="27ED60A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(seznam daril)</w:t>
      </w:r>
    </w:p>
    <w:p w14:paraId="58A1FB4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930A7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Sprejeta darila in njihovo vrednost vpiše v seznam daril organ oziroma organizacija, v kateri funkcionar, ki je sprejel darilo, opravlja funkcijo.</w:t>
      </w:r>
    </w:p>
    <w:p w14:paraId="3A96F73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C972D1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 seznam daril iz prejšnjega odstavka se ne vpisujejo darila, katerih vrednost ne presega vrednosti 25 eurov.</w:t>
      </w:r>
    </w:p>
    <w:p w14:paraId="5EAA581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8038C0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Protokolarna ali priložnostna darila, ki presegajo vrednost 75 eurov, postanejo last Republike Slovenije, lokalne skupnosti oziroma organizacije, v kateri funkcionar opravlja svojo funkcijo.</w:t>
      </w:r>
    </w:p>
    <w:p w14:paraId="4B1EEE0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9EA9C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6DE447A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99EB8F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092A1AE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577EA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4AA2282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9EC34F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32. člen</w:t>
      </w:r>
    </w:p>
    <w:p w14:paraId="05B7DF4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(posredovanje seznamov daril komisiji)</w:t>
      </w:r>
    </w:p>
    <w:p w14:paraId="79FDD64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A1224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in drugi organi ter organizacije, ki so dolžne voditi sezname daril, kopije teh seznamov za preteklo leto posredujejo komisiji do 31. marca tekočega leta.</w:t>
      </w:r>
    </w:p>
    <w:p w14:paraId="4516EF2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E2466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komisija pri pregledu seznama ugotovi odstopanje od zakonskih meril, določenih v 30. členu tega zakona, o tem obvesti organ oziroma organizacijo, ki ji je posredovala seznam.</w:t>
      </w:r>
    </w:p>
    <w:p w14:paraId="52B3819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800D3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Na podlagi zbranih podatkov komisija pripravi javni katalog daril, sprejetih v preteklem letu, in ga objavi na svoji spletni strani.</w:t>
      </w:r>
    </w:p>
    <w:p w14:paraId="0A88FFFC" w14:textId="77777777" w:rsidR="0081342F" w:rsidRPr="0081342F" w:rsidRDefault="0081342F" w:rsidP="005C6134">
      <w:pPr>
        <w:autoSpaceDN w:val="0"/>
        <w:adjustRightInd w:val="0"/>
        <w:spacing w:after="0" w:line="260" w:lineRule="exact"/>
        <w:jc w:val="both"/>
        <w:rPr>
          <w:rFonts w:ascii="Arial" w:eastAsia="Times New Roman" w:hAnsi="Arial" w:cs="Times New Roman"/>
          <w:sz w:val="20"/>
          <w:szCs w:val="20"/>
        </w:rPr>
      </w:pPr>
    </w:p>
    <w:p w14:paraId="44D10EB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33. člen</w:t>
      </w:r>
    </w:p>
    <w:p w14:paraId="232E1D6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(darila in objektivnost opravljanja funkcije)</w:t>
      </w:r>
    </w:p>
    <w:p w14:paraId="3B29F41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3861F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5B63EE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3CFFDB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D441B81"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8E02A8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ACBA6CE" w14:textId="77777777" w:rsidR="0081342F" w:rsidRPr="0081342F" w:rsidRDefault="0081342F" w:rsidP="005C6134">
      <w:pPr>
        <w:autoSpaceDN w:val="0"/>
        <w:adjustRightInd w:val="0"/>
        <w:spacing w:after="0" w:line="260" w:lineRule="exact"/>
        <w:jc w:val="both"/>
        <w:rPr>
          <w:rFonts w:ascii="Arial" w:eastAsia="Times New Roman" w:hAnsi="Arial" w:cs="Times New Roman"/>
          <w:sz w:val="20"/>
          <w:szCs w:val="20"/>
        </w:rPr>
      </w:pPr>
    </w:p>
    <w:p w14:paraId="41CADDB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34. člen</w:t>
      </w:r>
    </w:p>
    <w:p w14:paraId="1EA7934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(darila državnim in lokalnim organom ter nosilcem javnih pooblastil)</w:t>
      </w:r>
    </w:p>
    <w:p w14:paraId="1DC9418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CE3261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organi, lokalne skupnosti in nosilci javnih pooblastil lahko sprejemajo darila samo v primerih in pod pogoji, kot jih določa zakon.</w:t>
      </w:r>
    </w:p>
    <w:p w14:paraId="41382E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34D395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Državni organi, organi lokalnih skupnosti in nosilci javnih pooblastil ne glede na določbe drugih zakonov ne smejo sprejemati daril, ki vplivajo ali bi lahko vplivala na zakonitost, objektivnost in nepristranskost njihovega delovanja.</w:t>
      </w:r>
    </w:p>
    <w:p w14:paraId="649DAAA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FA89F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Državni organi, organi lokalnih skupnosti in nosilci javnih pooblastil skupaj s seznamom daril iz prvega odstavka 31. člena tega zakona komisiji posredujejo tudi seznam daril, sprejetih po prvem odstavku tega člena.</w:t>
      </w:r>
    </w:p>
    <w:p w14:paraId="5301EBD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BC0671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6F40106E" w14:textId="77777777" w:rsidR="0081342F" w:rsidRPr="0081342F" w:rsidRDefault="0081342F" w:rsidP="005C6134">
      <w:pPr>
        <w:autoSpaceDN w:val="0"/>
        <w:adjustRightInd w:val="0"/>
        <w:spacing w:after="0" w:line="260" w:lineRule="exact"/>
        <w:jc w:val="both"/>
        <w:rPr>
          <w:rFonts w:ascii="Arial" w:eastAsia="Times New Roman" w:hAnsi="Arial" w:cs="Times New Roman"/>
          <w:sz w:val="20"/>
          <w:szCs w:val="20"/>
        </w:rPr>
      </w:pPr>
    </w:p>
    <w:p w14:paraId="07C350D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35. člen</w:t>
      </w:r>
    </w:p>
    <w:p w14:paraId="6AFFF0FC"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(omejitve poslovanja in posledice kršitev)</w:t>
      </w:r>
    </w:p>
    <w:p w14:paraId="77CCE0F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9DE5E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2EADC25" w14:textId="77777777" w:rsidR="0081342F" w:rsidRPr="0081342F"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udeležen kot poslovodja, član poslovodstva ali zakoniti zastopnik ali</w:t>
      </w:r>
    </w:p>
    <w:p w14:paraId="770C3B53" w14:textId="77777777" w:rsidR="0081342F" w:rsidRPr="0081342F" w:rsidRDefault="0081342F" w:rsidP="00377995">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je neposredno ali preko drugih pravnih oseb v več kot pet odstotnem deležu udeležen pri ustanoviteljskih pravicah, upravljanju ali kapitalu.</w:t>
      </w:r>
    </w:p>
    <w:p w14:paraId="2B4CCEB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CA3548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Prepoved iz prejšnjega odstavka velja tudi za poslovanje organa ali organizacije javnega sektorja s funkcionarjem ali njegovim družinskim članom kot fizično osebo.</w:t>
      </w:r>
    </w:p>
    <w:p w14:paraId="60EE267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B468D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4CA5D14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05A626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767D68B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42860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5BFB6A8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32E0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Omejitve po določbah tega člena ne veljajo za poslovanje na podlagi pogodb, ki so bile sklenjene pred funkcionarjevim nastopom funkcije.</w:t>
      </w:r>
    </w:p>
    <w:p w14:paraId="55D14F2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9D6D14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Pogodba ali druge oblike pridobivanja sredstev, ki so v nasprotju z določbami tega člena, so nične.</w:t>
      </w:r>
    </w:p>
    <w:p w14:paraId="2127748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AE097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36. člen</w:t>
      </w:r>
    </w:p>
    <w:p w14:paraId="0CAD79A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(začasna prepoved poslovanja po prenehanju funkcije)</w:t>
      </w:r>
    </w:p>
    <w:p w14:paraId="76203B87"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p>
    <w:p w14:paraId="4D98AEA8"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(1) V roku dveh let po prenehanju funkcije funkcionar v razmerju do organa, pri katerem je opravljal svojo funkcijo, ne sme nastopiti kot predstavnik poslovnega subjekta, ki s tem organom ima ali vzpostavlja poslovne stike.</w:t>
      </w:r>
    </w:p>
    <w:p w14:paraId="75714110"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p>
    <w:p w14:paraId="14DA0172"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A7624FF"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(3) O primeru iz prvega odstavka tega člena organ, pri katerem je funkcionar opravljal svojo funkcijo, nemudoma, najpozneje pa v roku 30 dni, obvesti komisijo.</w:t>
      </w:r>
    </w:p>
    <w:p w14:paraId="5460AA3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6E56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37. člen</w:t>
      </w:r>
    </w:p>
    <w:p w14:paraId="7300C14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izogibanja nasprotju interesov)</w:t>
      </w:r>
    </w:p>
    <w:p w14:paraId="7F03C01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DED49E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Uradna oseba mora biti pozorna na vsako dejansko ali možno nasprotje interesov in mora storiti vse, da se mu izogne.</w:t>
      </w:r>
    </w:p>
    <w:p w14:paraId="233A415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E9BF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Uradna oseba svoje funkcije ali službe ne sme uporabiti zato, da bi sebi ali komu drugemu uresničila kakšen nedovoljen zasebni interes.</w:t>
      </w:r>
    </w:p>
    <w:p w14:paraId="7E74198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704E9C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38. člen</w:t>
      </w:r>
    </w:p>
    <w:p w14:paraId="2289299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(posledice neupoštevanja dolžnosti izogibanja)</w:t>
      </w:r>
    </w:p>
    <w:p w14:paraId="030C9B5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5AEF44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73DEF63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981D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Predstojnik oziroma komisija o obstoju nasprotja interesov odločita v 15 dneh in s svojo odločitvijo takoj seznanita uradno osebo.</w:t>
      </w:r>
    </w:p>
    <w:p w14:paraId="25B5835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F7BFF3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39. člen</w:t>
      </w:r>
    </w:p>
    <w:p w14:paraId="12F9ADD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(postopek ugotavljanja nasprotja interesov)</w:t>
      </w:r>
    </w:p>
    <w:p w14:paraId="0F8E6C3E"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5DB524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obstaja verjetnost, da je pri uradnih ravnanjih uradnih oseb obstajalo nasprotje interesov, lahko komisija uvedbe postopek ugotavljanja dejanskega obstoja nasprotja interesov in njegovih posledic.</w:t>
      </w:r>
    </w:p>
    <w:p w14:paraId="29F039C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FE51B7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je na podlagi izvedenega postopka ugotovljeno nasprotje interesov, komisija s tem seznani pristojni organ ali delodajalca in mu določi rok, v katerem jo je dolžan obvestiti o sprejetih ukrepih.</w:t>
      </w:r>
    </w:p>
    <w:p w14:paraId="135ADF4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353C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355554B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59EE44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lahko uvede postopek iz prvega odstavka tega člena v roku dveh let od opravljenih uradnih dejanj.</w:t>
      </w:r>
    </w:p>
    <w:p w14:paraId="5BA8CA7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756D14E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40. člen</w:t>
      </w:r>
    </w:p>
    <w:p w14:paraId="74C870B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(izjeme uporabe tega poglavja)</w:t>
      </w:r>
    </w:p>
    <w:p w14:paraId="4898BAFA"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649DFF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Določbe tega poglavja se ne uporabljajo za postopke, v katerih je izločitev uradne osebe urejena z drugim zakonom.</w:t>
      </w:r>
    </w:p>
    <w:p w14:paraId="7B21C3B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95E648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41. člen</w:t>
      </w:r>
    </w:p>
    <w:p w14:paraId="154269A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prijave premoženjskega stanja)</w:t>
      </w:r>
    </w:p>
    <w:p w14:paraId="2FDCF04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9F9E8B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361C56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8DE72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78D7DA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BF5583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5E46D5E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E89E70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Sporočanje podatkov o premoženjskem stanju iz drugega in tretjega odstavka tega člena se izvede preko elektronskega obrazca, dostopnega na spletnih straneh komisije.</w:t>
      </w:r>
    </w:p>
    <w:p w14:paraId="6B70A9A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C29F2D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505512C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6ABDD70C"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42. člen</w:t>
      </w:r>
    </w:p>
    <w:p w14:paraId="0FEFCC24" w14:textId="77777777" w:rsidR="0081342F" w:rsidRPr="0081342F" w:rsidRDefault="0081342F" w:rsidP="0081342F">
      <w:pPr>
        <w:suppressAutoHyphens/>
        <w:overflowPunct w:val="0"/>
        <w:autoSpaceDE w:val="0"/>
        <w:spacing w:after="0" w:line="240" w:lineRule="auto"/>
        <w:jc w:val="center"/>
        <w:textAlignment w:val="baseline"/>
        <w:rPr>
          <w:rFonts w:ascii="Arial" w:eastAsia="Times New Roman" w:hAnsi="Arial" w:cs="Times New Roman"/>
          <w:sz w:val="20"/>
          <w:szCs w:val="20"/>
        </w:rPr>
      </w:pPr>
      <w:r w:rsidRPr="0081342F">
        <w:rPr>
          <w:rFonts w:ascii="Arial" w:eastAsia="Times New Roman" w:hAnsi="Arial" w:cs="Times New Roman"/>
          <w:sz w:val="20"/>
          <w:szCs w:val="20"/>
        </w:rPr>
        <w:t>(podatki o premoženjskem stanju)</w:t>
      </w:r>
    </w:p>
    <w:p w14:paraId="7D77405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2EB48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Podatki o premoženjskem stanju zavezanca obsegajo:</w:t>
      </w:r>
    </w:p>
    <w:p w14:paraId="775A9746"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osebno ime,</w:t>
      </w:r>
    </w:p>
    <w:p w14:paraId="696A4214"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EMŠO,</w:t>
      </w:r>
    </w:p>
    <w:p w14:paraId="2C75D79A"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naslov stalnega prebivališča,</w:t>
      </w:r>
    </w:p>
    <w:p w14:paraId="3FDCFCB9"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davčno številko zavezanca,</w:t>
      </w:r>
    </w:p>
    <w:p w14:paraId="1BD80D84"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podatke o funkciji oziroma delu,</w:t>
      </w:r>
    </w:p>
    <w:p w14:paraId="4A8B3F4B"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delu, ki ga je opravljal neposredno pred nastopom funkcije,</w:t>
      </w:r>
    </w:p>
    <w:p w14:paraId="5B07FEE1"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drugih funkcijah oziroma dejavnostih, ki jih opravlja,</w:t>
      </w:r>
    </w:p>
    <w:p w14:paraId="5CC9E763"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48BE9F26"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deležih, delnicah, pravicah, ki jih imajo subjekti iz prejšnje alineje v drugi družbi, zavodu ali zasebni dejavnosti z oznako firme oziroma imena organizacije, (v nadaljnjem besedilu: posredno lastništvo),</w:t>
      </w:r>
    </w:p>
    <w:p w14:paraId="53EC5B02"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obdavčljivi dohodki po zakonu, ki ureja dohodnino, ki niso oproščeni plačila dohodnine,</w:t>
      </w:r>
    </w:p>
    <w:p w14:paraId="2D6C2C47"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nepremičninah z vsemi zemljiškoknjižnimi podatki,</w:t>
      </w:r>
    </w:p>
    <w:p w14:paraId="29EB5D63"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denarnih sredstvih pri bankah, hranilnicah in hranilno</w:t>
      </w:r>
      <w:r w:rsidRPr="0081342F">
        <w:rPr>
          <w:rFonts w:ascii="MS Gothic" w:eastAsia="MS Gothic" w:hAnsi="MS Gothic" w:cs="MS Gothic" w:hint="eastAsia"/>
          <w:sz w:val="20"/>
          <w:szCs w:val="20"/>
        </w:rPr>
        <w:t>‑</w:t>
      </w:r>
      <w:r w:rsidRPr="0081342F">
        <w:rPr>
          <w:rFonts w:ascii="Arial" w:eastAsia="Times New Roman" w:hAnsi="Arial" w:cs="Times New Roman"/>
          <w:sz w:val="20"/>
          <w:szCs w:val="20"/>
        </w:rPr>
        <w:t>kreditnih službah, katerih skupna vrednost na posameznem računu presega 10.000 eurov,</w:t>
      </w:r>
    </w:p>
    <w:p w14:paraId="456A5E47"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gotovine, če njena skupna vrednost presega 10.000 eurov,</w:t>
      </w:r>
    </w:p>
    <w:p w14:paraId="1CAFB64B"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vrstah in vrednosti vrednostnih papirjih, če njihova skupna vrednost ob času prijave premoženja presega 10.000 eurov,</w:t>
      </w:r>
    </w:p>
    <w:p w14:paraId="1BF10F53"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dolgovih, obveznostih oziroma prevzetih jamstvih in danih posojilih, katerih vrednost presega 10.000 eurov,</w:t>
      </w:r>
    </w:p>
    <w:p w14:paraId="09E59FD9"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premičninah, katerih vrednost presega 10.000 eurov,</w:t>
      </w:r>
    </w:p>
    <w:p w14:paraId="49320041" w14:textId="77777777" w:rsidR="0081342F" w:rsidRPr="0081342F" w:rsidRDefault="0081342F" w:rsidP="00377995">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druge podatke v zvezi s premoženjskim stanjem, ki jih zavezanec želi sporočiti.</w:t>
      </w:r>
    </w:p>
    <w:p w14:paraId="1E408E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DB47DB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Podatke iz prejšnjega odstavka, ki jih je možno pridobiti iz uradnih evidenc, lahko komisija pridobi iz teh evidenc zaradi preverbe resničnosti navedb zavezanca.</w:t>
      </w:r>
    </w:p>
    <w:p w14:paraId="0046898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D16C98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na podlagi primerjave podatkov iz prvega odstavka tega člena in drugih podatkov ugotovi neskladje, lahko zahteva od zavezanca, da podatkom iz prvega odstavka tega člena priloži ustrezna dokazila.</w:t>
      </w:r>
    </w:p>
    <w:p w14:paraId="5E3EE0F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D495B8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43. člen</w:t>
      </w:r>
    </w:p>
    <w:p w14:paraId="7249A7F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sporočanja sprememb premoženjskega stanja)</w:t>
      </w:r>
    </w:p>
    <w:p w14:paraId="0EBE22C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F48D0A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Podatke o letnih dohodkih iz desete alineje prvega odstavka prejšnjega člena v elektronski obliki pridobi komisija od pristojnega organa.</w:t>
      </w:r>
    </w:p>
    <w:p w14:paraId="1778B45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AC21A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4293397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51150F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245CFF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EBA53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lahko kadarkoli zahteva od zavezanca, da ji predloži podatke iz 42. člena tega zakona. Zavezanec mora komisiji predložiti te podatke najkasneje v 15 dneh po prejemu zahteve.</w:t>
      </w:r>
    </w:p>
    <w:p w14:paraId="6D19E1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DD64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0C5837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65B64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44. člen</w:t>
      </w:r>
    </w:p>
    <w:p w14:paraId="6C0E39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(poziv za predložitev podatkov premoženjskega stanja)</w:t>
      </w:r>
    </w:p>
    <w:p w14:paraId="78C590A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E4C50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komisija ugotovi, da ji zavezanec ni sporočil podatkov o svojih funkcijah, dejavnostih, premoženju in dohodkih v skladu s tem zakonom, ga pozove, da ji v roku, ki ne sme biti krajši od 15 in ne daljši od 30 dni, predloži predpisane podatke.</w:t>
      </w:r>
    </w:p>
    <w:p w14:paraId="60AECC5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CE2D8F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zavezanec v roku iz prejšnjega odstavka ne predloži zahtevanih podatkov, komisija odloči, da se mu plača oziroma nadomestilo plače vsak mesec po tem, ko je pretekel rok, zniža za znesek v višini deset odstotkov njegove osnovne plače, vendar največ do višine minimalne plače. Odločbo je dolžan izvršiti delodajalec.</w:t>
      </w:r>
    </w:p>
    <w:p w14:paraId="15AA32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D660FF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Drugi odstavek tega člena se ne uporablja za nepoklicne župane in podžupane.</w:t>
      </w:r>
    </w:p>
    <w:p w14:paraId="0F7FC57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3C6F8F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45. člen</w:t>
      </w:r>
    </w:p>
    <w:p w14:paraId="7349DEF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(nesorazmerno povečanje premoženja)</w:t>
      </w:r>
    </w:p>
    <w:p w14:paraId="73FA9AC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0103B8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9C87A4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08576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6A0DE12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184AE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4A38892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F3689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Organi iz drugega in prejšnjega odstavka komisijo o svojih ugotovitvah in odločitvah obvestijo v treh mesecih od prejetja obvestila komisije.</w:t>
      </w:r>
    </w:p>
    <w:p w14:paraId="15FFB87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E54071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8A0EC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08E66C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Državno tožilstvo ali drug organ iz prejšnjega odstavka mora komisiji najpozneje v roku 72 ur pisno sporočiti, katere ukrepe je sprejel.</w:t>
      </w:r>
    </w:p>
    <w:p w14:paraId="5208D4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7D1E82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46. člen</w:t>
      </w:r>
    </w:p>
    <w:p w14:paraId="0AC3D47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(javnost podatkov)</w:t>
      </w:r>
    </w:p>
    <w:p w14:paraId="15BAD13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AF8173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5A9FB80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C64BC7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na svoji spletni strani objavi podatke o dohodkih in premoženju, ki je bilo pridobljeno v obdobju opravljanja javne funkcije oziroma dejavnosti in še eno leto po prenehanju opravljanja funkcije oziroma dejavnosti, in sicer o:</w:t>
      </w:r>
    </w:p>
    <w:p w14:paraId="7F9EF0BA"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osebnem imenu in funkciji zavezanca,</w:t>
      </w:r>
    </w:p>
    <w:p w14:paraId="0F860510"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in številu delnic ter pravic v gospodarski družbi, zavodu ali zasebni dejavnosti z oznako firme oziroma imena organizacije,</w:t>
      </w:r>
    </w:p>
    <w:p w14:paraId="237CE319"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0920F6F9"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številu in vrednosti nepremičnin brez zemljiškoknjižnih podatkov,</w:t>
      </w:r>
    </w:p>
    <w:p w14:paraId="50AF6D79"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denarnih sredstev pri bankah, hranilnicah in hranilno</w:t>
      </w:r>
      <w:r w:rsidRPr="0081342F">
        <w:rPr>
          <w:rFonts w:ascii="MS Gothic" w:eastAsia="MS Gothic" w:hAnsi="MS Gothic" w:cs="MS Gothic" w:hint="eastAsia"/>
          <w:sz w:val="20"/>
          <w:szCs w:val="20"/>
        </w:rPr>
        <w:t>‑</w:t>
      </w:r>
      <w:r w:rsidRPr="0081342F">
        <w:rPr>
          <w:rFonts w:ascii="Arial" w:eastAsia="Times New Roman" w:hAnsi="Arial" w:cs="Times New Roman"/>
          <w:sz w:val="20"/>
          <w:szCs w:val="20"/>
        </w:rPr>
        <w:t>kreditnih službah, če ta presega 10.000 eurov,</w:t>
      </w:r>
    </w:p>
    <w:p w14:paraId="75078B94"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gotovine, če ta presega 10.000 eurov,</w:t>
      </w:r>
    </w:p>
    <w:p w14:paraId="3D8297B0"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vrednostnih papirjev, če ta presega 10.000 eurov,</w:t>
      </w:r>
    </w:p>
    <w:p w14:paraId="56021C91"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dolgov, obveznosti oziroma prevzetih jamstev, če ta presega 10.000 eurov,</w:t>
      </w:r>
    </w:p>
    <w:p w14:paraId="2A0EDA84"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danih posojil, če ta presega 10.000 eurov,</w:t>
      </w:r>
    </w:p>
    <w:p w14:paraId="16E1CCC0" w14:textId="77777777" w:rsidR="0081342F" w:rsidRPr="0081342F" w:rsidRDefault="0081342F" w:rsidP="00377995">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premičninah, katerih vrednost presega 10.000 eurov, na način, ki ne omogoča njihove identifikacije.</w:t>
      </w:r>
    </w:p>
    <w:p w14:paraId="6F78B09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1AD4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Podatki iz prejšnjega odstavka se objavijo na način, ki omogoča njihovo medsebojno primerljivost.</w:t>
      </w:r>
    </w:p>
    <w:p w14:paraId="1458839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2BCAF9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63. člen</w:t>
      </w:r>
    </w:p>
    <w:p w14:paraId="3BA9F4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(poročilo lobista)</w:t>
      </w:r>
    </w:p>
    <w:p w14:paraId="021A68C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A318A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Lobist, ki je vpisan v register lobistov v Republiki Sloveniji, mora komisiji pisno poročati o svojem delu, in sicer:</w:t>
      </w:r>
    </w:p>
    <w:p w14:paraId="69A12101" w14:textId="77777777" w:rsidR="0081342F" w:rsidRPr="0081342F"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do 31. januarja tekočega leta za preteklo leto,</w:t>
      </w:r>
    </w:p>
    <w:p w14:paraId="657C0944" w14:textId="77777777" w:rsidR="0081342F" w:rsidRPr="0081342F" w:rsidRDefault="0081342F" w:rsidP="00377995">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najkasneje v 30 dneh po prenehanju veljavnosti registracije.</w:t>
      </w:r>
    </w:p>
    <w:p w14:paraId="627C50B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F2E32E3" w14:textId="77777777" w:rsidR="00FB4E1D"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Lobist, ki je vpisan v register lobistov v Republiki Sloveniji, mora dokumentacijo, ki je osnova za poročanje komisiji, hraniti pet let od dneva podaje poročila iz prejšnjega odstavka.</w:t>
      </w:r>
    </w:p>
    <w:p w14:paraId="64443E42" w14:textId="4C90197A"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4BFA21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68. člen</w:t>
      </w:r>
    </w:p>
    <w:p w14:paraId="36B9DB3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(informiranje lobirancev in zapis lobiranja)</w:t>
      </w:r>
    </w:p>
    <w:p w14:paraId="131ABF4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429679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Lobist lahko lobirancem posreduje pisne in ustne informacije in gradivo v zadevah, v katerih lobira za interesne organizacije.</w:t>
      </w:r>
    </w:p>
    <w:p w14:paraId="43776F9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8017B2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4BDE6BF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EE0088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76. člen</w:t>
      </w:r>
    </w:p>
    <w:p w14:paraId="63B3957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(evidence podatkov in rok hranjenja)</w:t>
      </w:r>
    </w:p>
    <w:p w14:paraId="7B7A6E3D"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2E4233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podatke, informacije in dokumentacijo, pridobljeno na podlagi tega zakona, hrani deset let, nato se dokumentacija s podatki in informacijami arhivira.</w:t>
      </w:r>
    </w:p>
    <w:p w14:paraId="2527644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33E97D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vodi naslednje evidence podatkov:</w:t>
      </w:r>
    </w:p>
    <w:p w14:paraId="4354C93C"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26B8D572"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1BE1374E"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2A136A5A"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45E3CF51"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4F954159"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BF8D4E4"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040BF557"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9CFBB28"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14BE259"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372AA1"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0A6B221B"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oseb iz druge alineje tretjega odstavka 47. člena tega zakona (osebno ime, delovno mesto, organ), za namene učinkovitega izvajanja načrta integritete ter usposabljanja oseb, odgovornih za načrt integritete,</w:t>
      </w:r>
    </w:p>
    <w:p w14:paraId="4B082173"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11F82919"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 register lobistov, ki vsebuje podatke iz tretjega odstavka 58. člena tega zakona, za namene zagotavljanja zakonitosti, ugotavljanja, odločanja ter nadzora na lobiranjem,</w:t>
      </w:r>
    </w:p>
    <w:p w14:paraId="784D6245"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BBFE821" w14:textId="77777777" w:rsidR="0081342F" w:rsidRPr="0081342F" w:rsidRDefault="0081342F" w:rsidP="00377995">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39059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298564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77. člen</w:t>
      </w:r>
    </w:p>
    <w:p w14:paraId="39320B1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(prekrški fizičnih oseb)</w:t>
      </w:r>
    </w:p>
    <w:p w14:paraId="4FE0B83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B07F2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 globo od 400 do 1.200 eurov se kaznuje za prekršek posameznik, ki:</w:t>
      </w:r>
    </w:p>
    <w:p w14:paraId="7AF5580B"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se v nasprotju z določbo sedmega odstavka 16. člena tega zakona brez opravičila ne udeleži seje komisije ali ne odgovarja na vprašanja komisije iz njene pristojnosti, razen v primerih iz devetega odstavka 16. člena tega zakona,</w:t>
      </w:r>
    </w:p>
    <w:p w14:paraId="313F9A9A"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1AE27B"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četrtega odstavka 23. člena tega zakona ugotavlja identiteto prijavitelja, ki je prijavo podal v dobri veri oziroma je utemeljeno sklepal, da so njegovi podatki resnični,</w:t>
      </w:r>
    </w:p>
    <w:p w14:paraId="526F6F09"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drugega odstavka 26. člena tega zakona komisije ne obvesti o opravljanju poklicne ali druge dejavnosti,</w:t>
      </w:r>
    </w:p>
    <w:p w14:paraId="18038AE8"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tretjega odstavka 26. člena tega zakona ne spoštuje odločbe o prepovedi opravljanja dodatne dejavnosti ali pogojev in omejitev, ki mu jih je z odločbo postavila komisija,</w:t>
      </w:r>
    </w:p>
    <w:p w14:paraId="5AF4A991"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določbami 30. člena tega zakona sprejme darilo ali drugo korist v zvezi z opravljanjem funkcije,</w:t>
      </w:r>
    </w:p>
    <w:p w14:paraId="7719FDDC"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B2CC720"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petega odstavka 35. člena tega zakona organu, v katerem opravlja funkcijo, ne sporoči podatkov o subjektih, s katerimi so on ali njegovi družinski člani povezani na način iz prvega odstavka 35. člena tega zakona,</w:t>
      </w:r>
    </w:p>
    <w:p w14:paraId="3FDFE72C"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0BB466F1"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prvega odstavka 38. člena tega zakona svojega predstojnika ali komisije ne obvesti takoj o nasprotju interesov oziroma možnosti, da bi do njega prišlo,</w:t>
      </w:r>
    </w:p>
    <w:p w14:paraId="22DDEADE"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drugega ali tretjega odstavka 41. člena tega zakona komisiji ne sporoči podatkov o premoženjskem stanju,</w:t>
      </w:r>
    </w:p>
    <w:p w14:paraId="36880CC8"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prijavo o premoženjskem stanju iz 42. in 43. člena tega zakona ali v njene dopolnitve ne vpiše potrebnih podatkov ali vpiše lažne podatke,</w:t>
      </w:r>
    </w:p>
    <w:p w14:paraId="1C5F2F19"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opravlja dejanja lobiranja, čeprav ni vpisan v register lobistov skladno s prvim odstavkom 58. člena in ni izvzet iz obveznosti registracije na podlagi četrtega odstavka 58. člena tega zakona,</w:t>
      </w:r>
    </w:p>
    <w:p w14:paraId="0A9E8EC7"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kot lobiranec v skladu z drugim odstavkom 68. člena tega zakona ne izdela zapisa o lobiranju,</w:t>
      </w:r>
    </w:p>
    <w:p w14:paraId="7FD820B6"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kot lobiranec v nasprotju z določbo 69. člena tega zakona ne odkloni stika z lobistom, ki ni vpisan v register lobistov ali stika, pri katerem bi nastalo nasprotje interesov,</w:t>
      </w:r>
    </w:p>
    <w:p w14:paraId="216BDDB4" w14:textId="77777777" w:rsidR="0081342F" w:rsidRPr="0081342F" w:rsidRDefault="0081342F" w:rsidP="006F190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kot lobiranec v roku iz 71. člena tega zakona ne prijavi komisiji lobista, ki ravna v nasprotju s 70. členom ali ni vpisan v register lobistov v skladu z 58. členom.</w:t>
      </w:r>
    </w:p>
    <w:p w14:paraId="4225185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4235BD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 globo od 1.000 do 2.000 eurov se kaznuje za prekršek posameznik, ki:</w:t>
      </w:r>
    </w:p>
    <w:p w14:paraId="7B86C3E1" w14:textId="77777777" w:rsidR="0081342F" w:rsidRPr="0081342F"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četrtega odstavka 23. člena tega zakona razkrije identiteto prijavitelja, ki je prijavno podal v dobri veri oziroma je utemeljeno sklepal, da so njegovi podatki resnični, ali poda zlonamerno prijavo,</w:t>
      </w:r>
    </w:p>
    <w:p w14:paraId="7C159635" w14:textId="77777777" w:rsidR="0081342F" w:rsidRPr="0081342F"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petega odstavka 26. člena tega zakona po pravnomočnosti odločbe o preklicu dovoljenja ne preneha z opravljanjem poklicne ali druge dejavnosti,</w:t>
      </w:r>
    </w:p>
    <w:p w14:paraId="633058AD" w14:textId="77777777" w:rsidR="0081342F" w:rsidRPr="0081342F"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28. člena tega zakona ne preneha opravljati nezdružljive funkcije, članstva ali dejavnosti,</w:t>
      </w:r>
    </w:p>
    <w:p w14:paraId="50C6D491" w14:textId="77777777" w:rsidR="0081342F" w:rsidRPr="0081342F" w:rsidRDefault="0081342F" w:rsidP="00377995">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lobira v nasprotju s 70. členom tega zakona.</w:t>
      </w:r>
    </w:p>
    <w:p w14:paraId="76D591D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A48FD2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5D23F05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6C7541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67F1586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0D88E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7EE486F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1A68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30222E9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2A6163C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3D300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4768E7A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E8C64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0AFE838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109C87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(10) Z globo od 400 do 4.000 eurov se kaznuje za prekršek odgovorna oseba državnega organa, organa lokalne skupnosti ali nosilca javnih pooblastil, ki sprejme darilo v nasprotju z določbo prvega ali drugega odstavka 34. člena tega zakona.</w:t>
      </w:r>
    </w:p>
    <w:p w14:paraId="4F5C239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CCE580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3315091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90BC3A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635DAB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983BF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(13) Z globo od 400 do 4.000 eurov se kaznuje za prekršek odgovorna oseba organa, v katerem je funkcionar opravljal svojo funkcijo, če v nasprotju z drugim odstavkom 36. člena posluje s poslovnim subjektom funkcionarja.</w:t>
      </w:r>
    </w:p>
    <w:p w14:paraId="3A407E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50D1B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528A07A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53CDD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(15) Z globo od 400 do 4.000 eurov se kaznuje za prekršek odgovorna oseba organa ali naročnika, ki komisiji v nasprotju s petim odstavkom 41. člena tega zakona ne posreduje seznama zavezancev.</w:t>
      </w:r>
    </w:p>
    <w:p w14:paraId="6E0D3BF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C3A5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48C3BA9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7DA315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78. člen</w:t>
      </w:r>
    </w:p>
    <w:p w14:paraId="28A37B1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(prekrški pravnih oseb)</w:t>
      </w:r>
    </w:p>
    <w:p w14:paraId="22B6332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2D5BE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CEFAD7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1DE3B0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79. člen</w:t>
      </w:r>
    </w:p>
    <w:p w14:paraId="358BF12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(prekršek interesne organizacije)</w:t>
      </w:r>
    </w:p>
    <w:p w14:paraId="54AF756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A37E3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 globo od 400 do 100.000 eurov se kaznuje za prekršek interesna organizacija, za katero z njeno vednostjo lobira posameznik, ki v nasprotju z 58. členom tega zakona ni registriran kot lobist.</w:t>
      </w:r>
    </w:p>
    <w:p w14:paraId="7D1FCC1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7E479D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 globo od 400 do 100.000 eurov se kaznuje za prekršek interesna organizacija, po naročilu katere lobist lobira v nasprotju s 70. členom tega zakona.</w:t>
      </w:r>
    </w:p>
    <w:p w14:paraId="4719B6A3" w14:textId="226F1A88" w:rsidR="009A3181" w:rsidRDefault="009A3181" w:rsidP="00242891">
      <w:pPr>
        <w:spacing w:after="0" w:line="240" w:lineRule="atLeast"/>
        <w:jc w:val="both"/>
        <w:rPr>
          <w:rFonts w:ascii="Arial" w:eastAsia="Times New Roman" w:hAnsi="Arial" w:cs="Times New Roman"/>
          <w:sz w:val="20"/>
          <w:szCs w:val="20"/>
        </w:rPr>
      </w:pPr>
    </w:p>
    <w:p w14:paraId="1B598756" w14:textId="0EF64597" w:rsidR="00242891" w:rsidRPr="00331ED5" w:rsidRDefault="00242891" w:rsidP="00242891">
      <w:pPr>
        <w:spacing w:after="0" w:line="240" w:lineRule="atLeast"/>
        <w:jc w:val="both"/>
        <w:rPr>
          <w:rFonts w:ascii="Arial" w:eastAsia="Times New Roman" w:hAnsi="Arial" w:cs="Times New Roman"/>
          <w:b/>
          <w:sz w:val="20"/>
          <w:szCs w:val="20"/>
          <w:u w:val="single"/>
        </w:rPr>
      </w:pPr>
      <w:r w:rsidRPr="00331ED5">
        <w:rPr>
          <w:rFonts w:ascii="Arial" w:eastAsia="Times New Roman" w:hAnsi="Arial" w:cs="Times New Roman"/>
          <w:b/>
          <w:sz w:val="20"/>
          <w:szCs w:val="20"/>
          <w:u w:val="single"/>
        </w:rPr>
        <w:t>Zakon o poslancih (Uradni list RS, št. 112/05 – uradno prečiščeno besedilo, 109/08, 39/11 in 48/12)</w:t>
      </w:r>
    </w:p>
    <w:p w14:paraId="18D86269" w14:textId="40442498" w:rsidR="00242891" w:rsidRDefault="00242891" w:rsidP="00242891">
      <w:pPr>
        <w:spacing w:after="0" w:line="240" w:lineRule="atLeast"/>
        <w:jc w:val="both"/>
        <w:rPr>
          <w:rFonts w:ascii="Arial" w:eastAsia="Times New Roman" w:hAnsi="Arial" w:cs="Times New Roman"/>
          <w:sz w:val="20"/>
          <w:szCs w:val="20"/>
        </w:rPr>
      </w:pPr>
    </w:p>
    <w:p w14:paraId="07F6B4F5" w14:textId="77777777" w:rsidR="00242891" w:rsidRPr="00242891" w:rsidRDefault="00242891" w:rsidP="00242891">
      <w:pPr>
        <w:spacing w:after="0" w:line="240" w:lineRule="atLeast"/>
        <w:jc w:val="center"/>
        <w:rPr>
          <w:rFonts w:ascii="Arial" w:eastAsia="Times New Roman" w:hAnsi="Arial" w:cs="Times New Roman"/>
          <w:sz w:val="20"/>
          <w:szCs w:val="20"/>
        </w:rPr>
      </w:pPr>
      <w:r w:rsidRPr="00242891">
        <w:rPr>
          <w:rFonts w:ascii="Arial" w:eastAsia="Times New Roman" w:hAnsi="Arial" w:cs="Times New Roman"/>
          <w:sz w:val="20"/>
          <w:szCs w:val="20"/>
        </w:rPr>
        <w:t>12. člen</w:t>
      </w:r>
    </w:p>
    <w:p w14:paraId="1E88DCB8" w14:textId="77777777" w:rsidR="00242891" w:rsidRPr="00242891" w:rsidRDefault="00242891" w:rsidP="00242891">
      <w:pPr>
        <w:spacing w:after="0" w:line="240" w:lineRule="atLeast"/>
        <w:jc w:val="both"/>
        <w:rPr>
          <w:rFonts w:ascii="Arial" w:eastAsia="Times New Roman" w:hAnsi="Arial" w:cs="Times New Roman"/>
          <w:sz w:val="20"/>
          <w:szCs w:val="20"/>
        </w:rPr>
      </w:pPr>
    </w:p>
    <w:p w14:paraId="03883DCA" w14:textId="77777777" w:rsidR="00242891" w:rsidRPr="00242891" w:rsidRDefault="00242891" w:rsidP="00242891">
      <w:pPr>
        <w:spacing w:after="0" w:line="240" w:lineRule="atLeast"/>
        <w:jc w:val="both"/>
        <w:rPr>
          <w:rFonts w:ascii="Arial" w:eastAsia="Times New Roman" w:hAnsi="Arial" w:cs="Times New Roman"/>
          <w:sz w:val="20"/>
          <w:szCs w:val="20"/>
        </w:rPr>
      </w:pPr>
      <w:r w:rsidRPr="00242891">
        <w:rPr>
          <w:rFonts w:ascii="Arial" w:eastAsia="Times New Roman" w:hAnsi="Arial" w:cs="Times New Roman"/>
          <w:sz w:val="20"/>
          <w:szCs w:val="20"/>
        </w:rPr>
        <w:t>Poslanec ne sme opravljati pridobitne dejavnosti, ki po zakonu ni združljiva z opravljanjem javne funkcije.</w:t>
      </w:r>
    </w:p>
    <w:p w14:paraId="1CB711AD" w14:textId="77777777" w:rsidR="00242891" w:rsidRPr="00242891" w:rsidRDefault="00242891" w:rsidP="00242891">
      <w:pPr>
        <w:spacing w:after="0" w:line="240" w:lineRule="atLeast"/>
        <w:jc w:val="both"/>
        <w:rPr>
          <w:rFonts w:ascii="Arial" w:eastAsia="Times New Roman" w:hAnsi="Arial" w:cs="Times New Roman"/>
          <w:sz w:val="20"/>
          <w:szCs w:val="20"/>
        </w:rPr>
      </w:pPr>
    </w:p>
    <w:p w14:paraId="362DE287" w14:textId="77777777" w:rsidR="00242891" w:rsidRPr="00242891" w:rsidRDefault="00242891" w:rsidP="00242891">
      <w:pPr>
        <w:spacing w:after="0" w:line="240" w:lineRule="atLeast"/>
        <w:jc w:val="both"/>
        <w:rPr>
          <w:rFonts w:ascii="Arial" w:eastAsia="Times New Roman" w:hAnsi="Arial" w:cs="Times New Roman"/>
          <w:sz w:val="20"/>
          <w:szCs w:val="20"/>
        </w:rPr>
      </w:pPr>
      <w:r w:rsidRPr="00242891">
        <w:rPr>
          <w:rFonts w:ascii="Arial" w:eastAsia="Times New Roman" w:hAnsi="Arial" w:cs="Times New Roman"/>
          <w:sz w:val="20"/>
          <w:szCs w:val="20"/>
        </w:rPr>
        <w:t>Poslanec ne sme biti član nadzornega odbora gospodarske družbe.</w:t>
      </w:r>
    </w:p>
    <w:p w14:paraId="1958363A" w14:textId="77777777" w:rsidR="00242891" w:rsidRPr="00242891" w:rsidRDefault="00242891" w:rsidP="00242891">
      <w:pPr>
        <w:spacing w:after="0" w:line="240" w:lineRule="atLeast"/>
        <w:jc w:val="both"/>
        <w:rPr>
          <w:rFonts w:ascii="Arial" w:eastAsia="Times New Roman" w:hAnsi="Arial" w:cs="Times New Roman"/>
          <w:sz w:val="20"/>
          <w:szCs w:val="20"/>
        </w:rPr>
      </w:pPr>
    </w:p>
    <w:p w14:paraId="68251919" w14:textId="77777777" w:rsidR="00242891" w:rsidRPr="00242891" w:rsidRDefault="00242891" w:rsidP="00242891">
      <w:pPr>
        <w:spacing w:after="0" w:line="240" w:lineRule="atLeast"/>
        <w:jc w:val="both"/>
        <w:rPr>
          <w:rFonts w:ascii="Arial" w:eastAsia="Times New Roman" w:hAnsi="Arial" w:cs="Times New Roman"/>
          <w:sz w:val="20"/>
          <w:szCs w:val="20"/>
        </w:rPr>
      </w:pPr>
      <w:r w:rsidRPr="00242891">
        <w:rPr>
          <w:rFonts w:ascii="Arial" w:eastAsia="Times New Roman" w:hAnsi="Arial" w:cs="Times New Roman"/>
          <w:sz w:val="20"/>
          <w:szCs w:val="20"/>
        </w:rPr>
        <w:t>Najkasneje v treh mesecih po potrditvi poslanskega mandata mora poslanec prenehati z opravljanjem dejavnosti iz prejšnjih odstavkov. Če tega ne stori, mu preneha mandat.</w:t>
      </w:r>
    </w:p>
    <w:p w14:paraId="7240BF9A" w14:textId="77777777" w:rsidR="00242891" w:rsidRPr="00242891" w:rsidRDefault="00242891" w:rsidP="00242891">
      <w:pPr>
        <w:spacing w:after="0" w:line="240" w:lineRule="atLeast"/>
        <w:jc w:val="both"/>
        <w:rPr>
          <w:rFonts w:ascii="Arial" w:eastAsia="Times New Roman" w:hAnsi="Arial" w:cs="Times New Roman"/>
          <w:sz w:val="20"/>
          <w:szCs w:val="20"/>
        </w:rPr>
      </w:pPr>
    </w:p>
    <w:p w14:paraId="390369E3" w14:textId="77777777" w:rsidR="00242891" w:rsidRPr="00242891" w:rsidRDefault="00242891" w:rsidP="00242891">
      <w:pPr>
        <w:spacing w:after="0" w:line="240" w:lineRule="atLeast"/>
        <w:jc w:val="center"/>
        <w:rPr>
          <w:rFonts w:ascii="Arial" w:eastAsia="Times New Roman" w:hAnsi="Arial" w:cs="Times New Roman"/>
          <w:sz w:val="20"/>
          <w:szCs w:val="20"/>
        </w:rPr>
      </w:pPr>
      <w:r w:rsidRPr="00242891">
        <w:rPr>
          <w:rFonts w:ascii="Arial" w:eastAsia="Times New Roman" w:hAnsi="Arial" w:cs="Times New Roman"/>
          <w:sz w:val="20"/>
          <w:szCs w:val="20"/>
        </w:rPr>
        <w:t>13. člen</w:t>
      </w:r>
    </w:p>
    <w:p w14:paraId="5301F584" w14:textId="77777777" w:rsidR="00242891" w:rsidRPr="00242891" w:rsidRDefault="00242891" w:rsidP="00242891">
      <w:pPr>
        <w:spacing w:after="0" w:line="240" w:lineRule="atLeast"/>
        <w:jc w:val="both"/>
        <w:rPr>
          <w:rFonts w:ascii="Arial" w:eastAsia="Times New Roman" w:hAnsi="Arial" w:cs="Times New Roman"/>
          <w:sz w:val="20"/>
          <w:szCs w:val="20"/>
        </w:rPr>
      </w:pPr>
    </w:p>
    <w:p w14:paraId="0D34B0CF" w14:textId="77777777" w:rsidR="00242891" w:rsidRPr="00242891" w:rsidRDefault="00242891" w:rsidP="00242891">
      <w:pPr>
        <w:spacing w:after="0" w:line="240" w:lineRule="atLeast"/>
        <w:jc w:val="both"/>
        <w:rPr>
          <w:rFonts w:ascii="Arial" w:eastAsia="Times New Roman" w:hAnsi="Arial" w:cs="Times New Roman"/>
          <w:sz w:val="20"/>
          <w:szCs w:val="20"/>
        </w:rPr>
      </w:pPr>
      <w:r w:rsidRPr="00242891">
        <w:rPr>
          <w:rFonts w:ascii="Arial" w:eastAsia="Times New Roman" w:hAnsi="Arial" w:cs="Times New Roman"/>
          <w:sz w:val="20"/>
          <w:szCs w:val="20"/>
        </w:rPr>
        <w:t>Poslanec sme po obvestilu pristojnemu delovnemu telesu državnega zbora samostojno ali v delovnem razmerju opravljati dejavnost, vendar največ v obsegu, ki ne presega petine polnega delovnega časa, potrebnega oziroma določenega za redno opravljanje dejavnosti, če gre za opravljanje zahtevnejših strokovnih, znanstvenih, pedagoških ali raziskovalnih del.</w:t>
      </w:r>
    </w:p>
    <w:p w14:paraId="396F9F3C" w14:textId="77777777" w:rsidR="00242891" w:rsidRPr="00242891" w:rsidRDefault="00242891" w:rsidP="00242891">
      <w:pPr>
        <w:spacing w:after="0" w:line="240" w:lineRule="atLeast"/>
        <w:jc w:val="both"/>
        <w:rPr>
          <w:rFonts w:ascii="Arial" w:eastAsia="Times New Roman" w:hAnsi="Arial" w:cs="Times New Roman"/>
          <w:sz w:val="20"/>
          <w:szCs w:val="20"/>
        </w:rPr>
      </w:pPr>
    </w:p>
    <w:p w14:paraId="113CBBE1" w14:textId="0A3C96D1" w:rsidR="00242891" w:rsidRDefault="00242891" w:rsidP="00242891">
      <w:pPr>
        <w:spacing w:after="0" w:line="240" w:lineRule="atLeast"/>
        <w:jc w:val="both"/>
        <w:rPr>
          <w:rFonts w:ascii="Arial" w:eastAsia="Times New Roman" w:hAnsi="Arial" w:cs="Times New Roman"/>
          <w:sz w:val="20"/>
          <w:szCs w:val="20"/>
        </w:rPr>
      </w:pPr>
      <w:r w:rsidRPr="00242891">
        <w:rPr>
          <w:rFonts w:ascii="Arial" w:eastAsia="Times New Roman" w:hAnsi="Arial" w:cs="Times New Roman"/>
          <w:sz w:val="20"/>
          <w:szCs w:val="20"/>
        </w:rPr>
        <w:t>Državni zbor na predlog pristojnega delovnega telesa odkloni poslancu opravljanje dejavnosti ali dela, če to vpliva na izvrševanje funkcije poslanca ali ovira objektivno in od zunanjih vplivov neodvisno opravljanje funkcije.</w:t>
      </w:r>
    </w:p>
    <w:p w14:paraId="09F8C9AB" w14:textId="77777777" w:rsidR="00242891" w:rsidRPr="00D94D25" w:rsidRDefault="00242891" w:rsidP="00D94D25">
      <w:pPr>
        <w:spacing w:after="0" w:line="240" w:lineRule="atLeast"/>
        <w:rPr>
          <w:rFonts w:ascii="Arial" w:eastAsia="Times New Roman" w:hAnsi="Arial" w:cs="Times New Roman"/>
          <w:sz w:val="20"/>
          <w:szCs w:val="20"/>
        </w:rPr>
      </w:pPr>
    </w:p>
    <w:p w14:paraId="2CC9E961" w14:textId="5C356739" w:rsidR="00D8786B" w:rsidRPr="00D8786B" w:rsidRDefault="00D8786B" w:rsidP="00D8786B">
      <w:pPr>
        <w:spacing w:after="0" w:line="240" w:lineRule="atLeast"/>
        <w:jc w:val="both"/>
        <w:rPr>
          <w:rFonts w:ascii="Arial" w:eastAsia="Times New Roman" w:hAnsi="Arial" w:cs="Times New Roman"/>
          <w:b/>
          <w:sz w:val="20"/>
          <w:szCs w:val="20"/>
          <w:u w:val="single"/>
        </w:rPr>
      </w:pPr>
      <w:r w:rsidRPr="00D8786B">
        <w:rPr>
          <w:rFonts w:ascii="Arial" w:eastAsia="Times New Roman" w:hAnsi="Arial" w:cs="Times New Roman"/>
          <w:b/>
          <w:sz w:val="20"/>
          <w:szCs w:val="20"/>
          <w:u w:val="single"/>
        </w:rPr>
        <w:t xml:space="preserve">Zakon o gospodarskih družbah (Uradni list RS, št. 65/09 – uradno prečiščeno besedilo, 33/11, 91/11, 32/12, 57/12, 44/13 – </w:t>
      </w:r>
      <w:proofErr w:type="spellStart"/>
      <w:r w:rsidRPr="00D8786B">
        <w:rPr>
          <w:rFonts w:ascii="Arial" w:eastAsia="Times New Roman" w:hAnsi="Arial" w:cs="Times New Roman"/>
          <w:b/>
          <w:sz w:val="20"/>
          <w:szCs w:val="20"/>
          <w:u w:val="single"/>
        </w:rPr>
        <w:t>odl</w:t>
      </w:r>
      <w:proofErr w:type="spellEnd"/>
      <w:r w:rsidRPr="00D8786B">
        <w:rPr>
          <w:rFonts w:ascii="Arial" w:eastAsia="Times New Roman" w:hAnsi="Arial" w:cs="Times New Roman"/>
          <w:b/>
          <w:sz w:val="20"/>
          <w:szCs w:val="20"/>
          <w:u w:val="single"/>
        </w:rPr>
        <w:t xml:space="preserve">. US, 82/13, 55/15, 15/17 in 22/19 – </w:t>
      </w:r>
      <w:proofErr w:type="spellStart"/>
      <w:r w:rsidRPr="00D8786B">
        <w:rPr>
          <w:rFonts w:ascii="Arial" w:eastAsia="Times New Roman" w:hAnsi="Arial" w:cs="Times New Roman"/>
          <w:b/>
          <w:sz w:val="20"/>
          <w:szCs w:val="20"/>
          <w:u w:val="single"/>
        </w:rPr>
        <w:t>ZPosS</w:t>
      </w:r>
      <w:proofErr w:type="spellEnd"/>
      <w:r w:rsidRPr="00D8786B">
        <w:rPr>
          <w:rFonts w:ascii="Arial" w:eastAsia="Times New Roman" w:hAnsi="Arial" w:cs="Times New Roman"/>
          <w:b/>
          <w:sz w:val="20"/>
          <w:szCs w:val="20"/>
          <w:u w:val="single"/>
        </w:rPr>
        <w:t>)</w:t>
      </w:r>
    </w:p>
    <w:p w14:paraId="07C5CFD9" w14:textId="36660719" w:rsidR="00D8786B" w:rsidRDefault="00D8786B" w:rsidP="00D8786B">
      <w:pPr>
        <w:spacing w:after="0" w:line="240" w:lineRule="atLeast"/>
        <w:jc w:val="center"/>
        <w:rPr>
          <w:rFonts w:ascii="Arial" w:eastAsia="Times New Roman" w:hAnsi="Arial" w:cs="Times New Roman"/>
          <w:sz w:val="20"/>
          <w:szCs w:val="20"/>
        </w:rPr>
      </w:pPr>
    </w:p>
    <w:p w14:paraId="3F8505DC" w14:textId="77777777" w:rsidR="00D8786B" w:rsidRPr="00D8786B" w:rsidRDefault="00D8786B" w:rsidP="00D8786B">
      <w:pPr>
        <w:spacing w:after="0" w:line="240" w:lineRule="atLeast"/>
        <w:jc w:val="center"/>
        <w:rPr>
          <w:rFonts w:ascii="Arial" w:eastAsia="Times New Roman" w:hAnsi="Arial" w:cs="Times New Roman"/>
          <w:sz w:val="20"/>
          <w:szCs w:val="20"/>
        </w:rPr>
      </w:pPr>
      <w:r w:rsidRPr="00D8786B">
        <w:rPr>
          <w:rFonts w:ascii="Arial" w:eastAsia="Times New Roman" w:hAnsi="Arial" w:cs="Times New Roman"/>
          <w:sz w:val="20"/>
          <w:szCs w:val="20"/>
        </w:rPr>
        <w:t>38.a člen</w:t>
      </w:r>
    </w:p>
    <w:p w14:paraId="13A40ACC" w14:textId="77777777" w:rsidR="00D8786B" w:rsidRPr="00D8786B" w:rsidRDefault="00D8786B" w:rsidP="00D8786B">
      <w:pPr>
        <w:spacing w:after="0" w:line="240" w:lineRule="atLeast"/>
        <w:jc w:val="center"/>
        <w:rPr>
          <w:rFonts w:ascii="Arial" w:eastAsia="Times New Roman" w:hAnsi="Arial" w:cs="Times New Roman"/>
          <w:sz w:val="20"/>
          <w:szCs w:val="20"/>
        </w:rPr>
      </w:pPr>
      <w:r w:rsidRPr="00D8786B">
        <w:rPr>
          <w:rFonts w:ascii="Arial" w:eastAsia="Times New Roman" w:hAnsi="Arial" w:cs="Times New Roman"/>
          <w:sz w:val="20"/>
          <w:szCs w:val="20"/>
        </w:rPr>
        <w:t>(odprava nasprotja interesov)</w:t>
      </w:r>
    </w:p>
    <w:p w14:paraId="173EDF7F" w14:textId="77777777" w:rsidR="00D8786B" w:rsidRPr="00D8786B" w:rsidRDefault="00D8786B" w:rsidP="00D8786B">
      <w:pPr>
        <w:spacing w:after="0" w:line="240" w:lineRule="atLeast"/>
        <w:jc w:val="both"/>
        <w:rPr>
          <w:rFonts w:ascii="Arial" w:eastAsia="Times New Roman" w:hAnsi="Arial" w:cs="Times New Roman"/>
          <w:sz w:val="20"/>
          <w:szCs w:val="20"/>
        </w:rPr>
      </w:pPr>
    </w:p>
    <w:p w14:paraId="6210C521"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38677375" w14:textId="77777777" w:rsidR="00D8786B" w:rsidRPr="00D8786B" w:rsidRDefault="00D8786B" w:rsidP="00D8786B">
      <w:pPr>
        <w:spacing w:after="0" w:line="240" w:lineRule="atLeast"/>
        <w:jc w:val="both"/>
        <w:rPr>
          <w:rFonts w:ascii="Arial" w:eastAsia="Times New Roman" w:hAnsi="Arial" w:cs="Times New Roman"/>
          <w:sz w:val="20"/>
          <w:szCs w:val="20"/>
        </w:rPr>
      </w:pPr>
    </w:p>
    <w:p w14:paraId="73C51BA1"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BC1DE4E" w14:textId="77777777" w:rsidR="00D8786B" w:rsidRPr="00D8786B" w:rsidRDefault="00D8786B" w:rsidP="00D8786B">
      <w:pPr>
        <w:spacing w:after="0" w:line="240" w:lineRule="atLeast"/>
        <w:jc w:val="both"/>
        <w:rPr>
          <w:rFonts w:ascii="Arial" w:eastAsia="Times New Roman" w:hAnsi="Arial" w:cs="Times New Roman"/>
          <w:sz w:val="20"/>
          <w:szCs w:val="20"/>
        </w:rPr>
      </w:pPr>
    </w:p>
    <w:p w14:paraId="077A490E"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79515528" w14:textId="77777777" w:rsidR="00D8786B" w:rsidRPr="00D8786B" w:rsidRDefault="00D8786B" w:rsidP="00D8786B">
      <w:pPr>
        <w:spacing w:after="0" w:line="240" w:lineRule="atLeast"/>
        <w:jc w:val="both"/>
        <w:rPr>
          <w:rFonts w:ascii="Arial" w:eastAsia="Times New Roman" w:hAnsi="Arial" w:cs="Times New Roman"/>
          <w:sz w:val="20"/>
          <w:szCs w:val="20"/>
        </w:rPr>
      </w:pPr>
    </w:p>
    <w:p w14:paraId="403CCCC7"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7788C1D6" w14:textId="77777777" w:rsidR="00D8786B" w:rsidRPr="00D8786B" w:rsidRDefault="00D8786B" w:rsidP="00D8786B">
      <w:pPr>
        <w:spacing w:after="0" w:line="240" w:lineRule="atLeast"/>
        <w:jc w:val="both"/>
        <w:rPr>
          <w:rFonts w:ascii="Arial" w:eastAsia="Times New Roman" w:hAnsi="Arial" w:cs="Times New Roman"/>
          <w:sz w:val="20"/>
          <w:szCs w:val="20"/>
        </w:rPr>
      </w:pPr>
    </w:p>
    <w:p w14:paraId="54811CE3"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783E0AE6" w14:textId="77777777" w:rsidR="00D8786B" w:rsidRPr="00D8786B" w:rsidRDefault="00D8786B" w:rsidP="00D8786B">
      <w:pPr>
        <w:spacing w:after="0" w:line="240" w:lineRule="atLeast"/>
        <w:jc w:val="both"/>
        <w:rPr>
          <w:rFonts w:ascii="Arial" w:eastAsia="Times New Roman" w:hAnsi="Arial" w:cs="Times New Roman"/>
          <w:sz w:val="20"/>
          <w:szCs w:val="20"/>
        </w:rPr>
      </w:pPr>
    </w:p>
    <w:p w14:paraId="7F3522F8"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48B8964" w14:textId="77777777" w:rsidR="00D8786B" w:rsidRPr="00D8786B" w:rsidRDefault="00D8786B" w:rsidP="00D8786B">
      <w:pPr>
        <w:spacing w:after="0" w:line="240" w:lineRule="atLeast"/>
        <w:jc w:val="both"/>
        <w:rPr>
          <w:rFonts w:ascii="Arial" w:eastAsia="Times New Roman" w:hAnsi="Arial" w:cs="Times New Roman"/>
          <w:sz w:val="20"/>
          <w:szCs w:val="20"/>
        </w:rPr>
      </w:pPr>
    </w:p>
    <w:p w14:paraId="6822A08F"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137688FC" w14:textId="77777777" w:rsidR="00D8786B" w:rsidRPr="00D8786B" w:rsidRDefault="00D8786B" w:rsidP="00D8786B">
      <w:pPr>
        <w:spacing w:after="0" w:line="240" w:lineRule="atLeast"/>
        <w:jc w:val="both"/>
        <w:rPr>
          <w:rFonts w:ascii="Arial" w:eastAsia="Times New Roman" w:hAnsi="Arial" w:cs="Times New Roman"/>
          <w:sz w:val="20"/>
          <w:szCs w:val="20"/>
        </w:rPr>
      </w:pPr>
    </w:p>
    <w:p w14:paraId="4571E8C3"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(8) Ne glede na 263. člen tega zakona odškodninska odgovornost člana poslovodstva ni izključena, čeprav je za sklenitev posla dala soglasje skupščina.</w:t>
      </w:r>
    </w:p>
    <w:p w14:paraId="3DFB6A0A" w14:textId="77777777" w:rsidR="00D8786B" w:rsidRPr="00D8786B" w:rsidRDefault="00D8786B" w:rsidP="00D8786B">
      <w:pPr>
        <w:spacing w:after="0" w:line="240" w:lineRule="atLeast"/>
        <w:jc w:val="both"/>
        <w:rPr>
          <w:rFonts w:ascii="Arial" w:eastAsia="Times New Roman" w:hAnsi="Arial" w:cs="Times New Roman"/>
          <w:sz w:val="20"/>
          <w:szCs w:val="20"/>
        </w:rPr>
      </w:pPr>
    </w:p>
    <w:p w14:paraId="711FDC5E"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(9) Če soglasje iz četrtega odstavka tega člena ni bilo dano, se šteje, da je pravni posel ničen.</w:t>
      </w:r>
    </w:p>
    <w:p w14:paraId="6E560113" w14:textId="77777777" w:rsidR="00D8786B" w:rsidRPr="00D8786B" w:rsidRDefault="00D8786B" w:rsidP="00D8786B">
      <w:pPr>
        <w:spacing w:after="0" w:line="240" w:lineRule="atLeast"/>
        <w:jc w:val="both"/>
        <w:rPr>
          <w:rFonts w:ascii="Arial" w:eastAsia="Times New Roman" w:hAnsi="Arial" w:cs="Times New Roman"/>
          <w:sz w:val="20"/>
          <w:szCs w:val="20"/>
        </w:rPr>
      </w:pPr>
    </w:p>
    <w:p w14:paraId="74742AB6"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(10) Akt o ustanovitvi lahko za sklenitev pravnega posla iz četrtega odstavka tega člena določi strožje omejitve.</w:t>
      </w:r>
    </w:p>
    <w:p w14:paraId="27978F37" w14:textId="77777777" w:rsidR="00D8786B" w:rsidRPr="00D8786B" w:rsidRDefault="00D8786B" w:rsidP="00D8786B">
      <w:pPr>
        <w:spacing w:after="0" w:line="240" w:lineRule="atLeast"/>
        <w:jc w:val="both"/>
        <w:rPr>
          <w:rFonts w:ascii="Arial" w:eastAsia="Times New Roman" w:hAnsi="Arial" w:cs="Times New Roman"/>
          <w:sz w:val="20"/>
          <w:szCs w:val="20"/>
        </w:rPr>
      </w:pPr>
    </w:p>
    <w:p w14:paraId="032B170A" w14:textId="7C5DF7A2" w:rsid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DFDD7FA" w14:textId="3BF20D12" w:rsidR="00D8786B" w:rsidRDefault="00D8786B" w:rsidP="00D8786B">
      <w:pPr>
        <w:spacing w:after="0" w:line="240" w:lineRule="atLeast"/>
        <w:jc w:val="both"/>
        <w:rPr>
          <w:rFonts w:ascii="Arial" w:eastAsia="Times New Roman" w:hAnsi="Arial" w:cs="Times New Roman"/>
          <w:sz w:val="20"/>
          <w:szCs w:val="20"/>
        </w:rPr>
      </w:pPr>
    </w:p>
    <w:p w14:paraId="4FEC31E5" w14:textId="76CA3DE0" w:rsidR="00D8786B" w:rsidRPr="00D8786B" w:rsidRDefault="00D8786B" w:rsidP="00D8786B">
      <w:pPr>
        <w:spacing w:after="0" w:line="240" w:lineRule="atLeast"/>
        <w:jc w:val="both"/>
        <w:rPr>
          <w:rFonts w:ascii="Arial" w:eastAsia="Times New Roman" w:hAnsi="Arial" w:cs="Times New Roman"/>
          <w:b/>
          <w:sz w:val="20"/>
          <w:szCs w:val="20"/>
          <w:u w:val="single"/>
        </w:rPr>
      </w:pPr>
      <w:r w:rsidRPr="00D8786B">
        <w:rPr>
          <w:rFonts w:ascii="Arial" w:eastAsia="Times New Roman" w:hAnsi="Arial" w:cs="Times New Roman"/>
          <w:b/>
          <w:sz w:val="20"/>
          <w:szCs w:val="20"/>
          <w:u w:val="single"/>
        </w:rPr>
        <w:t>Zakon o javnih uslužbencih (Uradni list RS, št. 63/07 – uradno prečiščeno besedilo, 65/08, 69/08 – ZTFI-A, 69/08 – ZZavar-E in 40/12 – ZUJF)</w:t>
      </w:r>
    </w:p>
    <w:p w14:paraId="2E6B1777" w14:textId="5D6FE9C6" w:rsidR="00D8786B" w:rsidRDefault="00D8786B" w:rsidP="00D8786B">
      <w:pPr>
        <w:spacing w:after="0" w:line="240" w:lineRule="atLeast"/>
        <w:jc w:val="both"/>
        <w:rPr>
          <w:rFonts w:ascii="Arial" w:eastAsia="Times New Roman" w:hAnsi="Arial" w:cs="Times New Roman"/>
          <w:sz w:val="20"/>
          <w:szCs w:val="20"/>
        </w:rPr>
      </w:pPr>
    </w:p>
    <w:p w14:paraId="0938FAF8" w14:textId="77777777" w:rsidR="00D8786B" w:rsidRPr="00D8786B" w:rsidRDefault="00D8786B" w:rsidP="00D8786B">
      <w:pPr>
        <w:spacing w:after="0" w:line="240" w:lineRule="atLeast"/>
        <w:jc w:val="center"/>
        <w:rPr>
          <w:rFonts w:ascii="Arial" w:eastAsia="Times New Roman" w:hAnsi="Arial" w:cs="Times New Roman"/>
          <w:sz w:val="20"/>
          <w:szCs w:val="20"/>
        </w:rPr>
      </w:pPr>
      <w:bookmarkStart w:id="20" w:name="_GoBack"/>
      <w:r w:rsidRPr="00D8786B">
        <w:rPr>
          <w:rFonts w:ascii="Arial" w:eastAsia="Times New Roman" w:hAnsi="Arial" w:cs="Times New Roman"/>
          <w:sz w:val="20"/>
          <w:szCs w:val="20"/>
        </w:rPr>
        <w:t>11. člen</w:t>
      </w:r>
    </w:p>
    <w:p w14:paraId="35A7595F" w14:textId="77777777" w:rsidR="00D8786B" w:rsidRPr="00D8786B" w:rsidRDefault="00D8786B" w:rsidP="00D8786B">
      <w:pPr>
        <w:spacing w:after="0" w:line="240" w:lineRule="atLeast"/>
        <w:jc w:val="center"/>
        <w:rPr>
          <w:rFonts w:ascii="Arial" w:eastAsia="Times New Roman" w:hAnsi="Arial" w:cs="Times New Roman"/>
          <w:sz w:val="20"/>
          <w:szCs w:val="20"/>
        </w:rPr>
      </w:pPr>
      <w:r w:rsidRPr="00D8786B">
        <w:rPr>
          <w:rFonts w:ascii="Arial" w:eastAsia="Times New Roman" w:hAnsi="Arial" w:cs="Times New Roman"/>
          <w:sz w:val="20"/>
          <w:szCs w:val="20"/>
        </w:rPr>
        <w:t>(omejitve in dolžnosti v zvezi s sprejemanjem daril)</w:t>
      </w:r>
    </w:p>
    <w:bookmarkEnd w:id="20"/>
    <w:p w14:paraId="701C5120" w14:textId="77777777" w:rsidR="00D8786B" w:rsidRPr="00D8786B" w:rsidRDefault="00D8786B" w:rsidP="00D8786B">
      <w:pPr>
        <w:spacing w:after="0" w:line="240" w:lineRule="atLeast"/>
        <w:jc w:val="both"/>
        <w:rPr>
          <w:rFonts w:ascii="Arial" w:eastAsia="Times New Roman" w:hAnsi="Arial" w:cs="Times New Roman"/>
          <w:sz w:val="20"/>
          <w:szCs w:val="20"/>
        </w:rPr>
      </w:pPr>
    </w:p>
    <w:p w14:paraId="09611AA3"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(1) Javni uslužbenec, ki opravlja javne naloge, ne sme sprejemati daril v zvezi z opravljanjem službe, razen protokolarnih in priložnostnih daril manjše vrednosti. Za darila manjše vrednosti se štejejo darila, katerih vrednost ne presega 15.000 tolarjev oziroma katerih skupna vrednost v posameznem letu ne presega 30.000 tolarjev, če so prejeta od iste osebe. Za protokolarna darila se štejejo darila funkcionarjev ali javnih uslužbencev drugih držav in mednarodnih organizacij, dana ob obiskih, gostovanjih ali drugih priložnostih, ter druga darila, dana v podobnih okoliščinah.</w:t>
      </w:r>
    </w:p>
    <w:p w14:paraId="6D4782CE" w14:textId="77777777" w:rsidR="00D8786B" w:rsidRPr="00D8786B" w:rsidRDefault="00D8786B" w:rsidP="00D8786B">
      <w:pPr>
        <w:spacing w:after="0" w:line="240" w:lineRule="atLeast"/>
        <w:jc w:val="both"/>
        <w:rPr>
          <w:rFonts w:ascii="Arial" w:eastAsia="Times New Roman" w:hAnsi="Arial" w:cs="Times New Roman"/>
          <w:sz w:val="20"/>
          <w:szCs w:val="20"/>
        </w:rPr>
      </w:pPr>
    </w:p>
    <w:p w14:paraId="6B71FD63"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(2) Prepoved oziroma omejitev iz prvega odstavka tega člena velja tudi za zakonca javnega uslužbenca, osebo, s katero javni uslužbenec živi v zunajzakonski skupnosti, in njegove otroke, starše ter osebe, ki živijo z njim v skupnem gospodinjstvu.</w:t>
      </w:r>
    </w:p>
    <w:p w14:paraId="0F12B62E" w14:textId="77777777" w:rsidR="00D8786B" w:rsidRPr="00D8786B" w:rsidRDefault="00D8786B" w:rsidP="00D8786B">
      <w:pPr>
        <w:spacing w:after="0" w:line="240" w:lineRule="atLeast"/>
        <w:jc w:val="both"/>
        <w:rPr>
          <w:rFonts w:ascii="Arial" w:eastAsia="Times New Roman" w:hAnsi="Arial" w:cs="Times New Roman"/>
          <w:sz w:val="20"/>
          <w:szCs w:val="20"/>
        </w:rPr>
      </w:pPr>
    </w:p>
    <w:p w14:paraId="5BE3B5E3"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(3) Javni uslužbenec je dolžan darovalca opozoriti, da darila, ki presegajo vrednost iz prvega odstavka tega člena, postanejo last delodajalca. Če darovalec pri darilu vztraja, je javni uslužbenec oziroma oseba iz drugega odstavka tega člena darilo dolžna izročiti delodajalcu oziroma organu delodajalca, ki je pooblaščen, da z njimi razpolaga.</w:t>
      </w:r>
    </w:p>
    <w:p w14:paraId="49C5A1A0" w14:textId="77777777" w:rsidR="00D8786B" w:rsidRPr="00D8786B" w:rsidRDefault="00D8786B" w:rsidP="00D8786B">
      <w:pPr>
        <w:spacing w:after="0" w:line="240" w:lineRule="atLeast"/>
        <w:jc w:val="both"/>
        <w:rPr>
          <w:rFonts w:ascii="Arial" w:eastAsia="Times New Roman" w:hAnsi="Arial" w:cs="Times New Roman"/>
          <w:sz w:val="20"/>
          <w:szCs w:val="20"/>
        </w:rPr>
      </w:pPr>
    </w:p>
    <w:p w14:paraId="3DD66100" w14:textId="77777777" w:rsidR="00D8786B" w:rsidRP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(4) Podatki o sprejetem darilu, njegovi vrednosti, osebi, od katere je darilo sprejeto, in drugih okoliščinah, se vpišejo v seznam daril. Podatke za vpis je dolžan sporočiti javni uslužbenec, ki je darilo prejel. Javni uslužbenec je dolžan sporočiti podatke tudi v primeru iz drugega odstavka tega člena.</w:t>
      </w:r>
    </w:p>
    <w:p w14:paraId="645409BA" w14:textId="77777777" w:rsidR="00D8786B" w:rsidRPr="00D8786B" w:rsidRDefault="00D8786B" w:rsidP="00D8786B">
      <w:pPr>
        <w:spacing w:after="0" w:line="240" w:lineRule="atLeast"/>
        <w:jc w:val="both"/>
        <w:rPr>
          <w:rFonts w:ascii="Arial" w:eastAsia="Times New Roman" w:hAnsi="Arial" w:cs="Times New Roman"/>
          <w:sz w:val="20"/>
          <w:szCs w:val="20"/>
        </w:rPr>
      </w:pPr>
    </w:p>
    <w:p w14:paraId="29683DF4" w14:textId="0705FE6A" w:rsidR="00D8786B" w:rsidRDefault="00D8786B" w:rsidP="00D8786B">
      <w:pPr>
        <w:spacing w:after="0" w:line="240" w:lineRule="atLeast"/>
        <w:jc w:val="both"/>
        <w:rPr>
          <w:rFonts w:ascii="Arial" w:eastAsia="Times New Roman" w:hAnsi="Arial" w:cs="Times New Roman"/>
          <w:sz w:val="20"/>
          <w:szCs w:val="20"/>
        </w:rPr>
      </w:pPr>
      <w:r w:rsidRPr="00D8786B">
        <w:rPr>
          <w:rFonts w:ascii="Arial" w:eastAsia="Times New Roman" w:hAnsi="Arial" w:cs="Times New Roman"/>
          <w:sz w:val="20"/>
          <w:szCs w:val="20"/>
        </w:rPr>
        <w:t>(5) Način razpolaganja z darili iz tretjega odstavka tega člena, način vodenja seznama iz četrtega odstavka tega člena in druga izvedbena vprašanja v zvezi z omejitvami in dolžnostmi iz tega člena za organe državne uprave, pravosodne organe, uprave lokalnih skupnosti in osebe javnega prava predpiše vlada z uredbo. V uredbi se lahko določi, da se darila do določene vrednoti ne vpisujejo v seznam.</w:t>
      </w:r>
    </w:p>
    <w:p w14:paraId="48EC855C" w14:textId="77777777" w:rsidR="00D8786B" w:rsidRDefault="00D8786B" w:rsidP="00D8786B">
      <w:pPr>
        <w:spacing w:after="0" w:line="240" w:lineRule="atLeast"/>
        <w:jc w:val="both"/>
        <w:rPr>
          <w:rFonts w:ascii="Arial" w:eastAsia="Times New Roman" w:hAnsi="Arial" w:cs="Times New Roman"/>
          <w:sz w:val="20"/>
          <w:szCs w:val="20"/>
        </w:rPr>
      </w:pPr>
    </w:p>
    <w:p w14:paraId="172D99D8" w14:textId="77777777" w:rsidR="00D8786B" w:rsidRPr="00D94D25" w:rsidRDefault="00D8786B" w:rsidP="00D94D25">
      <w:pPr>
        <w:spacing w:after="0" w:line="240" w:lineRule="atLeast"/>
        <w:rPr>
          <w:rFonts w:ascii="Arial" w:eastAsia="Times New Roman" w:hAnsi="Arial" w:cs="Times New Roman"/>
          <w:sz w:val="20"/>
          <w:szCs w:val="20"/>
        </w:rPr>
      </w:pPr>
    </w:p>
    <w:sectPr w:rsidR="00D8786B" w:rsidRPr="00D94D25" w:rsidSect="009B05CE">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C6B6" w14:textId="77777777" w:rsidR="009A4633" w:rsidRDefault="009A4633" w:rsidP="009A2406">
      <w:pPr>
        <w:spacing w:after="0" w:line="240" w:lineRule="auto"/>
      </w:pPr>
      <w:r>
        <w:separator/>
      </w:r>
    </w:p>
  </w:endnote>
  <w:endnote w:type="continuationSeparator" w:id="0">
    <w:p w14:paraId="44453892" w14:textId="77777777" w:rsidR="009A4633" w:rsidRDefault="009A4633"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charset w:val="4D"/>
    <w:family w:val="roman"/>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9A4633" w:rsidRDefault="009A4633"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2F7F" w14:textId="77777777" w:rsidR="009A4633" w:rsidRDefault="009A4633" w:rsidP="009A2406">
      <w:pPr>
        <w:spacing w:after="0" w:line="240" w:lineRule="auto"/>
      </w:pPr>
      <w:r>
        <w:separator/>
      </w:r>
    </w:p>
  </w:footnote>
  <w:footnote w:type="continuationSeparator" w:id="0">
    <w:p w14:paraId="5E508B11" w14:textId="77777777" w:rsidR="009A4633" w:rsidRDefault="009A4633" w:rsidP="009A2406">
      <w:pPr>
        <w:spacing w:after="0" w:line="240" w:lineRule="auto"/>
      </w:pPr>
      <w:r>
        <w:continuationSeparator/>
      </w:r>
    </w:p>
  </w:footnote>
  <w:footnote w:id="1">
    <w:p w14:paraId="0B728151" w14:textId="2C7C313D" w:rsidR="009A4633" w:rsidRPr="00E71782" w:rsidRDefault="009A4633" w:rsidP="0055047E">
      <w:pPr>
        <w:pStyle w:val="Sprotnaopomba-besedilo"/>
        <w:rPr>
          <w:szCs w:val="16"/>
        </w:rPr>
      </w:pPr>
      <w:r w:rsidRPr="00A40018">
        <w:rPr>
          <w:rStyle w:val="Sprotnaopomba-sklic"/>
          <w:szCs w:val="16"/>
        </w:rPr>
        <w:footnoteRef/>
      </w:r>
      <w:r w:rsidRPr="00A40018">
        <w:rPr>
          <w:szCs w:val="16"/>
        </w:rPr>
        <w:t xml:space="preserve"> </w:t>
      </w:r>
      <w:r w:rsidRPr="00E71782">
        <w:rPr>
          <w:bCs/>
          <w:szCs w:val="16"/>
        </w:rPr>
        <w:t xml:space="preserve">Glej: </w:t>
      </w:r>
      <w:r w:rsidRPr="00E71782">
        <w:rPr>
          <w:rStyle w:val="Hiperpovezava"/>
          <w:color w:val="auto"/>
          <w:szCs w:val="16"/>
          <w:u w:val="none"/>
        </w:rPr>
        <w:t>http://www.mju.gov.si/si/delovna_podrocja/integriteta_in_preprecevanje_korupcije/.</w:t>
      </w:r>
    </w:p>
  </w:footnote>
  <w:footnote w:id="2">
    <w:p w14:paraId="42D7A8F6" w14:textId="12881F23" w:rsidR="009A4633" w:rsidRPr="00E71782" w:rsidRDefault="009A4633" w:rsidP="0055047E">
      <w:pPr>
        <w:pStyle w:val="Sprotnaopomba-besedilo"/>
        <w:rPr>
          <w:szCs w:val="16"/>
        </w:rPr>
      </w:pPr>
      <w:r w:rsidRPr="00E71782">
        <w:rPr>
          <w:rStyle w:val="Sprotnaopomba-sklic"/>
          <w:szCs w:val="16"/>
        </w:rPr>
        <w:footnoteRef/>
      </w:r>
      <w:r w:rsidRPr="00E71782">
        <w:rPr>
          <w:szCs w:val="16"/>
        </w:rPr>
        <w:t xml:space="preserve"> Glej: </w:t>
      </w:r>
      <w:r w:rsidRPr="00E71782">
        <w:rPr>
          <w:rStyle w:val="Hiperpovezava"/>
          <w:color w:val="auto"/>
          <w:szCs w:val="16"/>
          <w:u w:val="none"/>
        </w:rPr>
        <w:t>http://odlocitve.us-rs.si/sl/odlocitev/US27378.</w:t>
      </w:r>
    </w:p>
  </w:footnote>
  <w:footnote w:id="3">
    <w:p w14:paraId="6679C978" w14:textId="02B1FBCB" w:rsidR="009A4633" w:rsidRPr="00E71782" w:rsidRDefault="009A4633" w:rsidP="0055047E">
      <w:pPr>
        <w:pStyle w:val="Sprotnaopomba-besedilo"/>
      </w:pPr>
      <w:r w:rsidRPr="00E71782">
        <w:rPr>
          <w:rStyle w:val="Sprotnaopomba-sklic"/>
          <w:szCs w:val="16"/>
        </w:rPr>
        <w:footnoteRef/>
      </w:r>
      <w:r w:rsidRPr="00E71782">
        <w:rPr>
          <w:szCs w:val="16"/>
        </w:rPr>
        <w:t xml:space="preserve"> Glej: </w:t>
      </w:r>
      <w:r w:rsidRPr="00E71782">
        <w:rPr>
          <w:rStyle w:val="Hiperpovezava"/>
          <w:color w:val="auto"/>
          <w:szCs w:val="16"/>
          <w:u w:val="none"/>
        </w:rPr>
        <w:t>https://www.kpk-rs.si/upload/t_datoteke/Javno_pismo_KPK_3.12.2013.pdf.</w:t>
      </w:r>
    </w:p>
  </w:footnote>
  <w:footnote w:id="4">
    <w:p w14:paraId="6932F435" w14:textId="77777777" w:rsidR="009A4633" w:rsidRPr="008E4C1C" w:rsidRDefault="009A4633" w:rsidP="0055047E">
      <w:pPr>
        <w:pStyle w:val="Sprotnaopomba-besedilo"/>
        <w:rPr>
          <w:bCs/>
          <w:szCs w:val="16"/>
        </w:rPr>
      </w:pPr>
      <w:r w:rsidRPr="00E71782">
        <w:rPr>
          <w:rStyle w:val="Sprotnaopomba-sklic"/>
        </w:rPr>
        <w:footnoteRef/>
      </w:r>
      <w:r w:rsidRPr="00E71782">
        <w:rPr>
          <w:bCs/>
          <w:szCs w:val="16"/>
        </w:rPr>
        <w:t xml:space="preserve"> Glej Transparency International (2012) </w:t>
      </w:r>
      <w:r w:rsidRPr="00E71782">
        <w:rPr>
          <w:bCs/>
          <w:szCs w:val="16"/>
          <w:lang w:val="en-GB"/>
        </w:rPr>
        <w:t>Money, politics, power: corruptio</w:t>
      </w:r>
      <w:r w:rsidRPr="008E573A">
        <w:rPr>
          <w:bCs/>
          <w:szCs w:val="16"/>
          <w:lang w:val="en-GB"/>
        </w:rPr>
        <w:t>n risks in Europe</w:t>
      </w:r>
      <w:r w:rsidRPr="008E4C1C">
        <w:rPr>
          <w:bCs/>
          <w:szCs w:val="16"/>
        </w:rPr>
        <w:t>. str. 28. http://nis.integriteta.si/images/pdf/enis_regional_report.pdf.</w:t>
      </w:r>
    </w:p>
  </w:footnote>
  <w:footnote w:id="5">
    <w:p w14:paraId="62CF7982" w14:textId="77777777" w:rsidR="009A4633" w:rsidRDefault="009A4633" w:rsidP="0055047E">
      <w:pPr>
        <w:pStyle w:val="Sprotnaopomba-besedilo"/>
      </w:pPr>
      <w:r>
        <w:rPr>
          <w:rStyle w:val="Sprotnaopomba-sklic"/>
        </w:rPr>
        <w:footnoteRef/>
      </w:r>
      <w:r>
        <w:t xml:space="preserve"> </w:t>
      </w:r>
      <w:r w:rsidRPr="00A40018">
        <w:rPr>
          <w:szCs w:val="16"/>
        </w:rPr>
        <w:t>Uradni list RS št. 2/04</w:t>
      </w:r>
      <w:r>
        <w:rPr>
          <w:szCs w:val="16"/>
        </w:rPr>
        <w:t>; ZPKor</w:t>
      </w:r>
      <w:r w:rsidRPr="00A40018">
        <w:rPr>
          <w:szCs w:val="16"/>
        </w:rPr>
        <w:t>.</w:t>
      </w:r>
    </w:p>
  </w:footnote>
  <w:footnote w:id="6">
    <w:p w14:paraId="4C754B6A" w14:textId="77777777" w:rsidR="009A4633" w:rsidRDefault="009A4633" w:rsidP="0055047E">
      <w:pPr>
        <w:pStyle w:val="Sprotnaopomba-besedilo"/>
      </w:pPr>
      <w:r w:rsidRPr="00A40018">
        <w:rPr>
          <w:rStyle w:val="Sprotnaopomba-sklic"/>
          <w:szCs w:val="16"/>
        </w:rPr>
        <w:footnoteRef/>
      </w:r>
      <w:r w:rsidRPr="00A40018">
        <w:rPr>
          <w:szCs w:val="16"/>
        </w:rPr>
        <w:t xml:space="preserve"> Uradni list RS št. </w:t>
      </w:r>
      <w:r w:rsidRPr="00E352C0">
        <w:rPr>
          <w:szCs w:val="16"/>
        </w:rPr>
        <w:t>69/11</w:t>
      </w:r>
      <w:r w:rsidRPr="00A40018">
        <w:rPr>
          <w:szCs w:val="16"/>
        </w:rPr>
        <w:t>– uradno prečiščeno besedilo</w:t>
      </w:r>
      <w:r>
        <w:rPr>
          <w:szCs w:val="16"/>
        </w:rPr>
        <w:t>; ZIntPK.</w:t>
      </w:r>
    </w:p>
  </w:footnote>
  <w:footnote w:id="7">
    <w:p w14:paraId="4ADAFD85" w14:textId="7701696D" w:rsidR="009A4633" w:rsidRPr="00D529BE" w:rsidRDefault="009A4633"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https://www.kpk-rs.si/upload/t_datoteke/Javno_pismo_KPK_3.12.2013.pdf</w:t>
      </w:r>
      <w:r w:rsidRPr="00D529BE">
        <w:rPr>
          <w:rStyle w:val="Hiperpovezava"/>
          <w:color w:val="auto"/>
          <w:szCs w:val="16"/>
        </w:rPr>
        <w:t>.</w:t>
      </w:r>
    </w:p>
  </w:footnote>
  <w:footnote w:id="8">
    <w:p w14:paraId="4E3CB341" w14:textId="75BA4F72" w:rsidR="009A4633" w:rsidRPr="00D529BE" w:rsidRDefault="009A4633"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Gradivo je objavljeno na spletnih straneh MJU: </w:t>
      </w:r>
      <w:r w:rsidRPr="00D529BE">
        <w:rPr>
          <w:rStyle w:val="Hiperpovezava"/>
          <w:color w:val="auto"/>
          <w:szCs w:val="16"/>
          <w:u w:val="none"/>
        </w:rPr>
        <w:t>http://www.mju.gov.si/si/delovna_podrocja/integriteta_in_preprecevanje_korupcije/</w:t>
      </w:r>
      <w:r>
        <w:rPr>
          <w:rStyle w:val="Hiperpovezava"/>
          <w:color w:val="auto"/>
          <w:szCs w:val="16"/>
          <w:u w:val="none"/>
        </w:rPr>
        <w:t>.</w:t>
      </w:r>
    </w:p>
  </w:footnote>
  <w:footnote w:id="9">
    <w:p w14:paraId="09B59996" w14:textId="7B4813EA" w:rsidR="009A4633" w:rsidRPr="00D529BE" w:rsidRDefault="009A4633" w:rsidP="0055047E">
      <w:pPr>
        <w:pStyle w:val="Sprotnaopomba-besedilo"/>
        <w:rPr>
          <w:szCs w:val="16"/>
        </w:rPr>
      </w:pPr>
      <w:r w:rsidRPr="00D529BE">
        <w:rPr>
          <w:rStyle w:val="Sprotnaopomba-sklic"/>
          <w:szCs w:val="16"/>
        </w:rPr>
        <w:footnoteRef/>
      </w:r>
      <w:r w:rsidRPr="00D529BE">
        <w:rPr>
          <w:szCs w:val="16"/>
        </w:rPr>
        <w:t xml:space="preserve"> </w:t>
      </w:r>
      <w:r w:rsidRPr="00D529BE">
        <w:rPr>
          <w:bCs/>
          <w:szCs w:val="16"/>
        </w:rPr>
        <w:t xml:space="preserve">Glej: </w:t>
      </w:r>
      <w:r w:rsidRPr="00D529BE">
        <w:rPr>
          <w:rStyle w:val="Hiperpovezava"/>
          <w:color w:val="auto"/>
          <w:szCs w:val="16"/>
          <w:u w:val="none"/>
        </w:rPr>
        <w:t>http://www.mju.gov.si/si/delovna_podrocja/integriteta_in_preprecevanje_korupcije/.</w:t>
      </w:r>
    </w:p>
  </w:footnote>
  <w:footnote w:id="10">
    <w:p w14:paraId="16D1C239" w14:textId="64888A1D" w:rsidR="009A4633" w:rsidRDefault="009A4633" w:rsidP="0055047E">
      <w:pPr>
        <w:pStyle w:val="Sprotnaopomba-besedilo"/>
      </w:pPr>
      <w:r>
        <w:rPr>
          <w:rStyle w:val="Sprotnaopomba-sklic"/>
        </w:rPr>
        <w:footnoteRef/>
      </w:r>
      <w:r>
        <w:t xml:space="preserve"> Glej: </w:t>
      </w:r>
      <w:r w:rsidRPr="00723B58">
        <w:t>http://www.mju.gov.si/si/delovna_podrocja/integriteta_v_javnem_sektorju/</w:t>
      </w:r>
      <w:r>
        <w:t>.</w:t>
      </w:r>
    </w:p>
  </w:footnote>
  <w:footnote w:id="11">
    <w:p w14:paraId="0814B710" w14:textId="77777777" w:rsidR="009A4633" w:rsidRPr="00A40018" w:rsidRDefault="009A4633" w:rsidP="0055047E">
      <w:pPr>
        <w:pStyle w:val="Sprotnaopomba-besedilo"/>
        <w:rPr>
          <w:szCs w:val="16"/>
        </w:rPr>
      </w:pPr>
      <w:r w:rsidRPr="00A40018">
        <w:rPr>
          <w:rStyle w:val="Sprotnaopomba-sklic"/>
          <w:szCs w:val="16"/>
        </w:rPr>
        <w:footnoteRef/>
      </w:r>
      <w:r w:rsidRPr="00A40018">
        <w:rPr>
          <w:szCs w:val="16"/>
        </w:rPr>
        <w:t xml:space="preserve"> Resolucija o preprečevanju korupcije v Republiki Sloveniji (Uradni list RS št. 85/04).</w:t>
      </w:r>
    </w:p>
  </w:footnote>
  <w:footnote w:id="12">
    <w:p w14:paraId="1DBF96B0" w14:textId="77777777" w:rsidR="009A4633" w:rsidRPr="00EE049C" w:rsidRDefault="009A4633" w:rsidP="009E015C">
      <w:pPr>
        <w:pStyle w:val="Sprotnaopomba-besedilo"/>
        <w:jc w:val="both"/>
        <w:rPr>
          <w:szCs w:val="16"/>
        </w:rPr>
      </w:pPr>
      <w:r>
        <w:rPr>
          <w:rStyle w:val="Sprotnaopomba-sklic"/>
        </w:rPr>
        <w:footnoteRef/>
      </w:r>
      <w:r>
        <w:t xml:space="preserve"> </w:t>
      </w:r>
      <w:r w:rsidRPr="00EE049C">
        <w:rPr>
          <w:szCs w:val="16"/>
        </w:rPr>
        <w:t>Medresorska delovna skupina je bila v marcu 2015 ustanovlj</w:t>
      </w:r>
      <w:r>
        <w:rPr>
          <w:szCs w:val="16"/>
        </w:rPr>
        <w:t>e</w:t>
      </w:r>
      <w:r w:rsidRPr="00EE049C">
        <w:rPr>
          <w:szCs w:val="16"/>
        </w:rPr>
        <w:t>na s sklepom min</w:t>
      </w:r>
      <w:r>
        <w:rPr>
          <w:szCs w:val="16"/>
        </w:rPr>
        <w:t>i</w:t>
      </w:r>
      <w:r w:rsidRPr="00EE049C">
        <w:rPr>
          <w:szCs w:val="16"/>
        </w:rPr>
        <w:t>stra za javno upravo, sestavljali so jo predst</w:t>
      </w:r>
      <w:r>
        <w:rPr>
          <w:szCs w:val="16"/>
        </w:rPr>
        <w:t>a</w:t>
      </w:r>
      <w:r w:rsidRPr="00EE049C">
        <w:rPr>
          <w:szCs w:val="16"/>
        </w:rPr>
        <w:t>vniki Min</w:t>
      </w:r>
      <w:r>
        <w:rPr>
          <w:szCs w:val="16"/>
        </w:rPr>
        <w:t>i</w:t>
      </w:r>
      <w:r w:rsidRPr="00EE049C">
        <w:rPr>
          <w:szCs w:val="16"/>
        </w:rPr>
        <w:t>sterstva za javno upravo, Min</w:t>
      </w:r>
      <w:r>
        <w:rPr>
          <w:szCs w:val="16"/>
        </w:rPr>
        <w:t>i</w:t>
      </w:r>
      <w:r w:rsidRPr="00EE049C">
        <w:rPr>
          <w:szCs w:val="16"/>
        </w:rPr>
        <w:t>strst</w:t>
      </w:r>
      <w:r>
        <w:rPr>
          <w:szCs w:val="16"/>
        </w:rPr>
        <w:t>v</w:t>
      </w:r>
      <w:r w:rsidRPr="00EE049C">
        <w:rPr>
          <w:szCs w:val="16"/>
        </w:rPr>
        <w:t>a za pravos</w:t>
      </w:r>
      <w:r>
        <w:rPr>
          <w:szCs w:val="16"/>
        </w:rPr>
        <w:t>o</w:t>
      </w:r>
      <w:r w:rsidRPr="00EE049C">
        <w:rPr>
          <w:szCs w:val="16"/>
        </w:rPr>
        <w:t xml:space="preserve">dje, </w:t>
      </w:r>
      <w:r>
        <w:rPr>
          <w:szCs w:val="16"/>
        </w:rPr>
        <w:t>M</w:t>
      </w:r>
      <w:r w:rsidRPr="00EE049C">
        <w:rPr>
          <w:szCs w:val="16"/>
        </w:rPr>
        <w:t>in</w:t>
      </w:r>
      <w:r>
        <w:rPr>
          <w:szCs w:val="16"/>
        </w:rPr>
        <w:t>i</w:t>
      </w:r>
      <w:r w:rsidRPr="00EE049C">
        <w:rPr>
          <w:szCs w:val="16"/>
        </w:rPr>
        <w:t>strstva za notr</w:t>
      </w:r>
      <w:r>
        <w:rPr>
          <w:szCs w:val="16"/>
        </w:rPr>
        <w:t>a</w:t>
      </w:r>
      <w:r w:rsidRPr="00EE049C">
        <w:rPr>
          <w:szCs w:val="16"/>
        </w:rPr>
        <w:t>nj</w:t>
      </w:r>
      <w:r>
        <w:rPr>
          <w:szCs w:val="16"/>
        </w:rPr>
        <w:t>e</w:t>
      </w:r>
      <w:r w:rsidRPr="00EE049C">
        <w:rPr>
          <w:szCs w:val="16"/>
        </w:rPr>
        <w:t xml:space="preserve"> zadeve in predst</w:t>
      </w:r>
      <w:r>
        <w:rPr>
          <w:szCs w:val="16"/>
        </w:rPr>
        <w:t>a</w:t>
      </w:r>
      <w:r w:rsidRPr="00EE049C">
        <w:rPr>
          <w:szCs w:val="16"/>
        </w:rPr>
        <w:t>vniki KPK.</w:t>
      </w:r>
    </w:p>
  </w:footnote>
  <w:footnote w:id="13">
    <w:p w14:paraId="5A04A86A" w14:textId="4FC3C091" w:rsidR="009A4633" w:rsidRPr="006F1F16" w:rsidRDefault="009A4633" w:rsidP="0055047E">
      <w:pPr>
        <w:pStyle w:val="Sprotnaopomba-besedilo"/>
        <w:rPr>
          <w:szCs w:val="16"/>
        </w:rPr>
      </w:pPr>
      <w:r>
        <w:rPr>
          <w:rStyle w:val="Sprotnaopomba-sklic"/>
        </w:rPr>
        <w:footnoteRef/>
      </w:r>
      <w:r>
        <w:t xml:space="preserve"> </w:t>
      </w:r>
      <w:r w:rsidRPr="006F1F16">
        <w:rPr>
          <w:szCs w:val="16"/>
        </w:rPr>
        <w:t>Uradni list RS, št. 17/15</w:t>
      </w:r>
      <w:r>
        <w:rPr>
          <w:szCs w:val="16"/>
        </w:rPr>
        <w:t>;</w:t>
      </w:r>
      <w:r w:rsidRPr="006F1F16">
        <w:rPr>
          <w:szCs w:val="16"/>
        </w:rPr>
        <w:t xml:space="preserve"> ZSS-M</w:t>
      </w:r>
      <w:r>
        <w:rPr>
          <w:szCs w:val="16"/>
        </w:rPr>
        <w:t>.</w:t>
      </w:r>
    </w:p>
  </w:footnote>
  <w:footnote w:id="14">
    <w:p w14:paraId="7FBDD979" w14:textId="3CC3DE24" w:rsidR="009A4633" w:rsidRPr="00437082" w:rsidRDefault="009A4633" w:rsidP="0055047E">
      <w:pPr>
        <w:pStyle w:val="Sprotnaopomba-besedilo"/>
        <w:rPr>
          <w:szCs w:val="16"/>
        </w:rPr>
      </w:pPr>
      <w:r w:rsidRPr="00437082">
        <w:rPr>
          <w:rStyle w:val="Sprotnaopomba-sklic"/>
          <w:szCs w:val="16"/>
        </w:rPr>
        <w:footnoteRef/>
      </w:r>
      <w:r w:rsidRPr="00437082">
        <w:rPr>
          <w:szCs w:val="16"/>
        </w:rPr>
        <w:t xml:space="preserve"> Več o delovanju urada na tej strani:</w:t>
      </w:r>
      <w:r>
        <w:rPr>
          <w:szCs w:val="16"/>
        </w:rPr>
        <w:t xml:space="preserve"> </w:t>
      </w:r>
      <w:r w:rsidRPr="00D529BE">
        <w:rPr>
          <w:szCs w:val="16"/>
        </w:rPr>
        <w:t>http://www.integriteitoverheid.nl/international/international-activities/</w:t>
      </w:r>
      <w:r w:rsidRPr="00437082">
        <w:rPr>
          <w:szCs w:val="16"/>
        </w:rPr>
        <w:t>, vpogled 8. 9. 2016.</w:t>
      </w:r>
    </w:p>
  </w:footnote>
  <w:footnote w:id="15">
    <w:p w14:paraId="314CF789" w14:textId="77777777" w:rsidR="009A4633" w:rsidRPr="001C47ED" w:rsidRDefault="009A4633" w:rsidP="0055047E">
      <w:pPr>
        <w:pStyle w:val="Sprotnaopomba-besedilo"/>
        <w:rPr>
          <w:szCs w:val="16"/>
        </w:rPr>
      </w:pPr>
      <w:r w:rsidRPr="00437082">
        <w:rPr>
          <w:rStyle w:val="Sprotnaopomba-sklic"/>
          <w:szCs w:val="16"/>
        </w:rPr>
        <w:footnoteRef/>
      </w:r>
      <w:r w:rsidRPr="00437082">
        <w:rPr>
          <w:szCs w:val="16"/>
        </w:rPr>
        <w:t xml:space="preserve"> Glej članek z naslovom </w:t>
      </w:r>
      <w:r w:rsidRPr="00E352C0">
        <w:rPr>
          <w:szCs w:val="16"/>
          <w:lang w:val="en-GB"/>
        </w:rPr>
        <w:t>Officials' asset declaration laws: do they prevent corruption</w:t>
      </w:r>
      <w:r w:rsidRPr="00437082">
        <w:rPr>
          <w:szCs w:val="16"/>
        </w:rPr>
        <w:t>? avtorja Ranjana Mukherjee iz Svetovne banke in Omer Gokcekus iz Seton Hall University.</w:t>
      </w:r>
    </w:p>
  </w:footnote>
  <w:footnote w:id="16">
    <w:p w14:paraId="70C110EB" w14:textId="77777777" w:rsidR="009A4633" w:rsidRPr="00D529BE" w:rsidRDefault="009A4633"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Aplikacija je na voljo na spletni povezavi: http://data.mfcr.cz/supervizor/.</w:t>
      </w:r>
    </w:p>
  </w:footnote>
  <w:footnote w:id="17">
    <w:p w14:paraId="39B2F285" w14:textId="77777777" w:rsidR="009A4633" w:rsidRPr="00D529BE" w:rsidRDefault="009A4633" w:rsidP="00D529BE">
      <w:pPr>
        <w:pStyle w:val="Sprotnaopomba-besedilo"/>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http://openspending.nl/, http://spending.data.al/en.</w:t>
      </w:r>
    </w:p>
  </w:footnote>
  <w:footnote w:id="18">
    <w:p w14:paraId="210EA891" w14:textId="77777777" w:rsidR="009A4633" w:rsidRPr="00D529BE" w:rsidRDefault="009A4633" w:rsidP="00D529BE">
      <w:pPr>
        <w:pStyle w:val="Sprotnaopomba-besedilo"/>
        <w:jc w:val="both"/>
        <w:rPr>
          <w:rStyle w:val="Sprotnaopomba-sklic"/>
          <w:vertAlign w:val="baseline"/>
        </w:rPr>
      </w:pPr>
      <w:r w:rsidRPr="00D529BE">
        <w:rPr>
          <w:rStyle w:val="Sprotnaopomba-sklic"/>
          <w:szCs w:val="16"/>
        </w:rPr>
        <w:footnoteRef/>
      </w:r>
      <w:r w:rsidRPr="00D529BE">
        <w:rPr>
          <w:rStyle w:val="Sprotnaopomba-sklic"/>
          <w:szCs w:val="16"/>
        </w:rPr>
        <w:t xml:space="preserve"> </w:t>
      </w:r>
      <w:r w:rsidRPr="00D529BE">
        <w:rPr>
          <w:rStyle w:val="Sprotnaopomba-sklic"/>
          <w:vertAlign w:val="baseline"/>
        </w:rPr>
        <w:t>Povezave: http://datanest.fair-play.sk/?locale=en. Prav tako so na spletu na voljo vsi podatki, ki so na voljo v aplikaciji v strojno berljivi obliki, primerni za prenos, na naslovu http://datanest.fair-play.sk/en/datasets?hash=%23registre.</w:t>
      </w:r>
    </w:p>
  </w:footnote>
  <w:footnote w:id="19">
    <w:p w14:paraId="6A384240" w14:textId="0E3215D5" w:rsidR="009A4633" w:rsidRDefault="009A4633" w:rsidP="001C50C7">
      <w:pPr>
        <w:pStyle w:val="Sprotnaopomba-besedilo"/>
      </w:pPr>
      <w:r>
        <w:rPr>
          <w:rStyle w:val="Sprotnaopomba-sklic"/>
        </w:rPr>
        <w:footnoteRef/>
      </w:r>
      <w:r>
        <w:t xml:space="preserve"> Glej: </w:t>
      </w:r>
      <w:r w:rsidRPr="00C801D8">
        <w:t>http://www.mju.gov.si/fileadmin/mju.gov.si/pageuploads/JAVNA_UPRAVA/Uradniski_svet/NOVOStandardi_strokovne_usp._11.4.2016.pdf</w:t>
      </w:r>
    </w:p>
  </w:footnote>
  <w:footnote w:id="20">
    <w:p w14:paraId="34AA3043" w14:textId="2A175256" w:rsidR="009A4633" w:rsidRDefault="009A4633" w:rsidP="00B33C23">
      <w:pPr>
        <w:pStyle w:val="Sprotnaopomba-besedilo"/>
        <w:jc w:val="both"/>
      </w:pPr>
      <w:r>
        <w:rPr>
          <w:rStyle w:val="Sprotnaopomba-sklic"/>
        </w:rPr>
        <w:footnoteRef/>
      </w:r>
      <w:r>
        <w:t xml:space="preserve"> Glej: </w:t>
      </w:r>
      <w:r w:rsidRPr="003D7FA7">
        <w:t>https://www.ip-rs.si/varstvo-osebnih-podatkov/iskalnik-po-odlocbah-in-mnenjih/odlocbe-in-mnenja-vop/?tx_jzvopdecisions_pi1[showUid]=2729</w:t>
      </w:r>
      <w:r>
        <w:t>.</w:t>
      </w:r>
    </w:p>
  </w:footnote>
  <w:footnote w:id="21">
    <w:p w14:paraId="34890447" w14:textId="77777777" w:rsidR="009A4633" w:rsidRPr="00FD44D6" w:rsidRDefault="009A4633" w:rsidP="0055047E">
      <w:pPr>
        <w:pStyle w:val="Sprotnaopomba-besedilo"/>
        <w:rPr>
          <w:szCs w:val="16"/>
        </w:rPr>
      </w:pPr>
      <w:r>
        <w:rPr>
          <w:rStyle w:val="Sprotnaopomba-sklic"/>
        </w:rPr>
        <w:footnoteRef/>
      </w:r>
      <w:r>
        <w:t xml:space="preserve"> </w:t>
      </w:r>
      <w:r w:rsidRPr="00FD44D6">
        <w:rPr>
          <w:szCs w:val="16"/>
        </w:rPr>
        <w:t>Uradni list RS, št. 33/16; ZPZ</w:t>
      </w:r>
      <w:r>
        <w:rPr>
          <w:szCs w:val="16"/>
        </w:rPr>
        <w:t>.</w:t>
      </w:r>
    </w:p>
  </w:footnote>
  <w:footnote w:id="22">
    <w:p w14:paraId="1AC2E944" w14:textId="0F30F895" w:rsidR="009A4633" w:rsidRDefault="009A4633">
      <w:pPr>
        <w:pStyle w:val="Sprotnaopomba-besedilo"/>
      </w:pPr>
      <w:r>
        <w:rPr>
          <w:rStyle w:val="Sprotnaopomba-sklic"/>
        </w:rPr>
        <w:footnoteRef/>
      </w:r>
      <w:r>
        <w:t xml:space="preserve"> </w:t>
      </w:r>
      <w:r w:rsidRPr="00762D3D">
        <w:t>Zakon o sodniški službi (Uradni list RS, št. 94/07 – uradno prečiščeno besedilo, 91/09, 33/11, 46/13, 63/13, 69/13 – popr., 95/14 – ZUPPJS15, 17/15 in 23/17 – ZSSve)</w:t>
      </w:r>
      <w:r>
        <w:t>.</w:t>
      </w:r>
    </w:p>
  </w:footnote>
  <w:footnote w:id="23">
    <w:p w14:paraId="0775DC6E" w14:textId="45419CB0" w:rsidR="009A4633" w:rsidRDefault="009A4633" w:rsidP="00AC7DF4">
      <w:pPr>
        <w:pStyle w:val="Sprotnaopomba-besedilo"/>
        <w:jc w:val="both"/>
      </w:pPr>
      <w:r>
        <w:rPr>
          <w:rStyle w:val="Sprotnaopomba-sklic"/>
        </w:rPr>
        <w:footnoteRef/>
      </w:r>
      <w:r>
        <w:t xml:space="preserve"> </w:t>
      </w:r>
      <w:r w:rsidRPr="006F37E5">
        <w:rPr>
          <w:szCs w:val="16"/>
        </w:rPr>
        <w:t>Glej tudi sodbo in sklep Vrhovnega sodišča RS št. I Up 476/2013, 5. 2. 2015</w:t>
      </w:r>
      <w:r>
        <w:rPr>
          <w:szCs w:val="16"/>
        </w:rPr>
        <w:t xml:space="preserve">: </w:t>
      </w:r>
      <w:r w:rsidRPr="0038501A">
        <w:rPr>
          <w:i/>
          <w:szCs w:val="16"/>
        </w:rPr>
        <w:t>»…</w:t>
      </w:r>
      <w:r>
        <w:rPr>
          <w:i/>
          <w:szCs w:val="16"/>
        </w:rPr>
        <w:t xml:space="preserve"> </w:t>
      </w:r>
      <w:r w:rsidRPr="0038501A">
        <w:rPr>
          <w:i/>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Cs w:val="16"/>
        </w:rPr>
        <w:t> </w:t>
      </w:r>
      <w:r w:rsidRPr="0038501A">
        <w:rPr>
          <w:i/>
          <w:szCs w:val="16"/>
        </w:rPr>
        <w:t>…</w:t>
      </w:r>
      <w:r>
        <w:rPr>
          <w:szCs w:val="16"/>
        </w:rPr>
        <w:t xml:space="preserve">« ter sodbo in sklep Vrhovnega sodišča RS št. I Up 254/2015, 12. 7. 2016, ki se sklicuje na poprej navedeno določitev in dodatno navaja: »… </w:t>
      </w:r>
      <w:r w:rsidRPr="006302F5">
        <w:rPr>
          <w:i/>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Cs w:val="16"/>
        </w:rPr>
        <w:t xml:space="preserve"> (tretji odstavek 207. člena) …«.</w:t>
      </w:r>
    </w:p>
  </w:footnote>
  <w:footnote w:id="24">
    <w:p w14:paraId="4EDAD003" w14:textId="0124F42B" w:rsidR="009A4633" w:rsidRDefault="009A4633" w:rsidP="00CE450F">
      <w:pPr>
        <w:pStyle w:val="Sprotnaopomba-besedilo"/>
        <w:jc w:val="both"/>
      </w:pPr>
      <w:r>
        <w:rPr>
          <w:rStyle w:val="Sprotnaopomba-sklic"/>
        </w:rPr>
        <w:footnoteRef/>
      </w:r>
      <w:r>
        <w:t xml:space="preserve"> </w:t>
      </w:r>
      <w:r w:rsidRPr="00C75A84">
        <w:rPr>
          <w:szCs w:val="16"/>
        </w:rPr>
        <w:t>Glej tudi sodbo Upravnega sodišča RS št. I U 640/2015, 28. 9. 2015: «</w:t>
      </w:r>
      <w:r>
        <w:rPr>
          <w:szCs w:val="16"/>
        </w:rPr>
        <w:t>…</w:t>
      </w:r>
      <w:r w:rsidRPr="00C75A84">
        <w:rPr>
          <w:i/>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Cs w:val="16"/>
        </w:rPr>
        <w:t>)</w:t>
      </w:r>
      <w:r>
        <w:rPr>
          <w:szCs w:val="16"/>
        </w:rPr>
        <w:t>«.</w:t>
      </w:r>
    </w:p>
  </w:footnote>
  <w:footnote w:id="25">
    <w:p w14:paraId="3B6ADA62" w14:textId="77777777" w:rsidR="009A4633" w:rsidRDefault="009A4633" w:rsidP="003404A8">
      <w:pPr>
        <w:pStyle w:val="Sprotnaopomba-besedilo"/>
        <w:jc w:val="both"/>
      </w:pPr>
      <w:r>
        <w:rPr>
          <w:rStyle w:val="Sprotnaopomba-sklic"/>
        </w:rPr>
        <w:footnoteRef/>
      </w:r>
      <w:r>
        <w:t xml:space="preserve"> </w:t>
      </w:r>
      <w:r w:rsidRPr="00FB3D7D">
        <w:rPr>
          <w:szCs w:val="16"/>
        </w:rPr>
        <w:t>Neupravni postopki se ne glede n</w:t>
      </w:r>
      <w:r>
        <w:rPr>
          <w:szCs w:val="16"/>
        </w:rPr>
        <w:t>a</w:t>
      </w:r>
      <w:r w:rsidRPr="00FB3D7D">
        <w:rPr>
          <w:szCs w:val="16"/>
        </w:rPr>
        <w:t xml:space="preserve"> to, da nimajo neposrednih pravnih po</w:t>
      </w:r>
      <w:r>
        <w:rPr>
          <w:szCs w:val="16"/>
        </w:rPr>
        <w:t>s</w:t>
      </w:r>
      <w:r w:rsidRPr="00FB3D7D">
        <w:rPr>
          <w:szCs w:val="16"/>
        </w:rPr>
        <w:t xml:space="preserve">ledic pomembni </w:t>
      </w:r>
      <w:r>
        <w:rPr>
          <w:szCs w:val="16"/>
        </w:rPr>
        <w:t>z</w:t>
      </w:r>
      <w:r w:rsidRPr="00FB3D7D">
        <w:rPr>
          <w:szCs w:val="16"/>
        </w:rPr>
        <w:t>a osvetlitev določenih dejstev, ki lahko v nadaljevanju, če j</w:t>
      </w:r>
      <w:r>
        <w:rPr>
          <w:szCs w:val="16"/>
        </w:rPr>
        <w:t>e</w:t>
      </w:r>
      <w:r w:rsidRPr="00FB3D7D">
        <w:rPr>
          <w:szCs w:val="16"/>
        </w:rPr>
        <w:t xml:space="preserve"> seveda narava ugotovitev take kval</w:t>
      </w:r>
      <w:r>
        <w:rPr>
          <w:szCs w:val="16"/>
        </w:rPr>
        <w:t>i</w:t>
      </w:r>
      <w:r w:rsidRPr="00FB3D7D">
        <w:rPr>
          <w:szCs w:val="16"/>
        </w:rPr>
        <w:t>tete, sprožijo druge po</w:t>
      </w:r>
      <w:r>
        <w:rPr>
          <w:szCs w:val="16"/>
        </w:rPr>
        <w:t>s</w:t>
      </w:r>
      <w:r w:rsidRPr="00FB3D7D">
        <w:rPr>
          <w:szCs w:val="16"/>
        </w:rPr>
        <w:t>topke (npr. kazen</w:t>
      </w:r>
      <w:r>
        <w:rPr>
          <w:szCs w:val="16"/>
        </w:rPr>
        <w:t>s</w:t>
      </w:r>
      <w:r w:rsidRPr="00FB3D7D">
        <w:rPr>
          <w:szCs w:val="16"/>
        </w:rPr>
        <w:t>ki, prekrškovni…), v katerih pa imajo udeleženci prav vse procesne pravice, ki jim gredo glede na naravo postopka.</w:t>
      </w:r>
    </w:p>
  </w:footnote>
  <w:footnote w:id="26">
    <w:p w14:paraId="0D48AC89" w14:textId="38656D10" w:rsidR="009A4633" w:rsidRDefault="009A4633" w:rsidP="0055047E">
      <w:pPr>
        <w:pStyle w:val="Sprotnaopomba-besedilo"/>
      </w:pPr>
      <w:r>
        <w:rPr>
          <w:rStyle w:val="Sprotnaopomba-sklic"/>
        </w:rPr>
        <w:footnoteRef/>
      </w:r>
      <w:r>
        <w:t xml:space="preserve"> Pregled sodne prakse:</w:t>
      </w:r>
    </w:p>
    <w:p w14:paraId="380FA976" w14:textId="77777777" w:rsidR="009A4633" w:rsidRPr="005E1FC3" w:rsidRDefault="009A4633" w:rsidP="006F190F">
      <w:pPr>
        <w:pStyle w:val="Sprotnaopomba-besedilo"/>
        <w:numPr>
          <w:ilvl w:val="0"/>
          <w:numId w:val="39"/>
        </w:numPr>
        <w:jc w:val="both"/>
        <w:rPr>
          <w:szCs w:val="16"/>
        </w:rPr>
      </w:pPr>
      <w:r w:rsidRPr="005E1FC3">
        <w:rPr>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Cs w:val="16"/>
        </w:rPr>
        <w:t>načelno mnenje Komisije za preprečevanje korupcije nima značaja posamičnega akta, s katerim bi se odločilo o pravicah, obveznostih ali pravnih koristih posameznika.</w:t>
      </w:r>
      <w:r w:rsidRPr="005E1FC3">
        <w:rPr>
          <w:szCs w:val="16"/>
        </w:rPr>
        <w:t xml:space="preserve"> Zato tudi po presoji Vrhovnega sodišča v upravnem sporu ni mogoče uveljavljati sodnega varstva zoper načelno mnenje te komisije na podlagi 2. člena ZUS-1.« (podobno glej tudi sklep VSRS št. I Up 89/2010, 14. 4.2010)</w:t>
      </w:r>
      <w:r>
        <w:rPr>
          <w:szCs w:val="16"/>
        </w:rPr>
        <w:t>;</w:t>
      </w:r>
    </w:p>
    <w:p w14:paraId="4BE4D55B" w14:textId="77777777" w:rsidR="009A4633" w:rsidRPr="005E1FC3" w:rsidRDefault="009A4633" w:rsidP="006F190F">
      <w:pPr>
        <w:pStyle w:val="Sprotnaopomba-besedilo"/>
        <w:numPr>
          <w:ilvl w:val="0"/>
          <w:numId w:val="39"/>
        </w:numPr>
        <w:jc w:val="both"/>
        <w:rPr>
          <w:szCs w:val="16"/>
        </w:rPr>
      </w:pPr>
      <w:r w:rsidRPr="005E1FC3">
        <w:rPr>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Cs w:val="16"/>
        </w:rPr>
        <w:t>gre zgolj za ugotovitve in priporočila tožene stranke, naslovljena na MDDSZ…. Vendar pa sodišče tožbe ni zavrglo iz razloga, ker izpodbijani upravni akt ni upravni akt oziroma akt, ki se lahko izpodbija v upravnem sporu.</w:t>
      </w:r>
      <w:r w:rsidRPr="005E1FC3">
        <w:rPr>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24D9D475" w14:textId="62B9D59D" w:rsidR="009A4633" w:rsidRPr="005E1FC3" w:rsidRDefault="009A4633" w:rsidP="006F190F">
      <w:pPr>
        <w:pStyle w:val="Sprotnaopomba-besedilo"/>
        <w:numPr>
          <w:ilvl w:val="0"/>
          <w:numId w:val="39"/>
        </w:numPr>
        <w:jc w:val="both"/>
        <w:rPr>
          <w:szCs w:val="16"/>
        </w:rPr>
      </w:pPr>
      <w:r w:rsidRPr="005E1FC3">
        <w:rPr>
          <w:szCs w:val="16"/>
        </w:rPr>
        <w:t xml:space="preserve">Vrhovno sodišče RS je v sodbi št. I Up 256/2014, 28. 2. 2015, ko je presojalo, ali je </w:t>
      </w:r>
      <w:r w:rsidRPr="005E1FC3">
        <w:rPr>
          <w:b/>
          <w:szCs w:val="16"/>
        </w:rPr>
        <w:t xml:space="preserve">Zaključno poročilo o premoženjskem stanju predsednikov parlamentarnih strank </w:t>
      </w:r>
      <w:r w:rsidRPr="005E1FC3">
        <w:rPr>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Cs w:val="16"/>
        </w:rPr>
        <w:t>sodišča bi tožena stranka pred objavo Zaključnega poročila morala tožniku poslati osnutek v izjasnitev in šele potem svoje ugotovitve objaviti skupaj s tožnikovo izjavo, kot to določa sedmi odstavek 13. člena ZIntPK</w:t>
      </w:r>
      <w:r w:rsidRPr="005E1FC3">
        <w:rPr>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ne more derogirati jasne in konkretne določbe sedmega in osmega odstavka 13. člena ZIntPK…«;</w:t>
      </w:r>
    </w:p>
    <w:p w14:paraId="53B86285" w14:textId="77777777" w:rsidR="009A4633" w:rsidRDefault="009A4633" w:rsidP="006F190F">
      <w:pPr>
        <w:pStyle w:val="Sprotnaopomba-besedilo"/>
        <w:numPr>
          <w:ilvl w:val="0"/>
          <w:numId w:val="39"/>
        </w:numPr>
        <w:jc w:val="both"/>
        <w:rPr>
          <w:szCs w:val="16"/>
        </w:rPr>
      </w:pPr>
      <w:r w:rsidRPr="004464DF">
        <w:rPr>
          <w:szCs w:val="16"/>
        </w:rPr>
        <w:t xml:space="preserve">Vrhovno sodišče RS je v sodbi št. I Up 308/2014, 29. 5. 2015, ko je presojalo, ali je </w:t>
      </w:r>
      <w:r w:rsidRPr="004464DF">
        <w:rPr>
          <w:b/>
          <w:szCs w:val="16"/>
        </w:rPr>
        <w:t xml:space="preserve">Zaključno poročilo o premoženjskem stanju predsednikov parlamentarnih strank </w:t>
      </w:r>
      <w:r w:rsidRPr="004464DF">
        <w:rPr>
          <w:szCs w:val="16"/>
        </w:rPr>
        <w:t xml:space="preserve">nezakonito poseglo v človekove pravice in svoboščine tožnika, med drugim navedlo: »Pravilno je stališče sodišča prve stopnje v izpodbijani sodbi, da </w:t>
      </w:r>
      <w:r w:rsidRPr="004464DF">
        <w:rPr>
          <w:b/>
          <w:szCs w:val="16"/>
        </w:rPr>
        <w:t>Zaključno poročilo ni akt iz 2. člena ZUS-1.</w:t>
      </w:r>
      <w:r w:rsidRPr="004464DF">
        <w:rPr>
          <w:szCs w:val="16"/>
        </w:rPr>
        <w:t xml:space="preserve"> O tem vprašanju je svoje stališče Vrhovno sodišče že sprejelo v svojem sklepu I Up 200/2013 z dne 9. 5. 2014, ki je pravnomočen, in pri tem stališču vztraja. Gre torej za akt iz prvega odstavka 4. člena ZUS-1.«;</w:t>
      </w:r>
    </w:p>
    <w:p w14:paraId="63A8763C" w14:textId="77777777" w:rsidR="009A4633" w:rsidRDefault="009A4633" w:rsidP="006F190F">
      <w:pPr>
        <w:pStyle w:val="Sprotnaopomba-besedilo"/>
        <w:numPr>
          <w:ilvl w:val="0"/>
          <w:numId w:val="39"/>
        </w:numPr>
        <w:jc w:val="both"/>
        <w:rPr>
          <w:szCs w:val="16"/>
        </w:rPr>
      </w:pPr>
      <w:r w:rsidRPr="004464DF">
        <w:rPr>
          <w:szCs w:val="16"/>
        </w:rPr>
        <w:t xml:space="preserve">V sodbi Vrhovnega sodišča RS št. I Up 476/2013, 5. 2. 2015, ko je odločalo glede </w:t>
      </w:r>
      <w:r w:rsidRPr="004464DF">
        <w:rPr>
          <w:b/>
          <w:szCs w:val="16"/>
        </w:rPr>
        <w:t>osnutka ugotovitev v konkretnem primeru</w:t>
      </w:r>
      <w:r w:rsidRPr="004464DF">
        <w:rPr>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Cs w:val="16"/>
        </w:rPr>
        <w:t>Za sodelovanje oseb, na katere se ugotovljena dejstva oziroma dokazi nanašajo, v tej fazi postopka, torej v fazi zbiranja procesnega gradiva, ni pravne podlage niti v ZIntPK niti v ZUP</w:t>
      </w:r>
      <w:r w:rsidRPr="004464DF">
        <w:rPr>
          <w:szCs w:val="16"/>
        </w:rPr>
        <w:t>.«;</w:t>
      </w:r>
    </w:p>
    <w:p w14:paraId="50CCC78B" w14:textId="77777777" w:rsidR="009A4633" w:rsidRPr="004464DF" w:rsidRDefault="009A4633" w:rsidP="006F190F">
      <w:pPr>
        <w:pStyle w:val="Sprotnaopomba-besedilo"/>
        <w:numPr>
          <w:ilvl w:val="0"/>
          <w:numId w:val="39"/>
        </w:numPr>
        <w:jc w:val="both"/>
        <w:rPr>
          <w:szCs w:val="16"/>
        </w:rPr>
      </w:pPr>
      <w:r w:rsidRPr="004464DF">
        <w:rPr>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Cs w:val="16"/>
        </w:rPr>
        <w:t>Zaključne ugotovitve akt po drugem odstavku 2. člena ZUS-1</w:t>
      </w:r>
      <w:r w:rsidRPr="004464DF">
        <w:rPr>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Cs w:val="16"/>
        </w:rPr>
        <w:t>da je tožena stranka po prvotnem osnutku dodatno ugotavljala dejstva in okoliščine oziroma izvajala dokaze, zato bi moral tožniku biti poslan v izjavo tudi dopolnjen osnutek ugotovitev</w:t>
      </w:r>
      <w:r w:rsidRPr="004464DF">
        <w:rPr>
          <w:szCs w:val="16"/>
        </w:rPr>
        <w:t>.«</w:t>
      </w:r>
      <w:r>
        <w:rPr>
          <w:szCs w:val="16"/>
        </w:rPr>
        <w:t>;</w:t>
      </w:r>
    </w:p>
    <w:p w14:paraId="5B1000FA" w14:textId="77777777" w:rsidR="009A4633" w:rsidRPr="004464DF" w:rsidRDefault="009A4633" w:rsidP="006F190F">
      <w:pPr>
        <w:pStyle w:val="Sprotnaopomba-besedilo"/>
        <w:numPr>
          <w:ilvl w:val="0"/>
          <w:numId w:val="39"/>
        </w:numPr>
        <w:jc w:val="both"/>
        <w:rPr>
          <w:szCs w:val="16"/>
        </w:rPr>
      </w:pPr>
      <w:r w:rsidRPr="004464DF">
        <w:rPr>
          <w:szCs w:val="16"/>
        </w:rPr>
        <w:t>Vrhovno sodišče RS je v sodbi št. I Up 73/2016, 14. 9. 2016, ki se nanaša na ugotovitve v konkretnem primeru glede tožničinega ravnanja v okoliščinah nasprotja interesov, navedlo: »</w:t>
      </w:r>
      <w:r w:rsidRPr="004464DF">
        <w:rPr>
          <w:b/>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Cs w:val="16"/>
        </w:rPr>
        <w:t>;</w:t>
      </w:r>
    </w:p>
    <w:p w14:paraId="10025CBA" w14:textId="77777777" w:rsidR="009A4633" w:rsidRDefault="009A4633" w:rsidP="006F190F">
      <w:pPr>
        <w:pStyle w:val="Sprotnaopomba-besedilo"/>
        <w:numPr>
          <w:ilvl w:val="0"/>
          <w:numId w:val="39"/>
        </w:numPr>
        <w:jc w:val="both"/>
      </w:pPr>
      <w:r w:rsidRPr="004464DF">
        <w:rPr>
          <w:szCs w:val="16"/>
        </w:rPr>
        <w:t xml:space="preserve">Vrhovno sodišče RS je v sodbi št. I Up 291/2015, 11. 10. 2016, ki se nanaša na </w:t>
      </w:r>
      <w:r w:rsidRPr="004464DF">
        <w:rPr>
          <w:b/>
          <w:szCs w:val="16"/>
        </w:rPr>
        <w:t>zaključne ugotovitve v posameznem primeru</w:t>
      </w:r>
      <w:r w:rsidRPr="004464DF">
        <w:rPr>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Cs w:val="16"/>
        </w:rPr>
        <w:t>.«</w:t>
      </w:r>
      <w:r>
        <w:rPr>
          <w:szCs w:val="16"/>
        </w:rPr>
        <w:t>.</w:t>
      </w:r>
    </w:p>
  </w:footnote>
  <w:footnote w:id="27">
    <w:p w14:paraId="45AC003F" w14:textId="01B7BC23" w:rsidR="009A4633" w:rsidRDefault="009A4633" w:rsidP="003404A8">
      <w:pPr>
        <w:pStyle w:val="Sprotnaopomba-besedilo"/>
        <w:jc w:val="both"/>
      </w:pPr>
      <w:r>
        <w:rPr>
          <w:rStyle w:val="Sprotnaopomba-sklic"/>
        </w:rPr>
        <w:footnoteRef/>
      </w:r>
      <w:r>
        <w:t xml:space="preserve"> </w:t>
      </w:r>
      <w:r w:rsidRPr="00A9775E">
        <w:rPr>
          <w:szCs w:val="16"/>
        </w:rPr>
        <w:t>V zadevi Fayed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Cs w:val="16"/>
        </w:rPr>
        <w:t>.</w:t>
      </w:r>
    </w:p>
  </w:footnote>
  <w:footnote w:id="28">
    <w:p w14:paraId="6F86478B" w14:textId="66645215" w:rsidR="009A4633" w:rsidRDefault="009A4633" w:rsidP="003404A8">
      <w:pPr>
        <w:pStyle w:val="Sprotnaopomba-besedilo"/>
        <w:jc w:val="both"/>
      </w:pPr>
      <w:r>
        <w:rPr>
          <w:rStyle w:val="Sprotnaopomba-sklic"/>
        </w:rPr>
        <w:footnoteRef/>
      </w:r>
      <w:r>
        <w:t xml:space="preserve"> </w:t>
      </w:r>
      <w:r w:rsidRPr="00A9775E">
        <w:rPr>
          <w:szCs w:val="16"/>
        </w:rPr>
        <w:t xml:space="preserve">Hannah v. Larche, kjer je Vrhovno sodišče ZDA pri obravnavi podobnega »fact finding«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orig. </w:t>
      </w:r>
      <w:r w:rsidRPr="00E352C0">
        <w:rPr>
          <w:szCs w:val="16"/>
          <w:lang w:val="en-GB"/>
        </w:rPr>
        <w:t>It does not make any determinations depriving anyone of his life, liberty or property</w:t>
      </w:r>
      <w:r w:rsidRPr="00A9775E">
        <w:rPr>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Cs w:val="16"/>
        </w:rPr>
        <w:t>T</w:t>
      </w:r>
      <w:r w:rsidRPr="00A9775E">
        <w:rPr>
          <w:szCs w:val="16"/>
        </w:rPr>
        <w:t>akrat, ko državni ukrep nima narave sodne odločbe, kot je primer pri t.</w:t>
      </w:r>
      <w:r>
        <w:rPr>
          <w:szCs w:val="16"/>
        </w:rPr>
        <w:t> </w:t>
      </w:r>
      <w:r w:rsidRPr="00A9775E">
        <w:rPr>
          <w:szCs w:val="16"/>
        </w:rPr>
        <w:t>i. "fact finding"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r w:rsidRPr="00283AA5">
        <w:rPr>
          <w:szCs w:val="16"/>
        </w:rPr>
        <w:t>Factfinding</w:t>
      </w:r>
      <w:r w:rsidRPr="00A9775E">
        <w:rPr>
          <w:szCs w:val="16"/>
        </w:rPr>
        <w:t>« organi brez kakršnekoli pravice odločanja bi bili preusmerjeni od njihovih legitimnih nalog in okuženi z vnosom kolateralnih dejavnikov, ki bi preiskavo neskončno zavlekli.«</w:t>
      </w:r>
    </w:p>
  </w:footnote>
  <w:footnote w:id="29">
    <w:p w14:paraId="0D739A28" w14:textId="00B94C22" w:rsidR="009A4633" w:rsidRDefault="009A4633" w:rsidP="003404A8">
      <w:pPr>
        <w:pStyle w:val="Sprotnaopomba-besedilo"/>
        <w:jc w:val="both"/>
        <w:rPr>
          <w:szCs w:val="16"/>
        </w:rPr>
      </w:pPr>
      <w:r>
        <w:rPr>
          <w:rStyle w:val="Sprotnaopomba-sklic"/>
        </w:rPr>
        <w:footnoteRef/>
      </w:r>
      <w:r>
        <w:t xml:space="preserve"> </w:t>
      </w:r>
      <w:r w:rsidRPr="00B15C6B">
        <w:rPr>
          <w:szCs w:val="16"/>
        </w:rPr>
        <w:t xml:space="preserve">Odločba Ustavnega sodišča št. Up-730/08-13, 12. 6. 2008: </w:t>
      </w:r>
      <w:r w:rsidRPr="0007326B">
        <w:rPr>
          <w:szCs w:val="16"/>
        </w:rPr>
        <w:t>»</w:t>
      </w:r>
      <w:r w:rsidRPr="0007326B">
        <w:rPr>
          <w:i/>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Cs w:val="16"/>
        </w:rPr>
        <w:t>sta izdaja in objava načelnega mnenja lahko posamično dejanje oziroma akt, ki lahko poseže v človekove pravice</w:t>
      </w:r>
      <w:r w:rsidRPr="0007326B">
        <w:rPr>
          <w:i/>
          <w:szCs w:val="16"/>
        </w:rPr>
        <w:t xml:space="preserve">. </w:t>
      </w:r>
      <w:r w:rsidRPr="0007326B">
        <w:rPr>
          <w:b/>
          <w:i/>
          <w:szCs w:val="16"/>
        </w:rPr>
        <w:t>Zoper taka dejanja pa je, če ni zagotovljeno drugo sodno varstvo, na podlagi drugega odstavka 157. člena Ustave zagotovljeno sodno varstvo v upravnem sporu</w:t>
      </w:r>
      <w:r w:rsidRPr="0007326B">
        <w:rPr>
          <w:i/>
          <w:szCs w:val="16"/>
        </w:rPr>
        <w:t>.</w:t>
      </w:r>
      <w:r>
        <w:rPr>
          <w:szCs w:val="16"/>
        </w:rPr>
        <w:t>«.</w:t>
      </w:r>
    </w:p>
    <w:p w14:paraId="26EDB159" w14:textId="77777777" w:rsidR="009A4633" w:rsidRDefault="009A4633" w:rsidP="003404A8">
      <w:pPr>
        <w:pStyle w:val="Sprotnaopomba-besedilo"/>
        <w:jc w:val="both"/>
      </w:pPr>
      <w:r w:rsidRPr="00A508E5">
        <w:rPr>
          <w:szCs w:val="16"/>
        </w:rPr>
        <w:t>Odločba Us</w:t>
      </w:r>
      <w:r>
        <w:rPr>
          <w:szCs w:val="16"/>
        </w:rPr>
        <w:t>t</w:t>
      </w:r>
      <w:r w:rsidRPr="00A508E5">
        <w:rPr>
          <w:szCs w:val="16"/>
        </w:rPr>
        <w:t>avnega sodišča št. Up-1293/08, 6.7.2011</w:t>
      </w:r>
      <w:r>
        <w:rPr>
          <w:szCs w:val="16"/>
        </w:rPr>
        <w:t xml:space="preserve">, ki se je nanašala na carinsko preiskavo vozila: </w:t>
      </w:r>
      <w:r w:rsidRPr="0007326B">
        <w:rPr>
          <w:i/>
          <w:szCs w:val="16"/>
        </w:rPr>
        <w:t xml:space="preserve">«… Navedeno hkrati pomeni, </w:t>
      </w:r>
      <w:r w:rsidRPr="0007326B">
        <w:rPr>
          <w:b/>
          <w:i/>
          <w:szCs w:val="16"/>
        </w:rPr>
        <w:t>da se domet privilegija zoper samoobtožbo ne razteza na inšpekcijske ali nadzorne postopke, pri katerih se aktivnosti uradnih oseb ne spremenijo v kazensko preiskavo.</w:t>
      </w:r>
      <w:r w:rsidRPr="0007326B">
        <w:rPr>
          <w:i/>
          <w:szCs w:val="16"/>
        </w:rPr>
        <w:t xml:space="preserve"> </w:t>
      </w:r>
      <w:r w:rsidRPr="0007326B">
        <w:rPr>
          <w:b/>
          <w:i/>
          <w:szCs w:val="16"/>
        </w:rPr>
        <w:t>S tem se zagotavlja učinkovitost inšpekcijskih in nadzornih postopkov, kar je v carinskih, davčnih in drugih pomembnih zadevah nedvomno v javnem interesu</w:t>
      </w:r>
      <w:r w:rsidRPr="0007326B">
        <w:rPr>
          <w:i/>
          <w:szCs w:val="16"/>
        </w:rPr>
        <w:t xml:space="preserve">. </w:t>
      </w:r>
      <w:r w:rsidRPr="0007326B">
        <w:rPr>
          <w:b/>
          <w:i/>
          <w:szCs w:val="16"/>
        </w:rPr>
        <w:t>Vendar dejstvo, da se v nekazenskih postopkih ne uporablja določeno ustavnopravno jamstvo, še ne pomeni, da so dokazi, ki so sicer zakonito pridobljeni v teh postopkih, sami po sebi neomejeno uporabni tudi v kazenskem postopku.</w:t>
      </w:r>
      <w:r w:rsidRPr="0007326B">
        <w:rPr>
          <w:i/>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Cs w:val="16"/>
        </w:rPr>
        <w:t>To velja tudi za izjave obdolženca iz nekazenskega postopka, ki so bile pridobljene brez predhodnega pouka o pravici do molka.</w:t>
      </w:r>
      <w:r w:rsidRPr="00D01BDB">
        <w:rPr>
          <w:szCs w:val="16"/>
        </w:rPr>
        <w:t>«.</w:t>
      </w:r>
    </w:p>
  </w:footnote>
  <w:footnote w:id="30">
    <w:p w14:paraId="6CF36CFB" w14:textId="5FAA62EA" w:rsidR="009A4633" w:rsidRDefault="009A4633" w:rsidP="003404A8">
      <w:pPr>
        <w:pStyle w:val="Sprotnaopomba-besedilo"/>
        <w:jc w:val="both"/>
      </w:pPr>
      <w:r>
        <w:rPr>
          <w:rStyle w:val="Sprotnaopomba-sklic"/>
        </w:rPr>
        <w:footnoteRef/>
      </w:r>
      <w:r>
        <w:t xml:space="preserve"> </w:t>
      </w:r>
      <w:r w:rsidRPr="005255EA">
        <w:rPr>
          <w:szCs w:val="16"/>
        </w:rPr>
        <w:t xml:space="preserve">Sodba Upravnega sodišča RS št. II U 229/2010, 5. 10. 2011:«… Smiselna uporaba ZUP pomeni uporabo tistih institutov, ki so po naravi stvari smiselni in mogoči…«, </w:t>
      </w:r>
      <w:r>
        <w:rPr>
          <w:szCs w:val="16"/>
        </w:rPr>
        <w:t xml:space="preserve">sodba Upravnega sodišča RS </w:t>
      </w:r>
      <w:r w:rsidRPr="005255EA">
        <w:rPr>
          <w:szCs w:val="16"/>
        </w:rPr>
        <w:t>št. III U 14/2009, 2. 6. 2010</w:t>
      </w:r>
      <w:r>
        <w:rPr>
          <w:szCs w:val="16"/>
        </w:rPr>
        <w:t>:«…</w:t>
      </w:r>
      <w:r w:rsidRPr="005255EA">
        <w:rPr>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Cs w:val="16"/>
        </w:rPr>
        <w:t>…«.</w:t>
      </w:r>
    </w:p>
  </w:footnote>
  <w:footnote w:id="31">
    <w:p w14:paraId="51A8C3BB" w14:textId="56F1FD02" w:rsidR="009A4633" w:rsidRPr="00B01CD0" w:rsidRDefault="009A4633" w:rsidP="0055047E">
      <w:pPr>
        <w:pStyle w:val="Sprotnaopomba-besedilo"/>
        <w:rPr>
          <w:szCs w:val="16"/>
        </w:rPr>
      </w:pPr>
      <w:r>
        <w:rPr>
          <w:rStyle w:val="Sprotnaopomba-sklic"/>
        </w:rPr>
        <w:footnoteRef/>
      </w:r>
      <w:r>
        <w:t xml:space="preserve"> </w:t>
      </w:r>
      <w:r w:rsidRPr="00B01CD0">
        <w:rPr>
          <w:szCs w:val="16"/>
        </w:rPr>
        <w:t>Uradni list RS, št. 113/05 in 51/07 – ZUstS-A</w:t>
      </w:r>
      <w:r>
        <w:rPr>
          <w:szCs w:val="16"/>
        </w:rPr>
        <w:t>.</w:t>
      </w:r>
    </w:p>
  </w:footnote>
  <w:footnote w:id="32">
    <w:p w14:paraId="3E4A87F2" w14:textId="684C1134" w:rsidR="009A4633" w:rsidRDefault="009A4633" w:rsidP="0055047E">
      <w:pPr>
        <w:pStyle w:val="Sprotnaopomba-besedilo"/>
      </w:pPr>
      <w:r>
        <w:rPr>
          <w:rStyle w:val="Sprotnaopomba-sklic"/>
        </w:rPr>
        <w:footnoteRef/>
      </w:r>
      <w:r>
        <w:t xml:space="preserve"> </w:t>
      </w:r>
      <w:r w:rsidRPr="00E3797B">
        <w:rPr>
          <w:szCs w:val="16"/>
        </w:rPr>
        <w:t>Odločba Ustavnega sodišča, št. U-I-16/10-10 z dne 20. 10. 2011.</w:t>
      </w:r>
    </w:p>
  </w:footnote>
  <w:footnote w:id="33">
    <w:p w14:paraId="4C4E1BB7" w14:textId="35D3D8D3" w:rsidR="009A4633" w:rsidRPr="001C2EE2" w:rsidRDefault="009A4633" w:rsidP="0055047E">
      <w:pPr>
        <w:pStyle w:val="Sprotnaopomba-besedilo"/>
        <w:rPr>
          <w:szCs w:val="16"/>
        </w:rPr>
      </w:pPr>
      <w:r>
        <w:rPr>
          <w:rStyle w:val="Sprotnaopomba-sklic"/>
        </w:rPr>
        <w:footnoteRef/>
      </w:r>
      <w:r>
        <w:t xml:space="preserve"> </w:t>
      </w:r>
      <w:r w:rsidRPr="001C2EE2">
        <w:rPr>
          <w:szCs w:val="16"/>
        </w:rPr>
        <w:t xml:space="preserve">Uradni list RS, št. </w:t>
      </w:r>
      <w:hyperlink r:id="rId1" w:tgtFrame="_blank" w:tooltip="Zakon o javnih financah (uradno prečiščeno besedilo)" w:history="1">
        <w:r w:rsidRPr="001C2EE2">
          <w:rPr>
            <w:szCs w:val="16"/>
          </w:rPr>
          <w:t>11/11</w:t>
        </w:r>
      </w:hyperlink>
      <w:r w:rsidRPr="001C2EE2">
        <w:rPr>
          <w:szCs w:val="16"/>
        </w:rPr>
        <w:t> – uradno prečiščeno besedilo, 14/13 – popr., 101/13, 55/15 – ZFisP in 96/15 – ZIPRS1617</w:t>
      </w:r>
      <w:r>
        <w:rPr>
          <w:szCs w:val="16"/>
        </w:rPr>
        <w:t>.</w:t>
      </w:r>
    </w:p>
  </w:footnote>
  <w:footnote w:id="34">
    <w:p w14:paraId="1C586537" w14:textId="742ABACD" w:rsidR="009A4633" w:rsidRDefault="009A4633" w:rsidP="00AC7DF4">
      <w:pPr>
        <w:pStyle w:val="Sprotnaopomba-besedilo"/>
        <w:jc w:val="both"/>
      </w:pPr>
      <w:r>
        <w:rPr>
          <w:rStyle w:val="Sprotnaopomba-sklic"/>
        </w:rPr>
        <w:footnoteRef/>
      </w:r>
      <w:r>
        <w:t xml:space="preserve"> </w:t>
      </w:r>
      <w:r w:rsidRPr="002E62B0">
        <w:t>Pravilnik o omejitvah in dolžnostih funkcionarjev v zvezi s sprejemanjem daril (Uradni list RS, št. 53/10 in 73/10)</w:t>
      </w:r>
      <w:r>
        <w:t>.</w:t>
      </w:r>
    </w:p>
  </w:footnote>
  <w:footnote w:id="35">
    <w:p w14:paraId="6B8A1C49" w14:textId="481CEF56" w:rsidR="009A4633" w:rsidRPr="00765E96" w:rsidRDefault="009A4633" w:rsidP="003404A8">
      <w:pPr>
        <w:pStyle w:val="Sprotnaopomba-besedilo"/>
        <w:jc w:val="both"/>
        <w:rPr>
          <w:szCs w:val="16"/>
        </w:rPr>
      </w:pPr>
      <w:r>
        <w:rPr>
          <w:rStyle w:val="Sprotnaopomba-sklic"/>
        </w:rPr>
        <w:footnoteRef/>
      </w:r>
      <w:r>
        <w:t xml:space="preserve"> </w:t>
      </w:r>
      <w:r w:rsidRPr="00765E96">
        <w:rPr>
          <w:szCs w:val="16"/>
        </w:rPr>
        <w:t>Uradni list RS, št.13/11</w:t>
      </w:r>
      <w:r>
        <w:rPr>
          <w:szCs w:val="16"/>
        </w:rPr>
        <w:t> </w:t>
      </w:r>
      <w:r w:rsidRPr="00765E96">
        <w:rPr>
          <w:szCs w:val="16"/>
        </w:rPr>
        <w:t>–</w:t>
      </w:r>
      <w:r>
        <w:rPr>
          <w:szCs w:val="16"/>
        </w:rPr>
        <w:t> </w:t>
      </w:r>
      <w:r w:rsidRPr="00765E96">
        <w:rPr>
          <w:szCs w:val="16"/>
        </w:rPr>
        <w:t>uradno prečiščeno besedilo,</w:t>
      </w:r>
      <w:r>
        <w:rPr>
          <w:szCs w:val="16"/>
        </w:rPr>
        <w:t xml:space="preserve"> </w:t>
      </w:r>
      <w:r w:rsidRPr="00765E96">
        <w:rPr>
          <w:szCs w:val="16"/>
        </w:rPr>
        <w:t>32/12,</w:t>
      </w:r>
      <w:r>
        <w:rPr>
          <w:szCs w:val="16"/>
        </w:rPr>
        <w:t xml:space="preserve"> </w:t>
      </w:r>
      <w:r w:rsidRPr="00765E96">
        <w:rPr>
          <w:szCs w:val="16"/>
        </w:rPr>
        <w:t>94/12,</w:t>
      </w:r>
      <w:r>
        <w:rPr>
          <w:szCs w:val="16"/>
        </w:rPr>
        <w:t xml:space="preserve"> </w:t>
      </w:r>
      <w:r w:rsidRPr="00765E96">
        <w:rPr>
          <w:szCs w:val="16"/>
        </w:rPr>
        <w:t>101/13</w:t>
      </w:r>
      <w:r>
        <w:rPr>
          <w:szCs w:val="16"/>
        </w:rPr>
        <w:t> – </w:t>
      </w:r>
      <w:r w:rsidRPr="00765E96">
        <w:rPr>
          <w:szCs w:val="16"/>
        </w:rPr>
        <w:t>ZDavNepr,</w:t>
      </w:r>
      <w:r>
        <w:rPr>
          <w:szCs w:val="16"/>
        </w:rPr>
        <w:t xml:space="preserve"> </w:t>
      </w:r>
      <w:r w:rsidRPr="00765E96">
        <w:rPr>
          <w:szCs w:val="16"/>
        </w:rPr>
        <w:t>111/13,</w:t>
      </w:r>
      <w:r>
        <w:rPr>
          <w:szCs w:val="16"/>
        </w:rPr>
        <w:t xml:space="preserve"> </w:t>
      </w:r>
      <w:r w:rsidRPr="00765E96">
        <w:rPr>
          <w:szCs w:val="16"/>
        </w:rPr>
        <w:t>25/14</w:t>
      </w:r>
      <w:r>
        <w:rPr>
          <w:szCs w:val="16"/>
        </w:rPr>
        <w:t> </w:t>
      </w:r>
      <w:r w:rsidRPr="00765E96">
        <w:rPr>
          <w:szCs w:val="16"/>
        </w:rPr>
        <w:t>–</w:t>
      </w:r>
      <w:r>
        <w:rPr>
          <w:szCs w:val="16"/>
        </w:rPr>
        <w:t> </w:t>
      </w:r>
      <w:r w:rsidRPr="00765E96">
        <w:rPr>
          <w:szCs w:val="16"/>
        </w:rPr>
        <w:t>ZFU,</w:t>
      </w:r>
      <w:r>
        <w:rPr>
          <w:szCs w:val="16"/>
        </w:rPr>
        <w:t xml:space="preserve"> </w:t>
      </w:r>
      <w:r w:rsidRPr="00765E96">
        <w:rPr>
          <w:szCs w:val="16"/>
        </w:rPr>
        <w:t>40/14</w:t>
      </w:r>
      <w:r>
        <w:rPr>
          <w:szCs w:val="16"/>
        </w:rPr>
        <w:t> </w:t>
      </w:r>
      <w:r w:rsidRPr="00765E96">
        <w:rPr>
          <w:szCs w:val="16"/>
        </w:rPr>
        <w:t>–</w:t>
      </w:r>
      <w:r>
        <w:rPr>
          <w:szCs w:val="16"/>
        </w:rPr>
        <w:t> </w:t>
      </w:r>
      <w:r w:rsidRPr="00765E96">
        <w:rPr>
          <w:szCs w:val="16"/>
        </w:rPr>
        <w:t>ZIN-B,</w:t>
      </w:r>
      <w:r>
        <w:rPr>
          <w:szCs w:val="16"/>
        </w:rPr>
        <w:t xml:space="preserve"> </w:t>
      </w:r>
      <w:r w:rsidRPr="00765E96">
        <w:rPr>
          <w:szCs w:val="16"/>
        </w:rPr>
        <w:t>90/14,</w:t>
      </w:r>
      <w:r>
        <w:rPr>
          <w:szCs w:val="16"/>
        </w:rPr>
        <w:t xml:space="preserve"> </w:t>
      </w:r>
      <w:r w:rsidRPr="00765E96">
        <w:rPr>
          <w:szCs w:val="16"/>
        </w:rPr>
        <w:t>91/15</w:t>
      </w:r>
      <w:r>
        <w:rPr>
          <w:szCs w:val="16"/>
        </w:rPr>
        <w:t xml:space="preserve"> </w:t>
      </w:r>
      <w:r w:rsidRPr="00765E96">
        <w:rPr>
          <w:szCs w:val="16"/>
        </w:rPr>
        <w:t>in</w:t>
      </w:r>
      <w:r>
        <w:rPr>
          <w:szCs w:val="16"/>
        </w:rPr>
        <w:t xml:space="preserve"> </w:t>
      </w:r>
      <w:r w:rsidRPr="00765E96">
        <w:rPr>
          <w:szCs w:val="16"/>
        </w:rPr>
        <w:t>63/16</w:t>
      </w:r>
      <w:r>
        <w:rPr>
          <w:szCs w:val="16"/>
        </w:rPr>
        <w:t>.</w:t>
      </w:r>
    </w:p>
  </w:footnote>
  <w:footnote w:id="36">
    <w:p w14:paraId="2C6C106F" w14:textId="77777777" w:rsidR="009A4633" w:rsidRDefault="009A4633" w:rsidP="003404A8">
      <w:pPr>
        <w:pStyle w:val="Sprotnaopomba-besedilo"/>
        <w:jc w:val="both"/>
        <w:rPr>
          <w:szCs w:val="16"/>
        </w:rPr>
      </w:pPr>
      <w:r>
        <w:rPr>
          <w:rStyle w:val="Sprotnaopomba-sklic"/>
        </w:rPr>
        <w:footnoteRef/>
      </w:r>
      <w:r>
        <w:t xml:space="preserve"> </w:t>
      </w:r>
      <w:r w:rsidRPr="008553DD">
        <w:rPr>
          <w:szCs w:val="16"/>
        </w:rPr>
        <w:t xml:space="preserve">Ustavno sodišče RS </w:t>
      </w:r>
      <w:r>
        <w:rPr>
          <w:szCs w:val="16"/>
        </w:rPr>
        <w:t xml:space="preserve">je </w:t>
      </w:r>
      <w:r w:rsidRPr="008553DD">
        <w:rPr>
          <w:szCs w:val="16"/>
        </w:rPr>
        <w:t>v eni od novejših sodb (št. U-I-52/16-17, 12. 1. 2017) zapisalo:</w:t>
      </w:r>
      <w:r>
        <w:rPr>
          <w:szCs w:val="16"/>
        </w:rPr>
        <w:t xml:space="preserve"> </w:t>
      </w:r>
      <w:r w:rsidRPr="008553DD">
        <w:rPr>
          <w:szCs w:val="16"/>
        </w:rPr>
        <w:t>»</w:t>
      </w:r>
      <w:r>
        <w:rPr>
          <w:szCs w:val="16"/>
        </w:rPr>
        <w:t xml:space="preserve">… </w:t>
      </w:r>
      <w:r w:rsidRPr="008553DD">
        <w:rPr>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48BF4C2A" w14:textId="77777777" w:rsidR="009A4633" w:rsidRPr="00B360C7" w:rsidRDefault="009A4633" w:rsidP="003404A8">
      <w:pPr>
        <w:pStyle w:val="Sprotnaopomba-besedilo"/>
        <w:jc w:val="both"/>
        <w:rPr>
          <w:szCs w:val="16"/>
        </w:rPr>
      </w:pPr>
      <w:r w:rsidRPr="00B360C7">
        <w:rPr>
          <w:szCs w:val="16"/>
        </w:rPr>
        <w:t>Ustavno sodišče v odločbi št U-I-122/13-13, 10. 3. 2016, ki se je sicer nanašala na spletno objavo podatkov o davčnih dolžnikih, med drugim zapisalo: »</w:t>
      </w:r>
      <w:r>
        <w:rPr>
          <w:szCs w:val="16"/>
        </w:rPr>
        <w:t xml:space="preserve">… </w:t>
      </w:r>
      <w:r w:rsidRPr="00B360C7">
        <w:rPr>
          <w:szCs w:val="16"/>
        </w:rPr>
        <w:t>Zakonodajalec je z javno objavo davčnih neplačnikov zasledoval cilje na več ravneh. Na mikroravni je želel spodbuditi prostovoljno, pravilno in pravočasno plačilo davčnih obveznosti in hkrati omogočiti javnosti vpogled, koliko in kateri posamezniki dolgujejo javni blagajni. Na makroravni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Cs w:val="16"/>
        </w:rPr>
        <w:t xml:space="preserve"> </w:t>
      </w:r>
      <w:r w:rsidRPr="00B360C7">
        <w:rPr>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7">
    <w:p w14:paraId="6DD9B8ED" w14:textId="77777777" w:rsidR="009A4633" w:rsidRPr="00625679" w:rsidRDefault="009A4633" w:rsidP="003404A8">
      <w:pPr>
        <w:pStyle w:val="Sprotnaopomba-besedilo"/>
        <w:jc w:val="both"/>
        <w:rPr>
          <w:szCs w:val="16"/>
        </w:rPr>
      </w:pPr>
      <w:r>
        <w:rPr>
          <w:rStyle w:val="Sprotnaopomba-sklic"/>
        </w:rPr>
        <w:footnoteRef/>
      </w:r>
      <w:r>
        <w:t xml:space="preserve"> </w:t>
      </w:r>
      <w:r w:rsidRPr="00625679">
        <w:rPr>
          <w:szCs w:val="16"/>
        </w:rPr>
        <w:t>Sodb</w:t>
      </w:r>
      <w:r>
        <w:rPr>
          <w:szCs w:val="16"/>
        </w:rPr>
        <w:t>i</w:t>
      </w:r>
      <w:r w:rsidRPr="00625679">
        <w:rPr>
          <w:szCs w:val="16"/>
        </w:rPr>
        <w:t xml:space="preserve"> Vrhovnega sodišča RS št. </w:t>
      </w:r>
      <w:r>
        <w:rPr>
          <w:szCs w:val="16"/>
        </w:rPr>
        <w:t xml:space="preserve">I Up 310/2015, 24. 5. 2017 in </w:t>
      </w:r>
      <w:r w:rsidRPr="003F21BD">
        <w:rPr>
          <w:szCs w:val="16"/>
        </w:rPr>
        <w:t>I Up 307/2016</w:t>
      </w:r>
      <w:r>
        <w:rPr>
          <w:szCs w:val="16"/>
        </w:rPr>
        <w:t xml:space="preserve"> z dne 21. </w:t>
      </w:r>
      <w:r w:rsidRPr="003F21BD">
        <w:rPr>
          <w:szCs w:val="16"/>
        </w:rPr>
        <w:t>6.</w:t>
      </w:r>
      <w:r>
        <w:rPr>
          <w:szCs w:val="16"/>
        </w:rPr>
        <w:t xml:space="preserve"> </w:t>
      </w:r>
      <w:r w:rsidRPr="003F21BD">
        <w:rPr>
          <w:szCs w:val="16"/>
        </w:rPr>
        <w:t>2017</w:t>
      </w:r>
      <w:r>
        <w:rPr>
          <w:szCs w:val="16"/>
        </w:rPr>
        <w:t>.</w:t>
      </w:r>
    </w:p>
  </w:footnote>
  <w:footnote w:id="38">
    <w:p w14:paraId="54985BD9" w14:textId="77777777" w:rsidR="009A4633" w:rsidRPr="00847E9E" w:rsidRDefault="009A4633" w:rsidP="0055047E">
      <w:pPr>
        <w:pStyle w:val="Sprotnaopomba-besedilo"/>
        <w:rPr>
          <w:szCs w:val="16"/>
        </w:rPr>
      </w:pPr>
      <w:r>
        <w:rPr>
          <w:rStyle w:val="Sprotnaopomba-sklic"/>
        </w:rPr>
        <w:footnoteRef/>
      </w:r>
      <w:r w:rsidRPr="00847E9E">
        <w:rPr>
          <w:szCs w:val="16"/>
        </w:rPr>
        <w:t xml:space="preserve"> Glej http://www.pportal.gov.si/</w:t>
      </w:r>
    </w:p>
  </w:footnote>
  <w:footnote w:id="39">
    <w:p w14:paraId="7408887E" w14:textId="77777777" w:rsidR="009A4633" w:rsidRPr="008C2F92" w:rsidRDefault="009A4633" w:rsidP="0055047E">
      <w:pPr>
        <w:pStyle w:val="Sprotnaopomba-besedilo"/>
        <w:rPr>
          <w:szCs w:val="16"/>
        </w:rPr>
      </w:pPr>
    </w:p>
  </w:footnote>
  <w:footnote w:id="40">
    <w:p w14:paraId="066942DD" w14:textId="714B3D5D" w:rsidR="009A4633" w:rsidRPr="006B7A69" w:rsidRDefault="009A4633" w:rsidP="003404A8">
      <w:pPr>
        <w:pStyle w:val="Sprotnaopomba-besedilo"/>
        <w:jc w:val="both"/>
        <w:rPr>
          <w:szCs w:val="16"/>
        </w:rPr>
      </w:pPr>
      <w:r>
        <w:rPr>
          <w:rStyle w:val="Sprotnaopomba-sklic"/>
        </w:rPr>
        <w:footnoteRef/>
      </w:r>
      <w:r>
        <w:t xml:space="preserve"> </w:t>
      </w:r>
      <w:r w:rsidRPr="006B7A69">
        <w:rPr>
          <w:szCs w:val="16"/>
        </w:rPr>
        <w:t>Uradni list RS, št. 65/09 – uradno prečiščeno besedilo, 33/11, 91/11, 32/12, 57/12, 44/13 – odl. US, 82/13 in 55/15)</w:t>
      </w:r>
      <w:r>
        <w:rPr>
          <w:szCs w:val="16"/>
        </w:rPr>
        <w:t>; ZGD-1.</w:t>
      </w:r>
    </w:p>
  </w:footnote>
  <w:footnote w:id="41">
    <w:p w14:paraId="0F36B9C8" w14:textId="73F7423F" w:rsidR="009A4633" w:rsidRPr="00DC629D" w:rsidRDefault="009A4633" w:rsidP="003404A8">
      <w:pPr>
        <w:pStyle w:val="Sprotnaopomba-besedilo"/>
        <w:jc w:val="both"/>
        <w:rPr>
          <w:szCs w:val="16"/>
        </w:rPr>
      </w:pPr>
      <w:r>
        <w:rPr>
          <w:rStyle w:val="Sprotnaopomba-sklic"/>
        </w:rPr>
        <w:footnoteRef/>
      </w:r>
      <w:r>
        <w:t xml:space="preserve"> </w:t>
      </w:r>
      <w:r w:rsidRPr="00DC629D">
        <w:rPr>
          <w:szCs w:val="16"/>
        </w:rPr>
        <w:t>Uradni list RS, št. 63/07 – uradno prečiščeno besedilo, 65/08, 69/08 – ZTFI-A, 69/08 – ZZavar-E in 40/12 – ZUJF)</w:t>
      </w:r>
      <w:r>
        <w:rPr>
          <w:szCs w:val="16"/>
        </w:rPr>
        <w:t>; 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9A4633" w:rsidRDefault="009A4633" w:rsidP="009B05CE">
    <w:pPr>
      <w:pStyle w:val="Glava"/>
    </w:pPr>
  </w:p>
  <w:p w14:paraId="4E9F184A" w14:textId="77777777" w:rsidR="009A4633" w:rsidRDefault="009A46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9A4633" w:rsidRDefault="009A4633" w:rsidP="009B05CE">
    <w:pPr>
      <w:pStyle w:val="Glava"/>
    </w:pPr>
  </w:p>
  <w:p w14:paraId="40CAC995" w14:textId="5561606B" w:rsidR="009A4633" w:rsidRPr="00EC0621" w:rsidRDefault="009A4633"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9A4633" w:rsidRPr="00D34769" w:rsidRDefault="009A4633"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9A4633" w:rsidRPr="008F3500" w:rsidRDefault="009A4633"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9A4633" w:rsidRDefault="009A4633"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9A4633" w:rsidRDefault="009A46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tevilnatoka111"/>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3FA3F91"/>
    <w:multiLevelType w:val="hybridMultilevel"/>
    <w:tmpl w:val="837EDBC4"/>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074072"/>
    <w:multiLevelType w:val="hybridMultilevel"/>
    <w:tmpl w:val="CBF276A4"/>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B6766"/>
    <w:multiLevelType w:val="hybridMultilevel"/>
    <w:tmpl w:val="0BA64108"/>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4D6491"/>
    <w:multiLevelType w:val="hybridMultilevel"/>
    <w:tmpl w:val="AA20333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080451"/>
    <w:multiLevelType w:val="hybridMultilevel"/>
    <w:tmpl w:val="073CFB2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285BCB"/>
    <w:multiLevelType w:val="hybridMultilevel"/>
    <w:tmpl w:val="F0360962"/>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6E55B2F"/>
    <w:multiLevelType w:val="hybridMultilevel"/>
    <w:tmpl w:val="E4006E4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EF3D53"/>
    <w:multiLevelType w:val="hybridMultilevel"/>
    <w:tmpl w:val="94C8305E"/>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8942BA"/>
    <w:multiLevelType w:val="hybridMultilevel"/>
    <w:tmpl w:val="26026EB2"/>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DF451D"/>
    <w:multiLevelType w:val="hybridMultilevel"/>
    <w:tmpl w:val="7C46FB5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F1A1697"/>
    <w:multiLevelType w:val="hybridMultilevel"/>
    <w:tmpl w:val="D47C3A42"/>
    <w:lvl w:ilvl="0" w:tplc="C81212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F7C38BA"/>
    <w:multiLevelType w:val="hybridMultilevel"/>
    <w:tmpl w:val="57F23C4C"/>
    <w:lvl w:ilvl="0" w:tplc="A08A748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3055E1B"/>
    <w:multiLevelType w:val="hybridMultilevel"/>
    <w:tmpl w:val="FDDC874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33206AC"/>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3CF1570"/>
    <w:multiLevelType w:val="hybridMultilevel"/>
    <w:tmpl w:val="16FE8CA2"/>
    <w:lvl w:ilvl="0" w:tplc="C38A1C5A">
      <w:start w:val="7"/>
      <w:numFmt w:val="bullet"/>
      <w:pStyle w:val="Poslovnikodstavek"/>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3F5B01"/>
    <w:multiLevelType w:val="hybridMultilevel"/>
    <w:tmpl w:val="D2406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D2C6830"/>
    <w:multiLevelType w:val="hybridMultilevel"/>
    <w:tmpl w:val="7206AC1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9A3EE3"/>
    <w:multiLevelType w:val="hybridMultilevel"/>
    <w:tmpl w:val="8D4898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EAD1222"/>
    <w:multiLevelType w:val="hybridMultilevel"/>
    <w:tmpl w:val="B20E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F2052EF"/>
    <w:multiLevelType w:val="hybridMultilevel"/>
    <w:tmpl w:val="9EA6BB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04F3A48"/>
    <w:multiLevelType w:val="hybridMultilevel"/>
    <w:tmpl w:val="4600E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0F9190C"/>
    <w:multiLevelType w:val="hybridMultilevel"/>
    <w:tmpl w:val="6A8858C8"/>
    <w:lvl w:ilvl="0" w:tplc="6BDC3046">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40A0D8A"/>
    <w:multiLevelType w:val="hybridMultilevel"/>
    <w:tmpl w:val="C9960272"/>
    <w:lvl w:ilvl="0" w:tplc="89FE51E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5C873C1"/>
    <w:multiLevelType w:val="hybridMultilevel"/>
    <w:tmpl w:val="811EEACC"/>
    <w:lvl w:ilvl="0" w:tplc="0424000F">
      <w:start w:val="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6790C09"/>
    <w:multiLevelType w:val="hybridMultilevel"/>
    <w:tmpl w:val="C0C857E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EE32C8"/>
    <w:multiLevelType w:val="hybridMultilevel"/>
    <w:tmpl w:val="B164EE82"/>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CBA2E89"/>
    <w:multiLevelType w:val="hybridMultilevel"/>
    <w:tmpl w:val="64DE32E6"/>
    <w:lvl w:ilvl="0" w:tplc="544C6F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7" w15:restartNumberingAfterBreak="0">
    <w:nsid w:val="7FF10507"/>
    <w:multiLevelType w:val="hybridMultilevel"/>
    <w:tmpl w:val="31063F5C"/>
    <w:lvl w:ilvl="0" w:tplc="C812123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16"/>
  </w:num>
  <w:num w:numId="3">
    <w:abstractNumId w:val="68"/>
  </w:num>
  <w:num w:numId="4">
    <w:abstractNumId w:val="40"/>
  </w:num>
  <w:num w:numId="5">
    <w:abstractNumId w:val="64"/>
  </w:num>
  <w:num w:numId="6">
    <w:abstractNumId w:val="33"/>
  </w:num>
  <w:num w:numId="7">
    <w:abstractNumId w:val="58"/>
  </w:num>
  <w:num w:numId="8">
    <w:abstractNumId w:val="20"/>
  </w:num>
  <w:num w:numId="9">
    <w:abstractNumId w:val="76"/>
  </w:num>
  <w:num w:numId="10">
    <w:abstractNumId w:val="25"/>
  </w:num>
  <w:num w:numId="11">
    <w:abstractNumId w:val="62"/>
  </w:num>
  <w:num w:numId="12">
    <w:abstractNumId w:val="45"/>
  </w:num>
  <w:num w:numId="13">
    <w:abstractNumId w:val="71"/>
  </w:num>
  <w:num w:numId="14">
    <w:abstractNumId w:val="6"/>
  </w:num>
  <w:num w:numId="15">
    <w:abstractNumId w:val="8"/>
  </w:num>
  <w:num w:numId="16">
    <w:abstractNumId w:val="43"/>
  </w:num>
  <w:num w:numId="17">
    <w:abstractNumId w:val="1"/>
  </w:num>
  <w:num w:numId="18">
    <w:abstractNumId w:val="2"/>
  </w:num>
  <w:num w:numId="19">
    <w:abstractNumId w:val="9"/>
  </w:num>
  <w:num w:numId="20">
    <w:abstractNumId w:val="53"/>
  </w:num>
  <w:num w:numId="21">
    <w:abstractNumId w:val="74"/>
  </w:num>
  <w:num w:numId="22">
    <w:abstractNumId w:val="26"/>
  </w:num>
  <w:num w:numId="23">
    <w:abstractNumId w:val="61"/>
  </w:num>
  <w:num w:numId="24">
    <w:abstractNumId w:val="39"/>
  </w:num>
  <w:num w:numId="25">
    <w:abstractNumId w:val="10"/>
  </w:num>
  <w:num w:numId="26">
    <w:abstractNumId w:val="36"/>
  </w:num>
  <w:num w:numId="27">
    <w:abstractNumId w:val="14"/>
  </w:num>
  <w:num w:numId="28">
    <w:abstractNumId w:val="69"/>
  </w:num>
  <w:num w:numId="29">
    <w:abstractNumId w:val="18"/>
  </w:num>
  <w:num w:numId="30">
    <w:abstractNumId w:val="31"/>
  </w:num>
  <w:num w:numId="31">
    <w:abstractNumId w:val="73"/>
  </w:num>
  <w:num w:numId="32">
    <w:abstractNumId w:val="48"/>
  </w:num>
  <w:num w:numId="33">
    <w:abstractNumId w:val="57"/>
  </w:num>
  <w:num w:numId="34">
    <w:abstractNumId w:val="17"/>
  </w:num>
  <w:num w:numId="35">
    <w:abstractNumId w:val="29"/>
  </w:num>
  <w:num w:numId="36">
    <w:abstractNumId w:val="63"/>
  </w:num>
  <w:num w:numId="37">
    <w:abstractNumId w:val="12"/>
  </w:num>
  <w:num w:numId="38">
    <w:abstractNumId w:val="70"/>
  </w:num>
  <w:num w:numId="39">
    <w:abstractNumId w:val="23"/>
  </w:num>
  <w:num w:numId="40">
    <w:abstractNumId w:val="65"/>
  </w:num>
  <w:num w:numId="41">
    <w:abstractNumId w:val="44"/>
  </w:num>
  <w:num w:numId="42">
    <w:abstractNumId w:val="4"/>
  </w:num>
  <w:num w:numId="43">
    <w:abstractNumId w:val="50"/>
  </w:num>
  <w:num w:numId="44">
    <w:abstractNumId w:val="47"/>
  </w:num>
  <w:num w:numId="45">
    <w:abstractNumId w:val="19"/>
  </w:num>
  <w:num w:numId="46">
    <w:abstractNumId w:val="30"/>
  </w:num>
  <w:num w:numId="47">
    <w:abstractNumId w:val="35"/>
  </w:num>
  <w:num w:numId="48">
    <w:abstractNumId w:val="21"/>
  </w:num>
  <w:num w:numId="49">
    <w:abstractNumId w:val="22"/>
  </w:num>
  <w:num w:numId="50">
    <w:abstractNumId w:val="46"/>
  </w:num>
  <w:num w:numId="51">
    <w:abstractNumId w:val="32"/>
  </w:num>
  <w:num w:numId="52">
    <w:abstractNumId w:val="0"/>
  </w:num>
  <w:num w:numId="53">
    <w:abstractNumId w:val="3"/>
  </w:num>
  <w:num w:numId="54">
    <w:abstractNumId w:val="34"/>
  </w:num>
  <w:num w:numId="55">
    <w:abstractNumId w:val="55"/>
  </w:num>
  <w:num w:numId="56">
    <w:abstractNumId w:val="52"/>
  </w:num>
  <w:num w:numId="57">
    <w:abstractNumId w:val="59"/>
  </w:num>
  <w:num w:numId="58">
    <w:abstractNumId w:val="67"/>
  </w:num>
  <w:num w:numId="59">
    <w:abstractNumId w:val="51"/>
  </w:num>
  <w:num w:numId="60">
    <w:abstractNumId w:val="42"/>
  </w:num>
  <w:num w:numId="61">
    <w:abstractNumId w:val="28"/>
  </w:num>
  <w:num w:numId="62">
    <w:abstractNumId w:val="37"/>
  </w:num>
  <w:num w:numId="63">
    <w:abstractNumId w:val="77"/>
  </w:num>
  <w:num w:numId="64">
    <w:abstractNumId w:val="49"/>
  </w:num>
  <w:num w:numId="65">
    <w:abstractNumId w:val="11"/>
  </w:num>
  <w:num w:numId="66">
    <w:abstractNumId w:val="7"/>
  </w:num>
  <w:num w:numId="67">
    <w:abstractNumId w:val="41"/>
  </w:num>
  <w:num w:numId="68">
    <w:abstractNumId w:val="24"/>
  </w:num>
  <w:num w:numId="69">
    <w:abstractNumId w:val="72"/>
  </w:num>
  <w:num w:numId="70">
    <w:abstractNumId w:val="27"/>
  </w:num>
  <w:num w:numId="71">
    <w:abstractNumId w:val="66"/>
  </w:num>
  <w:num w:numId="72">
    <w:abstractNumId w:val="13"/>
  </w:num>
  <w:num w:numId="73">
    <w:abstractNumId w:val="15"/>
  </w:num>
  <w:num w:numId="74">
    <w:abstractNumId w:val="5"/>
  </w:num>
  <w:num w:numId="75">
    <w:abstractNumId w:val="38"/>
  </w:num>
  <w:num w:numId="76">
    <w:abstractNumId w:val="56"/>
  </w:num>
  <w:num w:numId="77">
    <w:abstractNumId w:val="54"/>
  </w:num>
  <w:num w:numId="78">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04EED"/>
    <w:rsid w:val="000128F1"/>
    <w:rsid w:val="00013776"/>
    <w:rsid w:val="000137C5"/>
    <w:rsid w:val="00014FD6"/>
    <w:rsid w:val="00015A0A"/>
    <w:rsid w:val="000178A7"/>
    <w:rsid w:val="00021BBD"/>
    <w:rsid w:val="0002334D"/>
    <w:rsid w:val="00023F1F"/>
    <w:rsid w:val="00024307"/>
    <w:rsid w:val="000243F5"/>
    <w:rsid w:val="00025FAE"/>
    <w:rsid w:val="00026759"/>
    <w:rsid w:val="00027917"/>
    <w:rsid w:val="00030BC3"/>
    <w:rsid w:val="00030E2B"/>
    <w:rsid w:val="000318AB"/>
    <w:rsid w:val="00032190"/>
    <w:rsid w:val="0003230E"/>
    <w:rsid w:val="000330A4"/>
    <w:rsid w:val="000333D8"/>
    <w:rsid w:val="00033782"/>
    <w:rsid w:val="0003470D"/>
    <w:rsid w:val="00035F58"/>
    <w:rsid w:val="00036D8F"/>
    <w:rsid w:val="0003742A"/>
    <w:rsid w:val="00037A51"/>
    <w:rsid w:val="00040858"/>
    <w:rsid w:val="00041112"/>
    <w:rsid w:val="00041B2B"/>
    <w:rsid w:val="00043C53"/>
    <w:rsid w:val="00044732"/>
    <w:rsid w:val="00044B9C"/>
    <w:rsid w:val="000450F8"/>
    <w:rsid w:val="00046162"/>
    <w:rsid w:val="00046E95"/>
    <w:rsid w:val="000470A9"/>
    <w:rsid w:val="00047B3C"/>
    <w:rsid w:val="000509A6"/>
    <w:rsid w:val="000515B3"/>
    <w:rsid w:val="00051E1F"/>
    <w:rsid w:val="00052535"/>
    <w:rsid w:val="00057076"/>
    <w:rsid w:val="00061A2B"/>
    <w:rsid w:val="00061F79"/>
    <w:rsid w:val="00063373"/>
    <w:rsid w:val="00063D3A"/>
    <w:rsid w:val="00064150"/>
    <w:rsid w:val="000650C7"/>
    <w:rsid w:val="00065D45"/>
    <w:rsid w:val="00067E4B"/>
    <w:rsid w:val="00071692"/>
    <w:rsid w:val="000738FB"/>
    <w:rsid w:val="000741ED"/>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2CD4"/>
    <w:rsid w:val="000941C9"/>
    <w:rsid w:val="000951FB"/>
    <w:rsid w:val="0009630B"/>
    <w:rsid w:val="00097092"/>
    <w:rsid w:val="00097164"/>
    <w:rsid w:val="000976B7"/>
    <w:rsid w:val="00097E63"/>
    <w:rsid w:val="000A0F3A"/>
    <w:rsid w:val="000A1903"/>
    <w:rsid w:val="000A1EFD"/>
    <w:rsid w:val="000A5C69"/>
    <w:rsid w:val="000A633E"/>
    <w:rsid w:val="000B2BBD"/>
    <w:rsid w:val="000B475C"/>
    <w:rsid w:val="000B5C97"/>
    <w:rsid w:val="000C204E"/>
    <w:rsid w:val="000C4ADA"/>
    <w:rsid w:val="000C699D"/>
    <w:rsid w:val="000C72F9"/>
    <w:rsid w:val="000C793C"/>
    <w:rsid w:val="000C7E1E"/>
    <w:rsid w:val="000D00C2"/>
    <w:rsid w:val="000D1820"/>
    <w:rsid w:val="000D2F34"/>
    <w:rsid w:val="000E1586"/>
    <w:rsid w:val="000E212E"/>
    <w:rsid w:val="000E27E3"/>
    <w:rsid w:val="000E4B32"/>
    <w:rsid w:val="000E4EAC"/>
    <w:rsid w:val="000E5E7F"/>
    <w:rsid w:val="000E75B8"/>
    <w:rsid w:val="000F2607"/>
    <w:rsid w:val="000F30A7"/>
    <w:rsid w:val="000F3CF7"/>
    <w:rsid w:val="000F3EE1"/>
    <w:rsid w:val="000F3FEA"/>
    <w:rsid w:val="000F4493"/>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E20"/>
    <w:rsid w:val="00133F5D"/>
    <w:rsid w:val="00134F4B"/>
    <w:rsid w:val="00135BF4"/>
    <w:rsid w:val="00135D00"/>
    <w:rsid w:val="00135DBE"/>
    <w:rsid w:val="001368CB"/>
    <w:rsid w:val="001374BE"/>
    <w:rsid w:val="0013774A"/>
    <w:rsid w:val="001377B2"/>
    <w:rsid w:val="00137B00"/>
    <w:rsid w:val="001400F4"/>
    <w:rsid w:val="0014086B"/>
    <w:rsid w:val="001412A9"/>
    <w:rsid w:val="00144995"/>
    <w:rsid w:val="00144D4B"/>
    <w:rsid w:val="00145187"/>
    <w:rsid w:val="00145DA1"/>
    <w:rsid w:val="001462B2"/>
    <w:rsid w:val="00146335"/>
    <w:rsid w:val="00146BC0"/>
    <w:rsid w:val="00147901"/>
    <w:rsid w:val="00151854"/>
    <w:rsid w:val="001527A5"/>
    <w:rsid w:val="00154199"/>
    <w:rsid w:val="001556A6"/>
    <w:rsid w:val="001559DA"/>
    <w:rsid w:val="00155BA7"/>
    <w:rsid w:val="001604A0"/>
    <w:rsid w:val="00162C49"/>
    <w:rsid w:val="00163A73"/>
    <w:rsid w:val="00163EFB"/>
    <w:rsid w:val="0016661D"/>
    <w:rsid w:val="00166E64"/>
    <w:rsid w:val="00172C04"/>
    <w:rsid w:val="00173AFD"/>
    <w:rsid w:val="00175D59"/>
    <w:rsid w:val="001766B6"/>
    <w:rsid w:val="001770F9"/>
    <w:rsid w:val="0017776B"/>
    <w:rsid w:val="00182F1F"/>
    <w:rsid w:val="001830B8"/>
    <w:rsid w:val="00183468"/>
    <w:rsid w:val="0018710E"/>
    <w:rsid w:val="00187139"/>
    <w:rsid w:val="00190720"/>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6E"/>
    <w:rsid w:val="001C19AE"/>
    <w:rsid w:val="001C1ABE"/>
    <w:rsid w:val="001C261A"/>
    <w:rsid w:val="001C2CB6"/>
    <w:rsid w:val="001C4056"/>
    <w:rsid w:val="001C40FC"/>
    <w:rsid w:val="001C43EE"/>
    <w:rsid w:val="001C50C7"/>
    <w:rsid w:val="001C66FB"/>
    <w:rsid w:val="001C6F0D"/>
    <w:rsid w:val="001C7452"/>
    <w:rsid w:val="001D150B"/>
    <w:rsid w:val="001D3900"/>
    <w:rsid w:val="001D59B0"/>
    <w:rsid w:val="001D5EE7"/>
    <w:rsid w:val="001E1BD3"/>
    <w:rsid w:val="001E1F18"/>
    <w:rsid w:val="001E1F2F"/>
    <w:rsid w:val="001E2CC3"/>
    <w:rsid w:val="001E39DF"/>
    <w:rsid w:val="001E6D40"/>
    <w:rsid w:val="001E74E9"/>
    <w:rsid w:val="001E7A98"/>
    <w:rsid w:val="001E7E52"/>
    <w:rsid w:val="001F05B3"/>
    <w:rsid w:val="001F0A24"/>
    <w:rsid w:val="001F2572"/>
    <w:rsid w:val="001F3830"/>
    <w:rsid w:val="001F38E0"/>
    <w:rsid w:val="001F392B"/>
    <w:rsid w:val="001F4A4A"/>
    <w:rsid w:val="001F59E0"/>
    <w:rsid w:val="002008D6"/>
    <w:rsid w:val="00200C6B"/>
    <w:rsid w:val="0020190E"/>
    <w:rsid w:val="002024A2"/>
    <w:rsid w:val="0020283E"/>
    <w:rsid w:val="00202CA1"/>
    <w:rsid w:val="00202EFE"/>
    <w:rsid w:val="002031BB"/>
    <w:rsid w:val="00203C75"/>
    <w:rsid w:val="002056F3"/>
    <w:rsid w:val="002077C0"/>
    <w:rsid w:val="002112F1"/>
    <w:rsid w:val="002121F2"/>
    <w:rsid w:val="00213669"/>
    <w:rsid w:val="00214513"/>
    <w:rsid w:val="002156A5"/>
    <w:rsid w:val="002167CC"/>
    <w:rsid w:val="00217D50"/>
    <w:rsid w:val="00217DD3"/>
    <w:rsid w:val="0022046F"/>
    <w:rsid w:val="002226F7"/>
    <w:rsid w:val="00222888"/>
    <w:rsid w:val="00222AA3"/>
    <w:rsid w:val="00224274"/>
    <w:rsid w:val="00224D2B"/>
    <w:rsid w:val="002260EC"/>
    <w:rsid w:val="00226348"/>
    <w:rsid w:val="002264B7"/>
    <w:rsid w:val="00226C23"/>
    <w:rsid w:val="002270A7"/>
    <w:rsid w:val="002279D7"/>
    <w:rsid w:val="00232E1A"/>
    <w:rsid w:val="002332DC"/>
    <w:rsid w:val="00233351"/>
    <w:rsid w:val="00233AAE"/>
    <w:rsid w:val="00235F37"/>
    <w:rsid w:val="00236385"/>
    <w:rsid w:val="00240018"/>
    <w:rsid w:val="00240255"/>
    <w:rsid w:val="00240517"/>
    <w:rsid w:val="00240A12"/>
    <w:rsid w:val="00241780"/>
    <w:rsid w:val="00242891"/>
    <w:rsid w:val="00244979"/>
    <w:rsid w:val="0024626D"/>
    <w:rsid w:val="00247E34"/>
    <w:rsid w:val="00250DB4"/>
    <w:rsid w:val="00251032"/>
    <w:rsid w:val="00252744"/>
    <w:rsid w:val="002528A4"/>
    <w:rsid w:val="00253B8F"/>
    <w:rsid w:val="00254098"/>
    <w:rsid w:val="00254F00"/>
    <w:rsid w:val="00256020"/>
    <w:rsid w:val="00256283"/>
    <w:rsid w:val="00256594"/>
    <w:rsid w:val="0025720B"/>
    <w:rsid w:val="00261EB7"/>
    <w:rsid w:val="00262D58"/>
    <w:rsid w:val="0026454C"/>
    <w:rsid w:val="00267A5F"/>
    <w:rsid w:val="00270F58"/>
    <w:rsid w:val="00271C66"/>
    <w:rsid w:val="002720BF"/>
    <w:rsid w:val="00272533"/>
    <w:rsid w:val="002743EC"/>
    <w:rsid w:val="00274965"/>
    <w:rsid w:val="00274A11"/>
    <w:rsid w:val="00274B37"/>
    <w:rsid w:val="00274C16"/>
    <w:rsid w:val="00275F85"/>
    <w:rsid w:val="0027715E"/>
    <w:rsid w:val="0027759F"/>
    <w:rsid w:val="0027783A"/>
    <w:rsid w:val="002816E4"/>
    <w:rsid w:val="00282AA3"/>
    <w:rsid w:val="002839C4"/>
    <w:rsid w:val="00284968"/>
    <w:rsid w:val="00284B3E"/>
    <w:rsid w:val="00284C5B"/>
    <w:rsid w:val="00286BCD"/>
    <w:rsid w:val="0029058D"/>
    <w:rsid w:val="00290EA3"/>
    <w:rsid w:val="002920BE"/>
    <w:rsid w:val="0029427E"/>
    <w:rsid w:val="00294686"/>
    <w:rsid w:val="00294D06"/>
    <w:rsid w:val="00294D5A"/>
    <w:rsid w:val="002950BA"/>
    <w:rsid w:val="00295949"/>
    <w:rsid w:val="002963B5"/>
    <w:rsid w:val="0029717B"/>
    <w:rsid w:val="00297CA5"/>
    <w:rsid w:val="002A0DC0"/>
    <w:rsid w:val="002A11C6"/>
    <w:rsid w:val="002A22AD"/>
    <w:rsid w:val="002A2836"/>
    <w:rsid w:val="002A4F55"/>
    <w:rsid w:val="002A5A3C"/>
    <w:rsid w:val="002A6040"/>
    <w:rsid w:val="002A616C"/>
    <w:rsid w:val="002A6268"/>
    <w:rsid w:val="002A6686"/>
    <w:rsid w:val="002A66C9"/>
    <w:rsid w:val="002A6A2A"/>
    <w:rsid w:val="002A77CC"/>
    <w:rsid w:val="002B4364"/>
    <w:rsid w:val="002B4501"/>
    <w:rsid w:val="002B6674"/>
    <w:rsid w:val="002B7B5C"/>
    <w:rsid w:val="002B7D95"/>
    <w:rsid w:val="002C1734"/>
    <w:rsid w:val="002C24BC"/>
    <w:rsid w:val="002C4271"/>
    <w:rsid w:val="002C7915"/>
    <w:rsid w:val="002D24AF"/>
    <w:rsid w:val="002D24EA"/>
    <w:rsid w:val="002D2BB8"/>
    <w:rsid w:val="002D2F07"/>
    <w:rsid w:val="002D4590"/>
    <w:rsid w:val="002D5C50"/>
    <w:rsid w:val="002D609A"/>
    <w:rsid w:val="002D6615"/>
    <w:rsid w:val="002D73A3"/>
    <w:rsid w:val="002D73CA"/>
    <w:rsid w:val="002D76E2"/>
    <w:rsid w:val="002D7980"/>
    <w:rsid w:val="002E0AF5"/>
    <w:rsid w:val="002E511B"/>
    <w:rsid w:val="002E5FE3"/>
    <w:rsid w:val="002E62B0"/>
    <w:rsid w:val="002E6D30"/>
    <w:rsid w:val="002E6FEE"/>
    <w:rsid w:val="002E7ED7"/>
    <w:rsid w:val="002F21FF"/>
    <w:rsid w:val="002F2691"/>
    <w:rsid w:val="002F2CF6"/>
    <w:rsid w:val="002F2F76"/>
    <w:rsid w:val="002F3039"/>
    <w:rsid w:val="002F349A"/>
    <w:rsid w:val="002F42BA"/>
    <w:rsid w:val="002F4343"/>
    <w:rsid w:val="002F4A04"/>
    <w:rsid w:val="002F55D1"/>
    <w:rsid w:val="002F6720"/>
    <w:rsid w:val="002F780D"/>
    <w:rsid w:val="00300A83"/>
    <w:rsid w:val="00300CF3"/>
    <w:rsid w:val="003011E2"/>
    <w:rsid w:val="00303A49"/>
    <w:rsid w:val="003060D7"/>
    <w:rsid w:val="00306D2C"/>
    <w:rsid w:val="00306FC0"/>
    <w:rsid w:val="00307773"/>
    <w:rsid w:val="00310608"/>
    <w:rsid w:val="003109B4"/>
    <w:rsid w:val="00311226"/>
    <w:rsid w:val="0031417C"/>
    <w:rsid w:val="0031439A"/>
    <w:rsid w:val="0031510C"/>
    <w:rsid w:val="00315467"/>
    <w:rsid w:val="00315FAB"/>
    <w:rsid w:val="0031704A"/>
    <w:rsid w:val="003176E1"/>
    <w:rsid w:val="0032207C"/>
    <w:rsid w:val="0032258D"/>
    <w:rsid w:val="00323052"/>
    <w:rsid w:val="0032496B"/>
    <w:rsid w:val="003257A8"/>
    <w:rsid w:val="00327671"/>
    <w:rsid w:val="003300DC"/>
    <w:rsid w:val="00331179"/>
    <w:rsid w:val="00331ED5"/>
    <w:rsid w:val="00333C83"/>
    <w:rsid w:val="00333E72"/>
    <w:rsid w:val="003357C5"/>
    <w:rsid w:val="003404A8"/>
    <w:rsid w:val="0034073E"/>
    <w:rsid w:val="00341706"/>
    <w:rsid w:val="0034301A"/>
    <w:rsid w:val="003439A5"/>
    <w:rsid w:val="00344E14"/>
    <w:rsid w:val="00345275"/>
    <w:rsid w:val="00345D8E"/>
    <w:rsid w:val="003461FD"/>
    <w:rsid w:val="00346EF9"/>
    <w:rsid w:val="00347957"/>
    <w:rsid w:val="003537B7"/>
    <w:rsid w:val="00353BB0"/>
    <w:rsid w:val="00354DA9"/>
    <w:rsid w:val="00355F07"/>
    <w:rsid w:val="00355FD8"/>
    <w:rsid w:val="00357A7B"/>
    <w:rsid w:val="00357B33"/>
    <w:rsid w:val="0036086F"/>
    <w:rsid w:val="003609CE"/>
    <w:rsid w:val="003622FF"/>
    <w:rsid w:val="00362698"/>
    <w:rsid w:val="00363047"/>
    <w:rsid w:val="0036417B"/>
    <w:rsid w:val="003649C4"/>
    <w:rsid w:val="003674F3"/>
    <w:rsid w:val="003713ED"/>
    <w:rsid w:val="00372F52"/>
    <w:rsid w:val="003766B8"/>
    <w:rsid w:val="00376DE6"/>
    <w:rsid w:val="00377995"/>
    <w:rsid w:val="0038102B"/>
    <w:rsid w:val="003814A1"/>
    <w:rsid w:val="00381671"/>
    <w:rsid w:val="003841BB"/>
    <w:rsid w:val="00384BF7"/>
    <w:rsid w:val="00384F51"/>
    <w:rsid w:val="003862ED"/>
    <w:rsid w:val="0038772E"/>
    <w:rsid w:val="00387B84"/>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51"/>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C78C2"/>
    <w:rsid w:val="003D0467"/>
    <w:rsid w:val="003D0F98"/>
    <w:rsid w:val="003D16D3"/>
    <w:rsid w:val="003D1718"/>
    <w:rsid w:val="003D31B4"/>
    <w:rsid w:val="003D3BD5"/>
    <w:rsid w:val="003D41C6"/>
    <w:rsid w:val="003D6452"/>
    <w:rsid w:val="003D6B18"/>
    <w:rsid w:val="003D757B"/>
    <w:rsid w:val="003D760D"/>
    <w:rsid w:val="003E0028"/>
    <w:rsid w:val="003E22B8"/>
    <w:rsid w:val="003E34F7"/>
    <w:rsid w:val="003E4BAE"/>
    <w:rsid w:val="003E5E15"/>
    <w:rsid w:val="003E60DE"/>
    <w:rsid w:val="003E79D7"/>
    <w:rsid w:val="003F0300"/>
    <w:rsid w:val="003F1044"/>
    <w:rsid w:val="003F13D8"/>
    <w:rsid w:val="003F1771"/>
    <w:rsid w:val="003F1A64"/>
    <w:rsid w:val="003F1FA5"/>
    <w:rsid w:val="003F28EE"/>
    <w:rsid w:val="003F4EA2"/>
    <w:rsid w:val="003F53EC"/>
    <w:rsid w:val="003F6CE3"/>
    <w:rsid w:val="003F726C"/>
    <w:rsid w:val="003F772D"/>
    <w:rsid w:val="00400F51"/>
    <w:rsid w:val="00401448"/>
    <w:rsid w:val="004015C5"/>
    <w:rsid w:val="0040259C"/>
    <w:rsid w:val="004042F2"/>
    <w:rsid w:val="00404491"/>
    <w:rsid w:val="004065FD"/>
    <w:rsid w:val="004105C9"/>
    <w:rsid w:val="00411C56"/>
    <w:rsid w:val="00412101"/>
    <w:rsid w:val="00414097"/>
    <w:rsid w:val="004160A2"/>
    <w:rsid w:val="004165A5"/>
    <w:rsid w:val="00416F2A"/>
    <w:rsid w:val="0041784D"/>
    <w:rsid w:val="00421319"/>
    <w:rsid w:val="004213AC"/>
    <w:rsid w:val="004220F5"/>
    <w:rsid w:val="004234CF"/>
    <w:rsid w:val="00426212"/>
    <w:rsid w:val="00426FC9"/>
    <w:rsid w:val="00431A66"/>
    <w:rsid w:val="00434947"/>
    <w:rsid w:val="00435BF5"/>
    <w:rsid w:val="0043645E"/>
    <w:rsid w:val="00441F8D"/>
    <w:rsid w:val="00442992"/>
    <w:rsid w:val="00442D6F"/>
    <w:rsid w:val="004433F4"/>
    <w:rsid w:val="00443A87"/>
    <w:rsid w:val="00443AE7"/>
    <w:rsid w:val="0044465F"/>
    <w:rsid w:val="00445AEF"/>
    <w:rsid w:val="00446C53"/>
    <w:rsid w:val="00447287"/>
    <w:rsid w:val="00447E82"/>
    <w:rsid w:val="00450714"/>
    <w:rsid w:val="00451FDA"/>
    <w:rsid w:val="00451FDE"/>
    <w:rsid w:val="0045281B"/>
    <w:rsid w:val="004534CB"/>
    <w:rsid w:val="0045492F"/>
    <w:rsid w:val="00454F22"/>
    <w:rsid w:val="0045617C"/>
    <w:rsid w:val="00457DE2"/>
    <w:rsid w:val="0046153B"/>
    <w:rsid w:val="004617FB"/>
    <w:rsid w:val="00461DEF"/>
    <w:rsid w:val="0046256E"/>
    <w:rsid w:val="00464EEC"/>
    <w:rsid w:val="00465BB3"/>
    <w:rsid w:val="00465BD1"/>
    <w:rsid w:val="00465F54"/>
    <w:rsid w:val="00466913"/>
    <w:rsid w:val="004677DC"/>
    <w:rsid w:val="00467B75"/>
    <w:rsid w:val="00467E71"/>
    <w:rsid w:val="004738E1"/>
    <w:rsid w:val="00475648"/>
    <w:rsid w:val="004761AD"/>
    <w:rsid w:val="004771BA"/>
    <w:rsid w:val="00477F73"/>
    <w:rsid w:val="004801C6"/>
    <w:rsid w:val="0048037F"/>
    <w:rsid w:val="004803BA"/>
    <w:rsid w:val="004806D5"/>
    <w:rsid w:val="0048128F"/>
    <w:rsid w:val="004829F5"/>
    <w:rsid w:val="00483BB3"/>
    <w:rsid w:val="004844AD"/>
    <w:rsid w:val="00485277"/>
    <w:rsid w:val="0048613B"/>
    <w:rsid w:val="00487260"/>
    <w:rsid w:val="00490B5E"/>
    <w:rsid w:val="00492938"/>
    <w:rsid w:val="00492A23"/>
    <w:rsid w:val="00493F74"/>
    <w:rsid w:val="00494528"/>
    <w:rsid w:val="004957BA"/>
    <w:rsid w:val="004961D3"/>
    <w:rsid w:val="00497DCC"/>
    <w:rsid w:val="004A1772"/>
    <w:rsid w:val="004A2DC9"/>
    <w:rsid w:val="004A3223"/>
    <w:rsid w:val="004A5F08"/>
    <w:rsid w:val="004A70C7"/>
    <w:rsid w:val="004B0061"/>
    <w:rsid w:val="004B1010"/>
    <w:rsid w:val="004B1732"/>
    <w:rsid w:val="004B175A"/>
    <w:rsid w:val="004B1C60"/>
    <w:rsid w:val="004B2772"/>
    <w:rsid w:val="004B3A2F"/>
    <w:rsid w:val="004B3AB2"/>
    <w:rsid w:val="004B46C6"/>
    <w:rsid w:val="004B4E24"/>
    <w:rsid w:val="004C1643"/>
    <w:rsid w:val="004C18D0"/>
    <w:rsid w:val="004C4AE7"/>
    <w:rsid w:val="004C511C"/>
    <w:rsid w:val="004C672C"/>
    <w:rsid w:val="004D0F2A"/>
    <w:rsid w:val="004D1581"/>
    <w:rsid w:val="004D1886"/>
    <w:rsid w:val="004D3AA1"/>
    <w:rsid w:val="004D429F"/>
    <w:rsid w:val="004D68E5"/>
    <w:rsid w:val="004D74F4"/>
    <w:rsid w:val="004D787B"/>
    <w:rsid w:val="004E03EB"/>
    <w:rsid w:val="004E09F7"/>
    <w:rsid w:val="004E1832"/>
    <w:rsid w:val="004E18E6"/>
    <w:rsid w:val="004E246F"/>
    <w:rsid w:val="004E2A47"/>
    <w:rsid w:val="004E34AB"/>
    <w:rsid w:val="004E39C1"/>
    <w:rsid w:val="004E3EA2"/>
    <w:rsid w:val="004E667E"/>
    <w:rsid w:val="004F1507"/>
    <w:rsid w:val="004F391E"/>
    <w:rsid w:val="004F448A"/>
    <w:rsid w:val="004F4926"/>
    <w:rsid w:val="004F49C8"/>
    <w:rsid w:val="004F79DA"/>
    <w:rsid w:val="005010B9"/>
    <w:rsid w:val="005019C9"/>
    <w:rsid w:val="00502FFC"/>
    <w:rsid w:val="00503B97"/>
    <w:rsid w:val="005044E7"/>
    <w:rsid w:val="00505959"/>
    <w:rsid w:val="00506723"/>
    <w:rsid w:val="00506A32"/>
    <w:rsid w:val="00506C42"/>
    <w:rsid w:val="00510742"/>
    <w:rsid w:val="00510D17"/>
    <w:rsid w:val="00512C54"/>
    <w:rsid w:val="005131DA"/>
    <w:rsid w:val="00513F9F"/>
    <w:rsid w:val="005142B1"/>
    <w:rsid w:val="00514D8D"/>
    <w:rsid w:val="00514EFA"/>
    <w:rsid w:val="00515AA1"/>
    <w:rsid w:val="00516AEA"/>
    <w:rsid w:val="005178EC"/>
    <w:rsid w:val="00517D1C"/>
    <w:rsid w:val="00520AB2"/>
    <w:rsid w:val="00521448"/>
    <w:rsid w:val="00522EE5"/>
    <w:rsid w:val="00523883"/>
    <w:rsid w:val="00524110"/>
    <w:rsid w:val="0052517B"/>
    <w:rsid w:val="005315EA"/>
    <w:rsid w:val="005337E4"/>
    <w:rsid w:val="005351E8"/>
    <w:rsid w:val="00537500"/>
    <w:rsid w:val="00537C15"/>
    <w:rsid w:val="005415A9"/>
    <w:rsid w:val="005415E0"/>
    <w:rsid w:val="00542508"/>
    <w:rsid w:val="00543D63"/>
    <w:rsid w:val="0054450D"/>
    <w:rsid w:val="00544895"/>
    <w:rsid w:val="00546351"/>
    <w:rsid w:val="005470CA"/>
    <w:rsid w:val="0055047E"/>
    <w:rsid w:val="00550A60"/>
    <w:rsid w:val="00551465"/>
    <w:rsid w:val="00551DA5"/>
    <w:rsid w:val="0055225F"/>
    <w:rsid w:val="00553019"/>
    <w:rsid w:val="005545AD"/>
    <w:rsid w:val="0055659C"/>
    <w:rsid w:val="0055709B"/>
    <w:rsid w:val="0055795B"/>
    <w:rsid w:val="00560209"/>
    <w:rsid w:val="0056044F"/>
    <w:rsid w:val="00561502"/>
    <w:rsid w:val="005627E6"/>
    <w:rsid w:val="00563090"/>
    <w:rsid w:val="00563E62"/>
    <w:rsid w:val="00564DB0"/>
    <w:rsid w:val="00564E02"/>
    <w:rsid w:val="005655B5"/>
    <w:rsid w:val="0056574E"/>
    <w:rsid w:val="005667F1"/>
    <w:rsid w:val="00566A62"/>
    <w:rsid w:val="005674C9"/>
    <w:rsid w:val="005713D8"/>
    <w:rsid w:val="00571B8D"/>
    <w:rsid w:val="00571FED"/>
    <w:rsid w:val="00573D22"/>
    <w:rsid w:val="005760C0"/>
    <w:rsid w:val="00577906"/>
    <w:rsid w:val="0058073C"/>
    <w:rsid w:val="0058124C"/>
    <w:rsid w:val="0058140B"/>
    <w:rsid w:val="005816AB"/>
    <w:rsid w:val="00582AE6"/>
    <w:rsid w:val="0058314E"/>
    <w:rsid w:val="00583F28"/>
    <w:rsid w:val="00584E3A"/>
    <w:rsid w:val="005853DE"/>
    <w:rsid w:val="005855BE"/>
    <w:rsid w:val="005863BF"/>
    <w:rsid w:val="00587BA2"/>
    <w:rsid w:val="00587E9C"/>
    <w:rsid w:val="00590BCF"/>
    <w:rsid w:val="00592893"/>
    <w:rsid w:val="00593C1A"/>
    <w:rsid w:val="00593E70"/>
    <w:rsid w:val="00594D0B"/>
    <w:rsid w:val="0059551E"/>
    <w:rsid w:val="005957F4"/>
    <w:rsid w:val="00596DA3"/>
    <w:rsid w:val="00597224"/>
    <w:rsid w:val="005976CC"/>
    <w:rsid w:val="005A1110"/>
    <w:rsid w:val="005A181B"/>
    <w:rsid w:val="005A1C19"/>
    <w:rsid w:val="005A227A"/>
    <w:rsid w:val="005A244A"/>
    <w:rsid w:val="005A6F62"/>
    <w:rsid w:val="005A707F"/>
    <w:rsid w:val="005A7ADF"/>
    <w:rsid w:val="005A7D49"/>
    <w:rsid w:val="005B0147"/>
    <w:rsid w:val="005B0D94"/>
    <w:rsid w:val="005B2B72"/>
    <w:rsid w:val="005B317D"/>
    <w:rsid w:val="005B48AF"/>
    <w:rsid w:val="005B5FB0"/>
    <w:rsid w:val="005B7135"/>
    <w:rsid w:val="005B7146"/>
    <w:rsid w:val="005B775F"/>
    <w:rsid w:val="005B78E2"/>
    <w:rsid w:val="005C04A9"/>
    <w:rsid w:val="005C051D"/>
    <w:rsid w:val="005C052B"/>
    <w:rsid w:val="005C05DE"/>
    <w:rsid w:val="005C0C60"/>
    <w:rsid w:val="005C193D"/>
    <w:rsid w:val="005C2317"/>
    <w:rsid w:val="005C27F8"/>
    <w:rsid w:val="005C295F"/>
    <w:rsid w:val="005C2EA8"/>
    <w:rsid w:val="005C311E"/>
    <w:rsid w:val="005C46FB"/>
    <w:rsid w:val="005C544E"/>
    <w:rsid w:val="005C5733"/>
    <w:rsid w:val="005C6134"/>
    <w:rsid w:val="005C79A9"/>
    <w:rsid w:val="005C7E8D"/>
    <w:rsid w:val="005D0288"/>
    <w:rsid w:val="005D109C"/>
    <w:rsid w:val="005D1C1E"/>
    <w:rsid w:val="005D3F33"/>
    <w:rsid w:val="005D553F"/>
    <w:rsid w:val="005D5568"/>
    <w:rsid w:val="005D56EA"/>
    <w:rsid w:val="005D5B7F"/>
    <w:rsid w:val="005D7F3C"/>
    <w:rsid w:val="005E01F3"/>
    <w:rsid w:val="005E0D1E"/>
    <w:rsid w:val="005E0F58"/>
    <w:rsid w:val="005E18E9"/>
    <w:rsid w:val="005E1DFC"/>
    <w:rsid w:val="005E25CC"/>
    <w:rsid w:val="005E2909"/>
    <w:rsid w:val="005E2B5B"/>
    <w:rsid w:val="005E328C"/>
    <w:rsid w:val="005E3AA1"/>
    <w:rsid w:val="005E4409"/>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0506F"/>
    <w:rsid w:val="006060DF"/>
    <w:rsid w:val="006061FF"/>
    <w:rsid w:val="00610D96"/>
    <w:rsid w:val="00611F5C"/>
    <w:rsid w:val="0061213B"/>
    <w:rsid w:val="00612529"/>
    <w:rsid w:val="00612F2F"/>
    <w:rsid w:val="006167EA"/>
    <w:rsid w:val="00617D6C"/>
    <w:rsid w:val="00621120"/>
    <w:rsid w:val="00621A70"/>
    <w:rsid w:val="00621EAE"/>
    <w:rsid w:val="00622620"/>
    <w:rsid w:val="00622C58"/>
    <w:rsid w:val="00623A09"/>
    <w:rsid w:val="00623E6A"/>
    <w:rsid w:val="00623EDB"/>
    <w:rsid w:val="00626475"/>
    <w:rsid w:val="0062662D"/>
    <w:rsid w:val="006274CE"/>
    <w:rsid w:val="006277F2"/>
    <w:rsid w:val="00632973"/>
    <w:rsid w:val="00632AA4"/>
    <w:rsid w:val="00633961"/>
    <w:rsid w:val="00634660"/>
    <w:rsid w:val="00634B33"/>
    <w:rsid w:val="006351C8"/>
    <w:rsid w:val="006365CA"/>
    <w:rsid w:val="006404C2"/>
    <w:rsid w:val="006433EF"/>
    <w:rsid w:val="0064459D"/>
    <w:rsid w:val="00645C01"/>
    <w:rsid w:val="00645E67"/>
    <w:rsid w:val="00645F2F"/>
    <w:rsid w:val="00647B32"/>
    <w:rsid w:val="00650DE8"/>
    <w:rsid w:val="00651700"/>
    <w:rsid w:val="00651CB9"/>
    <w:rsid w:val="00653900"/>
    <w:rsid w:val="00655241"/>
    <w:rsid w:val="006574E5"/>
    <w:rsid w:val="0066091E"/>
    <w:rsid w:val="00661F8A"/>
    <w:rsid w:val="00663131"/>
    <w:rsid w:val="0066352E"/>
    <w:rsid w:val="006647B6"/>
    <w:rsid w:val="00664B4C"/>
    <w:rsid w:val="00664C37"/>
    <w:rsid w:val="00664CC8"/>
    <w:rsid w:val="00665D9C"/>
    <w:rsid w:val="006663C7"/>
    <w:rsid w:val="006700B0"/>
    <w:rsid w:val="00670BE0"/>
    <w:rsid w:val="00670DCC"/>
    <w:rsid w:val="00671133"/>
    <w:rsid w:val="00674457"/>
    <w:rsid w:val="00674620"/>
    <w:rsid w:val="00674B70"/>
    <w:rsid w:val="00674DE7"/>
    <w:rsid w:val="006753B2"/>
    <w:rsid w:val="00675553"/>
    <w:rsid w:val="00676075"/>
    <w:rsid w:val="006768B8"/>
    <w:rsid w:val="00681CE9"/>
    <w:rsid w:val="006836E1"/>
    <w:rsid w:val="00683BD5"/>
    <w:rsid w:val="00683DC6"/>
    <w:rsid w:val="00685C0C"/>
    <w:rsid w:val="00687929"/>
    <w:rsid w:val="0069098F"/>
    <w:rsid w:val="00692560"/>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C51"/>
    <w:rsid w:val="006B313D"/>
    <w:rsid w:val="006B3C9C"/>
    <w:rsid w:val="006B3F71"/>
    <w:rsid w:val="006B517B"/>
    <w:rsid w:val="006B7096"/>
    <w:rsid w:val="006C3935"/>
    <w:rsid w:val="006C4DF8"/>
    <w:rsid w:val="006C5093"/>
    <w:rsid w:val="006C5639"/>
    <w:rsid w:val="006C5C02"/>
    <w:rsid w:val="006C66AF"/>
    <w:rsid w:val="006C75BA"/>
    <w:rsid w:val="006C7D68"/>
    <w:rsid w:val="006D038A"/>
    <w:rsid w:val="006D09ED"/>
    <w:rsid w:val="006D568C"/>
    <w:rsid w:val="006E15A6"/>
    <w:rsid w:val="006E452F"/>
    <w:rsid w:val="006E49A8"/>
    <w:rsid w:val="006E6B65"/>
    <w:rsid w:val="006E6DB1"/>
    <w:rsid w:val="006E7E6E"/>
    <w:rsid w:val="006F190F"/>
    <w:rsid w:val="006F1AD0"/>
    <w:rsid w:val="006F3198"/>
    <w:rsid w:val="006F3CAF"/>
    <w:rsid w:val="006F4218"/>
    <w:rsid w:val="006F57BD"/>
    <w:rsid w:val="006F5800"/>
    <w:rsid w:val="006F5F9D"/>
    <w:rsid w:val="00700137"/>
    <w:rsid w:val="00701BBE"/>
    <w:rsid w:val="007044DE"/>
    <w:rsid w:val="00704C29"/>
    <w:rsid w:val="00704F09"/>
    <w:rsid w:val="007056F0"/>
    <w:rsid w:val="00705E95"/>
    <w:rsid w:val="007068AC"/>
    <w:rsid w:val="0071188F"/>
    <w:rsid w:val="00711A0A"/>
    <w:rsid w:val="00711D6A"/>
    <w:rsid w:val="00711EC6"/>
    <w:rsid w:val="00712E7A"/>
    <w:rsid w:val="007146D0"/>
    <w:rsid w:val="00716D62"/>
    <w:rsid w:val="007179F2"/>
    <w:rsid w:val="00717EE7"/>
    <w:rsid w:val="00720BA5"/>
    <w:rsid w:val="00721F3A"/>
    <w:rsid w:val="0072235F"/>
    <w:rsid w:val="00722442"/>
    <w:rsid w:val="007230FC"/>
    <w:rsid w:val="0072329E"/>
    <w:rsid w:val="0072365C"/>
    <w:rsid w:val="007254E2"/>
    <w:rsid w:val="007256C1"/>
    <w:rsid w:val="00727AD3"/>
    <w:rsid w:val="007304BD"/>
    <w:rsid w:val="007320E2"/>
    <w:rsid w:val="00734B8E"/>
    <w:rsid w:val="007372D5"/>
    <w:rsid w:val="00741BB3"/>
    <w:rsid w:val="00741D82"/>
    <w:rsid w:val="007421B9"/>
    <w:rsid w:val="0074233D"/>
    <w:rsid w:val="007434E8"/>
    <w:rsid w:val="00744256"/>
    <w:rsid w:val="00744677"/>
    <w:rsid w:val="00744FC8"/>
    <w:rsid w:val="007453E8"/>
    <w:rsid w:val="00747EAB"/>
    <w:rsid w:val="007512AD"/>
    <w:rsid w:val="00751534"/>
    <w:rsid w:val="007519FE"/>
    <w:rsid w:val="00753866"/>
    <w:rsid w:val="00756C1C"/>
    <w:rsid w:val="007603C0"/>
    <w:rsid w:val="0076113F"/>
    <w:rsid w:val="00761A47"/>
    <w:rsid w:val="00762036"/>
    <w:rsid w:val="00762D3D"/>
    <w:rsid w:val="007632CB"/>
    <w:rsid w:val="00767166"/>
    <w:rsid w:val="00767621"/>
    <w:rsid w:val="00771233"/>
    <w:rsid w:val="00772675"/>
    <w:rsid w:val="00775D1A"/>
    <w:rsid w:val="00775E3C"/>
    <w:rsid w:val="00777942"/>
    <w:rsid w:val="007779E0"/>
    <w:rsid w:val="00780F0E"/>
    <w:rsid w:val="00781640"/>
    <w:rsid w:val="00782A53"/>
    <w:rsid w:val="00783829"/>
    <w:rsid w:val="00783848"/>
    <w:rsid w:val="00783DFF"/>
    <w:rsid w:val="00784113"/>
    <w:rsid w:val="00784158"/>
    <w:rsid w:val="00784B63"/>
    <w:rsid w:val="00785D73"/>
    <w:rsid w:val="00787A30"/>
    <w:rsid w:val="00787A3A"/>
    <w:rsid w:val="00791736"/>
    <w:rsid w:val="00794FF5"/>
    <w:rsid w:val="007967B8"/>
    <w:rsid w:val="00796E0C"/>
    <w:rsid w:val="00797177"/>
    <w:rsid w:val="007A1D40"/>
    <w:rsid w:val="007A1F9D"/>
    <w:rsid w:val="007A49F5"/>
    <w:rsid w:val="007A4BF0"/>
    <w:rsid w:val="007A53E6"/>
    <w:rsid w:val="007A5AF3"/>
    <w:rsid w:val="007A630A"/>
    <w:rsid w:val="007A6336"/>
    <w:rsid w:val="007A64D8"/>
    <w:rsid w:val="007A6BF6"/>
    <w:rsid w:val="007A7150"/>
    <w:rsid w:val="007B2192"/>
    <w:rsid w:val="007B34FB"/>
    <w:rsid w:val="007B3C80"/>
    <w:rsid w:val="007B468D"/>
    <w:rsid w:val="007B47E1"/>
    <w:rsid w:val="007B7CB9"/>
    <w:rsid w:val="007C2292"/>
    <w:rsid w:val="007C2656"/>
    <w:rsid w:val="007C27BB"/>
    <w:rsid w:val="007C2851"/>
    <w:rsid w:val="007C2E4F"/>
    <w:rsid w:val="007C4801"/>
    <w:rsid w:val="007C4AC9"/>
    <w:rsid w:val="007C4C0F"/>
    <w:rsid w:val="007C5ECE"/>
    <w:rsid w:val="007C5F4E"/>
    <w:rsid w:val="007C5FCA"/>
    <w:rsid w:val="007C6D5A"/>
    <w:rsid w:val="007C7962"/>
    <w:rsid w:val="007D0327"/>
    <w:rsid w:val="007D0B81"/>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24CA"/>
    <w:rsid w:val="0080436E"/>
    <w:rsid w:val="00804B87"/>
    <w:rsid w:val="0080522C"/>
    <w:rsid w:val="0080610F"/>
    <w:rsid w:val="00806D3D"/>
    <w:rsid w:val="0080734F"/>
    <w:rsid w:val="0081342F"/>
    <w:rsid w:val="00814ECC"/>
    <w:rsid w:val="00815545"/>
    <w:rsid w:val="0081608F"/>
    <w:rsid w:val="008172CD"/>
    <w:rsid w:val="00820936"/>
    <w:rsid w:val="00820959"/>
    <w:rsid w:val="00820C15"/>
    <w:rsid w:val="00820FC0"/>
    <w:rsid w:val="008216AC"/>
    <w:rsid w:val="00821DC5"/>
    <w:rsid w:val="0082278F"/>
    <w:rsid w:val="00823B2C"/>
    <w:rsid w:val="00823CAC"/>
    <w:rsid w:val="00823FE1"/>
    <w:rsid w:val="008253EB"/>
    <w:rsid w:val="0082627D"/>
    <w:rsid w:val="0082644C"/>
    <w:rsid w:val="00826846"/>
    <w:rsid w:val="00826A69"/>
    <w:rsid w:val="008270D9"/>
    <w:rsid w:val="008275ED"/>
    <w:rsid w:val="008306DF"/>
    <w:rsid w:val="008322FF"/>
    <w:rsid w:val="0083510C"/>
    <w:rsid w:val="008357BD"/>
    <w:rsid w:val="00835892"/>
    <w:rsid w:val="00836D34"/>
    <w:rsid w:val="00841E5C"/>
    <w:rsid w:val="0084225E"/>
    <w:rsid w:val="0084238F"/>
    <w:rsid w:val="00843494"/>
    <w:rsid w:val="0084411D"/>
    <w:rsid w:val="008443FE"/>
    <w:rsid w:val="0084505E"/>
    <w:rsid w:val="0085031C"/>
    <w:rsid w:val="00850AF7"/>
    <w:rsid w:val="00850AFE"/>
    <w:rsid w:val="00850FA2"/>
    <w:rsid w:val="00851A2A"/>
    <w:rsid w:val="00853879"/>
    <w:rsid w:val="00853B07"/>
    <w:rsid w:val="00853E57"/>
    <w:rsid w:val="00853F56"/>
    <w:rsid w:val="00854DF7"/>
    <w:rsid w:val="0085534D"/>
    <w:rsid w:val="008556D8"/>
    <w:rsid w:val="008563EB"/>
    <w:rsid w:val="008566CF"/>
    <w:rsid w:val="00856DBD"/>
    <w:rsid w:val="00856E1B"/>
    <w:rsid w:val="00856E80"/>
    <w:rsid w:val="00857FB3"/>
    <w:rsid w:val="00860FF4"/>
    <w:rsid w:val="00861AEF"/>
    <w:rsid w:val="0086345E"/>
    <w:rsid w:val="00863F52"/>
    <w:rsid w:val="00865032"/>
    <w:rsid w:val="00865B87"/>
    <w:rsid w:val="00870549"/>
    <w:rsid w:val="00871303"/>
    <w:rsid w:val="008713C7"/>
    <w:rsid w:val="008721C4"/>
    <w:rsid w:val="00872501"/>
    <w:rsid w:val="008745D8"/>
    <w:rsid w:val="008754F8"/>
    <w:rsid w:val="00875951"/>
    <w:rsid w:val="00875FE8"/>
    <w:rsid w:val="00876041"/>
    <w:rsid w:val="0087623E"/>
    <w:rsid w:val="00876728"/>
    <w:rsid w:val="0087781F"/>
    <w:rsid w:val="00880AE6"/>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2053"/>
    <w:rsid w:val="008A4C17"/>
    <w:rsid w:val="008A4DBC"/>
    <w:rsid w:val="008A5EF9"/>
    <w:rsid w:val="008A6155"/>
    <w:rsid w:val="008A6343"/>
    <w:rsid w:val="008A6613"/>
    <w:rsid w:val="008A679F"/>
    <w:rsid w:val="008B0C7B"/>
    <w:rsid w:val="008B1DD8"/>
    <w:rsid w:val="008B1F99"/>
    <w:rsid w:val="008B1FBA"/>
    <w:rsid w:val="008B2654"/>
    <w:rsid w:val="008B3501"/>
    <w:rsid w:val="008B415C"/>
    <w:rsid w:val="008B4580"/>
    <w:rsid w:val="008B5EB3"/>
    <w:rsid w:val="008B6223"/>
    <w:rsid w:val="008B6B93"/>
    <w:rsid w:val="008B7DBF"/>
    <w:rsid w:val="008C0F2B"/>
    <w:rsid w:val="008C1181"/>
    <w:rsid w:val="008C1493"/>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F03EF"/>
    <w:rsid w:val="008F0B4F"/>
    <w:rsid w:val="008F0D23"/>
    <w:rsid w:val="008F18EE"/>
    <w:rsid w:val="008F58FA"/>
    <w:rsid w:val="008F6ACD"/>
    <w:rsid w:val="008F7CFA"/>
    <w:rsid w:val="00900214"/>
    <w:rsid w:val="009003E8"/>
    <w:rsid w:val="0090198A"/>
    <w:rsid w:val="00902659"/>
    <w:rsid w:val="00902B1E"/>
    <w:rsid w:val="0090389F"/>
    <w:rsid w:val="00905245"/>
    <w:rsid w:val="00905514"/>
    <w:rsid w:val="009057F0"/>
    <w:rsid w:val="00906688"/>
    <w:rsid w:val="009109D8"/>
    <w:rsid w:val="00910FD5"/>
    <w:rsid w:val="0091112F"/>
    <w:rsid w:val="0091285F"/>
    <w:rsid w:val="00916D77"/>
    <w:rsid w:val="0091741E"/>
    <w:rsid w:val="00920584"/>
    <w:rsid w:val="00920950"/>
    <w:rsid w:val="00921638"/>
    <w:rsid w:val="00922E12"/>
    <w:rsid w:val="009246DD"/>
    <w:rsid w:val="00924CFF"/>
    <w:rsid w:val="00930590"/>
    <w:rsid w:val="00930873"/>
    <w:rsid w:val="00930F71"/>
    <w:rsid w:val="00932D08"/>
    <w:rsid w:val="00932FA5"/>
    <w:rsid w:val="009350D8"/>
    <w:rsid w:val="0093568D"/>
    <w:rsid w:val="00935A7A"/>
    <w:rsid w:val="009371BC"/>
    <w:rsid w:val="009371D8"/>
    <w:rsid w:val="009402D7"/>
    <w:rsid w:val="009409F1"/>
    <w:rsid w:val="00940CA7"/>
    <w:rsid w:val="00940E49"/>
    <w:rsid w:val="00941898"/>
    <w:rsid w:val="00942552"/>
    <w:rsid w:val="00942A01"/>
    <w:rsid w:val="00943DFD"/>
    <w:rsid w:val="00944C79"/>
    <w:rsid w:val="00945C48"/>
    <w:rsid w:val="00945FBD"/>
    <w:rsid w:val="0094641F"/>
    <w:rsid w:val="0094683D"/>
    <w:rsid w:val="00946956"/>
    <w:rsid w:val="00947164"/>
    <w:rsid w:val="00950FA7"/>
    <w:rsid w:val="00953719"/>
    <w:rsid w:val="00953DDD"/>
    <w:rsid w:val="00955B26"/>
    <w:rsid w:val="00960A3F"/>
    <w:rsid w:val="00960B84"/>
    <w:rsid w:val="009613EA"/>
    <w:rsid w:val="009619F7"/>
    <w:rsid w:val="00963B2B"/>
    <w:rsid w:val="009643A9"/>
    <w:rsid w:val="00964C7C"/>
    <w:rsid w:val="00965696"/>
    <w:rsid w:val="00965A79"/>
    <w:rsid w:val="00966F05"/>
    <w:rsid w:val="0096759A"/>
    <w:rsid w:val="0096769C"/>
    <w:rsid w:val="00967E33"/>
    <w:rsid w:val="00970D81"/>
    <w:rsid w:val="00971166"/>
    <w:rsid w:val="0097338A"/>
    <w:rsid w:val="00974732"/>
    <w:rsid w:val="00975469"/>
    <w:rsid w:val="009808A3"/>
    <w:rsid w:val="00980BC3"/>
    <w:rsid w:val="00980F62"/>
    <w:rsid w:val="00982D1A"/>
    <w:rsid w:val="009849D0"/>
    <w:rsid w:val="0098517E"/>
    <w:rsid w:val="0098567D"/>
    <w:rsid w:val="00986874"/>
    <w:rsid w:val="009921A0"/>
    <w:rsid w:val="00996A76"/>
    <w:rsid w:val="00996EC7"/>
    <w:rsid w:val="00997993"/>
    <w:rsid w:val="00997C9A"/>
    <w:rsid w:val="009A0E7E"/>
    <w:rsid w:val="009A2406"/>
    <w:rsid w:val="009A26FD"/>
    <w:rsid w:val="009A2985"/>
    <w:rsid w:val="009A2994"/>
    <w:rsid w:val="009A3181"/>
    <w:rsid w:val="009A4609"/>
    <w:rsid w:val="009A4633"/>
    <w:rsid w:val="009A4DD3"/>
    <w:rsid w:val="009A6A88"/>
    <w:rsid w:val="009A6ECB"/>
    <w:rsid w:val="009A7428"/>
    <w:rsid w:val="009B05CE"/>
    <w:rsid w:val="009B2711"/>
    <w:rsid w:val="009B3C83"/>
    <w:rsid w:val="009B5AC5"/>
    <w:rsid w:val="009B6D66"/>
    <w:rsid w:val="009B71BE"/>
    <w:rsid w:val="009C067F"/>
    <w:rsid w:val="009C31EF"/>
    <w:rsid w:val="009C342B"/>
    <w:rsid w:val="009C3DBF"/>
    <w:rsid w:val="009C42CF"/>
    <w:rsid w:val="009C5AC2"/>
    <w:rsid w:val="009C623C"/>
    <w:rsid w:val="009C6A48"/>
    <w:rsid w:val="009D01A7"/>
    <w:rsid w:val="009D1055"/>
    <w:rsid w:val="009D1567"/>
    <w:rsid w:val="009D2F53"/>
    <w:rsid w:val="009D2F94"/>
    <w:rsid w:val="009D52C1"/>
    <w:rsid w:val="009D72DF"/>
    <w:rsid w:val="009D7AB5"/>
    <w:rsid w:val="009E015C"/>
    <w:rsid w:val="009E0861"/>
    <w:rsid w:val="009E160B"/>
    <w:rsid w:val="009E175B"/>
    <w:rsid w:val="009E20DE"/>
    <w:rsid w:val="009E3261"/>
    <w:rsid w:val="009E3B25"/>
    <w:rsid w:val="009E4DBD"/>
    <w:rsid w:val="009E5CFC"/>
    <w:rsid w:val="009E660E"/>
    <w:rsid w:val="009E6B9F"/>
    <w:rsid w:val="009E75B3"/>
    <w:rsid w:val="009E76BF"/>
    <w:rsid w:val="009F00CF"/>
    <w:rsid w:val="009F0E95"/>
    <w:rsid w:val="009F0F8C"/>
    <w:rsid w:val="009F15A0"/>
    <w:rsid w:val="009F3644"/>
    <w:rsid w:val="009F3A2C"/>
    <w:rsid w:val="009F5B95"/>
    <w:rsid w:val="009F5D45"/>
    <w:rsid w:val="00A00E26"/>
    <w:rsid w:val="00A02FE3"/>
    <w:rsid w:val="00A03698"/>
    <w:rsid w:val="00A03FE2"/>
    <w:rsid w:val="00A04033"/>
    <w:rsid w:val="00A04C2E"/>
    <w:rsid w:val="00A06F9E"/>
    <w:rsid w:val="00A07039"/>
    <w:rsid w:val="00A113A2"/>
    <w:rsid w:val="00A136A5"/>
    <w:rsid w:val="00A13CE0"/>
    <w:rsid w:val="00A13CE4"/>
    <w:rsid w:val="00A14B58"/>
    <w:rsid w:val="00A20B47"/>
    <w:rsid w:val="00A20C75"/>
    <w:rsid w:val="00A230CB"/>
    <w:rsid w:val="00A231DF"/>
    <w:rsid w:val="00A24FD7"/>
    <w:rsid w:val="00A254B1"/>
    <w:rsid w:val="00A2595F"/>
    <w:rsid w:val="00A25AF9"/>
    <w:rsid w:val="00A329E1"/>
    <w:rsid w:val="00A33434"/>
    <w:rsid w:val="00A33C5C"/>
    <w:rsid w:val="00A34E67"/>
    <w:rsid w:val="00A35ED6"/>
    <w:rsid w:val="00A36432"/>
    <w:rsid w:val="00A364FF"/>
    <w:rsid w:val="00A37389"/>
    <w:rsid w:val="00A40258"/>
    <w:rsid w:val="00A40A6E"/>
    <w:rsid w:val="00A40EA7"/>
    <w:rsid w:val="00A416D7"/>
    <w:rsid w:val="00A41B85"/>
    <w:rsid w:val="00A41C57"/>
    <w:rsid w:val="00A41E70"/>
    <w:rsid w:val="00A42A61"/>
    <w:rsid w:val="00A42E51"/>
    <w:rsid w:val="00A44248"/>
    <w:rsid w:val="00A44EB3"/>
    <w:rsid w:val="00A45519"/>
    <w:rsid w:val="00A461D6"/>
    <w:rsid w:val="00A46FFD"/>
    <w:rsid w:val="00A474A6"/>
    <w:rsid w:val="00A51966"/>
    <w:rsid w:val="00A5271E"/>
    <w:rsid w:val="00A55398"/>
    <w:rsid w:val="00A569CE"/>
    <w:rsid w:val="00A57168"/>
    <w:rsid w:val="00A60B0E"/>
    <w:rsid w:val="00A613C1"/>
    <w:rsid w:val="00A635BF"/>
    <w:rsid w:val="00A65175"/>
    <w:rsid w:val="00A65A4C"/>
    <w:rsid w:val="00A65F1B"/>
    <w:rsid w:val="00A660EE"/>
    <w:rsid w:val="00A66B68"/>
    <w:rsid w:val="00A66D23"/>
    <w:rsid w:val="00A671E6"/>
    <w:rsid w:val="00A7181C"/>
    <w:rsid w:val="00A7203C"/>
    <w:rsid w:val="00A72FAE"/>
    <w:rsid w:val="00A74562"/>
    <w:rsid w:val="00A74E59"/>
    <w:rsid w:val="00A750DB"/>
    <w:rsid w:val="00A772E8"/>
    <w:rsid w:val="00A77E41"/>
    <w:rsid w:val="00A80470"/>
    <w:rsid w:val="00A80BC8"/>
    <w:rsid w:val="00A81149"/>
    <w:rsid w:val="00A8175E"/>
    <w:rsid w:val="00A819DB"/>
    <w:rsid w:val="00A828CF"/>
    <w:rsid w:val="00A82BCF"/>
    <w:rsid w:val="00A83A60"/>
    <w:rsid w:val="00A90729"/>
    <w:rsid w:val="00A90B67"/>
    <w:rsid w:val="00A91067"/>
    <w:rsid w:val="00A9190F"/>
    <w:rsid w:val="00A926CD"/>
    <w:rsid w:val="00A94909"/>
    <w:rsid w:val="00A953C9"/>
    <w:rsid w:val="00A958DD"/>
    <w:rsid w:val="00A959BD"/>
    <w:rsid w:val="00A96175"/>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4187"/>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C7DF4"/>
    <w:rsid w:val="00AD0396"/>
    <w:rsid w:val="00AD0F19"/>
    <w:rsid w:val="00AD2DC7"/>
    <w:rsid w:val="00AD4A13"/>
    <w:rsid w:val="00AD4C41"/>
    <w:rsid w:val="00AD5AA4"/>
    <w:rsid w:val="00AD5CF9"/>
    <w:rsid w:val="00AD6BEF"/>
    <w:rsid w:val="00AD70E2"/>
    <w:rsid w:val="00AD71F0"/>
    <w:rsid w:val="00AD7ABE"/>
    <w:rsid w:val="00AD7DFF"/>
    <w:rsid w:val="00AE104A"/>
    <w:rsid w:val="00AE10EE"/>
    <w:rsid w:val="00AE2AC9"/>
    <w:rsid w:val="00AE3292"/>
    <w:rsid w:val="00AE3C9D"/>
    <w:rsid w:val="00AE504A"/>
    <w:rsid w:val="00AE67EC"/>
    <w:rsid w:val="00AE6EEB"/>
    <w:rsid w:val="00AE7451"/>
    <w:rsid w:val="00AF0729"/>
    <w:rsid w:val="00AF0B4E"/>
    <w:rsid w:val="00AF166F"/>
    <w:rsid w:val="00AF1FC5"/>
    <w:rsid w:val="00AF28FB"/>
    <w:rsid w:val="00AF2D01"/>
    <w:rsid w:val="00AF3B76"/>
    <w:rsid w:val="00AF4906"/>
    <w:rsid w:val="00AF6DD6"/>
    <w:rsid w:val="00AF785B"/>
    <w:rsid w:val="00B001B4"/>
    <w:rsid w:val="00B0091C"/>
    <w:rsid w:val="00B01C99"/>
    <w:rsid w:val="00B01D35"/>
    <w:rsid w:val="00B02492"/>
    <w:rsid w:val="00B026D9"/>
    <w:rsid w:val="00B02757"/>
    <w:rsid w:val="00B05081"/>
    <w:rsid w:val="00B06C58"/>
    <w:rsid w:val="00B10C8C"/>
    <w:rsid w:val="00B11320"/>
    <w:rsid w:val="00B11A84"/>
    <w:rsid w:val="00B1291A"/>
    <w:rsid w:val="00B15344"/>
    <w:rsid w:val="00B20317"/>
    <w:rsid w:val="00B209E9"/>
    <w:rsid w:val="00B21759"/>
    <w:rsid w:val="00B22124"/>
    <w:rsid w:val="00B230F3"/>
    <w:rsid w:val="00B237EC"/>
    <w:rsid w:val="00B24C5D"/>
    <w:rsid w:val="00B27C44"/>
    <w:rsid w:val="00B30A4C"/>
    <w:rsid w:val="00B32493"/>
    <w:rsid w:val="00B32816"/>
    <w:rsid w:val="00B33558"/>
    <w:rsid w:val="00B33C23"/>
    <w:rsid w:val="00B358E2"/>
    <w:rsid w:val="00B3742A"/>
    <w:rsid w:val="00B40A77"/>
    <w:rsid w:val="00B40BF2"/>
    <w:rsid w:val="00B42C0B"/>
    <w:rsid w:val="00B4590A"/>
    <w:rsid w:val="00B45E62"/>
    <w:rsid w:val="00B476A3"/>
    <w:rsid w:val="00B534AF"/>
    <w:rsid w:val="00B53725"/>
    <w:rsid w:val="00B549B4"/>
    <w:rsid w:val="00B54B40"/>
    <w:rsid w:val="00B563FF"/>
    <w:rsid w:val="00B56C91"/>
    <w:rsid w:val="00B5749A"/>
    <w:rsid w:val="00B61617"/>
    <w:rsid w:val="00B62221"/>
    <w:rsid w:val="00B63322"/>
    <w:rsid w:val="00B6440E"/>
    <w:rsid w:val="00B64A77"/>
    <w:rsid w:val="00B66760"/>
    <w:rsid w:val="00B673EB"/>
    <w:rsid w:val="00B67F50"/>
    <w:rsid w:val="00B712EE"/>
    <w:rsid w:val="00B7257C"/>
    <w:rsid w:val="00B730A9"/>
    <w:rsid w:val="00B73506"/>
    <w:rsid w:val="00B73DE0"/>
    <w:rsid w:val="00B74E78"/>
    <w:rsid w:val="00B80111"/>
    <w:rsid w:val="00B81923"/>
    <w:rsid w:val="00B81BBF"/>
    <w:rsid w:val="00B82C94"/>
    <w:rsid w:val="00B8560C"/>
    <w:rsid w:val="00B90A39"/>
    <w:rsid w:val="00B9617D"/>
    <w:rsid w:val="00B967E2"/>
    <w:rsid w:val="00B96E95"/>
    <w:rsid w:val="00B971B8"/>
    <w:rsid w:val="00BA0DDF"/>
    <w:rsid w:val="00BA11C3"/>
    <w:rsid w:val="00BA127D"/>
    <w:rsid w:val="00BA1A99"/>
    <w:rsid w:val="00BA1EFE"/>
    <w:rsid w:val="00BA2ED5"/>
    <w:rsid w:val="00BA310A"/>
    <w:rsid w:val="00BA326E"/>
    <w:rsid w:val="00BA3320"/>
    <w:rsid w:val="00BA4E20"/>
    <w:rsid w:val="00BA4F18"/>
    <w:rsid w:val="00BA50F5"/>
    <w:rsid w:val="00BA57CB"/>
    <w:rsid w:val="00BA58BE"/>
    <w:rsid w:val="00BA5D9F"/>
    <w:rsid w:val="00BA6F43"/>
    <w:rsid w:val="00BA7434"/>
    <w:rsid w:val="00BA7EC8"/>
    <w:rsid w:val="00BB1F4C"/>
    <w:rsid w:val="00BB57C6"/>
    <w:rsid w:val="00BB5E07"/>
    <w:rsid w:val="00BB63BF"/>
    <w:rsid w:val="00BB659F"/>
    <w:rsid w:val="00BB785B"/>
    <w:rsid w:val="00BC0D1E"/>
    <w:rsid w:val="00BC1510"/>
    <w:rsid w:val="00BC2441"/>
    <w:rsid w:val="00BC3E7E"/>
    <w:rsid w:val="00BC4A03"/>
    <w:rsid w:val="00BC5534"/>
    <w:rsid w:val="00BC5D2C"/>
    <w:rsid w:val="00BC6016"/>
    <w:rsid w:val="00BD0BB4"/>
    <w:rsid w:val="00BD195C"/>
    <w:rsid w:val="00BD1D45"/>
    <w:rsid w:val="00BD2147"/>
    <w:rsid w:val="00BD372D"/>
    <w:rsid w:val="00BD391A"/>
    <w:rsid w:val="00BD4754"/>
    <w:rsid w:val="00BD59D3"/>
    <w:rsid w:val="00BD63FF"/>
    <w:rsid w:val="00BD79BE"/>
    <w:rsid w:val="00BD7E58"/>
    <w:rsid w:val="00BE029E"/>
    <w:rsid w:val="00BE039E"/>
    <w:rsid w:val="00BE11BE"/>
    <w:rsid w:val="00BE12E7"/>
    <w:rsid w:val="00BE2287"/>
    <w:rsid w:val="00BE281D"/>
    <w:rsid w:val="00BE35C9"/>
    <w:rsid w:val="00BE3CC0"/>
    <w:rsid w:val="00BE3E78"/>
    <w:rsid w:val="00BE3E7C"/>
    <w:rsid w:val="00BE4692"/>
    <w:rsid w:val="00BE4756"/>
    <w:rsid w:val="00BE5630"/>
    <w:rsid w:val="00BE6F70"/>
    <w:rsid w:val="00BF2DAE"/>
    <w:rsid w:val="00BF3DA5"/>
    <w:rsid w:val="00BF6BB2"/>
    <w:rsid w:val="00BF6E21"/>
    <w:rsid w:val="00C00580"/>
    <w:rsid w:val="00C015D4"/>
    <w:rsid w:val="00C01D5D"/>
    <w:rsid w:val="00C0292E"/>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3DDC"/>
    <w:rsid w:val="00C2403B"/>
    <w:rsid w:val="00C25438"/>
    <w:rsid w:val="00C26B37"/>
    <w:rsid w:val="00C26FD8"/>
    <w:rsid w:val="00C315C6"/>
    <w:rsid w:val="00C31DD3"/>
    <w:rsid w:val="00C32441"/>
    <w:rsid w:val="00C347AB"/>
    <w:rsid w:val="00C353DC"/>
    <w:rsid w:val="00C36FDC"/>
    <w:rsid w:val="00C42522"/>
    <w:rsid w:val="00C4358E"/>
    <w:rsid w:val="00C45203"/>
    <w:rsid w:val="00C459D3"/>
    <w:rsid w:val="00C47701"/>
    <w:rsid w:val="00C50E15"/>
    <w:rsid w:val="00C51855"/>
    <w:rsid w:val="00C5264A"/>
    <w:rsid w:val="00C54A8F"/>
    <w:rsid w:val="00C55FAA"/>
    <w:rsid w:val="00C606B3"/>
    <w:rsid w:val="00C608A9"/>
    <w:rsid w:val="00C63A59"/>
    <w:rsid w:val="00C63BD1"/>
    <w:rsid w:val="00C63C93"/>
    <w:rsid w:val="00C645AF"/>
    <w:rsid w:val="00C64AD7"/>
    <w:rsid w:val="00C6661E"/>
    <w:rsid w:val="00C67DD2"/>
    <w:rsid w:val="00C70868"/>
    <w:rsid w:val="00C72189"/>
    <w:rsid w:val="00C7249F"/>
    <w:rsid w:val="00C731FE"/>
    <w:rsid w:val="00C73F61"/>
    <w:rsid w:val="00C75817"/>
    <w:rsid w:val="00C75C0F"/>
    <w:rsid w:val="00C76DEF"/>
    <w:rsid w:val="00C77BEC"/>
    <w:rsid w:val="00C8332A"/>
    <w:rsid w:val="00C839D6"/>
    <w:rsid w:val="00C8411E"/>
    <w:rsid w:val="00C84C5D"/>
    <w:rsid w:val="00C863FD"/>
    <w:rsid w:val="00C8695A"/>
    <w:rsid w:val="00C86D5D"/>
    <w:rsid w:val="00C8775C"/>
    <w:rsid w:val="00C87B4A"/>
    <w:rsid w:val="00C87CC1"/>
    <w:rsid w:val="00C90365"/>
    <w:rsid w:val="00C915BE"/>
    <w:rsid w:val="00C937D4"/>
    <w:rsid w:val="00C93CF2"/>
    <w:rsid w:val="00C94816"/>
    <w:rsid w:val="00C94875"/>
    <w:rsid w:val="00C94D23"/>
    <w:rsid w:val="00C9741C"/>
    <w:rsid w:val="00CA30D6"/>
    <w:rsid w:val="00CA4750"/>
    <w:rsid w:val="00CA57D3"/>
    <w:rsid w:val="00CA5F6B"/>
    <w:rsid w:val="00CA6358"/>
    <w:rsid w:val="00CA6EA2"/>
    <w:rsid w:val="00CA747D"/>
    <w:rsid w:val="00CA7FAF"/>
    <w:rsid w:val="00CB060A"/>
    <w:rsid w:val="00CB204A"/>
    <w:rsid w:val="00CB4013"/>
    <w:rsid w:val="00CB40DD"/>
    <w:rsid w:val="00CB481B"/>
    <w:rsid w:val="00CB54FA"/>
    <w:rsid w:val="00CB620A"/>
    <w:rsid w:val="00CB62A3"/>
    <w:rsid w:val="00CB7130"/>
    <w:rsid w:val="00CB737C"/>
    <w:rsid w:val="00CB7808"/>
    <w:rsid w:val="00CC03A9"/>
    <w:rsid w:val="00CC0B70"/>
    <w:rsid w:val="00CC1529"/>
    <w:rsid w:val="00CC168F"/>
    <w:rsid w:val="00CC18A8"/>
    <w:rsid w:val="00CC1E63"/>
    <w:rsid w:val="00CC313A"/>
    <w:rsid w:val="00CC3DDD"/>
    <w:rsid w:val="00CC4760"/>
    <w:rsid w:val="00CC550F"/>
    <w:rsid w:val="00CC716C"/>
    <w:rsid w:val="00CC7529"/>
    <w:rsid w:val="00CC7FD2"/>
    <w:rsid w:val="00CD25E7"/>
    <w:rsid w:val="00CD2F2E"/>
    <w:rsid w:val="00CD3181"/>
    <w:rsid w:val="00CD6CC2"/>
    <w:rsid w:val="00CD793C"/>
    <w:rsid w:val="00CE06E8"/>
    <w:rsid w:val="00CE1096"/>
    <w:rsid w:val="00CE1F0A"/>
    <w:rsid w:val="00CE2B00"/>
    <w:rsid w:val="00CE357B"/>
    <w:rsid w:val="00CE450F"/>
    <w:rsid w:val="00CE576C"/>
    <w:rsid w:val="00CE715F"/>
    <w:rsid w:val="00CE7862"/>
    <w:rsid w:val="00CE7FB3"/>
    <w:rsid w:val="00CF0650"/>
    <w:rsid w:val="00CF26AB"/>
    <w:rsid w:val="00CF4E65"/>
    <w:rsid w:val="00CF5B50"/>
    <w:rsid w:val="00CF755E"/>
    <w:rsid w:val="00CF77C9"/>
    <w:rsid w:val="00D00E32"/>
    <w:rsid w:val="00D019C9"/>
    <w:rsid w:val="00D03E90"/>
    <w:rsid w:val="00D045A4"/>
    <w:rsid w:val="00D07374"/>
    <w:rsid w:val="00D0755A"/>
    <w:rsid w:val="00D07CBC"/>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0E5"/>
    <w:rsid w:val="00D31519"/>
    <w:rsid w:val="00D31CB5"/>
    <w:rsid w:val="00D336F7"/>
    <w:rsid w:val="00D3418D"/>
    <w:rsid w:val="00D37086"/>
    <w:rsid w:val="00D4195C"/>
    <w:rsid w:val="00D41CA9"/>
    <w:rsid w:val="00D41DA4"/>
    <w:rsid w:val="00D43BEB"/>
    <w:rsid w:val="00D45201"/>
    <w:rsid w:val="00D46923"/>
    <w:rsid w:val="00D46D6E"/>
    <w:rsid w:val="00D46E30"/>
    <w:rsid w:val="00D50943"/>
    <w:rsid w:val="00D5181E"/>
    <w:rsid w:val="00D51E40"/>
    <w:rsid w:val="00D529BE"/>
    <w:rsid w:val="00D52E0D"/>
    <w:rsid w:val="00D534CC"/>
    <w:rsid w:val="00D547B0"/>
    <w:rsid w:val="00D57501"/>
    <w:rsid w:val="00D602F1"/>
    <w:rsid w:val="00D60E4B"/>
    <w:rsid w:val="00D61B7E"/>
    <w:rsid w:val="00D733FF"/>
    <w:rsid w:val="00D75664"/>
    <w:rsid w:val="00D75DF9"/>
    <w:rsid w:val="00D75E07"/>
    <w:rsid w:val="00D76BB2"/>
    <w:rsid w:val="00D8054E"/>
    <w:rsid w:val="00D82D13"/>
    <w:rsid w:val="00D8786B"/>
    <w:rsid w:val="00D878D0"/>
    <w:rsid w:val="00D87919"/>
    <w:rsid w:val="00D906A8"/>
    <w:rsid w:val="00D90C99"/>
    <w:rsid w:val="00D90FEA"/>
    <w:rsid w:val="00D91EEF"/>
    <w:rsid w:val="00D9327A"/>
    <w:rsid w:val="00D94D25"/>
    <w:rsid w:val="00D95102"/>
    <w:rsid w:val="00DA14C9"/>
    <w:rsid w:val="00DA1654"/>
    <w:rsid w:val="00DA1C64"/>
    <w:rsid w:val="00DA334E"/>
    <w:rsid w:val="00DA356D"/>
    <w:rsid w:val="00DA39E1"/>
    <w:rsid w:val="00DA4528"/>
    <w:rsid w:val="00DA5BDE"/>
    <w:rsid w:val="00DA5D98"/>
    <w:rsid w:val="00DA6063"/>
    <w:rsid w:val="00DA7286"/>
    <w:rsid w:val="00DA7576"/>
    <w:rsid w:val="00DB0F98"/>
    <w:rsid w:val="00DB15AE"/>
    <w:rsid w:val="00DB173C"/>
    <w:rsid w:val="00DB2514"/>
    <w:rsid w:val="00DB2705"/>
    <w:rsid w:val="00DB3B73"/>
    <w:rsid w:val="00DB4CB0"/>
    <w:rsid w:val="00DB4E97"/>
    <w:rsid w:val="00DB69D4"/>
    <w:rsid w:val="00DC028D"/>
    <w:rsid w:val="00DC0964"/>
    <w:rsid w:val="00DC1214"/>
    <w:rsid w:val="00DC1804"/>
    <w:rsid w:val="00DC448A"/>
    <w:rsid w:val="00DC4B6A"/>
    <w:rsid w:val="00DC51BD"/>
    <w:rsid w:val="00DC52AB"/>
    <w:rsid w:val="00DC723B"/>
    <w:rsid w:val="00DD18B9"/>
    <w:rsid w:val="00DD2295"/>
    <w:rsid w:val="00DD38A7"/>
    <w:rsid w:val="00DD41AE"/>
    <w:rsid w:val="00DD4608"/>
    <w:rsid w:val="00DD46E8"/>
    <w:rsid w:val="00DD4776"/>
    <w:rsid w:val="00DD62D4"/>
    <w:rsid w:val="00DD65B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431D"/>
    <w:rsid w:val="00E046FD"/>
    <w:rsid w:val="00E05304"/>
    <w:rsid w:val="00E05F68"/>
    <w:rsid w:val="00E06568"/>
    <w:rsid w:val="00E06BDA"/>
    <w:rsid w:val="00E06F7B"/>
    <w:rsid w:val="00E07515"/>
    <w:rsid w:val="00E07C19"/>
    <w:rsid w:val="00E10111"/>
    <w:rsid w:val="00E10DEB"/>
    <w:rsid w:val="00E10E7F"/>
    <w:rsid w:val="00E11FF6"/>
    <w:rsid w:val="00E12B73"/>
    <w:rsid w:val="00E1503D"/>
    <w:rsid w:val="00E16307"/>
    <w:rsid w:val="00E170BC"/>
    <w:rsid w:val="00E177B7"/>
    <w:rsid w:val="00E17937"/>
    <w:rsid w:val="00E179B7"/>
    <w:rsid w:val="00E17A03"/>
    <w:rsid w:val="00E208F2"/>
    <w:rsid w:val="00E216EC"/>
    <w:rsid w:val="00E21A6A"/>
    <w:rsid w:val="00E21C5F"/>
    <w:rsid w:val="00E21DC7"/>
    <w:rsid w:val="00E22226"/>
    <w:rsid w:val="00E22B0B"/>
    <w:rsid w:val="00E2415B"/>
    <w:rsid w:val="00E2774F"/>
    <w:rsid w:val="00E27E28"/>
    <w:rsid w:val="00E301B8"/>
    <w:rsid w:val="00E31C37"/>
    <w:rsid w:val="00E32843"/>
    <w:rsid w:val="00E33136"/>
    <w:rsid w:val="00E33BD6"/>
    <w:rsid w:val="00E34215"/>
    <w:rsid w:val="00E3486E"/>
    <w:rsid w:val="00E364B5"/>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49F"/>
    <w:rsid w:val="00E53B02"/>
    <w:rsid w:val="00E53EFE"/>
    <w:rsid w:val="00E54B9A"/>
    <w:rsid w:val="00E5501C"/>
    <w:rsid w:val="00E5527B"/>
    <w:rsid w:val="00E55854"/>
    <w:rsid w:val="00E60469"/>
    <w:rsid w:val="00E60D0F"/>
    <w:rsid w:val="00E60F7C"/>
    <w:rsid w:val="00E61219"/>
    <w:rsid w:val="00E63FFC"/>
    <w:rsid w:val="00E65BB7"/>
    <w:rsid w:val="00E66366"/>
    <w:rsid w:val="00E66552"/>
    <w:rsid w:val="00E66E58"/>
    <w:rsid w:val="00E67566"/>
    <w:rsid w:val="00E675DB"/>
    <w:rsid w:val="00E67958"/>
    <w:rsid w:val="00E70C95"/>
    <w:rsid w:val="00E71782"/>
    <w:rsid w:val="00E71A53"/>
    <w:rsid w:val="00E72C5D"/>
    <w:rsid w:val="00E737E3"/>
    <w:rsid w:val="00E738BD"/>
    <w:rsid w:val="00E73944"/>
    <w:rsid w:val="00E75ABD"/>
    <w:rsid w:val="00E76220"/>
    <w:rsid w:val="00E77EF0"/>
    <w:rsid w:val="00E80949"/>
    <w:rsid w:val="00E80DB5"/>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4012"/>
    <w:rsid w:val="00EB5A15"/>
    <w:rsid w:val="00EB5F5E"/>
    <w:rsid w:val="00EB6EAB"/>
    <w:rsid w:val="00EC0153"/>
    <w:rsid w:val="00EC0DEB"/>
    <w:rsid w:val="00EC2FE6"/>
    <w:rsid w:val="00EC43B1"/>
    <w:rsid w:val="00EC7296"/>
    <w:rsid w:val="00EC7F5C"/>
    <w:rsid w:val="00ED0FD4"/>
    <w:rsid w:val="00ED1BCC"/>
    <w:rsid w:val="00ED1E32"/>
    <w:rsid w:val="00ED282F"/>
    <w:rsid w:val="00ED2851"/>
    <w:rsid w:val="00ED28C0"/>
    <w:rsid w:val="00ED2C78"/>
    <w:rsid w:val="00ED5347"/>
    <w:rsid w:val="00ED67CE"/>
    <w:rsid w:val="00ED745A"/>
    <w:rsid w:val="00EE0873"/>
    <w:rsid w:val="00EE09DA"/>
    <w:rsid w:val="00EE0A32"/>
    <w:rsid w:val="00EE0EBD"/>
    <w:rsid w:val="00EE1A44"/>
    <w:rsid w:val="00EE60AB"/>
    <w:rsid w:val="00EE6B95"/>
    <w:rsid w:val="00EE702E"/>
    <w:rsid w:val="00EF1B9A"/>
    <w:rsid w:val="00EF2D7C"/>
    <w:rsid w:val="00EF2D81"/>
    <w:rsid w:val="00EF3174"/>
    <w:rsid w:val="00EF41DB"/>
    <w:rsid w:val="00EF48C0"/>
    <w:rsid w:val="00EF5170"/>
    <w:rsid w:val="00EF7A27"/>
    <w:rsid w:val="00EF7C25"/>
    <w:rsid w:val="00F00022"/>
    <w:rsid w:val="00F0088E"/>
    <w:rsid w:val="00F00DB1"/>
    <w:rsid w:val="00F00E52"/>
    <w:rsid w:val="00F01125"/>
    <w:rsid w:val="00F033B9"/>
    <w:rsid w:val="00F03AF4"/>
    <w:rsid w:val="00F05E2B"/>
    <w:rsid w:val="00F11B0C"/>
    <w:rsid w:val="00F15763"/>
    <w:rsid w:val="00F15ABC"/>
    <w:rsid w:val="00F16372"/>
    <w:rsid w:val="00F1679D"/>
    <w:rsid w:val="00F172E1"/>
    <w:rsid w:val="00F17514"/>
    <w:rsid w:val="00F1799B"/>
    <w:rsid w:val="00F21A8F"/>
    <w:rsid w:val="00F21EEF"/>
    <w:rsid w:val="00F21FBF"/>
    <w:rsid w:val="00F24D4F"/>
    <w:rsid w:val="00F2786A"/>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224C"/>
    <w:rsid w:val="00F64139"/>
    <w:rsid w:val="00F64C8B"/>
    <w:rsid w:val="00F64E60"/>
    <w:rsid w:val="00F64FC6"/>
    <w:rsid w:val="00F65383"/>
    <w:rsid w:val="00F65904"/>
    <w:rsid w:val="00F6591C"/>
    <w:rsid w:val="00F668EA"/>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3BA1"/>
    <w:rsid w:val="00F94501"/>
    <w:rsid w:val="00F9462F"/>
    <w:rsid w:val="00F952B7"/>
    <w:rsid w:val="00F9757B"/>
    <w:rsid w:val="00F97E5F"/>
    <w:rsid w:val="00FA053D"/>
    <w:rsid w:val="00FA1A04"/>
    <w:rsid w:val="00FA298B"/>
    <w:rsid w:val="00FA364E"/>
    <w:rsid w:val="00FA47BF"/>
    <w:rsid w:val="00FA5EB7"/>
    <w:rsid w:val="00FA672F"/>
    <w:rsid w:val="00FB1655"/>
    <w:rsid w:val="00FB1B4D"/>
    <w:rsid w:val="00FB23B4"/>
    <w:rsid w:val="00FB288F"/>
    <w:rsid w:val="00FB2B46"/>
    <w:rsid w:val="00FB2E90"/>
    <w:rsid w:val="00FB2F5E"/>
    <w:rsid w:val="00FB34F5"/>
    <w:rsid w:val="00FB4BFD"/>
    <w:rsid w:val="00FB4E1D"/>
    <w:rsid w:val="00FB572C"/>
    <w:rsid w:val="00FB5B6E"/>
    <w:rsid w:val="00FB6DF7"/>
    <w:rsid w:val="00FB7459"/>
    <w:rsid w:val="00FB787F"/>
    <w:rsid w:val="00FC0952"/>
    <w:rsid w:val="00FC0E24"/>
    <w:rsid w:val="00FC0F13"/>
    <w:rsid w:val="00FC284D"/>
    <w:rsid w:val="00FC2935"/>
    <w:rsid w:val="00FC30D5"/>
    <w:rsid w:val="00FC3926"/>
    <w:rsid w:val="00FC3E40"/>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2F05"/>
    <w:rsid w:val="00FF387B"/>
    <w:rsid w:val="00FF50BD"/>
    <w:rsid w:val="00FF553D"/>
    <w:rsid w:val="00FF568B"/>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7120FA0"/>
  <w15:docId w15:val="{1DCEC880-BC3B-43CC-B850-79E19A50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next w:val="Navaden"/>
    <w:link w:val="Naslov3Znak"/>
    <w:uiPriority w:val="99"/>
    <w:unhideWhenUsed/>
    <w:qFormat/>
    <w:rsid w:val="00813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99"/>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uiPriority w:val="99"/>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uiPriority w:val="99"/>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uiPriority w:val="99"/>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06C42"/>
    <w:rPr>
      <w:rFonts w:ascii="Arial" w:eastAsia="Times New Roman" w:hAnsi="Arial" w:cs="Arial"/>
      <w:b/>
      <w:bCs/>
      <w:color w:val="000000"/>
      <w:spacing w:val="40"/>
      <w:lang w:eastAsia="sl-SI"/>
    </w:rPr>
  </w:style>
  <w:style w:type="paragraph" w:customStyle="1" w:styleId="Default">
    <w:name w:val="Default"/>
    <w:uiPriority w:val="99"/>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uiPriority w:val="99"/>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aliases w:val="Sprotna opomba Char"/>
    <w:uiPriority w:val="99"/>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0"/>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9"/>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8"/>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1"/>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character" w:customStyle="1" w:styleId="Naslov3Znak">
    <w:name w:val="Naslov 3 Znak"/>
    <w:basedOn w:val="Privzetapisavaodstavka"/>
    <w:link w:val="Naslov3"/>
    <w:uiPriority w:val="99"/>
    <w:rsid w:val="0081342F"/>
    <w:rPr>
      <w:rFonts w:asciiTheme="majorHAnsi" w:eastAsiaTheme="majorEastAsia" w:hAnsiTheme="majorHAnsi" w:cstheme="majorBidi"/>
      <w:color w:val="1F3763" w:themeColor="accent1" w:themeShade="7F"/>
      <w:sz w:val="24"/>
      <w:szCs w:val="24"/>
    </w:rPr>
  </w:style>
  <w:style w:type="numbering" w:customStyle="1" w:styleId="NoList1">
    <w:name w:val="No List1"/>
    <w:next w:val="Brezseznama"/>
    <w:uiPriority w:val="99"/>
    <w:semiHidden/>
    <w:unhideWhenUsed/>
    <w:rsid w:val="0081342F"/>
  </w:style>
  <w:style w:type="character" w:customStyle="1" w:styleId="FooterChar2">
    <w:name w:val="Footer Char2"/>
    <w:uiPriority w:val="99"/>
    <w:rsid w:val="0081342F"/>
    <w:rPr>
      <w:rFonts w:ascii="Arial" w:hAnsi="Arial"/>
      <w:szCs w:val="24"/>
      <w:lang w:val="en-US" w:eastAsia="en-US"/>
    </w:rPr>
  </w:style>
  <w:style w:type="character" w:customStyle="1" w:styleId="DocumentMapChar1">
    <w:name w:val="Document Map Char1"/>
    <w:rsid w:val="0081342F"/>
    <w:rPr>
      <w:rFonts w:ascii="Tahoma" w:hAnsi="Tahoma" w:cs="Tahoma"/>
      <w:sz w:val="16"/>
      <w:szCs w:val="16"/>
      <w:lang w:val="en-US" w:eastAsia="en-US"/>
    </w:rPr>
  </w:style>
  <w:style w:type="table" w:customStyle="1" w:styleId="TableGrid1">
    <w:name w:val="Table Grid1"/>
    <w:basedOn w:val="Navadnatabela"/>
    <w:next w:val="Tabelamrea"/>
    <w:uiPriority w:val="99"/>
    <w:rsid w:val="0081342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avaden"/>
    <w:uiPriority w:val="99"/>
    <w:rsid w:val="0081342F"/>
    <w:pPr>
      <w:suppressAutoHyphens/>
      <w:overflowPunct w:val="0"/>
      <w:autoSpaceDE w:val="0"/>
      <w:spacing w:after="0" w:line="240" w:lineRule="auto"/>
      <w:ind w:left="720"/>
      <w:jc w:val="both"/>
    </w:pPr>
    <w:rPr>
      <w:rFonts w:ascii="Times New Roman" w:eastAsia="Times New Roman" w:hAnsi="Times New Roman" w:cs="Times New Roman"/>
      <w:sz w:val="24"/>
      <w:szCs w:val="20"/>
      <w:lang w:eastAsia="ar-SA"/>
    </w:rPr>
  </w:style>
  <w:style w:type="paragraph" w:customStyle="1" w:styleId="Brezrazmikov1">
    <w:name w:val="Brez razmikov1"/>
    <w:uiPriority w:val="99"/>
    <w:rsid w:val="0081342F"/>
    <w:pPr>
      <w:spacing w:after="0" w:line="240" w:lineRule="auto"/>
    </w:pPr>
    <w:rPr>
      <w:rFonts w:ascii="Calibri" w:eastAsia="Times New Roman" w:hAnsi="Calibri" w:cs="Times New Roman"/>
    </w:rPr>
  </w:style>
  <w:style w:type="character" w:customStyle="1" w:styleId="DefaultParagraphFont1">
    <w:name w:val="Default Paragraph Font1"/>
    <w:uiPriority w:val="99"/>
    <w:rsid w:val="0081342F"/>
  </w:style>
  <w:style w:type="character" w:customStyle="1" w:styleId="CommentReference1">
    <w:name w:val="Comment Reference1"/>
    <w:uiPriority w:val="99"/>
    <w:rsid w:val="0081342F"/>
    <w:rPr>
      <w:sz w:val="16"/>
    </w:rPr>
  </w:style>
  <w:style w:type="character" w:customStyle="1" w:styleId="CommentTextChar1">
    <w:name w:val="Comment Text Char1"/>
    <w:uiPriority w:val="99"/>
    <w:rsid w:val="0081342F"/>
    <w:rPr>
      <w:rFonts w:ascii="Arial" w:hAnsi="Arial"/>
      <w:sz w:val="20"/>
      <w:lang w:val="sl-SI"/>
    </w:rPr>
  </w:style>
  <w:style w:type="character" w:customStyle="1" w:styleId="CommentSubjectChar1">
    <w:name w:val="Comment Subject Char1"/>
    <w:uiPriority w:val="99"/>
    <w:rsid w:val="0081342F"/>
    <w:rPr>
      <w:rFonts w:ascii="Arial" w:hAnsi="Arial"/>
      <w:b/>
      <w:sz w:val="20"/>
      <w:lang w:val="sl-SI"/>
    </w:rPr>
  </w:style>
  <w:style w:type="character" w:customStyle="1" w:styleId="FooterChar1">
    <w:name w:val="Footer Char1"/>
    <w:uiPriority w:val="99"/>
    <w:rsid w:val="0081342F"/>
    <w:rPr>
      <w:rFonts w:ascii="Arial" w:hAnsi="Arial"/>
      <w:sz w:val="16"/>
      <w:lang w:val="sl-SI"/>
    </w:rPr>
  </w:style>
  <w:style w:type="character" w:customStyle="1" w:styleId="OddelekZnak">
    <w:name w:val="Oddelek Znak"/>
    <w:uiPriority w:val="99"/>
    <w:rsid w:val="0081342F"/>
    <w:rPr>
      <w:rFonts w:ascii="Arial" w:hAnsi="Arial"/>
      <w:b/>
      <w:sz w:val="24"/>
    </w:rPr>
  </w:style>
  <w:style w:type="character" w:customStyle="1" w:styleId="Znakisprotnihopomb">
    <w:name w:val="Znaki sprotnih opomb"/>
    <w:uiPriority w:val="99"/>
    <w:rsid w:val="0081342F"/>
    <w:rPr>
      <w:vertAlign w:val="superscript"/>
    </w:rPr>
  </w:style>
  <w:style w:type="character" w:customStyle="1" w:styleId="Sprotnaopomba-besediloZnak0">
    <w:name w:val="Sprotna opomba-besedilo Znak"/>
    <w:uiPriority w:val="99"/>
    <w:rsid w:val="0081342F"/>
    <w:rPr>
      <w:rFonts w:ascii="Times New Roman" w:hAnsi="Times New Roman"/>
      <w:sz w:val="20"/>
      <w:lang w:val="sl-SI"/>
    </w:rPr>
  </w:style>
  <w:style w:type="character" w:customStyle="1" w:styleId="AlineazatokoZnak">
    <w:name w:val="Alinea za točko Znak"/>
    <w:link w:val="Alineazatoko"/>
    <w:rsid w:val="0081342F"/>
    <w:rPr>
      <w:rFonts w:ascii="Arial" w:hAnsi="Arial" w:cs="Arial"/>
      <w:lang w:eastAsia="ar-SA"/>
    </w:rPr>
  </w:style>
  <w:style w:type="paragraph" w:customStyle="1" w:styleId="Alineazatoko">
    <w:name w:val="Alinea za točko"/>
    <w:basedOn w:val="Navaden"/>
    <w:link w:val="AlineazatokoZnak"/>
    <w:qFormat/>
    <w:rsid w:val="0081342F"/>
    <w:pPr>
      <w:suppressAutoHyphens/>
      <w:overflowPunct w:val="0"/>
      <w:autoSpaceDE w:val="0"/>
      <w:spacing w:after="0" w:line="200" w:lineRule="exact"/>
      <w:ind w:left="720" w:hanging="360"/>
      <w:jc w:val="both"/>
      <w:textAlignment w:val="baseline"/>
    </w:pPr>
    <w:rPr>
      <w:rFonts w:ascii="Arial" w:hAnsi="Arial" w:cs="Arial"/>
      <w:lang w:eastAsia="ar-SA"/>
    </w:rPr>
  </w:style>
  <w:style w:type="character" w:customStyle="1" w:styleId="FootnoteTextChar2">
    <w:name w:val="Footnote Text Char2"/>
    <w:uiPriority w:val="99"/>
    <w:rsid w:val="0081342F"/>
    <w:rPr>
      <w:lang w:val="sl-SI"/>
    </w:rPr>
  </w:style>
  <w:style w:type="character" w:customStyle="1" w:styleId="Simbolizaotevilevanje">
    <w:name w:val="Simboli za oštevilčevanje"/>
    <w:uiPriority w:val="99"/>
    <w:rsid w:val="0081342F"/>
  </w:style>
  <w:style w:type="character" w:customStyle="1" w:styleId="Oznake">
    <w:name w:val="Oznake"/>
    <w:uiPriority w:val="99"/>
    <w:rsid w:val="0081342F"/>
    <w:rPr>
      <w:rFonts w:ascii="OpenSymbol" w:hAnsi="OpenSymbol"/>
    </w:rPr>
  </w:style>
  <w:style w:type="character" w:styleId="Konnaopomba-sklic">
    <w:name w:val="endnote reference"/>
    <w:basedOn w:val="Privzetapisavaodstavka"/>
    <w:uiPriority w:val="99"/>
    <w:rsid w:val="0081342F"/>
    <w:rPr>
      <w:rFonts w:cs="Times New Roman"/>
      <w:vertAlign w:val="superscript"/>
    </w:rPr>
  </w:style>
  <w:style w:type="character" w:customStyle="1" w:styleId="Znakikonnihopomb">
    <w:name w:val="Znaki končnih opomb"/>
    <w:uiPriority w:val="99"/>
    <w:rsid w:val="0081342F"/>
  </w:style>
  <w:style w:type="character" w:customStyle="1" w:styleId="PripombabesediloZnak1">
    <w:name w:val="Pripomba – besedilo Znak1"/>
    <w:uiPriority w:val="99"/>
    <w:rsid w:val="0081342F"/>
    <w:rPr>
      <w:rFonts w:ascii="Times New Roman" w:hAnsi="Times New Roman"/>
      <w:sz w:val="20"/>
    </w:rPr>
  </w:style>
  <w:style w:type="paragraph" w:styleId="Seznam">
    <w:name w:val="List"/>
    <w:basedOn w:val="Telobesedila"/>
    <w:uiPriority w:val="99"/>
    <w:rsid w:val="0081342F"/>
    <w:pPr>
      <w:spacing w:line="276" w:lineRule="auto"/>
    </w:pPr>
    <w:rPr>
      <w:rFonts w:cs="Mangal"/>
    </w:rPr>
  </w:style>
  <w:style w:type="paragraph" w:customStyle="1" w:styleId="Napis1">
    <w:name w:val="Napis1"/>
    <w:basedOn w:val="Navaden"/>
    <w:uiPriority w:val="99"/>
    <w:rsid w:val="0081342F"/>
    <w:pPr>
      <w:suppressLineNumbers/>
      <w:suppressAutoHyphens/>
      <w:overflowPunct w:val="0"/>
      <w:autoSpaceDE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Kazalo">
    <w:name w:val="Kazalo"/>
    <w:basedOn w:val="Navaden"/>
    <w:uiPriority w:val="99"/>
    <w:rsid w:val="0081342F"/>
    <w:pPr>
      <w:suppressLineNumbers/>
      <w:suppressAutoHyphens/>
      <w:spacing w:after="200" w:line="276" w:lineRule="auto"/>
    </w:pPr>
    <w:rPr>
      <w:rFonts w:ascii="Times New Roman" w:eastAsia="Times New Roman" w:hAnsi="Times New Roman" w:cs="Mangal"/>
      <w:sz w:val="24"/>
      <w:szCs w:val="24"/>
      <w:lang w:eastAsia="ar-SA"/>
    </w:rPr>
  </w:style>
  <w:style w:type="paragraph" w:customStyle="1" w:styleId="CommentText1">
    <w:name w:val="Comment Text1"/>
    <w:basedOn w:val="Navaden"/>
    <w:uiPriority w:val="99"/>
    <w:rsid w:val="0081342F"/>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mmentSubject1">
    <w:name w:val="Comment Subject1"/>
    <w:basedOn w:val="CommentText1"/>
    <w:next w:val="CommentText1"/>
    <w:uiPriority w:val="99"/>
    <w:rsid w:val="0081342F"/>
    <w:rPr>
      <w:b/>
      <w:bCs/>
    </w:rPr>
  </w:style>
  <w:style w:type="paragraph" w:customStyle="1" w:styleId="DocumentMap1">
    <w:name w:val="Document Map1"/>
    <w:basedOn w:val="Navaden"/>
    <w:uiPriority w:val="99"/>
    <w:rsid w:val="0081342F"/>
    <w:pPr>
      <w:suppressAutoHyphens/>
      <w:overflowPunct w:val="0"/>
      <w:autoSpaceDE w:val="0"/>
      <w:spacing w:after="0" w:line="240" w:lineRule="auto"/>
      <w:jc w:val="both"/>
      <w:textAlignment w:val="baseline"/>
    </w:pPr>
    <w:rPr>
      <w:rFonts w:ascii="Tahoma" w:eastAsia="Times New Roman" w:hAnsi="Tahoma" w:cs="Tahoma"/>
      <w:sz w:val="16"/>
      <w:szCs w:val="16"/>
      <w:lang w:val="en-US" w:eastAsia="ar-SA"/>
    </w:rPr>
  </w:style>
  <w:style w:type="paragraph" w:customStyle="1" w:styleId="tevilnatoka111">
    <w:name w:val="Številčna točka 1.1.1"/>
    <w:basedOn w:val="Navaden"/>
    <w:qFormat/>
    <w:rsid w:val="0081342F"/>
    <w:pPr>
      <w:widowControl w:val="0"/>
      <w:numPr>
        <w:numId w:val="17"/>
      </w:numPr>
      <w:tabs>
        <w:tab w:val="clear" w:pos="539"/>
        <w:tab w:val="num" w:pos="425"/>
      </w:tabs>
      <w:suppressAutoHyphens/>
      <w:overflowPunct w:val="0"/>
      <w:autoSpaceDE w:val="0"/>
      <w:spacing w:after="0" w:line="240" w:lineRule="auto"/>
      <w:ind w:left="425" w:hanging="425"/>
      <w:jc w:val="both"/>
      <w:textAlignment w:val="baseline"/>
    </w:pPr>
    <w:rPr>
      <w:rFonts w:ascii="Arial" w:eastAsia="Times New Roman" w:hAnsi="Arial" w:cs="Arial"/>
      <w:szCs w:val="16"/>
      <w:lang w:eastAsia="ar-SA"/>
    </w:rPr>
  </w:style>
  <w:style w:type="paragraph" w:customStyle="1" w:styleId="odstavek1">
    <w:name w:val="odstavek1"/>
    <w:basedOn w:val="Navaden"/>
    <w:uiPriority w:val="99"/>
    <w:rsid w:val="0081342F"/>
    <w:pPr>
      <w:suppressAutoHyphens/>
      <w:spacing w:before="240" w:after="0" w:line="240" w:lineRule="auto"/>
      <w:ind w:firstLine="1021"/>
      <w:jc w:val="both"/>
    </w:pPr>
    <w:rPr>
      <w:rFonts w:ascii="Arial" w:eastAsia="Times New Roman" w:hAnsi="Arial" w:cs="Arial"/>
      <w:lang w:val="en-US" w:eastAsia="ar-SA"/>
    </w:rPr>
  </w:style>
  <w:style w:type="paragraph" w:customStyle="1" w:styleId="alineazaodstavkom1">
    <w:name w:val="alineazaodstavkom1"/>
    <w:basedOn w:val="Navaden"/>
    <w:uiPriority w:val="99"/>
    <w:rsid w:val="0081342F"/>
    <w:pPr>
      <w:suppressAutoHyphens/>
      <w:spacing w:after="0" w:line="240" w:lineRule="auto"/>
      <w:ind w:left="425" w:hanging="425"/>
      <w:jc w:val="both"/>
    </w:pPr>
    <w:rPr>
      <w:rFonts w:ascii="Arial" w:eastAsia="Times New Roman" w:hAnsi="Arial" w:cs="Arial"/>
      <w:lang w:val="en-US" w:eastAsia="ar-SA"/>
    </w:rPr>
  </w:style>
  <w:style w:type="paragraph" w:styleId="Naslov">
    <w:name w:val="Title"/>
    <w:basedOn w:val="Navaden"/>
    <w:next w:val="Telobesedila"/>
    <w:link w:val="NaslovZnak"/>
    <w:uiPriority w:val="99"/>
    <w:qFormat/>
    <w:rsid w:val="0081342F"/>
    <w:pPr>
      <w:keepNext/>
      <w:suppressAutoHyphens/>
      <w:spacing w:before="240" w:after="120" w:line="276" w:lineRule="auto"/>
    </w:pPr>
    <w:rPr>
      <w:rFonts w:ascii="Arial" w:eastAsia="Times New Roman" w:hAnsi="Arial" w:cs="Arial"/>
      <w:sz w:val="28"/>
      <w:szCs w:val="28"/>
      <w:lang w:eastAsia="ar-SA"/>
    </w:rPr>
  </w:style>
  <w:style w:type="character" w:customStyle="1" w:styleId="NaslovZnak">
    <w:name w:val="Naslov Znak"/>
    <w:basedOn w:val="Privzetapisavaodstavka"/>
    <w:link w:val="Naslov"/>
    <w:uiPriority w:val="99"/>
    <w:rsid w:val="0081342F"/>
    <w:rPr>
      <w:rFonts w:ascii="Arial" w:eastAsia="Times New Roman" w:hAnsi="Arial" w:cs="Arial"/>
      <w:sz w:val="28"/>
      <w:szCs w:val="28"/>
      <w:lang w:eastAsia="ar-SA"/>
    </w:rPr>
  </w:style>
  <w:style w:type="paragraph" w:styleId="Podnaslov">
    <w:name w:val="Subtitle"/>
    <w:basedOn w:val="Navaden"/>
    <w:next w:val="Telobesedila"/>
    <w:link w:val="PodnaslovZnak"/>
    <w:uiPriority w:val="99"/>
    <w:qFormat/>
    <w:rsid w:val="0081342F"/>
    <w:pPr>
      <w:keepNext/>
      <w:suppressAutoHyphens/>
      <w:overflowPunct w:val="0"/>
      <w:autoSpaceDE w:val="0"/>
      <w:spacing w:before="240" w:after="120" w:line="240" w:lineRule="auto"/>
      <w:jc w:val="center"/>
      <w:textAlignment w:val="baseline"/>
    </w:pPr>
    <w:rPr>
      <w:rFonts w:ascii="Arial" w:eastAsia="Times New Roman" w:hAnsi="Arial" w:cs="Mangal"/>
      <w:i/>
      <w:iCs/>
      <w:sz w:val="28"/>
      <w:szCs w:val="28"/>
      <w:lang w:eastAsia="ar-SA"/>
    </w:rPr>
  </w:style>
  <w:style w:type="character" w:customStyle="1" w:styleId="PodnaslovZnak">
    <w:name w:val="Podnaslov Znak"/>
    <w:basedOn w:val="Privzetapisavaodstavka"/>
    <w:link w:val="Podnaslov"/>
    <w:uiPriority w:val="99"/>
    <w:rsid w:val="0081342F"/>
    <w:rPr>
      <w:rFonts w:ascii="Arial" w:eastAsia="Times New Roman" w:hAnsi="Arial" w:cs="Mangal"/>
      <w:i/>
      <w:iCs/>
      <w:sz w:val="28"/>
      <w:szCs w:val="28"/>
      <w:lang w:eastAsia="ar-SA"/>
    </w:rPr>
  </w:style>
  <w:style w:type="paragraph" w:customStyle="1" w:styleId="odsek0">
    <w:name w:val="ods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oddelek0">
    <w:name w:val="oddel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Poslovnikodstavek">
    <w:name w:val="Poslovnik_odstavek"/>
    <w:uiPriority w:val="99"/>
    <w:rsid w:val="0081342F"/>
    <w:pPr>
      <w:widowControl w:val="0"/>
      <w:numPr>
        <w:numId w:val="16"/>
      </w:numPr>
      <w:tabs>
        <w:tab w:val="num" w:pos="5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ind w:left="539" w:hanging="397"/>
      <w:jc w:val="both"/>
    </w:pPr>
    <w:rPr>
      <w:rFonts w:ascii="Calibri" w:eastAsia="ヒラギノ角ゴ Pro W3" w:hAnsi="Calibri" w:cs="Times New Roman"/>
      <w:color w:val="000000"/>
      <w:szCs w:val="20"/>
      <w:lang w:eastAsia="ar-SA"/>
    </w:rPr>
  </w:style>
  <w:style w:type="paragraph" w:customStyle="1" w:styleId="Poslovnikstevilkaclena">
    <w:name w:val="Poslovnik_stevilka clena"/>
    <w:next w:val="Poslovniknaslovclena"/>
    <w:uiPriority w:val="99"/>
    <w:rsid w:val="0081342F"/>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s="Times New Roman"/>
      <w:color w:val="00B050"/>
      <w:szCs w:val="20"/>
      <w:lang w:eastAsia="ar-SA"/>
    </w:rPr>
  </w:style>
  <w:style w:type="paragraph" w:customStyle="1" w:styleId="Poslovniknaslovclena">
    <w:name w:val="Poslovnik_naslov clena"/>
    <w:next w:val="Poslovnikodstavek"/>
    <w:uiPriority w:val="99"/>
    <w:rsid w:val="0081342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center"/>
    </w:pPr>
    <w:rPr>
      <w:rFonts w:ascii="Calibri" w:eastAsia="ヒラギノ角ゴ Pro W3" w:hAnsi="Calibri" w:cs="Times New Roman"/>
      <w:color w:val="000000"/>
      <w:szCs w:val="20"/>
      <w:lang w:eastAsia="ar-SA"/>
    </w:rPr>
  </w:style>
  <w:style w:type="paragraph" w:customStyle="1" w:styleId="Barvniseznampoudarek11">
    <w:name w:val="Barvni seznam – poudarek 11"/>
    <w:uiPriority w:val="99"/>
    <w:rsid w:val="0081342F"/>
    <w:pPr>
      <w:suppressAutoHyphens/>
      <w:spacing w:before="100" w:after="100" w:line="240" w:lineRule="auto"/>
      <w:ind w:left="720"/>
      <w:jc w:val="both"/>
    </w:pPr>
    <w:rPr>
      <w:rFonts w:ascii="Calibri" w:eastAsia="ヒラギノ角ゴ Pro W3" w:hAnsi="Calibri" w:cs="Times New Roman"/>
      <w:color w:val="000000"/>
      <w:szCs w:val="20"/>
      <w:lang w:eastAsia="ar-SA"/>
    </w:rPr>
  </w:style>
  <w:style w:type="paragraph" w:customStyle="1" w:styleId="Pripombabesedilo1">
    <w:name w:val="Pripomba – besedilo1"/>
    <w:basedOn w:val="Navaden"/>
    <w:uiPriority w:val="99"/>
    <w:rsid w:val="0081342F"/>
    <w:pPr>
      <w:suppressAutoHyphens/>
      <w:spacing w:line="240" w:lineRule="auto"/>
      <w:textAlignment w:val="baseline"/>
    </w:pPr>
    <w:rPr>
      <w:rFonts w:ascii="Calibri" w:eastAsia="Times New Roman" w:hAnsi="Calibri" w:cs="Calibri"/>
      <w:sz w:val="20"/>
      <w:szCs w:val="20"/>
      <w:lang w:eastAsia="ar-SA"/>
    </w:rPr>
  </w:style>
  <w:style w:type="character" w:customStyle="1" w:styleId="CommentTextChar2">
    <w:name w:val="Comment Text Char2"/>
    <w:basedOn w:val="Privzetapisavaodstavka"/>
    <w:uiPriority w:val="99"/>
    <w:rsid w:val="0081342F"/>
    <w:rPr>
      <w:rFonts w:ascii="Arial" w:hAnsi="Arial"/>
      <w:lang w:eastAsia="ar-SA"/>
    </w:rPr>
  </w:style>
  <w:style w:type="character" w:customStyle="1" w:styleId="CommentSubjectChar2">
    <w:name w:val="Comment Subject Char2"/>
    <w:basedOn w:val="CommentTextChar2"/>
    <w:uiPriority w:val="99"/>
    <w:rsid w:val="0081342F"/>
    <w:rPr>
      <w:rFonts w:ascii="Arial" w:hAnsi="Arial"/>
      <w:b/>
      <w:bCs/>
      <w:lang w:eastAsia="ar-SA"/>
    </w:rPr>
  </w:style>
  <w:style w:type="character" w:customStyle="1" w:styleId="Komentar-besediloZnak">
    <w:name w:val="Komentar - besedilo Znak"/>
    <w:uiPriority w:val="99"/>
    <w:rsid w:val="0081342F"/>
    <w:rPr>
      <w:rFonts w:ascii="Arial" w:hAnsi="Arial"/>
      <w:lang w:val="sl-SI" w:eastAsia="ar-SA" w:bidi="ar-SA"/>
    </w:rPr>
  </w:style>
  <w:style w:type="paragraph" w:customStyle="1" w:styleId="Odstavekseznama2">
    <w:name w:val="Odstavek seznama2"/>
    <w:basedOn w:val="Navaden"/>
    <w:uiPriority w:val="99"/>
    <w:rsid w:val="0081342F"/>
    <w:pPr>
      <w:suppressAutoHyphens/>
      <w:overflowPunct w:val="0"/>
      <w:autoSpaceDE w:val="0"/>
      <w:spacing w:after="0" w:line="240" w:lineRule="auto"/>
      <w:ind w:left="720"/>
      <w:contextualSpacing/>
      <w:jc w:val="both"/>
      <w:textAlignment w:val="baseline"/>
    </w:pPr>
    <w:rPr>
      <w:rFonts w:ascii="Arial" w:eastAsia="Times New Roman" w:hAnsi="Arial" w:cs="Arial"/>
      <w:szCs w:val="16"/>
      <w:lang w:eastAsia="ar-SA"/>
    </w:rPr>
  </w:style>
  <w:style w:type="paragraph" w:customStyle="1" w:styleId="zamaknjenadolobaprvinivo0">
    <w:name w:val="zamaknjenadolobaprvinivo"/>
    <w:basedOn w:val="Navaden"/>
    <w:rsid w:val="008134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zitve">
    <w:name w:val="Obrazlozitve"/>
    <w:basedOn w:val="Navaden"/>
    <w:next w:val="Telobesedila"/>
    <w:link w:val="ObrazlozitveZnak"/>
    <w:qFormat/>
    <w:rsid w:val="0081342F"/>
    <w:pPr>
      <w:suppressAutoHyphens/>
      <w:overflowPunct w:val="0"/>
      <w:autoSpaceDE w:val="0"/>
      <w:spacing w:after="0" w:line="260" w:lineRule="atLeast"/>
      <w:jc w:val="both"/>
      <w:textAlignment w:val="baseline"/>
    </w:pPr>
    <w:rPr>
      <w:rFonts w:ascii="Arial" w:eastAsia="Times New Roman" w:hAnsi="Arial" w:cs="Arial"/>
      <w:b/>
      <w:szCs w:val="20"/>
      <w:lang w:eastAsia="ar-SA"/>
    </w:rPr>
  </w:style>
  <w:style w:type="character" w:customStyle="1" w:styleId="ObrazlozitveZnak">
    <w:name w:val="Obrazlozitve Znak"/>
    <w:basedOn w:val="Privzetapisavaodstavka"/>
    <w:link w:val="Obrazlozitve"/>
    <w:rsid w:val="0081342F"/>
    <w:rPr>
      <w:rFonts w:ascii="Arial" w:eastAsia="Times New Roman" w:hAnsi="Arial" w:cs="Arial"/>
      <w:b/>
      <w:szCs w:val="20"/>
      <w:lang w:eastAsia="ar-SA"/>
    </w:rPr>
  </w:style>
  <w:style w:type="numbering" w:customStyle="1" w:styleId="Brezseznama1">
    <w:name w:val="Brez seznama1"/>
    <w:next w:val="Brezseznama"/>
    <w:uiPriority w:val="99"/>
    <w:semiHidden/>
    <w:unhideWhenUsed/>
    <w:rsid w:val="0055047E"/>
  </w:style>
  <w:style w:type="table" w:customStyle="1" w:styleId="Tabelamrea1">
    <w:name w:val="Tabela – mreža1"/>
    <w:basedOn w:val="Navadnatabela"/>
    <w:next w:val="Tabelamrea"/>
    <w:uiPriority w:val="99"/>
    <w:rsid w:val="0055047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1"/>
    <w:uiPriority w:val="99"/>
    <w:rsid w:val="0055047E"/>
    <w:rPr>
      <w:rFonts w:cs="Times New Roman"/>
    </w:rPr>
  </w:style>
  <w:style w:type="character" w:customStyle="1" w:styleId="CommentSubjectChar">
    <w:name w:val="Comment Subject Char"/>
    <w:uiPriority w:val="99"/>
    <w:rsid w:val="0055047E"/>
    <w:rPr>
      <w:rFonts w:ascii="Arial" w:hAnsi="Arial"/>
      <w:b/>
      <w:sz w:val="20"/>
      <w:lang w:val="sl-SI"/>
    </w:rPr>
  </w:style>
  <w:style w:type="character" w:customStyle="1" w:styleId="FooterChar">
    <w:name w:val="Footer Char"/>
    <w:uiPriority w:val="99"/>
    <w:rsid w:val="0055047E"/>
    <w:rPr>
      <w:sz w:val="24"/>
    </w:rPr>
  </w:style>
  <w:style w:type="character" w:customStyle="1" w:styleId="DocumentMapChar">
    <w:name w:val="Document Map Char"/>
    <w:uiPriority w:val="99"/>
    <w:rsid w:val="0055047E"/>
    <w:rPr>
      <w:rFonts w:ascii="Tahoma" w:hAnsi="Tahoma"/>
      <w:sz w:val="16"/>
    </w:rPr>
  </w:style>
  <w:style w:type="character" w:styleId="Nerazreenaomemba">
    <w:name w:val="Unresolved Mention"/>
    <w:basedOn w:val="Privzetapisavaodstavka"/>
    <w:uiPriority w:val="99"/>
    <w:semiHidden/>
    <w:unhideWhenUsed/>
    <w:rsid w:val="00D9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411782806">
      <w:bodyDiv w:val="1"/>
      <w:marLeft w:val="0"/>
      <w:marRight w:val="0"/>
      <w:marTop w:val="0"/>
      <w:marBottom w:val="0"/>
      <w:divBdr>
        <w:top w:val="none" w:sz="0" w:space="0" w:color="auto"/>
        <w:left w:val="none" w:sz="0" w:space="0" w:color="auto"/>
        <w:bottom w:val="none" w:sz="0" w:space="0" w:color="auto"/>
        <w:right w:val="none" w:sz="0" w:space="0" w:color="auto"/>
      </w:divBdr>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1922524805">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2-01-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19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1904" TargetMode="External"/><Relationship Id="rId4" Type="http://schemas.openxmlformats.org/officeDocument/2006/relationships/settings" Target="settings.xml"/><Relationship Id="rId9" Type="http://schemas.openxmlformats.org/officeDocument/2006/relationships/hyperlink" Target="http://www.uradni-list.si/1/objava.jsp?sop=2005-01-082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sop=2011-01-0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5BC185-FFC6-47EE-B2BC-BCA438A8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144</Pages>
  <Words>80489</Words>
  <Characters>458792</Characters>
  <Application>Microsoft Office Word</Application>
  <DocSecurity>0</DocSecurity>
  <Lines>3823</Lines>
  <Paragraphs>1076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Golobinek</dc:creator>
  <cp:lastModifiedBy>Matjaž Mešnjak</cp:lastModifiedBy>
  <cp:revision>2</cp:revision>
  <cp:lastPrinted>2019-06-17T11:30:00Z</cp:lastPrinted>
  <dcterms:created xsi:type="dcterms:W3CDTF">2019-06-17T14:07:00Z</dcterms:created>
  <dcterms:modified xsi:type="dcterms:W3CDTF">2019-06-17T14:07:00Z</dcterms:modified>
</cp:coreProperties>
</file>