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7D" w:rsidRPr="0098787B" w:rsidRDefault="007A607D" w:rsidP="007A607D">
      <w:bookmarkStart w:id="0" w:name="_GoBack"/>
      <w:bookmarkEnd w:id="0"/>
    </w:p>
    <w:p w:rsidR="007A607D" w:rsidRPr="0098787B" w:rsidRDefault="007A607D" w:rsidP="007A607D"/>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4722"/>
        <w:gridCol w:w="778"/>
        <w:gridCol w:w="2169"/>
      </w:tblGrid>
      <w:tr w:rsidR="007A607D" w:rsidRPr="0098787B" w:rsidTr="00DB61C3">
        <w:trPr>
          <w:gridAfter w:val="2"/>
          <w:wAfter w:w="2947" w:type="dxa"/>
        </w:trPr>
        <w:tc>
          <w:tcPr>
            <w:tcW w:w="6153" w:type="dxa"/>
            <w:gridSpan w:val="2"/>
          </w:tcPr>
          <w:p w:rsidR="007A607D" w:rsidRPr="0098787B" w:rsidRDefault="007A607D" w:rsidP="00DB61C3">
            <w:pPr>
              <w:pStyle w:val="Neotevilenodstavek"/>
              <w:spacing w:before="0" w:after="0" w:line="260" w:lineRule="exact"/>
              <w:jc w:val="left"/>
              <w:rPr>
                <w:sz w:val="20"/>
                <w:szCs w:val="20"/>
              </w:rPr>
            </w:pPr>
            <w:r w:rsidRPr="0098787B">
              <w:rPr>
                <w:sz w:val="20"/>
                <w:szCs w:val="20"/>
              </w:rPr>
              <w:t xml:space="preserve">Številka: </w:t>
            </w:r>
            <w:r>
              <w:rPr>
                <w:sz w:val="20"/>
                <w:szCs w:val="20"/>
              </w:rPr>
              <w:t>410-1/2019/23</w:t>
            </w:r>
          </w:p>
        </w:tc>
      </w:tr>
      <w:tr w:rsidR="007A607D" w:rsidRPr="0098787B" w:rsidTr="00DB61C3">
        <w:trPr>
          <w:gridAfter w:val="2"/>
          <w:wAfter w:w="2947" w:type="dxa"/>
        </w:trPr>
        <w:tc>
          <w:tcPr>
            <w:tcW w:w="6153" w:type="dxa"/>
            <w:gridSpan w:val="2"/>
          </w:tcPr>
          <w:p w:rsidR="007A607D" w:rsidRPr="0098787B" w:rsidRDefault="007A607D" w:rsidP="00DB61C3">
            <w:pPr>
              <w:pStyle w:val="Neotevilenodstavek"/>
              <w:spacing w:before="0" w:after="0" w:line="260" w:lineRule="exact"/>
              <w:jc w:val="left"/>
              <w:rPr>
                <w:sz w:val="20"/>
                <w:szCs w:val="20"/>
              </w:rPr>
            </w:pPr>
            <w:r w:rsidRPr="0098787B">
              <w:rPr>
                <w:sz w:val="20"/>
                <w:szCs w:val="20"/>
              </w:rPr>
              <w:t xml:space="preserve">Ljubljana, </w:t>
            </w:r>
            <w:r>
              <w:rPr>
                <w:sz w:val="20"/>
                <w:szCs w:val="20"/>
              </w:rPr>
              <w:t>11.2.2019</w:t>
            </w:r>
          </w:p>
        </w:tc>
      </w:tr>
      <w:tr w:rsidR="007A607D" w:rsidRPr="0098787B" w:rsidTr="00DB61C3">
        <w:trPr>
          <w:gridAfter w:val="2"/>
          <w:wAfter w:w="2947" w:type="dxa"/>
        </w:trPr>
        <w:tc>
          <w:tcPr>
            <w:tcW w:w="6153" w:type="dxa"/>
            <w:gridSpan w:val="2"/>
          </w:tcPr>
          <w:p w:rsidR="007A607D" w:rsidRPr="0098787B" w:rsidRDefault="007A607D" w:rsidP="00DB61C3">
            <w:pPr>
              <w:pStyle w:val="Neotevilenodstavek"/>
              <w:spacing w:before="0" w:after="0" w:line="260" w:lineRule="exact"/>
              <w:jc w:val="left"/>
              <w:rPr>
                <w:sz w:val="20"/>
                <w:szCs w:val="20"/>
              </w:rPr>
            </w:pPr>
            <w:r w:rsidRPr="0098787B">
              <w:rPr>
                <w:iCs/>
                <w:sz w:val="20"/>
                <w:szCs w:val="20"/>
              </w:rPr>
              <w:t>EVA (če se akt objavi v Uradnem listu RS)</w:t>
            </w:r>
          </w:p>
        </w:tc>
      </w:tr>
      <w:tr w:rsidR="007A607D" w:rsidRPr="0098787B" w:rsidTr="00DB61C3">
        <w:trPr>
          <w:gridAfter w:val="2"/>
          <w:wAfter w:w="2947" w:type="dxa"/>
        </w:trPr>
        <w:tc>
          <w:tcPr>
            <w:tcW w:w="6153" w:type="dxa"/>
            <w:gridSpan w:val="2"/>
          </w:tcPr>
          <w:p w:rsidR="007A607D" w:rsidRPr="0098787B" w:rsidRDefault="007A607D" w:rsidP="00DB61C3">
            <w:pPr>
              <w:rPr>
                <w:rFonts w:cs="Arial"/>
                <w:szCs w:val="20"/>
              </w:rPr>
            </w:pPr>
          </w:p>
          <w:p w:rsidR="007A607D" w:rsidRPr="0098787B" w:rsidRDefault="007A607D" w:rsidP="00DB61C3">
            <w:pPr>
              <w:rPr>
                <w:rFonts w:cs="Arial"/>
                <w:szCs w:val="20"/>
              </w:rPr>
            </w:pPr>
            <w:r w:rsidRPr="0098787B">
              <w:rPr>
                <w:rFonts w:cs="Arial"/>
                <w:szCs w:val="20"/>
              </w:rPr>
              <w:t>GENERALNI SEKRETARIAT VLADE REPUBLIKE SLOVENIJE</w:t>
            </w:r>
          </w:p>
          <w:p w:rsidR="007A607D" w:rsidRPr="0098787B" w:rsidRDefault="000A65EF" w:rsidP="00DB61C3">
            <w:pPr>
              <w:rPr>
                <w:rFonts w:cs="Arial"/>
                <w:szCs w:val="20"/>
              </w:rPr>
            </w:pPr>
            <w:hyperlink r:id="rId8" w:history="1">
              <w:r w:rsidR="007A607D" w:rsidRPr="0098787B">
                <w:rPr>
                  <w:rStyle w:val="Hiperpovezava"/>
                  <w:szCs w:val="20"/>
                </w:rPr>
                <w:t>Gp.gs@gov.si</w:t>
              </w:r>
            </w:hyperlink>
          </w:p>
          <w:p w:rsidR="007A607D" w:rsidRPr="0098787B" w:rsidRDefault="007A607D" w:rsidP="00DB61C3">
            <w:pPr>
              <w:rPr>
                <w:rFonts w:cs="Arial"/>
                <w:szCs w:val="20"/>
              </w:rPr>
            </w:pPr>
          </w:p>
        </w:tc>
      </w:tr>
      <w:tr w:rsidR="007A607D" w:rsidRPr="0098787B" w:rsidTr="00DB61C3">
        <w:tc>
          <w:tcPr>
            <w:tcW w:w="9100" w:type="dxa"/>
            <w:gridSpan w:val="4"/>
          </w:tcPr>
          <w:p w:rsidR="007A607D" w:rsidRPr="0098787B" w:rsidRDefault="007A607D" w:rsidP="00DB61C3">
            <w:pPr>
              <w:pStyle w:val="Naslovpredpisa"/>
              <w:spacing w:before="0" w:after="0" w:line="260" w:lineRule="exact"/>
              <w:jc w:val="left"/>
              <w:rPr>
                <w:sz w:val="20"/>
                <w:szCs w:val="20"/>
              </w:rPr>
            </w:pPr>
            <w:r w:rsidRPr="0098787B">
              <w:rPr>
                <w:sz w:val="20"/>
                <w:szCs w:val="20"/>
              </w:rPr>
              <w:t xml:space="preserve">ZADEVA: </w:t>
            </w:r>
            <w:r w:rsidRPr="0098787B">
              <w:rPr>
                <w:szCs w:val="20"/>
              </w:rPr>
              <w:t>Uvrstitev novega projekta v veljavni načrt razvojnih programov 2019-2022 - predlog za obravnavo</w:t>
            </w:r>
          </w:p>
        </w:tc>
      </w:tr>
      <w:tr w:rsidR="007A607D" w:rsidRPr="0098787B" w:rsidTr="00DB61C3">
        <w:tc>
          <w:tcPr>
            <w:tcW w:w="9100" w:type="dxa"/>
            <w:gridSpan w:val="4"/>
          </w:tcPr>
          <w:p w:rsidR="007A607D" w:rsidRPr="0098787B" w:rsidRDefault="007A607D" w:rsidP="00DB61C3">
            <w:pPr>
              <w:pStyle w:val="Poglavje"/>
              <w:spacing w:before="0" w:after="0" w:line="260" w:lineRule="exact"/>
              <w:jc w:val="left"/>
              <w:rPr>
                <w:sz w:val="20"/>
                <w:szCs w:val="20"/>
              </w:rPr>
            </w:pPr>
            <w:r w:rsidRPr="0098787B">
              <w:rPr>
                <w:sz w:val="20"/>
                <w:szCs w:val="20"/>
              </w:rPr>
              <w:t>1. Predlog sklepov vlade:</w:t>
            </w:r>
          </w:p>
        </w:tc>
      </w:tr>
      <w:tr w:rsidR="007A607D" w:rsidRPr="0098787B" w:rsidTr="00DB61C3">
        <w:tc>
          <w:tcPr>
            <w:tcW w:w="9100" w:type="dxa"/>
            <w:gridSpan w:val="4"/>
          </w:tcPr>
          <w:p w:rsidR="007A607D" w:rsidRPr="0098787B" w:rsidRDefault="007A607D" w:rsidP="00DB61C3">
            <w:pPr>
              <w:autoSpaceDE w:val="0"/>
              <w:autoSpaceDN w:val="0"/>
              <w:adjustRightInd w:val="0"/>
              <w:spacing w:line="240" w:lineRule="auto"/>
              <w:rPr>
                <w:rFonts w:cs="Arial"/>
                <w:iCs/>
                <w:szCs w:val="20"/>
                <w:lang w:eastAsia="x-none"/>
              </w:rPr>
            </w:pPr>
            <w:r w:rsidRPr="0098787B">
              <w:rPr>
                <w:rFonts w:cs="Arial"/>
                <w:iCs/>
                <w:szCs w:val="20"/>
                <w:lang w:eastAsia="x-none"/>
              </w:rPr>
              <w:t>Na podlagi petega odstavka 31. člena Zakona o izvrševanju proračunov Republike Slovenije za leti 2018 in 2019 (Uradni list RS, št. 71/17</w:t>
            </w:r>
            <w:r>
              <w:rPr>
                <w:rFonts w:cs="Arial"/>
                <w:iCs/>
                <w:szCs w:val="20"/>
                <w:lang w:eastAsia="x-none"/>
              </w:rPr>
              <w:t>,</w:t>
            </w:r>
            <w:r w:rsidRPr="0098787B">
              <w:rPr>
                <w:rFonts w:cs="Arial"/>
                <w:iCs/>
                <w:szCs w:val="20"/>
                <w:lang w:eastAsia="x-none"/>
              </w:rPr>
              <w:t xml:space="preserve"> 13/18 – ZJF-H</w:t>
            </w:r>
            <w:r>
              <w:rPr>
                <w:rFonts w:cs="Arial"/>
                <w:iCs/>
                <w:szCs w:val="20"/>
                <w:lang w:eastAsia="x-none"/>
              </w:rPr>
              <w:t xml:space="preserve"> in 83/18</w:t>
            </w:r>
            <w:r w:rsidRPr="0098787B">
              <w:rPr>
                <w:rFonts w:cs="Arial"/>
                <w:iCs/>
                <w:szCs w:val="20"/>
                <w:lang w:eastAsia="x-none"/>
              </w:rPr>
              <w:t>) je Vlada Republike Slovenije na …. redni seji dne ... ... 201</w:t>
            </w:r>
            <w:r>
              <w:rPr>
                <w:rFonts w:cs="Arial"/>
                <w:iCs/>
                <w:szCs w:val="20"/>
                <w:lang w:eastAsia="x-none"/>
              </w:rPr>
              <w:t>9</w:t>
            </w:r>
            <w:r w:rsidRPr="0098787B">
              <w:rPr>
                <w:rFonts w:cs="Arial"/>
                <w:iCs/>
                <w:szCs w:val="20"/>
                <w:lang w:eastAsia="x-none"/>
              </w:rPr>
              <w:t xml:space="preserve"> pod točko … sprejela naslednji</w:t>
            </w:r>
          </w:p>
          <w:p w:rsidR="007A607D" w:rsidRPr="0098787B" w:rsidRDefault="007A607D" w:rsidP="00DB61C3">
            <w:pPr>
              <w:autoSpaceDE w:val="0"/>
              <w:autoSpaceDN w:val="0"/>
              <w:adjustRightInd w:val="0"/>
              <w:spacing w:line="240" w:lineRule="auto"/>
              <w:rPr>
                <w:rFonts w:cs="Arial"/>
                <w:iCs/>
                <w:szCs w:val="20"/>
                <w:lang w:eastAsia="x-none"/>
              </w:rPr>
            </w:pPr>
          </w:p>
          <w:p w:rsidR="007A607D" w:rsidRPr="0098787B" w:rsidRDefault="007A607D" w:rsidP="00DB61C3">
            <w:pPr>
              <w:autoSpaceDE w:val="0"/>
              <w:autoSpaceDN w:val="0"/>
              <w:adjustRightInd w:val="0"/>
              <w:spacing w:line="240" w:lineRule="auto"/>
              <w:rPr>
                <w:rFonts w:cs="Arial"/>
                <w:iCs/>
                <w:szCs w:val="20"/>
                <w:lang w:eastAsia="x-none"/>
              </w:rPr>
            </w:pPr>
          </w:p>
          <w:p w:rsidR="007A607D" w:rsidRPr="0098787B" w:rsidRDefault="007A607D" w:rsidP="00DB61C3">
            <w:pPr>
              <w:pStyle w:val="Neotevilenodstavek"/>
              <w:ind w:left="360"/>
              <w:rPr>
                <w:iCs/>
              </w:rPr>
            </w:pPr>
          </w:p>
          <w:p w:rsidR="007A607D" w:rsidRPr="0098787B" w:rsidRDefault="007A607D" w:rsidP="00DB61C3">
            <w:pPr>
              <w:pStyle w:val="Neotevilenodstavek"/>
              <w:ind w:left="360"/>
              <w:jc w:val="center"/>
              <w:rPr>
                <w:b/>
                <w:iCs/>
              </w:rPr>
            </w:pPr>
            <w:r w:rsidRPr="0098787B">
              <w:rPr>
                <w:b/>
                <w:iCs/>
              </w:rPr>
              <w:t>SKLEP</w:t>
            </w:r>
          </w:p>
          <w:p w:rsidR="007A607D" w:rsidRPr="0098787B" w:rsidRDefault="007A607D" w:rsidP="00DB61C3">
            <w:pPr>
              <w:ind w:left="360"/>
              <w:jc w:val="both"/>
              <w:rPr>
                <w:rFonts w:cs="Arial"/>
                <w:color w:val="000000"/>
                <w:szCs w:val="20"/>
                <w:shd w:val="clear" w:color="auto" w:fill="FFFFFF"/>
              </w:rPr>
            </w:pPr>
          </w:p>
          <w:p w:rsidR="007A607D" w:rsidRPr="0098787B" w:rsidRDefault="007A607D" w:rsidP="00DB61C3">
            <w:pPr>
              <w:jc w:val="both"/>
              <w:rPr>
                <w:rFonts w:cs="Arial"/>
                <w:color w:val="000000"/>
                <w:szCs w:val="20"/>
                <w:shd w:val="clear" w:color="auto" w:fill="FFFFFF"/>
              </w:rPr>
            </w:pPr>
            <w:r w:rsidRPr="0098787B">
              <w:rPr>
                <w:rFonts w:cs="Arial"/>
                <w:color w:val="000000"/>
                <w:szCs w:val="20"/>
                <w:shd w:val="clear" w:color="auto" w:fill="FFFFFF"/>
              </w:rPr>
              <w:t xml:space="preserve">V </w:t>
            </w:r>
            <w:r>
              <w:rPr>
                <w:rFonts w:cs="Arial"/>
                <w:color w:val="000000"/>
                <w:szCs w:val="20"/>
                <w:shd w:val="clear" w:color="auto" w:fill="FFFFFF"/>
              </w:rPr>
              <w:t>V</w:t>
            </w:r>
            <w:r w:rsidRPr="0098787B">
              <w:rPr>
                <w:rFonts w:cs="Arial"/>
                <w:color w:val="000000"/>
                <w:szCs w:val="20"/>
                <w:shd w:val="clear" w:color="auto" w:fill="FFFFFF"/>
              </w:rPr>
              <w:t xml:space="preserve">eljavni </w:t>
            </w:r>
            <w:r>
              <w:rPr>
                <w:rFonts w:cs="Arial"/>
                <w:color w:val="000000"/>
                <w:szCs w:val="20"/>
                <w:shd w:val="clear" w:color="auto" w:fill="FFFFFF"/>
              </w:rPr>
              <w:t>N</w:t>
            </w:r>
            <w:r w:rsidRPr="0098787B">
              <w:rPr>
                <w:rFonts w:cs="Arial"/>
                <w:color w:val="000000"/>
                <w:szCs w:val="20"/>
                <w:shd w:val="clear" w:color="auto" w:fill="FFFFFF"/>
              </w:rPr>
              <w:t>ačrt razvojnih programov 2019-2022 se, skladno s priloženo tabelo, uvrsti nov projekt 2550-19-0002 z nazivom »VISFRIM Upravljanje poplavne ogroženosti na porečju reke Vipave in na ostalih čezmejnih porečjih</w:t>
            </w:r>
            <w:r w:rsidRPr="0098787B">
              <w:rPr>
                <w:rFonts w:cs="Arial"/>
                <w:szCs w:val="20"/>
              </w:rPr>
              <w:t>«.</w:t>
            </w:r>
          </w:p>
          <w:p w:rsidR="007A607D" w:rsidRPr="0098787B" w:rsidRDefault="007A607D" w:rsidP="00DB61C3">
            <w:pPr>
              <w:ind w:left="720"/>
              <w:jc w:val="both"/>
              <w:rPr>
                <w:rFonts w:cs="Arial"/>
                <w:color w:val="000000"/>
                <w:szCs w:val="20"/>
                <w:shd w:val="clear" w:color="auto" w:fill="FFFFFF"/>
              </w:rPr>
            </w:pPr>
          </w:p>
          <w:p w:rsidR="007A607D" w:rsidRPr="0098787B" w:rsidRDefault="007A607D" w:rsidP="00DB61C3">
            <w:pPr>
              <w:ind w:left="720"/>
              <w:jc w:val="both"/>
              <w:rPr>
                <w:rFonts w:cs="Arial"/>
                <w:color w:val="000000"/>
                <w:szCs w:val="20"/>
                <w:shd w:val="clear" w:color="auto" w:fill="FFFFFF"/>
              </w:rPr>
            </w:pPr>
          </w:p>
          <w:p w:rsidR="007A607D" w:rsidRPr="0098787B" w:rsidRDefault="007A607D" w:rsidP="00DB61C3">
            <w:pPr>
              <w:jc w:val="both"/>
              <w:rPr>
                <w:rFonts w:cs="Arial"/>
                <w:color w:val="000000"/>
                <w:szCs w:val="20"/>
                <w:shd w:val="clear" w:color="auto" w:fill="FFFFFF"/>
              </w:rPr>
            </w:pPr>
          </w:p>
          <w:p w:rsidR="007A607D" w:rsidRPr="0098787B" w:rsidRDefault="007A607D" w:rsidP="00DB61C3">
            <w:pPr>
              <w:pStyle w:val="Neotevilenodstavek"/>
              <w:ind w:left="4995"/>
              <w:rPr>
                <w:iCs/>
                <w:sz w:val="20"/>
                <w:szCs w:val="20"/>
                <w:lang w:eastAsia="en-US"/>
              </w:rPr>
            </w:pPr>
            <w:r w:rsidRPr="0098787B">
              <w:rPr>
                <w:iCs/>
                <w:sz w:val="20"/>
                <w:szCs w:val="20"/>
                <w:lang w:eastAsia="en-US"/>
              </w:rPr>
              <w:t>Stojan Tramte</w:t>
            </w:r>
          </w:p>
          <w:p w:rsidR="007A607D" w:rsidRPr="0098787B" w:rsidRDefault="007A607D" w:rsidP="00DB61C3">
            <w:pPr>
              <w:pStyle w:val="Neotevilenodstavek"/>
              <w:ind w:left="4995"/>
              <w:rPr>
                <w:iCs/>
                <w:sz w:val="20"/>
                <w:szCs w:val="20"/>
                <w:lang w:eastAsia="en-US"/>
              </w:rPr>
            </w:pPr>
            <w:r w:rsidRPr="0098787B">
              <w:rPr>
                <w:iCs/>
                <w:sz w:val="20"/>
                <w:szCs w:val="20"/>
                <w:lang w:eastAsia="en-US"/>
              </w:rPr>
              <w:t>GENERALNI SEKRETAR</w:t>
            </w:r>
          </w:p>
          <w:p w:rsidR="007A607D" w:rsidRPr="0098787B" w:rsidRDefault="007A607D" w:rsidP="00DB61C3">
            <w:pPr>
              <w:rPr>
                <w:rFonts w:cs="Arial"/>
                <w:szCs w:val="20"/>
              </w:rPr>
            </w:pPr>
          </w:p>
          <w:p w:rsidR="007A607D" w:rsidRPr="0098787B" w:rsidRDefault="007A607D" w:rsidP="00DB61C3">
            <w:pPr>
              <w:rPr>
                <w:rFonts w:cs="Arial"/>
                <w:szCs w:val="20"/>
              </w:rPr>
            </w:pPr>
          </w:p>
          <w:p w:rsidR="007A607D" w:rsidRPr="0098787B" w:rsidRDefault="007A607D" w:rsidP="00DB61C3">
            <w:pPr>
              <w:rPr>
                <w:rFonts w:cs="Arial"/>
                <w:szCs w:val="20"/>
              </w:rPr>
            </w:pPr>
          </w:p>
          <w:p w:rsidR="007A607D" w:rsidRPr="0098787B" w:rsidRDefault="007A607D" w:rsidP="00DB61C3">
            <w:pPr>
              <w:pStyle w:val="Neotevilenodstavek"/>
              <w:ind w:left="360"/>
              <w:rPr>
                <w:iCs/>
              </w:rPr>
            </w:pPr>
            <w:r w:rsidRPr="0098787B">
              <w:rPr>
                <w:iCs/>
                <w:sz w:val="20"/>
                <w:szCs w:val="20"/>
              </w:rPr>
              <w:t>Sklep prejmejo</w:t>
            </w:r>
            <w:r w:rsidRPr="0098787B">
              <w:rPr>
                <w:iCs/>
              </w:rPr>
              <w:t>:</w:t>
            </w:r>
          </w:p>
          <w:p w:rsidR="007A607D" w:rsidRPr="0098787B" w:rsidRDefault="007A607D" w:rsidP="007A607D">
            <w:pPr>
              <w:pStyle w:val="Neotevilenodstavek"/>
              <w:numPr>
                <w:ilvl w:val="0"/>
                <w:numId w:val="9"/>
              </w:numPr>
              <w:rPr>
                <w:color w:val="000000"/>
                <w:sz w:val="20"/>
                <w:szCs w:val="20"/>
                <w:shd w:val="clear" w:color="auto" w:fill="FFFFFF"/>
                <w:lang w:eastAsia="en-US"/>
              </w:rPr>
            </w:pPr>
            <w:r w:rsidRPr="0098787B">
              <w:rPr>
                <w:color w:val="000000"/>
                <w:sz w:val="20"/>
                <w:szCs w:val="20"/>
                <w:shd w:val="clear" w:color="auto" w:fill="FFFFFF"/>
                <w:lang w:eastAsia="en-US"/>
              </w:rPr>
              <w:t>Ministrstvo okolje in prostor,</w:t>
            </w:r>
          </w:p>
          <w:p w:rsidR="007A607D" w:rsidRPr="0098787B" w:rsidRDefault="007A607D" w:rsidP="007A607D">
            <w:pPr>
              <w:pStyle w:val="Neotevilenodstavek"/>
              <w:numPr>
                <w:ilvl w:val="0"/>
                <w:numId w:val="9"/>
              </w:numPr>
              <w:rPr>
                <w:color w:val="000000"/>
                <w:sz w:val="20"/>
                <w:szCs w:val="20"/>
                <w:shd w:val="clear" w:color="auto" w:fill="FFFFFF"/>
                <w:lang w:eastAsia="en-US"/>
              </w:rPr>
            </w:pPr>
            <w:r w:rsidRPr="0098787B">
              <w:rPr>
                <w:color w:val="000000"/>
                <w:sz w:val="20"/>
                <w:szCs w:val="20"/>
                <w:shd w:val="clear" w:color="auto" w:fill="FFFFFF"/>
                <w:lang w:eastAsia="en-US"/>
              </w:rPr>
              <w:t>Generalni sekretariat Vlade RS,</w:t>
            </w:r>
          </w:p>
          <w:p w:rsidR="007A607D" w:rsidRPr="0098787B" w:rsidRDefault="007A607D" w:rsidP="007A607D">
            <w:pPr>
              <w:pStyle w:val="Neotevilenodstavek"/>
              <w:numPr>
                <w:ilvl w:val="0"/>
                <w:numId w:val="9"/>
              </w:numPr>
              <w:rPr>
                <w:color w:val="000000"/>
                <w:sz w:val="20"/>
                <w:szCs w:val="20"/>
                <w:shd w:val="clear" w:color="auto" w:fill="FFFFFF"/>
                <w:lang w:eastAsia="en-US"/>
              </w:rPr>
            </w:pPr>
            <w:r w:rsidRPr="0098787B">
              <w:rPr>
                <w:color w:val="000000"/>
                <w:sz w:val="20"/>
                <w:szCs w:val="20"/>
                <w:shd w:val="clear" w:color="auto" w:fill="FFFFFF"/>
                <w:lang w:eastAsia="en-US"/>
              </w:rPr>
              <w:t>Ministrstvo za finance</w:t>
            </w:r>
          </w:p>
          <w:p w:rsidR="007A607D" w:rsidRPr="0098787B" w:rsidRDefault="007A607D" w:rsidP="00DB61C3">
            <w:pPr>
              <w:pStyle w:val="Neotevilenodstavek"/>
              <w:spacing w:before="0" w:after="0" w:line="260" w:lineRule="exact"/>
              <w:ind w:left="720"/>
              <w:rPr>
                <w:iCs/>
                <w:sz w:val="20"/>
                <w:szCs w:val="20"/>
              </w:rPr>
            </w:pPr>
          </w:p>
        </w:tc>
      </w:tr>
      <w:tr w:rsidR="007A607D" w:rsidRPr="0098787B" w:rsidTr="00DB61C3">
        <w:tc>
          <w:tcPr>
            <w:tcW w:w="9100" w:type="dxa"/>
            <w:gridSpan w:val="4"/>
          </w:tcPr>
          <w:p w:rsidR="007A607D" w:rsidRPr="0098787B" w:rsidRDefault="007A607D" w:rsidP="00DB61C3">
            <w:pPr>
              <w:pStyle w:val="Neotevilenodstavek"/>
              <w:spacing w:before="0" w:after="0" w:line="260" w:lineRule="exact"/>
              <w:rPr>
                <w:b/>
                <w:iCs/>
                <w:sz w:val="20"/>
                <w:szCs w:val="20"/>
              </w:rPr>
            </w:pPr>
            <w:r w:rsidRPr="0098787B">
              <w:rPr>
                <w:b/>
                <w:sz w:val="20"/>
                <w:szCs w:val="20"/>
              </w:rPr>
              <w:t>2. Predlog za obravnavo predloga zakona po nujnem ali skrajšanem postopku v državnem zboru z obrazložitvijo razlogov:</w:t>
            </w:r>
          </w:p>
        </w:tc>
      </w:tr>
      <w:tr w:rsidR="007A607D" w:rsidRPr="0098787B" w:rsidTr="00DB61C3">
        <w:tc>
          <w:tcPr>
            <w:tcW w:w="9100" w:type="dxa"/>
            <w:gridSpan w:val="4"/>
          </w:tcPr>
          <w:p w:rsidR="007A607D" w:rsidRPr="0098787B" w:rsidRDefault="007A607D" w:rsidP="00DB61C3">
            <w:pPr>
              <w:pStyle w:val="Neotevilenodstavek"/>
              <w:spacing w:before="0" w:after="0" w:line="260" w:lineRule="exact"/>
              <w:rPr>
                <w:iCs/>
                <w:sz w:val="20"/>
                <w:szCs w:val="20"/>
              </w:rPr>
            </w:pPr>
            <w:r w:rsidRPr="0098787B">
              <w:rPr>
                <w:iCs/>
                <w:sz w:val="20"/>
                <w:szCs w:val="20"/>
              </w:rPr>
              <w:t>/</w:t>
            </w:r>
          </w:p>
        </w:tc>
      </w:tr>
      <w:tr w:rsidR="007A607D" w:rsidRPr="0098787B" w:rsidTr="00DB61C3">
        <w:tc>
          <w:tcPr>
            <w:tcW w:w="9100" w:type="dxa"/>
            <w:gridSpan w:val="4"/>
          </w:tcPr>
          <w:p w:rsidR="007A607D" w:rsidRPr="0098787B" w:rsidRDefault="007A607D" w:rsidP="00DB61C3">
            <w:pPr>
              <w:pStyle w:val="Neotevilenodstavek"/>
              <w:spacing w:before="0" w:after="0" w:line="260" w:lineRule="exact"/>
              <w:rPr>
                <w:b/>
                <w:iCs/>
                <w:sz w:val="20"/>
                <w:szCs w:val="20"/>
              </w:rPr>
            </w:pPr>
            <w:r w:rsidRPr="0098787B">
              <w:rPr>
                <w:b/>
                <w:sz w:val="20"/>
                <w:szCs w:val="20"/>
              </w:rPr>
              <w:t>3.a Osebe, odgovorne za strokovno pripravo in usklajenost gradiva:</w:t>
            </w:r>
          </w:p>
        </w:tc>
      </w:tr>
      <w:tr w:rsidR="007A607D" w:rsidRPr="0098787B" w:rsidTr="00DB61C3">
        <w:tc>
          <w:tcPr>
            <w:tcW w:w="9100" w:type="dxa"/>
            <w:gridSpan w:val="4"/>
          </w:tcPr>
          <w:p w:rsidR="007A607D" w:rsidRDefault="007A607D" w:rsidP="00DB61C3">
            <w:pPr>
              <w:autoSpaceDE w:val="0"/>
              <w:autoSpaceDN w:val="0"/>
              <w:adjustRightInd w:val="0"/>
              <w:spacing w:line="240" w:lineRule="atLeast"/>
              <w:rPr>
                <w:rFonts w:cs="Arial"/>
                <w:iCs/>
                <w:szCs w:val="20"/>
                <w:lang w:eastAsia="sl-SI"/>
              </w:rPr>
            </w:pPr>
            <w:r w:rsidRPr="0098787B">
              <w:rPr>
                <w:rFonts w:cs="Arial"/>
                <w:iCs/>
                <w:szCs w:val="20"/>
                <w:lang w:eastAsia="sl-SI"/>
              </w:rPr>
              <w:t>Jure Leben, Minister</w:t>
            </w:r>
          </w:p>
          <w:p w:rsidR="007A607D" w:rsidRPr="0098787B" w:rsidRDefault="007A607D" w:rsidP="00DB61C3">
            <w:pPr>
              <w:autoSpaceDE w:val="0"/>
              <w:autoSpaceDN w:val="0"/>
              <w:adjustRightInd w:val="0"/>
              <w:spacing w:line="240" w:lineRule="atLeast"/>
              <w:rPr>
                <w:rFonts w:cs="Arial"/>
                <w:iCs/>
                <w:szCs w:val="20"/>
                <w:lang w:eastAsia="sl-SI"/>
              </w:rPr>
            </w:pPr>
            <w:r>
              <w:rPr>
                <w:rFonts w:cs="Arial"/>
                <w:iCs/>
                <w:szCs w:val="20"/>
                <w:lang w:eastAsia="sl-SI"/>
              </w:rPr>
              <w:t>Simon Zajc, državni sekretar</w:t>
            </w:r>
          </w:p>
          <w:p w:rsidR="007A607D" w:rsidRPr="0098787B" w:rsidRDefault="007A607D" w:rsidP="00DB61C3">
            <w:pPr>
              <w:autoSpaceDE w:val="0"/>
              <w:autoSpaceDN w:val="0"/>
              <w:adjustRightInd w:val="0"/>
              <w:spacing w:line="240" w:lineRule="atLeast"/>
              <w:rPr>
                <w:rFonts w:cs="Arial"/>
                <w:iCs/>
                <w:szCs w:val="20"/>
                <w:lang w:eastAsia="sl-SI"/>
              </w:rPr>
            </w:pPr>
            <w:r w:rsidRPr="0098787B">
              <w:rPr>
                <w:rFonts w:cs="Arial"/>
                <w:iCs/>
                <w:szCs w:val="20"/>
                <w:lang w:eastAsia="sl-SI"/>
              </w:rPr>
              <w:t>Vesna Ugrinovski, v.d. direktorja Direktorata za vode in investicije</w:t>
            </w:r>
          </w:p>
          <w:p w:rsidR="007A607D" w:rsidRPr="0098787B" w:rsidRDefault="007A607D" w:rsidP="00DB61C3">
            <w:pPr>
              <w:overflowPunct w:val="0"/>
              <w:autoSpaceDE w:val="0"/>
              <w:autoSpaceDN w:val="0"/>
              <w:adjustRightInd w:val="0"/>
              <w:jc w:val="both"/>
              <w:textAlignment w:val="baseline"/>
              <w:rPr>
                <w:rFonts w:cs="Arial"/>
                <w:iCs/>
                <w:szCs w:val="20"/>
                <w:lang w:eastAsia="sl-SI"/>
              </w:rPr>
            </w:pPr>
            <w:r>
              <w:rPr>
                <w:rFonts w:cs="Arial"/>
                <w:iCs/>
                <w:szCs w:val="20"/>
                <w:lang w:eastAsia="sl-SI"/>
              </w:rPr>
              <w:t>Janez Dodič</w:t>
            </w:r>
            <w:r w:rsidRPr="0098787B">
              <w:rPr>
                <w:rFonts w:cs="Arial"/>
                <w:iCs/>
                <w:szCs w:val="20"/>
                <w:lang w:eastAsia="sl-SI"/>
              </w:rPr>
              <w:t>,</w:t>
            </w:r>
            <w:r>
              <w:rPr>
                <w:rFonts w:cs="Arial"/>
                <w:iCs/>
                <w:szCs w:val="20"/>
                <w:lang w:eastAsia="sl-SI"/>
              </w:rPr>
              <w:t xml:space="preserve"> po pooblastilu</w:t>
            </w:r>
            <w:r w:rsidRPr="0098787B">
              <w:rPr>
                <w:rFonts w:cs="Arial"/>
                <w:iCs/>
                <w:szCs w:val="20"/>
                <w:lang w:eastAsia="sl-SI"/>
              </w:rPr>
              <w:t xml:space="preserve"> vodja Sektorja za urejanje voda</w:t>
            </w:r>
          </w:p>
          <w:p w:rsidR="007A607D" w:rsidRPr="0098787B" w:rsidRDefault="007A607D" w:rsidP="00DB61C3">
            <w:pPr>
              <w:pStyle w:val="Neotevilenodstavek"/>
              <w:spacing w:before="0" w:after="0" w:line="260" w:lineRule="exact"/>
              <w:rPr>
                <w:iCs/>
                <w:sz w:val="20"/>
                <w:szCs w:val="20"/>
              </w:rPr>
            </w:pPr>
          </w:p>
        </w:tc>
      </w:tr>
      <w:tr w:rsidR="007A607D" w:rsidRPr="0098787B" w:rsidTr="00DB61C3">
        <w:tc>
          <w:tcPr>
            <w:tcW w:w="9100" w:type="dxa"/>
            <w:gridSpan w:val="4"/>
          </w:tcPr>
          <w:p w:rsidR="007A607D" w:rsidRPr="0098787B" w:rsidRDefault="007A607D" w:rsidP="00DB61C3">
            <w:pPr>
              <w:pStyle w:val="Neotevilenodstavek"/>
              <w:spacing w:before="0" w:after="0" w:line="260" w:lineRule="exact"/>
              <w:rPr>
                <w:b/>
                <w:iCs/>
                <w:sz w:val="20"/>
                <w:szCs w:val="20"/>
              </w:rPr>
            </w:pPr>
            <w:r w:rsidRPr="0098787B">
              <w:rPr>
                <w:b/>
                <w:iCs/>
                <w:sz w:val="20"/>
                <w:szCs w:val="20"/>
              </w:rPr>
              <w:t xml:space="preserve">3.b Zunanji strokovnjaki, ki so </w:t>
            </w:r>
            <w:r w:rsidRPr="0098787B">
              <w:rPr>
                <w:b/>
                <w:sz w:val="20"/>
                <w:szCs w:val="20"/>
              </w:rPr>
              <w:t>sodelovali pri pripravi dela ali celotnega gradiva:</w:t>
            </w:r>
          </w:p>
        </w:tc>
      </w:tr>
      <w:tr w:rsidR="007A607D" w:rsidRPr="0098787B" w:rsidTr="00DB61C3">
        <w:tc>
          <w:tcPr>
            <w:tcW w:w="9100" w:type="dxa"/>
            <w:gridSpan w:val="4"/>
          </w:tcPr>
          <w:p w:rsidR="007A607D" w:rsidRPr="0098787B" w:rsidRDefault="007A607D" w:rsidP="00DB61C3">
            <w:pPr>
              <w:pStyle w:val="Neotevilenodstavek"/>
              <w:spacing w:before="0" w:after="0" w:line="260" w:lineRule="exact"/>
              <w:rPr>
                <w:iCs/>
                <w:sz w:val="20"/>
                <w:szCs w:val="20"/>
              </w:rPr>
            </w:pPr>
            <w:r w:rsidRPr="0098787B">
              <w:rPr>
                <w:iCs/>
                <w:sz w:val="20"/>
                <w:szCs w:val="20"/>
              </w:rPr>
              <w:t>/</w:t>
            </w:r>
          </w:p>
        </w:tc>
      </w:tr>
      <w:tr w:rsidR="007A607D" w:rsidRPr="0098787B" w:rsidTr="00DB61C3">
        <w:tc>
          <w:tcPr>
            <w:tcW w:w="9100" w:type="dxa"/>
            <w:gridSpan w:val="4"/>
          </w:tcPr>
          <w:p w:rsidR="007A607D" w:rsidRPr="0098787B" w:rsidRDefault="007A607D" w:rsidP="00DB61C3">
            <w:pPr>
              <w:pStyle w:val="Neotevilenodstavek"/>
              <w:spacing w:before="0" w:after="0" w:line="260" w:lineRule="exact"/>
              <w:rPr>
                <w:b/>
                <w:iCs/>
                <w:sz w:val="20"/>
                <w:szCs w:val="20"/>
              </w:rPr>
            </w:pPr>
            <w:r w:rsidRPr="0098787B">
              <w:rPr>
                <w:b/>
                <w:sz w:val="20"/>
                <w:szCs w:val="20"/>
              </w:rPr>
              <w:t>4. Predstavniki vlade, ki bodo sodelovali pri delu državnega zbora:</w:t>
            </w:r>
          </w:p>
        </w:tc>
      </w:tr>
      <w:tr w:rsidR="007A607D" w:rsidRPr="0098787B" w:rsidTr="00DB61C3">
        <w:tc>
          <w:tcPr>
            <w:tcW w:w="9100" w:type="dxa"/>
            <w:gridSpan w:val="4"/>
          </w:tcPr>
          <w:p w:rsidR="007A607D" w:rsidRPr="0098787B" w:rsidRDefault="007A607D" w:rsidP="00DB61C3">
            <w:pPr>
              <w:pStyle w:val="Neotevilenodstavek"/>
              <w:spacing w:before="0" w:after="0" w:line="260" w:lineRule="exact"/>
              <w:rPr>
                <w:b/>
                <w:sz w:val="20"/>
                <w:szCs w:val="20"/>
              </w:rPr>
            </w:pPr>
            <w:r w:rsidRPr="0098787B">
              <w:rPr>
                <w:iCs/>
                <w:sz w:val="20"/>
                <w:szCs w:val="20"/>
              </w:rPr>
              <w:t>/</w:t>
            </w:r>
          </w:p>
        </w:tc>
      </w:tr>
      <w:tr w:rsidR="007A607D" w:rsidRPr="0098787B" w:rsidTr="00DB61C3">
        <w:tc>
          <w:tcPr>
            <w:tcW w:w="9100" w:type="dxa"/>
            <w:gridSpan w:val="4"/>
          </w:tcPr>
          <w:p w:rsidR="007A607D" w:rsidRPr="0098787B" w:rsidRDefault="007A607D" w:rsidP="00DB61C3">
            <w:pPr>
              <w:pStyle w:val="Oddelek"/>
              <w:numPr>
                <w:ilvl w:val="0"/>
                <w:numId w:val="0"/>
              </w:numPr>
              <w:spacing w:before="0" w:after="0" w:line="260" w:lineRule="exact"/>
              <w:jc w:val="left"/>
              <w:rPr>
                <w:sz w:val="20"/>
                <w:szCs w:val="20"/>
              </w:rPr>
            </w:pPr>
            <w:r w:rsidRPr="0098787B">
              <w:rPr>
                <w:sz w:val="20"/>
                <w:szCs w:val="20"/>
              </w:rPr>
              <w:lastRenderedPageBreak/>
              <w:t>5. Kratek povzetek gradiva:</w:t>
            </w:r>
          </w:p>
        </w:tc>
      </w:tr>
      <w:tr w:rsidR="007A607D" w:rsidRPr="0098787B" w:rsidTr="00DB61C3">
        <w:tc>
          <w:tcPr>
            <w:tcW w:w="9100" w:type="dxa"/>
            <w:gridSpan w:val="4"/>
          </w:tcPr>
          <w:p w:rsidR="007A607D" w:rsidRPr="0098787B"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ascii="Helv" w:hAnsi="Helv" w:cs="Helv"/>
                <w:iCs/>
                <w:color w:val="000000"/>
                <w:szCs w:val="20"/>
              </w:rPr>
              <w:t>V prvem odstavku 4. člena Zakona o vodah (Uradni list RS, št. 67/02, 2/04 – ZZdrI-A, 41/04 – ZVO-1, 57/08, 57/12, 100/13, 40/14 in 56/15; v nadaljevanju: ZV-1) je določeno, da</w:t>
            </w:r>
            <w:r w:rsidRPr="0098787B">
              <w:rPr>
                <w:rFonts w:ascii="Helv" w:hAnsi="Helv" w:cs="Helv"/>
                <w:bCs/>
                <w:iCs/>
                <w:color w:val="000000"/>
                <w:szCs w:val="20"/>
              </w:rPr>
              <w:t xml:space="preserve"> je upravljanje z vodami in vodnimi ter priobalnimi zemljišči v pristojnosti države</w:t>
            </w:r>
            <w:r w:rsidRPr="0098787B">
              <w:rPr>
                <w:rFonts w:ascii="Helv" w:hAnsi="Helv" w:cs="Helv"/>
                <w:iCs/>
                <w:color w:val="000000"/>
                <w:szCs w:val="20"/>
              </w:rPr>
              <w:t xml:space="preserve"> (razen tistih nalog, za katere je po tem zakonu pristojna lokalna skupnost). Nadalje je v prvem odstavku 158. člena ZV-1 določeno, da upravne in z njimi povezane strokovne naloge ter organizacijske in razvojne naloge iz ZV-1</w:t>
            </w:r>
            <w:r w:rsidRPr="0098787B">
              <w:rPr>
                <w:rFonts w:ascii="Helv" w:hAnsi="Helv" w:cs="Helv"/>
                <w:i/>
                <w:iCs/>
                <w:color w:val="000000"/>
                <w:szCs w:val="20"/>
              </w:rPr>
              <w:t xml:space="preserve"> </w:t>
            </w:r>
            <w:r w:rsidRPr="0098787B">
              <w:rPr>
                <w:rFonts w:ascii="Helv" w:hAnsi="Helv" w:cs="Helv"/>
                <w:iCs/>
                <w:color w:val="000000"/>
                <w:szCs w:val="20"/>
              </w:rPr>
              <w:t>opravlja ministrstvo, pristojno za vode – Ministrstvo za okolje in prostor Republike Slovenije ter na podlagi Uredbe o organih v sestavi ministrstev (Uradni list RS, št. 35/15, 62/15, 84/16, 41/17, 53/17</w:t>
            </w:r>
            <w:r>
              <w:rPr>
                <w:rFonts w:ascii="Helv" w:hAnsi="Helv" w:cs="Helv"/>
                <w:iCs/>
                <w:color w:val="000000"/>
                <w:szCs w:val="20"/>
              </w:rPr>
              <w:t>,</w:t>
            </w:r>
            <w:r w:rsidRPr="0098787B">
              <w:rPr>
                <w:rFonts w:ascii="Helv" w:hAnsi="Helv" w:cs="Helv"/>
                <w:iCs/>
                <w:color w:val="000000"/>
                <w:szCs w:val="20"/>
              </w:rPr>
              <w:t xml:space="preserve">  52/18</w:t>
            </w:r>
            <w:r>
              <w:rPr>
                <w:rFonts w:ascii="Helv" w:hAnsi="Helv" w:cs="Helv"/>
                <w:iCs/>
                <w:color w:val="000000"/>
                <w:szCs w:val="20"/>
              </w:rPr>
              <w:t xml:space="preserve"> in 84/18</w:t>
            </w:r>
            <w:r w:rsidRPr="0098787B">
              <w:rPr>
                <w:rFonts w:ascii="Helv" w:hAnsi="Helv" w:cs="Helv"/>
                <w:iCs/>
                <w:color w:val="000000"/>
                <w:szCs w:val="20"/>
              </w:rPr>
              <w:t xml:space="preserve">) tudi nekateri njegovi organi v sestavi. Ministrstvo za okolje in prostor (skupaj z organom v sestavi - Agencijo RS za okolje) je zato kot stvarno pristojni organ za področje upravljanja z vodami aktivno pristopilo k sodelovanju pri izvajanju Programa sodelovanja V-A Italija-Slovenija 2014 - 2020 na čezmejnem programskem območju. Program sodelovanja V-A Italija-Slovenija CCI 2014TC16RFCB036 je bil odobren z odločitvijo Evropske komisije C(2015)9285 z dne 15.12.2015 in spremenjen z odločitvijo C (2017) 6247 z dne 14.9.2017. </w:t>
            </w:r>
          </w:p>
          <w:p w:rsidR="007A607D" w:rsidRPr="0098787B" w:rsidRDefault="007A607D" w:rsidP="00DB61C3">
            <w:pPr>
              <w:jc w:val="both"/>
              <w:rPr>
                <w:rFonts w:cs="Arial"/>
                <w:b/>
              </w:rPr>
            </w:pPr>
          </w:p>
          <w:p w:rsidR="007A607D" w:rsidRPr="0098787B"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ascii="Helv" w:hAnsi="Helv" w:cs="Helv"/>
                <w:iCs/>
                <w:color w:val="000000"/>
                <w:szCs w:val="20"/>
              </w:rPr>
              <w:t xml:space="preserve">Razlog za aktivno sodelovanje pri navedenem Programu je dejstvo, da je programsko območje zelo izpostavljeno negativnim posledicam poplav, ki se bodo ob naraščajoči urbanizaciji in vplivih podnebnih sprememb še povečevale (v čezmejnem porečju Soče je zaradi poplav na območjih pomembnega vpliva poplav ogroženih približno 12.000 prebivalcev na slovenski strani). Še posebej je ogroženo čezmejno porečje Vipave, kjer je bilo na slovenski strani opredeljenih 5 od 61 vseh območij pomembnega vpliva poplav v Republiki Sloveniji. </w:t>
            </w:r>
          </w:p>
          <w:p w:rsidR="007A607D" w:rsidRPr="0098787B"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p>
          <w:p w:rsidR="007A607D"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ascii="Helv" w:hAnsi="Helv" w:cs="Helv"/>
                <w:iCs/>
                <w:color w:val="000000"/>
                <w:szCs w:val="20"/>
              </w:rPr>
              <w:t xml:space="preserve">Zagotoviti je treba celostno obvladovanje poplavne ogroženosti, vključno z usklajenim načrtovanjem in izboljšavami v kartiranju poplavne ogroženosti, z izmenjavo podatkov, modeli napovedovanja poplav in sistemi opozarjanja ter ozaveščanja ogroženih prebivalcev. Rešitve je treba zaradi značilnosti poplavnih dogodkov iskati na čezmejnih območjih in jih zaradi čezmejnih vplivov uskladiti s sosednjo državo skladno z Direktivo 2007/60/ES Evropskega parlamenta in Sveta z dne 23. oktobra 2007 o oceni in obvladovanju poplavne ogroženosti. </w:t>
            </w:r>
            <w:r w:rsidRPr="0098787B">
              <w:rPr>
                <w:rFonts w:cs="Arial"/>
                <w:iCs/>
                <w:color w:val="000000"/>
                <w:szCs w:val="20"/>
              </w:rPr>
              <w:t xml:space="preserve">Tako na slovenski kot na italijanski strani je bilo prepoznano, da </w:t>
            </w:r>
            <w:r w:rsidRPr="0098787B">
              <w:rPr>
                <w:rFonts w:ascii="Helv" w:hAnsi="Helv" w:cs="Helv"/>
                <w:iCs/>
                <w:color w:val="000000"/>
                <w:szCs w:val="20"/>
              </w:rPr>
              <w:t xml:space="preserve">Program sodelovanja V-A Italija-Slovenija </w:t>
            </w:r>
            <w:r w:rsidRPr="0098787B">
              <w:rPr>
                <w:rFonts w:cs="Arial"/>
                <w:iCs/>
                <w:color w:val="000000"/>
                <w:szCs w:val="20"/>
              </w:rPr>
              <w:t>omogoča čezmejno usklajeno izvajanje ukrepov za zmanjševanje poplavne ogroženosti</w:t>
            </w:r>
            <w:r w:rsidRPr="0098787B">
              <w:rPr>
                <w:rFonts w:ascii="Helv" w:hAnsi="Helv" w:cs="Helv"/>
                <w:iCs/>
                <w:color w:val="000000"/>
                <w:szCs w:val="20"/>
              </w:rPr>
              <w:t xml:space="preserve">. </w:t>
            </w:r>
          </w:p>
          <w:p w:rsidR="007A607D"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p>
          <w:p w:rsidR="007A607D"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D21521">
              <w:rPr>
                <w:rFonts w:cs="Arial"/>
                <w:iCs/>
                <w:color w:val="000000"/>
                <w:szCs w:val="20"/>
              </w:rPr>
              <w:t xml:space="preserve">Za doseganje zastavljenih programskih ciljev na programskem območju v obdobju 2014 -2020 je Ministrstvo za okolje in prostor skupaj s slovenskimi in italijanskimi partnerji z nacionalnega, regionalnega in lokalnega nivoja pripravilo čezmejno usklajeni strateški projekt VISFRIM (Upravljanje poplavne ogroženosti na porečju reke Vipave in na ostalih čezmejnih porečjih). Odbor za spremljanje Programa sodelovanja V-A Italija-Slovenija je 25.7.2018 odobril sofinanciranje strateškega projekta VISFRIM iz Evropskega sklada za regionalni razvoj (https://www.ita-slo.eu/sl/vse-novice/news/odobritev-prednostnih-lestvic-strate%C5%A1kih-projektnih-predlogov-na-ciljni-razpisih-%C5%A1t). Pogodba o dotaciji sofinanciranja </w:t>
            </w:r>
            <w:r w:rsidRPr="00D21521">
              <w:rPr>
                <w:rFonts w:cs="Arial"/>
              </w:rPr>
              <w:t xml:space="preserve">za izvedbo projekta »VISFRIM-Upravljanje poplavne ogroženosti na porečju Vipave in na ostalih čezmejnih porečjih« </w:t>
            </w:r>
            <w:r w:rsidRPr="00D21521">
              <w:rPr>
                <w:rFonts w:cs="Arial"/>
                <w:iCs/>
                <w:color w:val="000000"/>
                <w:szCs w:val="20"/>
              </w:rPr>
              <w:t>med Organom upravljanja in Vodilnim partnerjem št. 3920/2018 je bila podpisana 10.10.2018.</w:t>
            </w:r>
          </w:p>
          <w:p w:rsidR="007A607D"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p>
          <w:p w:rsidR="007A607D"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ascii="Helv" w:hAnsi="Helv" w:cs="Helv"/>
                <w:iCs/>
                <w:color w:val="000000"/>
                <w:szCs w:val="20"/>
              </w:rPr>
              <w:t>Cilj projekta VISFRIM je učinkovito obvladovanje poplavne ogroženosti na čezmejnih porečjih na podlagi razvoja metodologij in funkcionalnih orodij za izvajanje načrtov zmanjševanja obstoječe poplavne ogroženosti in njihovo naknadno posodabljanje do leta 2021, kot to določata ZV-1 in Direktiva 2007/60/ES Evropskega parlamenta in Sveta z dne 23. oktobra 2007 o oceni in obvl</w:t>
            </w:r>
            <w:r>
              <w:rPr>
                <w:rFonts w:ascii="Helv" w:hAnsi="Helv" w:cs="Helv"/>
                <w:iCs/>
                <w:color w:val="000000"/>
                <w:szCs w:val="20"/>
              </w:rPr>
              <w:t xml:space="preserve">adovanju poplavne ogroženosti. </w:t>
            </w:r>
          </w:p>
          <w:p w:rsidR="007A607D"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p>
          <w:p w:rsidR="007A607D"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ascii="Helv" w:hAnsi="Helv" w:cs="Helv"/>
                <w:iCs/>
                <w:color w:val="000000"/>
                <w:szCs w:val="20"/>
              </w:rPr>
              <w:t>Vodilni partner projekta VISFRIM je Autorita’ di bacino Distrettuale delle Alpi Orientali, kot partnerji pa sodelujejo tudi: Città metropolitana di Venezia, Avtonomna dežela Furlanija Julijska krajina, Dežela Veneto, Ministrstvo za okolje in prostor Republike Slovenije, Agencija Republike Slovenije za okolje, Občina Miren-Kostanjevica, Mestna občina Nova Gorica, Občina Postojna, Občina Šemp</w:t>
            </w:r>
            <w:r>
              <w:rPr>
                <w:rFonts w:ascii="Helv" w:hAnsi="Helv" w:cs="Helv"/>
                <w:iCs/>
                <w:color w:val="000000"/>
                <w:szCs w:val="20"/>
              </w:rPr>
              <w:t xml:space="preserve">eter-Vrtojba in Občina Vipava. </w:t>
            </w:r>
          </w:p>
          <w:p w:rsidR="007A607D"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p>
          <w:p w:rsidR="007A607D" w:rsidRPr="00D21521"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ascii="Helv" w:hAnsi="Helv" w:cs="Helv"/>
                <w:iCs/>
                <w:color w:val="000000"/>
                <w:szCs w:val="20"/>
              </w:rPr>
              <w:t xml:space="preserve">Sredstva za izvedbo triletnega projekta znašajo 2.940.441,15 EUR. Od tega je za aktivnosti </w:t>
            </w:r>
            <w:r w:rsidRPr="0098787B">
              <w:rPr>
                <w:rFonts w:cs="Arial"/>
                <w:iCs/>
                <w:color w:val="000000"/>
                <w:szCs w:val="20"/>
              </w:rPr>
              <w:t>Ministrstva za okolje in prostor skupaj z organom v sestavi (Agencija RS za okolje) v projektu VISFRIM treba zagotoviti 335.000 EUR (ESRR: 85</w:t>
            </w:r>
            <w:r>
              <w:rPr>
                <w:rFonts w:cs="Arial"/>
                <w:iCs/>
                <w:color w:val="000000"/>
                <w:szCs w:val="20"/>
              </w:rPr>
              <w:t xml:space="preserve"> </w:t>
            </w:r>
            <w:r w:rsidRPr="0098787B">
              <w:rPr>
                <w:rFonts w:cs="Arial"/>
                <w:iCs/>
                <w:color w:val="000000"/>
                <w:szCs w:val="20"/>
              </w:rPr>
              <w:t xml:space="preserve">% oziroma 284.750 EUR in lastna udeležba: 15 </w:t>
            </w:r>
            <w:r>
              <w:rPr>
                <w:rFonts w:cs="Arial"/>
                <w:iCs/>
                <w:color w:val="000000"/>
                <w:szCs w:val="20"/>
              </w:rPr>
              <w:t xml:space="preserve"> </w:t>
            </w:r>
            <w:r w:rsidRPr="0098787B">
              <w:rPr>
                <w:rFonts w:cs="Arial"/>
                <w:iCs/>
                <w:color w:val="000000"/>
                <w:szCs w:val="20"/>
              </w:rPr>
              <w:t>% oziroma 50.250 EUR)</w:t>
            </w:r>
            <w:r>
              <w:rPr>
                <w:rFonts w:cs="Arial"/>
                <w:iCs/>
                <w:color w:val="000000"/>
                <w:szCs w:val="20"/>
              </w:rPr>
              <w:t>.</w:t>
            </w:r>
            <w:r w:rsidRPr="0098787B">
              <w:rPr>
                <w:rFonts w:cs="Arial"/>
                <w:iCs/>
                <w:color w:val="000000"/>
                <w:szCs w:val="20"/>
              </w:rPr>
              <w:t xml:space="preserve"> </w:t>
            </w:r>
            <w:r>
              <w:rPr>
                <w:rFonts w:cs="Arial"/>
                <w:iCs/>
                <w:color w:val="000000"/>
                <w:szCs w:val="20"/>
              </w:rPr>
              <w:t xml:space="preserve">Ostali partnerji (slovenske občine, partnerji iz Italije) prispevajo </w:t>
            </w:r>
            <w:r w:rsidRPr="00623ED9">
              <w:rPr>
                <w:rFonts w:cs="Arial"/>
                <w:iCs/>
                <w:color w:val="000000"/>
                <w:szCs w:val="20"/>
              </w:rPr>
              <w:t>2.605.441,15</w:t>
            </w:r>
            <w:r>
              <w:rPr>
                <w:rFonts w:cs="Arial"/>
                <w:iCs/>
                <w:color w:val="000000"/>
                <w:szCs w:val="20"/>
              </w:rPr>
              <w:t xml:space="preserve"> EUR.</w:t>
            </w:r>
          </w:p>
          <w:p w:rsidR="007A607D" w:rsidRPr="0098787B"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Pr="0098787B" w:rsidRDefault="007A607D" w:rsidP="00DB61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ascii="Helv" w:hAnsi="Helv" w:cs="Helv"/>
                <w:iCs/>
                <w:color w:val="000000"/>
                <w:szCs w:val="20"/>
              </w:rPr>
              <w:lastRenderedPageBreak/>
              <w:t xml:space="preserve">Aktivnosti </w:t>
            </w:r>
            <w:r w:rsidRPr="0098787B">
              <w:rPr>
                <w:rFonts w:cs="Arial"/>
                <w:iCs/>
                <w:color w:val="000000"/>
                <w:szCs w:val="20"/>
              </w:rPr>
              <w:t>Ministrstva za okolje in prostor skupaj z organom v sestavi (Agencija RS za okolje) v projektu VISFRIM</w:t>
            </w:r>
            <w:r w:rsidRPr="0098787B">
              <w:rPr>
                <w:rFonts w:ascii="Helv" w:hAnsi="Helv" w:cs="Helv"/>
                <w:iCs/>
                <w:color w:val="000000"/>
                <w:szCs w:val="20"/>
              </w:rPr>
              <w:t xml:space="preserve"> bodo prispevale k zmanjšanju poplavne ogroženosti prebivalcev v čezmejnih porečjih, k zmanjšanju škod med poplavnimi dogodki, s čimer se </w:t>
            </w:r>
            <w:r w:rsidRPr="0098787B">
              <w:rPr>
                <w:rFonts w:cs="Arial"/>
                <w:iCs/>
                <w:color w:val="000000"/>
                <w:szCs w:val="20"/>
              </w:rPr>
              <w:t>posledično izboljšuje tako socialni kot ekonomski položaj na programskem območju.</w:t>
            </w:r>
          </w:p>
        </w:tc>
      </w:tr>
      <w:tr w:rsidR="007A607D" w:rsidRPr="0098787B" w:rsidTr="00DB61C3">
        <w:tc>
          <w:tcPr>
            <w:tcW w:w="9100" w:type="dxa"/>
            <w:gridSpan w:val="4"/>
          </w:tcPr>
          <w:p w:rsidR="007A607D" w:rsidRPr="0098787B" w:rsidRDefault="007A607D" w:rsidP="00DB61C3">
            <w:pPr>
              <w:pStyle w:val="Oddelek"/>
              <w:numPr>
                <w:ilvl w:val="0"/>
                <w:numId w:val="0"/>
              </w:numPr>
              <w:spacing w:before="0" w:after="0" w:line="260" w:lineRule="exact"/>
              <w:jc w:val="left"/>
              <w:rPr>
                <w:sz w:val="20"/>
                <w:szCs w:val="20"/>
              </w:rPr>
            </w:pPr>
            <w:r w:rsidRPr="0098787B">
              <w:rPr>
                <w:sz w:val="20"/>
                <w:szCs w:val="20"/>
              </w:rPr>
              <w:lastRenderedPageBreak/>
              <w:t>6. Presoja posledic za:</w:t>
            </w:r>
          </w:p>
        </w:tc>
      </w:tr>
      <w:tr w:rsidR="007A607D" w:rsidRPr="0098787B" w:rsidTr="00DB61C3">
        <w:tc>
          <w:tcPr>
            <w:tcW w:w="1431" w:type="dxa"/>
          </w:tcPr>
          <w:p w:rsidR="007A607D" w:rsidRPr="0098787B" w:rsidRDefault="007A607D" w:rsidP="00DB61C3">
            <w:pPr>
              <w:pStyle w:val="Neotevilenodstavek"/>
              <w:spacing w:before="0" w:after="0" w:line="260" w:lineRule="exact"/>
              <w:ind w:left="360"/>
              <w:rPr>
                <w:iCs/>
                <w:sz w:val="20"/>
                <w:szCs w:val="20"/>
              </w:rPr>
            </w:pPr>
            <w:r w:rsidRPr="0098787B">
              <w:rPr>
                <w:iCs/>
                <w:sz w:val="20"/>
                <w:szCs w:val="20"/>
              </w:rPr>
              <w:t>a)</w:t>
            </w:r>
          </w:p>
        </w:tc>
        <w:tc>
          <w:tcPr>
            <w:tcW w:w="5500" w:type="dxa"/>
            <w:gridSpan w:val="2"/>
          </w:tcPr>
          <w:p w:rsidR="007A607D" w:rsidRPr="0098787B" w:rsidRDefault="007A607D" w:rsidP="00DB61C3">
            <w:pPr>
              <w:pStyle w:val="Neotevilenodstavek"/>
              <w:spacing w:before="0" w:after="0" w:line="260" w:lineRule="exact"/>
              <w:rPr>
                <w:sz w:val="20"/>
                <w:szCs w:val="20"/>
              </w:rPr>
            </w:pPr>
            <w:r w:rsidRPr="0098787B">
              <w:rPr>
                <w:sz w:val="20"/>
                <w:szCs w:val="20"/>
              </w:rPr>
              <w:t>javnofinančna sredstva nad 40.000 EUR v tekočem in naslednjih treh letih</w:t>
            </w:r>
          </w:p>
        </w:tc>
        <w:tc>
          <w:tcPr>
            <w:tcW w:w="2169" w:type="dxa"/>
            <w:vAlign w:val="center"/>
          </w:tcPr>
          <w:p w:rsidR="007A607D" w:rsidRPr="0098787B" w:rsidRDefault="007A607D" w:rsidP="00DB61C3">
            <w:pPr>
              <w:pStyle w:val="Neotevilenodstavek"/>
              <w:spacing w:before="0" w:after="0" w:line="260" w:lineRule="exact"/>
              <w:jc w:val="center"/>
              <w:rPr>
                <w:iCs/>
                <w:sz w:val="20"/>
                <w:szCs w:val="20"/>
              </w:rPr>
            </w:pPr>
            <w:r w:rsidRPr="0098787B">
              <w:rPr>
                <w:b/>
                <w:sz w:val="20"/>
                <w:szCs w:val="20"/>
              </w:rPr>
              <w:t>DA</w:t>
            </w:r>
          </w:p>
        </w:tc>
      </w:tr>
      <w:tr w:rsidR="007A607D" w:rsidRPr="0098787B" w:rsidTr="00DB61C3">
        <w:tc>
          <w:tcPr>
            <w:tcW w:w="1431" w:type="dxa"/>
          </w:tcPr>
          <w:p w:rsidR="007A607D" w:rsidRPr="0098787B" w:rsidRDefault="007A607D" w:rsidP="00DB61C3">
            <w:pPr>
              <w:pStyle w:val="Neotevilenodstavek"/>
              <w:spacing w:before="0" w:after="0" w:line="260" w:lineRule="exact"/>
              <w:ind w:left="360"/>
              <w:rPr>
                <w:iCs/>
                <w:sz w:val="20"/>
                <w:szCs w:val="20"/>
              </w:rPr>
            </w:pPr>
            <w:r w:rsidRPr="0098787B">
              <w:rPr>
                <w:iCs/>
                <w:sz w:val="20"/>
                <w:szCs w:val="20"/>
              </w:rPr>
              <w:t>b)</w:t>
            </w:r>
          </w:p>
        </w:tc>
        <w:tc>
          <w:tcPr>
            <w:tcW w:w="5500" w:type="dxa"/>
            <w:gridSpan w:val="2"/>
          </w:tcPr>
          <w:p w:rsidR="007A607D" w:rsidRPr="0098787B" w:rsidRDefault="007A607D" w:rsidP="00DB61C3">
            <w:pPr>
              <w:pStyle w:val="Neotevilenodstavek"/>
              <w:spacing w:before="0" w:after="0" w:line="260" w:lineRule="exact"/>
              <w:rPr>
                <w:iCs/>
                <w:sz w:val="20"/>
                <w:szCs w:val="20"/>
              </w:rPr>
            </w:pPr>
            <w:r w:rsidRPr="0098787B">
              <w:rPr>
                <w:bCs/>
                <w:sz w:val="20"/>
                <w:szCs w:val="20"/>
              </w:rPr>
              <w:t>usklajenost slovenskega pravnega reda s pravnim redom Evropske unije</w:t>
            </w:r>
          </w:p>
        </w:tc>
        <w:tc>
          <w:tcPr>
            <w:tcW w:w="2169" w:type="dxa"/>
            <w:vAlign w:val="center"/>
          </w:tcPr>
          <w:p w:rsidR="007A607D" w:rsidRPr="0098787B" w:rsidRDefault="007A607D" w:rsidP="00DB61C3">
            <w:pPr>
              <w:pStyle w:val="Neotevilenodstavek"/>
              <w:spacing w:before="0" w:after="0" w:line="260" w:lineRule="exact"/>
              <w:jc w:val="center"/>
              <w:rPr>
                <w:iCs/>
                <w:sz w:val="20"/>
                <w:szCs w:val="20"/>
              </w:rPr>
            </w:pPr>
            <w:r w:rsidRPr="0098787B">
              <w:rPr>
                <w:b/>
                <w:sz w:val="20"/>
                <w:szCs w:val="20"/>
              </w:rPr>
              <w:t>NE</w:t>
            </w:r>
          </w:p>
        </w:tc>
      </w:tr>
      <w:tr w:rsidR="007A607D" w:rsidRPr="0098787B" w:rsidTr="00DB61C3">
        <w:tc>
          <w:tcPr>
            <w:tcW w:w="1431" w:type="dxa"/>
          </w:tcPr>
          <w:p w:rsidR="007A607D" w:rsidRPr="0098787B" w:rsidRDefault="007A607D" w:rsidP="00DB61C3">
            <w:pPr>
              <w:pStyle w:val="Neotevilenodstavek"/>
              <w:spacing w:before="0" w:after="0" w:line="260" w:lineRule="exact"/>
              <w:ind w:left="360"/>
              <w:rPr>
                <w:iCs/>
                <w:sz w:val="20"/>
                <w:szCs w:val="20"/>
              </w:rPr>
            </w:pPr>
            <w:r w:rsidRPr="0098787B">
              <w:rPr>
                <w:iCs/>
                <w:sz w:val="20"/>
                <w:szCs w:val="20"/>
              </w:rPr>
              <w:t>c)</w:t>
            </w:r>
          </w:p>
        </w:tc>
        <w:tc>
          <w:tcPr>
            <w:tcW w:w="5500" w:type="dxa"/>
            <w:gridSpan w:val="2"/>
          </w:tcPr>
          <w:p w:rsidR="007A607D" w:rsidRPr="0098787B" w:rsidRDefault="007A607D" w:rsidP="00DB61C3">
            <w:pPr>
              <w:pStyle w:val="Neotevilenodstavek"/>
              <w:spacing w:before="0" w:after="0" w:line="260" w:lineRule="exact"/>
              <w:rPr>
                <w:iCs/>
                <w:sz w:val="20"/>
                <w:szCs w:val="20"/>
              </w:rPr>
            </w:pPr>
            <w:r w:rsidRPr="0098787B">
              <w:rPr>
                <w:sz w:val="20"/>
                <w:szCs w:val="20"/>
              </w:rPr>
              <w:t>administrativne posledice</w:t>
            </w:r>
          </w:p>
        </w:tc>
        <w:tc>
          <w:tcPr>
            <w:tcW w:w="2169" w:type="dxa"/>
            <w:vAlign w:val="center"/>
          </w:tcPr>
          <w:p w:rsidR="007A607D" w:rsidRPr="0098787B" w:rsidRDefault="007A607D" w:rsidP="00DB61C3">
            <w:pPr>
              <w:pStyle w:val="Neotevilenodstavek"/>
              <w:spacing w:before="0" w:after="0" w:line="260" w:lineRule="exact"/>
              <w:jc w:val="center"/>
              <w:rPr>
                <w:sz w:val="20"/>
                <w:szCs w:val="20"/>
              </w:rPr>
            </w:pPr>
            <w:r w:rsidRPr="0098787B">
              <w:rPr>
                <w:b/>
                <w:sz w:val="20"/>
                <w:szCs w:val="20"/>
              </w:rPr>
              <w:t>NE</w:t>
            </w:r>
          </w:p>
        </w:tc>
      </w:tr>
      <w:tr w:rsidR="007A607D" w:rsidRPr="0098787B" w:rsidTr="00DB61C3">
        <w:tc>
          <w:tcPr>
            <w:tcW w:w="1431" w:type="dxa"/>
          </w:tcPr>
          <w:p w:rsidR="007A607D" w:rsidRPr="0098787B" w:rsidRDefault="007A607D" w:rsidP="00DB61C3">
            <w:pPr>
              <w:pStyle w:val="Neotevilenodstavek"/>
              <w:spacing w:before="0" w:after="0" w:line="260" w:lineRule="exact"/>
              <w:ind w:left="360"/>
              <w:rPr>
                <w:iCs/>
                <w:sz w:val="20"/>
                <w:szCs w:val="20"/>
              </w:rPr>
            </w:pPr>
            <w:r w:rsidRPr="0098787B">
              <w:rPr>
                <w:iCs/>
                <w:sz w:val="20"/>
                <w:szCs w:val="20"/>
              </w:rPr>
              <w:t>č)</w:t>
            </w:r>
          </w:p>
        </w:tc>
        <w:tc>
          <w:tcPr>
            <w:tcW w:w="5500" w:type="dxa"/>
            <w:gridSpan w:val="2"/>
          </w:tcPr>
          <w:p w:rsidR="007A607D" w:rsidRPr="0098787B" w:rsidRDefault="007A607D" w:rsidP="00DB61C3">
            <w:pPr>
              <w:pStyle w:val="Neotevilenodstavek"/>
              <w:spacing w:before="0" w:after="0" w:line="260" w:lineRule="exact"/>
              <w:rPr>
                <w:bCs/>
                <w:sz w:val="20"/>
                <w:szCs w:val="20"/>
              </w:rPr>
            </w:pPr>
            <w:r w:rsidRPr="0098787B">
              <w:rPr>
                <w:sz w:val="20"/>
                <w:szCs w:val="20"/>
              </w:rPr>
              <w:t>gospodarstvo, zlasti</w:t>
            </w:r>
            <w:r w:rsidRPr="0098787B">
              <w:rPr>
                <w:bCs/>
                <w:sz w:val="20"/>
                <w:szCs w:val="20"/>
              </w:rPr>
              <w:t xml:space="preserve"> mala in srednja podjetja ter konkurenčnost podjetij</w:t>
            </w:r>
          </w:p>
        </w:tc>
        <w:tc>
          <w:tcPr>
            <w:tcW w:w="2169" w:type="dxa"/>
            <w:vAlign w:val="center"/>
          </w:tcPr>
          <w:p w:rsidR="007A607D" w:rsidRPr="0098787B" w:rsidRDefault="007A607D" w:rsidP="00DB61C3">
            <w:pPr>
              <w:pStyle w:val="Neotevilenodstavek"/>
              <w:spacing w:before="0" w:after="0" w:line="260" w:lineRule="exact"/>
              <w:jc w:val="center"/>
              <w:rPr>
                <w:iCs/>
                <w:sz w:val="20"/>
                <w:szCs w:val="20"/>
              </w:rPr>
            </w:pPr>
            <w:r w:rsidRPr="0098787B">
              <w:rPr>
                <w:b/>
                <w:sz w:val="20"/>
                <w:szCs w:val="20"/>
              </w:rPr>
              <w:t>DA</w:t>
            </w:r>
          </w:p>
        </w:tc>
      </w:tr>
      <w:tr w:rsidR="007A607D" w:rsidRPr="0098787B" w:rsidTr="00DB61C3">
        <w:tc>
          <w:tcPr>
            <w:tcW w:w="1431" w:type="dxa"/>
          </w:tcPr>
          <w:p w:rsidR="007A607D" w:rsidRPr="0098787B" w:rsidRDefault="007A607D" w:rsidP="00DB61C3">
            <w:pPr>
              <w:pStyle w:val="Neotevilenodstavek"/>
              <w:spacing w:before="0" w:after="0" w:line="260" w:lineRule="exact"/>
              <w:ind w:left="360"/>
              <w:rPr>
                <w:iCs/>
                <w:sz w:val="20"/>
                <w:szCs w:val="20"/>
              </w:rPr>
            </w:pPr>
            <w:r w:rsidRPr="0098787B">
              <w:rPr>
                <w:iCs/>
                <w:sz w:val="20"/>
                <w:szCs w:val="20"/>
              </w:rPr>
              <w:t>d)</w:t>
            </w:r>
          </w:p>
        </w:tc>
        <w:tc>
          <w:tcPr>
            <w:tcW w:w="5500" w:type="dxa"/>
            <w:gridSpan w:val="2"/>
          </w:tcPr>
          <w:p w:rsidR="007A607D" w:rsidRPr="0098787B" w:rsidRDefault="007A607D" w:rsidP="00DB61C3">
            <w:pPr>
              <w:pStyle w:val="Neotevilenodstavek"/>
              <w:spacing w:before="0" w:after="0" w:line="260" w:lineRule="exact"/>
              <w:rPr>
                <w:bCs/>
                <w:sz w:val="20"/>
                <w:szCs w:val="20"/>
              </w:rPr>
            </w:pPr>
            <w:r w:rsidRPr="0098787B">
              <w:rPr>
                <w:bCs/>
                <w:sz w:val="20"/>
                <w:szCs w:val="20"/>
              </w:rPr>
              <w:t>okolje, vključno s prostorskimi in varstvenimi vidiki</w:t>
            </w:r>
          </w:p>
        </w:tc>
        <w:tc>
          <w:tcPr>
            <w:tcW w:w="2169" w:type="dxa"/>
            <w:vAlign w:val="center"/>
          </w:tcPr>
          <w:p w:rsidR="007A607D" w:rsidRPr="0098787B" w:rsidRDefault="007A607D" w:rsidP="00DB61C3">
            <w:pPr>
              <w:pStyle w:val="Neotevilenodstavek"/>
              <w:spacing w:before="0" w:after="0" w:line="260" w:lineRule="exact"/>
              <w:jc w:val="center"/>
              <w:rPr>
                <w:iCs/>
                <w:sz w:val="20"/>
                <w:szCs w:val="20"/>
              </w:rPr>
            </w:pPr>
            <w:r w:rsidRPr="0098787B">
              <w:rPr>
                <w:b/>
                <w:sz w:val="20"/>
                <w:szCs w:val="20"/>
              </w:rPr>
              <w:t>DA</w:t>
            </w:r>
          </w:p>
        </w:tc>
      </w:tr>
      <w:tr w:rsidR="007A607D" w:rsidRPr="0098787B" w:rsidTr="00DB61C3">
        <w:tc>
          <w:tcPr>
            <w:tcW w:w="1431" w:type="dxa"/>
          </w:tcPr>
          <w:p w:rsidR="007A607D" w:rsidRPr="0098787B" w:rsidRDefault="007A607D" w:rsidP="00DB61C3">
            <w:pPr>
              <w:pStyle w:val="Neotevilenodstavek"/>
              <w:spacing w:before="0" w:after="0" w:line="260" w:lineRule="exact"/>
              <w:ind w:left="360"/>
              <w:rPr>
                <w:iCs/>
                <w:sz w:val="20"/>
                <w:szCs w:val="20"/>
              </w:rPr>
            </w:pPr>
            <w:r w:rsidRPr="0098787B">
              <w:rPr>
                <w:iCs/>
                <w:sz w:val="20"/>
                <w:szCs w:val="20"/>
              </w:rPr>
              <w:t>e)</w:t>
            </w:r>
          </w:p>
        </w:tc>
        <w:tc>
          <w:tcPr>
            <w:tcW w:w="5500" w:type="dxa"/>
            <w:gridSpan w:val="2"/>
          </w:tcPr>
          <w:p w:rsidR="007A607D" w:rsidRPr="0098787B" w:rsidRDefault="007A607D" w:rsidP="00DB61C3">
            <w:pPr>
              <w:pStyle w:val="Neotevilenodstavek"/>
              <w:spacing w:before="0" w:after="0" w:line="260" w:lineRule="exact"/>
              <w:rPr>
                <w:bCs/>
                <w:sz w:val="20"/>
                <w:szCs w:val="20"/>
              </w:rPr>
            </w:pPr>
            <w:r w:rsidRPr="0098787B">
              <w:rPr>
                <w:bCs/>
                <w:sz w:val="20"/>
                <w:szCs w:val="20"/>
              </w:rPr>
              <w:t>socialno področje</w:t>
            </w:r>
          </w:p>
        </w:tc>
        <w:tc>
          <w:tcPr>
            <w:tcW w:w="2169" w:type="dxa"/>
            <w:vAlign w:val="center"/>
          </w:tcPr>
          <w:p w:rsidR="007A607D" w:rsidRPr="0098787B" w:rsidRDefault="007A607D" w:rsidP="00DB61C3">
            <w:pPr>
              <w:pStyle w:val="Neotevilenodstavek"/>
              <w:spacing w:before="0" w:after="0" w:line="260" w:lineRule="exact"/>
              <w:jc w:val="center"/>
              <w:rPr>
                <w:iCs/>
                <w:sz w:val="20"/>
                <w:szCs w:val="20"/>
              </w:rPr>
            </w:pPr>
            <w:r w:rsidRPr="0098787B">
              <w:rPr>
                <w:b/>
                <w:sz w:val="20"/>
                <w:szCs w:val="20"/>
              </w:rPr>
              <w:t>DA</w:t>
            </w:r>
          </w:p>
        </w:tc>
      </w:tr>
      <w:tr w:rsidR="007A607D" w:rsidRPr="0098787B" w:rsidTr="00DB61C3">
        <w:tc>
          <w:tcPr>
            <w:tcW w:w="1431" w:type="dxa"/>
            <w:tcBorders>
              <w:bottom w:val="single" w:sz="4" w:space="0" w:color="auto"/>
            </w:tcBorders>
          </w:tcPr>
          <w:p w:rsidR="007A607D" w:rsidRPr="0098787B" w:rsidRDefault="007A607D" w:rsidP="00DB61C3">
            <w:pPr>
              <w:pStyle w:val="Neotevilenodstavek"/>
              <w:spacing w:before="0" w:after="0" w:line="260" w:lineRule="exact"/>
              <w:ind w:left="360"/>
              <w:rPr>
                <w:iCs/>
                <w:sz w:val="20"/>
                <w:szCs w:val="20"/>
              </w:rPr>
            </w:pPr>
            <w:r w:rsidRPr="0098787B">
              <w:rPr>
                <w:iCs/>
                <w:sz w:val="20"/>
                <w:szCs w:val="20"/>
              </w:rPr>
              <w:t>f)</w:t>
            </w:r>
          </w:p>
        </w:tc>
        <w:tc>
          <w:tcPr>
            <w:tcW w:w="5500" w:type="dxa"/>
            <w:gridSpan w:val="2"/>
            <w:tcBorders>
              <w:bottom w:val="single" w:sz="4" w:space="0" w:color="auto"/>
            </w:tcBorders>
          </w:tcPr>
          <w:p w:rsidR="007A607D" w:rsidRPr="0098787B" w:rsidRDefault="007A607D" w:rsidP="00DB61C3">
            <w:pPr>
              <w:pStyle w:val="Neotevilenodstavek"/>
              <w:spacing w:before="0" w:after="0" w:line="260" w:lineRule="exact"/>
              <w:rPr>
                <w:bCs/>
                <w:sz w:val="20"/>
                <w:szCs w:val="20"/>
              </w:rPr>
            </w:pPr>
            <w:r w:rsidRPr="0098787B">
              <w:rPr>
                <w:bCs/>
                <w:sz w:val="20"/>
                <w:szCs w:val="20"/>
              </w:rPr>
              <w:t>dokumente razvojnega načrtovanja:</w:t>
            </w:r>
          </w:p>
          <w:p w:rsidR="007A607D" w:rsidRPr="0098787B" w:rsidRDefault="007A607D" w:rsidP="007A607D">
            <w:pPr>
              <w:pStyle w:val="Neotevilenodstavek"/>
              <w:numPr>
                <w:ilvl w:val="0"/>
                <w:numId w:val="2"/>
              </w:numPr>
              <w:spacing w:before="0" w:after="0" w:line="260" w:lineRule="exact"/>
              <w:rPr>
                <w:bCs/>
                <w:sz w:val="20"/>
                <w:szCs w:val="20"/>
              </w:rPr>
            </w:pPr>
            <w:r w:rsidRPr="0098787B">
              <w:rPr>
                <w:bCs/>
                <w:sz w:val="20"/>
                <w:szCs w:val="20"/>
              </w:rPr>
              <w:t>nacionalne dokumente razvojnega načrtovanja</w:t>
            </w:r>
          </w:p>
          <w:p w:rsidR="007A607D" w:rsidRPr="0098787B" w:rsidRDefault="007A607D" w:rsidP="007A607D">
            <w:pPr>
              <w:pStyle w:val="Neotevilenodstavek"/>
              <w:numPr>
                <w:ilvl w:val="0"/>
                <w:numId w:val="2"/>
              </w:numPr>
              <w:spacing w:before="0" w:after="0" w:line="260" w:lineRule="exact"/>
              <w:rPr>
                <w:bCs/>
                <w:sz w:val="20"/>
                <w:szCs w:val="20"/>
              </w:rPr>
            </w:pPr>
            <w:r w:rsidRPr="0098787B">
              <w:rPr>
                <w:bCs/>
                <w:sz w:val="20"/>
                <w:szCs w:val="20"/>
              </w:rPr>
              <w:t>razvojne politike na ravni programov po strukturi razvojne klasifikacije programskega proračuna</w:t>
            </w:r>
          </w:p>
          <w:p w:rsidR="007A607D" w:rsidRPr="0098787B" w:rsidRDefault="007A607D" w:rsidP="007A607D">
            <w:pPr>
              <w:pStyle w:val="Neotevilenodstavek"/>
              <w:numPr>
                <w:ilvl w:val="0"/>
                <w:numId w:val="2"/>
              </w:numPr>
              <w:spacing w:before="0" w:after="0" w:line="260" w:lineRule="exact"/>
              <w:rPr>
                <w:bCs/>
                <w:sz w:val="20"/>
                <w:szCs w:val="20"/>
              </w:rPr>
            </w:pPr>
            <w:r w:rsidRPr="0098787B">
              <w:rPr>
                <w:bCs/>
                <w:sz w:val="20"/>
                <w:szCs w:val="20"/>
              </w:rPr>
              <w:t>razvojne dokumente Evropske unije in mednarodnih organizacij</w:t>
            </w:r>
          </w:p>
        </w:tc>
        <w:tc>
          <w:tcPr>
            <w:tcW w:w="2169" w:type="dxa"/>
            <w:tcBorders>
              <w:bottom w:val="single" w:sz="4" w:space="0" w:color="auto"/>
            </w:tcBorders>
            <w:vAlign w:val="center"/>
          </w:tcPr>
          <w:p w:rsidR="007A607D" w:rsidRPr="0098787B" w:rsidRDefault="007A607D" w:rsidP="00DB61C3">
            <w:pPr>
              <w:pStyle w:val="Neotevilenodstavek"/>
              <w:spacing w:before="0" w:after="0" w:line="260" w:lineRule="exact"/>
              <w:jc w:val="center"/>
              <w:rPr>
                <w:iCs/>
                <w:sz w:val="20"/>
                <w:szCs w:val="20"/>
              </w:rPr>
            </w:pPr>
            <w:r w:rsidRPr="0098787B">
              <w:rPr>
                <w:b/>
                <w:sz w:val="20"/>
                <w:szCs w:val="20"/>
              </w:rPr>
              <w:t>NE</w:t>
            </w:r>
          </w:p>
        </w:tc>
      </w:tr>
    </w:tbl>
    <w:p w:rsidR="007A607D" w:rsidRPr="0098787B" w:rsidRDefault="007A607D" w:rsidP="007A607D">
      <w:r w:rsidRPr="0098787B">
        <w:rPr>
          <w:b/>
        </w:rPr>
        <w:br w:type="page"/>
      </w:r>
    </w:p>
    <w:tbl>
      <w:tblPr>
        <w:tblW w:w="9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621"/>
        <w:gridCol w:w="982"/>
        <w:gridCol w:w="307"/>
        <w:gridCol w:w="1102"/>
        <w:gridCol w:w="603"/>
        <w:gridCol w:w="342"/>
        <w:gridCol w:w="272"/>
        <w:gridCol w:w="2708"/>
      </w:tblGrid>
      <w:tr w:rsidR="007A607D" w:rsidRPr="0098787B" w:rsidTr="00DB61C3">
        <w:tc>
          <w:tcPr>
            <w:tcW w:w="9856" w:type="dxa"/>
            <w:gridSpan w:val="9"/>
            <w:tcBorders>
              <w:top w:val="single" w:sz="4" w:space="0" w:color="auto"/>
              <w:left w:val="single" w:sz="4" w:space="0" w:color="auto"/>
              <w:bottom w:val="single" w:sz="4" w:space="0" w:color="auto"/>
              <w:right w:val="single" w:sz="4" w:space="0" w:color="auto"/>
            </w:tcBorders>
          </w:tcPr>
          <w:p w:rsidR="007A607D" w:rsidRPr="0098787B" w:rsidRDefault="007A607D" w:rsidP="00DB61C3">
            <w:pPr>
              <w:pStyle w:val="Oddelek"/>
              <w:widowControl w:val="0"/>
              <w:numPr>
                <w:ilvl w:val="0"/>
                <w:numId w:val="0"/>
              </w:numPr>
              <w:spacing w:before="0" w:after="0" w:line="260" w:lineRule="exact"/>
              <w:jc w:val="left"/>
              <w:rPr>
                <w:sz w:val="20"/>
                <w:szCs w:val="20"/>
              </w:rPr>
            </w:pPr>
            <w:r w:rsidRPr="0098787B">
              <w:rPr>
                <w:sz w:val="20"/>
                <w:szCs w:val="20"/>
              </w:rPr>
              <w:lastRenderedPageBreak/>
              <w:t>7.a Predstavitev ocene finančnih posledic nad 40.000 EUR:</w:t>
            </w:r>
          </w:p>
          <w:p w:rsidR="007A607D" w:rsidRPr="0098787B" w:rsidRDefault="007A607D" w:rsidP="00DB61C3">
            <w:pPr>
              <w:pStyle w:val="Oddelek"/>
              <w:widowControl w:val="0"/>
              <w:numPr>
                <w:ilvl w:val="0"/>
                <w:numId w:val="0"/>
              </w:numPr>
              <w:spacing w:before="0" w:after="0" w:line="260" w:lineRule="exact"/>
              <w:jc w:val="left"/>
              <w:rPr>
                <w:rFonts w:ascii="Helv" w:hAnsi="Helv"/>
                <w:b w:val="0"/>
                <w:sz w:val="20"/>
                <w:szCs w:val="20"/>
              </w:rPr>
            </w:pPr>
          </w:p>
          <w:p w:rsidR="007A607D" w:rsidRPr="0098787B" w:rsidRDefault="007A607D" w:rsidP="00DB61C3">
            <w:pPr>
              <w:pStyle w:val="Oddelek"/>
              <w:widowControl w:val="0"/>
              <w:numPr>
                <w:ilvl w:val="0"/>
                <w:numId w:val="0"/>
              </w:numPr>
              <w:spacing w:before="0" w:after="0" w:line="260" w:lineRule="exact"/>
              <w:jc w:val="left"/>
              <w:rPr>
                <w:b w:val="0"/>
                <w:sz w:val="20"/>
                <w:szCs w:val="20"/>
              </w:rPr>
            </w:pPr>
          </w:p>
          <w:p w:rsidR="007A607D" w:rsidRPr="0098787B" w:rsidRDefault="007A607D" w:rsidP="00DB61C3">
            <w:pPr>
              <w:pStyle w:val="Oddelek"/>
              <w:widowControl w:val="0"/>
              <w:numPr>
                <w:ilvl w:val="0"/>
                <w:numId w:val="0"/>
              </w:numPr>
              <w:spacing w:before="0" w:after="0" w:line="260" w:lineRule="exact"/>
              <w:jc w:val="left"/>
              <w:rPr>
                <w:b w:val="0"/>
                <w:sz w:val="20"/>
                <w:szCs w:val="20"/>
              </w:rPr>
            </w:pPr>
          </w:p>
        </w:tc>
      </w:tr>
      <w:tr w:rsidR="007A607D" w:rsidRPr="0098787B" w:rsidTr="00DB61C3">
        <w:tc>
          <w:tcPr>
            <w:tcW w:w="9856" w:type="dxa"/>
            <w:gridSpan w:val="9"/>
            <w:tcBorders>
              <w:top w:val="single" w:sz="4" w:space="0" w:color="auto"/>
              <w:left w:val="single" w:sz="4" w:space="0" w:color="auto"/>
              <w:bottom w:val="single" w:sz="4" w:space="0" w:color="auto"/>
              <w:right w:val="single" w:sz="4" w:space="0" w:color="auto"/>
            </w:tcBorders>
          </w:tcPr>
          <w:p w:rsidR="007A607D" w:rsidRPr="0098787B" w:rsidRDefault="007A607D" w:rsidP="00DB61C3">
            <w:pPr>
              <w:pStyle w:val="Oddelek"/>
              <w:numPr>
                <w:ilvl w:val="0"/>
                <w:numId w:val="0"/>
              </w:numPr>
              <w:spacing w:line="260" w:lineRule="exact"/>
              <w:jc w:val="left"/>
              <w:rPr>
                <w:sz w:val="20"/>
                <w:szCs w:val="20"/>
              </w:rPr>
            </w:pPr>
            <w:r w:rsidRPr="0098787B">
              <w:rPr>
                <w:sz w:val="20"/>
                <w:szCs w:val="20"/>
              </w:rPr>
              <w:t>I. Ocena finančnih posledic, ki niso načrtovane v sprejetem proračunu</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3540"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ind w:left="-122" w:right="-112"/>
              <w:jc w:val="center"/>
              <w:rPr>
                <w:rFonts w:cs="Arial"/>
                <w:szCs w:val="20"/>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Tekoče leto (t)</w:t>
            </w:r>
          </w:p>
        </w:tc>
        <w:tc>
          <w:tcPr>
            <w:tcW w:w="1102"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t + 1</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t + 2</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t + 3</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540"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rPr>
                <w:rFonts w:cs="Arial"/>
                <w:bCs/>
                <w:szCs w:val="20"/>
              </w:rPr>
            </w:pPr>
            <w:r w:rsidRPr="0098787B">
              <w:rPr>
                <w:rFonts w:cs="Arial"/>
                <w:bCs/>
                <w:szCs w:val="20"/>
              </w:rPr>
              <w:t>Predvideno povečanje (+) ali zmanjšanje (</w:t>
            </w:r>
            <w:r w:rsidRPr="0098787B">
              <w:rPr>
                <w:b/>
                <w:szCs w:val="20"/>
              </w:rPr>
              <w:t>–</w:t>
            </w:r>
            <w:r w:rsidRPr="0098787B">
              <w:rPr>
                <w:rFonts w:cs="Arial"/>
                <w:bCs/>
                <w:szCs w:val="20"/>
              </w:rPr>
              <w:t xml:space="preserve">) prihodkov državnega proračuna </w:t>
            </w: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102"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jc w:val="right"/>
              <w:textAlignment w:val="baseline"/>
              <w:outlineLvl w:val="0"/>
              <w:rPr>
                <w:rFonts w:cs="Arial"/>
                <w:bCs/>
                <w:kern w:val="32"/>
                <w:sz w:val="16"/>
                <w:szCs w:val="16"/>
                <w:lang w:eastAsia="x-none"/>
              </w:rPr>
            </w:pP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jc w:val="center"/>
              <w:textAlignment w:val="baseline"/>
              <w:outlineLvl w:val="0"/>
              <w:rPr>
                <w:rFonts w:cs="Arial"/>
                <w:bCs/>
                <w:kern w:val="32"/>
                <w:sz w:val="16"/>
                <w:szCs w:val="16"/>
                <w:lang w:eastAsia="x-none"/>
              </w:rPr>
            </w:pP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540"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rPr>
                <w:rFonts w:cs="Arial"/>
                <w:bCs/>
                <w:szCs w:val="20"/>
              </w:rPr>
            </w:pPr>
            <w:r w:rsidRPr="0098787B">
              <w:rPr>
                <w:rFonts w:cs="Arial"/>
                <w:bCs/>
                <w:szCs w:val="20"/>
              </w:rPr>
              <w:t>Predvideno povečanje (+) ali zmanjšanje (</w:t>
            </w:r>
            <w:r w:rsidRPr="0098787B">
              <w:rPr>
                <w:b/>
                <w:szCs w:val="20"/>
              </w:rPr>
              <w:t>–</w:t>
            </w:r>
            <w:r w:rsidRPr="0098787B">
              <w:rPr>
                <w:rFonts w:cs="Arial"/>
                <w:bCs/>
                <w:szCs w:val="20"/>
              </w:rPr>
              <w:t xml:space="preserve">) prihodkov občinskih proračunov </w:t>
            </w: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jc w:val="center"/>
              <w:rPr>
                <w:rFonts w:cs="Arial"/>
                <w:b w:val="0"/>
                <w:bCs/>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jc w:val="center"/>
              <w:rPr>
                <w:rFonts w:cs="Arial"/>
                <w:b w:val="0"/>
                <w:bCs/>
                <w:sz w:val="20"/>
                <w:szCs w:val="20"/>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jc w:val="center"/>
              <w:rPr>
                <w:rFonts w:cs="Arial"/>
                <w:b w:val="0"/>
                <w:sz w:val="20"/>
                <w:szCs w:val="20"/>
              </w:rPr>
            </w:pP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jc w:val="center"/>
              <w:rPr>
                <w:rFonts w:cs="Arial"/>
                <w:b w:val="0"/>
                <w:sz w:val="20"/>
                <w:szCs w:val="20"/>
              </w:rPr>
            </w:pP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540"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rPr>
                <w:rFonts w:cs="Arial"/>
                <w:bCs/>
                <w:szCs w:val="20"/>
              </w:rPr>
            </w:pPr>
            <w:r w:rsidRPr="0098787B">
              <w:rPr>
                <w:rFonts w:cs="Arial"/>
                <w:bCs/>
                <w:szCs w:val="20"/>
              </w:rPr>
              <w:t>Predvideno povečanje (+) ali zmanjšanje (</w:t>
            </w:r>
            <w:r w:rsidRPr="0098787B">
              <w:rPr>
                <w:b/>
                <w:szCs w:val="20"/>
              </w:rPr>
              <w:t>–</w:t>
            </w:r>
            <w:r w:rsidRPr="0098787B">
              <w:rPr>
                <w:rFonts w:cs="Arial"/>
                <w:bCs/>
                <w:szCs w:val="20"/>
              </w:rPr>
              <w:t xml:space="preserve">) odhodkov državnega proračuna </w:t>
            </w: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overflowPunct w:val="0"/>
              <w:autoSpaceDE w:val="0"/>
              <w:autoSpaceDN w:val="0"/>
              <w:adjustRightInd w:val="0"/>
              <w:spacing w:line="240" w:lineRule="auto"/>
              <w:jc w:val="right"/>
              <w:textAlignment w:val="baseline"/>
              <w:rPr>
                <w:rFonts w:cs="Arial"/>
                <w:sz w:val="16"/>
                <w:szCs w:val="16"/>
              </w:rPr>
            </w:pPr>
          </w:p>
        </w:tc>
        <w:tc>
          <w:tcPr>
            <w:tcW w:w="1102"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overflowPunct w:val="0"/>
              <w:autoSpaceDE w:val="0"/>
              <w:autoSpaceDN w:val="0"/>
              <w:adjustRightInd w:val="0"/>
              <w:spacing w:line="240" w:lineRule="auto"/>
              <w:jc w:val="right"/>
              <w:textAlignment w:val="baseline"/>
              <w:rPr>
                <w:rFonts w:cs="Arial"/>
                <w:b/>
                <w:sz w:val="16"/>
                <w:szCs w:val="16"/>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overflowPunct w:val="0"/>
              <w:autoSpaceDE w:val="0"/>
              <w:autoSpaceDN w:val="0"/>
              <w:adjustRightInd w:val="0"/>
              <w:spacing w:line="240" w:lineRule="auto"/>
              <w:jc w:val="right"/>
              <w:textAlignment w:val="baseline"/>
              <w:rPr>
                <w:rFonts w:cs="Arial"/>
                <w:b/>
                <w:sz w:val="16"/>
                <w:szCs w:val="16"/>
              </w:rPr>
            </w:pP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overflowPunct w:val="0"/>
              <w:autoSpaceDE w:val="0"/>
              <w:autoSpaceDN w:val="0"/>
              <w:adjustRightInd w:val="0"/>
              <w:spacing w:line="240" w:lineRule="auto"/>
              <w:jc w:val="center"/>
              <w:textAlignment w:val="baseline"/>
              <w:rPr>
                <w:rFonts w:cs="Arial"/>
                <w:b/>
                <w:sz w:val="16"/>
                <w:szCs w:val="16"/>
              </w:rPr>
            </w:pP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3540"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rPr>
                <w:rFonts w:cs="Arial"/>
                <w:bCs/>
                <w:szCs w:val="20"/>
              </w:rPr>
            </w:pPr>
            <w:r w:rsidRPr="0098787B">
              <w:rPr>
                <w:rFonts w:cs="Arial"/>
                <w:bCs/>
                <w:szCs w:val="20"/>
              </w:rPr>
              <w:t>Predvideno povečanje (+) ali zmanjšanje (</w:t>
            </w:r>
            <w:r w:rsidRPr="0098787B">
              <w:rPr>
                <w:b/>
                <w:szCs w:val="20"/>
              </w:rPr>
              <w:t>–</w:t>
            </w:r>
            <w:r w:rsidRPr="0098787B">
              <w:rPr>
                <w:rFonts w:cs="Arial"/>
                <w:bCs/>
                <w:szCs w:val="20"/>
              </w:rPr>
              <w:t>) odhodkov občinskih proračunov</w:t>
            </w: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540"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rPr>
                <w:rFonts w:cs="Arial"/>
                <w:bCs/>
                <w:szCs w:val="20"/>
              </w:rPr>
            </w:pPr>
            <w:r w:rsidRPr="0098787B">
              <w:rPr>
                <w:rFonts w:cs="Arial"/>
                <w:bCs/>
                <w:szCs w:val="20"/>
              </w:rPr>
              <w:t>Predvideno povečanje (+) ali zmanjšanje (</w:t>
            </w:r>
            <w:r w:rsidRPr="0098787B">
              <w:rPr>
                <w:b/>
                <w:szCs w:val="20"/>
              </w:rPr>
              <w:t>–</w:t>
            </w:r>
            <w:r w:rsidRPr="0098787B">
              <w:rPr>
                <w:rFonts w:cs="Arial"/>
                <w:bCs/>
                <w:szCs w:val="20"/>
              </w:rPr>
              <w:t>) obveznosti za druga javnofinančna sredstva</w:t>
            </w: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jc w:val="center"/>
              <w:rPr>
                <w:rFonts w:cs="Arial"/>
                <w:b w:val="0"/>
                <w:bCs/>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jc w:val="center"/>
              <w:rPr>
                <w:rFonts w:cs="Arial"/>
                <w:b w:val="0"/>
                <w:bCs/>
                <w:sz w:val="20"/>
                <w:szCs w:val="20"/>
              </w:rPr>
            </w:pP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jc w:val="center"/>
              <w:rPr>
                <w:rFonts w:cs="Arial"/>
                <w:b w:val="0"/>
                <w:sz w:val="20"/>
                <w:szCs w:val="20"/>
              </w:rPr>
            </w:pP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jc w:val="center"/>
              <w:rPr>
                <w:rFonts w:cs="Arial"/>
                <w:b w:val="0"/>
                <w:sz w:val="20"/>
                <w:szCs w:val="20"/>
              </w:rPr>
            </w:pP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85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607D" w:rsidRPr="0098787B" w:rsidRDefault="007A607D" w:rsidP="00DB61C3">
            <w:pPr>
              <w:pStyle w:val="Naslov1"/>
              <w:keepNext w:val="0"/>
              <w:widowControl w:val="0"/>
              <w:tabs>
                <w:tab w:val="left" w:pos="2340"/>
              </w:tabs>
              <w:spacing w:before="0" w:after="0"/>
              <w:ind w:left="142" w:hanging="142"/>
              <w:rPr>
                <w:rFonts w:cs="Arial"/>
                <w:sz w:val="20"/>
                <w:szCs w:val="20"/>
              </w:rPr>
            </w:pPr>
            <w:r w:rsidRPr="0098787B">
              <w:rPr>
                <w:rFonts w:cs="Arial"/>
                <w:sz w:val="20"/>
                <w:szCs w:val="20"/>
              </w:rPr>
              <w:t>II. Finančne posledice za državni proračun</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85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607D" w:rsidRPr="0098787B" w:rsidRDefault="007A607D" w:rsidP="00DB61C3">
            <w:pPr>
              <w:pStyle w:val="Naslov1"/>
              <w:keepNext w:val="0"/>
              <w:widowControl w:val="0"/>
              <w:tabs>
                <w:tab w:val="left" w:pos="2340"/>
              </w:tabs>
              <w:spacing w:before="0" w:after="0"/>
              <w:ind w:left="142" w:hanging="142"/>
              <w:rPr>
                <w:rFonts w:cs="Arial"/>
                <w:sz w:val="20"/>
                <w:szCs w:val="20"/>
              </w:rPr>
            </w:pPr>
            <w:r w:rsidRPr="0098787B">
              <w:rPr>
                <w:rFonts w:cs="Arial"/>
                <w:sz w:val="20"/>
                <w:szCs w:val="20"/>
              </w:rPr>
              <w:t>II.a Pravice porabe za izvedbo predlaganih rešitev so zagotovljene:</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919"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 xml:space="preserve">Ime proračunskega uporabnika </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Šifra in naziv ukrepa, projekta</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Šifra in naziv proračunske postavke</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Znesek za tekoče leto (t)</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Znesek za t + 1</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919"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kern w:val="32"/>
                <w:sz w:val="16"/>
                <w:szCs w:val="16"/>
                <w:lang w:eastAsia="x-none"/>
              </w:rPr>
            </w:pPr>
            <w:r w:rsidRPr="0098787B">
              <w:rPr>
                <w:rFonts w:cs="Arial"/>
                <w:kern w:val="32"/>
                <w:sz w:val="16"/>
                <w:szCs w:val="16"/>
                <w:lang w:eastAsia="x-none"/>
              </w:rPr>
              <w:lastRenderedPageBreak/>
              <w:t>Ministrstvo za okolje in prostor</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color w:val="000000"/>
                <w:szCs w:val="20"/>
                <w:shd w:val="clear" w:color="auto" w:fill="FFFFFF"/>
              </w:rPr>
            </w:pPr>
            <w:r>
              <w:rPr>
                <w:rFonts w:cs="Arial"/>
                <w:color w:val="000000"/>
                <w:szCs w:val="20"/>
                <w:shd w:val="clear" w:color="auto" w:fill="FFFFFF"/>
              </w:rPr>
              <w:t>2550-19-0002</w:t>
            </w:r>
          </w:p>
          <w:p w:rsidR="007A607D" w:rsidRPr="0098787B"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kern w:val="32"/>
                <w:szCs w:val="20"/>
                <w:lang w:eastAsia="x-none"/>
              </w:rPr>
            </w:pPr>
            <w:r w:rsidRPr="0098787B">
              <w:rPr>
                <w:rFonts w:cs="Arial"/>
                <w:color w:val="000000"/>
                <w:szCs w:val="20"/>
                <w:shd w:val="clear" w:color="auto" w:fill="FFFFFF"/>
              </w:rPr>
              <w:t>VISFRIM (Upravljanje poplavne ogroženosti na porečju reke Vipave in na ostalih čezmejnih porečjih)</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jc w:val="both"/>
              <w:textAlignment w:val="baseline"/>
              <w:outlineLvl w:val="0"/>
              <w:rPr>
                <w:rFonts w:cs="Arial"/>
                <w:kern w:val="32"/>
                <w:szCs w:val="20"/>
                <w:lang w:eastAsia="x-none"/>
              </w:rPr>
            </w:pPr>
            <w:r w:rsidRPr="0098787B">
              <w:rPr>
                <w:rFonts w:cs="Arial"/>
                <w:szCs w:val="20"/>
                <w:lang w:eastAsia="sl-SI"/>
              </w:rPr>
              <w:t>Teritorialno sodelovanje 14-20-EU-160303</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r w:rsidRPr="0098787B">
              <w:rPr>
                <w:rFonts w:cs="Arial"/>
                <w:b w:val="0"/>
                <w:bCs/>
                <w:sz w:val="20"/>
                <w:szCs w:val="20"/>
              </w:rPr>
              <w:t>0</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widowControl w:val="0"/>
              <w:tabs>
                <w:tab w:val="left" w:pos="360"/>
              </w:tabs>
              <w:rPr>
                <w:rFonts w:cs="Arial"/>
                <w:b w:val="0"/>
                <w:bCs/>
                <w:sz w:val="20"/>
                <w:szCs w:val="20"/>
              </w:rPr>
            </w:pPr>
            <w:r w:rsidRPr="0098787B">
              <w:rPr>
                <w:rFonts w:cs="Arial"/>
                <w:b w:val="0"/>
                <w:bCs/>
                <w:sz w:val="20"/>
                <w:szCs w:val="20"/>
              </w:rPr>
              <w:t>0</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919"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kern w:val="32"/>
                <w:sz w:val="16"/>
                <w:szCs w:val="16"/>
                <w:lang w:eastAsia="x-none"/>
              </w:rPr>
            </w:pPr>
            <w:r w:rsidRPr="0098787B">
              <w:rPr>
                <w:rFonts w:cs="Arial"/>
                <w:kern w:val="32"/>
                <w:sz w:val="16"/>
                <w:szCs w:val="16"/>
                <w:lang w:eastAsia="x-none"/>
              </w:rPr>
              <w:t>Ministrstvo za okolje in prostor</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color w:val="000000"/>
                <w:szCs w:val="20"/>
                <w:shd w:val="clear" w:color="auto" w:fill="FFFFFF"/>
              </w:rPr>
            </w:pPr>
            <w:r>
              <w:rPr>
                <w:rFonts w:cs="Arial"/>
                <w:color w:val="000000"/>
                <w:szCs w:val="20"/>
                <w:shd w:val="clear" w:color="auto" w:fill="FFFFFF"/>
              </w:rPr>
              <w:t>2550-19-0002</w:t>
            </w:r>
          </w:p>
          <w:p w:rsidR="007A607D" w:rsidRPr="0098787B"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kern w:val="32"/>
                <w:szCs w:val="20"/>
                <w:lang w:eastAsia="x-none"/>
              </w:rPr>
            </w:pPr>
            <w:r w:rsidRPr="0098787B">
              <w:rPr>
                <w:rFonts w:cs="Arial"/>
                <w:color w:val="000000"/>
                <w:szCs w:val="20"/>
                <w:shd w:val="clear" w:color="auto" w:fill="FFFFFF"/>
              </w:rPr>
              <w:t>VISFRIM (Upravljanje poplavne ogroženosti na porečju reke Vipave in na ostalih čezmejnih porečjih)</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jc w:val="both"/>
              <w:textAlignment w:val="baseline"/>
              <w:outlineLvl w:val="0"/>
              <w:rPr>
                <w:rFonts w:cs="Arial"/>
                <w:kern w:val="32"/>
                <w:szCs w:val="20"/>
                <w:lang w:eastAsia="x-none"/>
              </w:rPr>
            </w:pPr>
            <w:r w:rsidRPr="0098787B">
              <w:rPr>
                <w:rFonts w:cs="Arial"/>
                <w:szCs w:val="20"/>
                <w:lang w:eastAsia="sl-SI"/>
              </w:rPr>
              <w:t>Teritorialno sodelovanje 14-20-Slovenska udeležba-160304</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r w:rsidRPr="0098787B">
              <w:rPr>
                <w:rFonts w:cs="Arial"/>
                <w:b w:val="0"/>
                <w:bCs/>
                <w:sz w:val="20"/>
                <w:szCs w:val="20"/>
              </w:rPr>
              <w:t>0</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r w:rsidRPr="0098787B">
              <w:rPr>
                <w:rFonts w:cs="Arial"/>
                <w:b w:val="0"/>
                <w:bCs/>
                <w:sz w:val="20"/>
                <w:szCs w:val="20"/>
              </w:rPr>
              <w:t>0</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919"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kern w:val="32"/>
                <w:sz w:val="16"/>
                <w:szCs w:val="16"/>
                <w:lang w:eastAsia="x-none"/>
              </w:rPr>
            </w:pPr>
            <w:r w:rsidRPr="0098787B">
              <w:rPr>
                <w:rFonts w:cs="Arial"/>
                <w:kern w:val="32"/>
                <w:sz w:val="16"/>
                <w:szCs w:val="16"/>
                <w:lang w:eastAsia="x-none"/>
              </w:rPr>
              <w:t xml:space="preserve">Agencija RS za okolje </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A607D"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color w:val="000000"/>
                <w:szCs w:val="20"/>
                <w:shd w:val="clear" w:color="auto" w:fill="FFFFFF"/>
              </w:rPr>
            </w:pPr>
            <w:r>
              <w:rPr>
                <w:rFonts w:cs="Arial"/>
                <w:color w:val="000000"/>
                <w:szCs w:val="20"/>
                <w:shd w:val="clear" w:color="auto" w:fill="FFFFFF"/>
              </w:rPr>
              <w:t>2550-19-0002</w:t>
            </w:r>
          </w:p>
          <w:p w:rsidR="007A607D" w:rsidRPr="0098787B"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kern w:val="32"/>
                <w:szCs w:val="20"/>
                <w:lang w:eastAsia="x-none"/>
              </w:rPr>
            </w:pPr>
            <w:r w:rsidRPr="0098787B">
              <w:rPr>
                <w:rFonts w:cs="Arial"/>
                <w:color w:val="000000"/>
                <w:szCs w:val="20"/>
                <w:shd w:val="clear" w:color="auto" w:fill="FFFFFF"/>
              </w:rPr>
              <w:t>VISFRIM (Upravljanje poplavne ogroženosti na porečju reke Vipave in na ostalih čezmejnih porečjih)</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A607D" w:rsidRDefault="007A607D" w:rsidP="00DB61C3">
            <w:pPr>
              <w:keepNext/>
              <w:tabs>
                <w:tab w:val="left" w:pos="360"/>
              </w:tabs>
              <w:overflowPunct w:val="0"/>
              <w:autoSpaceDE w:val="0"/>
              <w:autoSpaceDN w:val="0"/>
              <w:adjustRightInd w:val="0"/>
              <w:spacing w:before="240" w:line="240" w:lineRule="auto"/>
              <w:jc w:val="both"/>
              <w:textAlignment w:val="baseline"/>
              <w:outlineLvl w:val="0"/>
              <w:rPr>
                <w:rFonts w:cs="Arial"/>
                <w:szCs w:val="20"/>
                <w:lang w:eastAsia="sl-SI"/>
              </w:rPr>
            </w:pPr>
            <w:r>
              <w:rPr>
                <w:rFonts w:cs="Arial"/>
                <w:szCs w:val="20"/>
                <w:lang w:eastAsia="sl-SI"/>
              </w:rPr>
              <w:t>Teritorialno sodelovanje -14-20- VISFRIM–EU</w:t>
            </w:r>
          </w:p>
          <w:p w:rsidR="007A607D" w:rsidRPr="0098787B" w:rsidRDefault="007A607D" w:rsidP="00DB61C3">
            <w:pPr>
              <w:keepNext/>
              <w:tabs>
                <w:tab w:val="left" w:pos="360"/>
              </w:tabs>
              <w:overflowPunct w:val="0"/>
              <w:autoSpaceDE w:val="0"/>
              <w:autoSpaceDN w:val="0"/>
              <w:adjustRightInd w:val="0"/>
              <w:spacing w:before="240" w:line="240" w:lineRule="auto"/>
              <w:jc w:val="both"/>
              <w:textAlignment w:val="baseline"/>
              <w:outlineLvl w:val="0"/>
              <w:rPr>
                <w:rFonts w:cs="Arial"/>
                <w:kern w:val="32"/>
                <w:szCs w:val="20"/>
                <w:lang w:eastAsia="x-none"/>
              </w:rPr>
            </w:pPr>
            <w:r>
              <w:rPr>
                <w:rFonts w:cs="Arial"/>
                <w:kern w:val="32"/>
                <w:szCs w:val="20"/>
                <w:lang w:eastAsia="x-none"/>
              </w:rPr>
              <w:t>190000</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r w:rsidRPr="0098787B">
              <w:rPr>
                <w:rFonts w:cs="Arial"/>
                <w:b w:val="0"/>
                <w:bCs/>
                <w:sz w:val="20"/>
                <w:szCs w:val="20"/>
              </w:rPr>
              <w:t>0</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widowControl w:val="0"/>
              <w:tabs>
                <w:tab w:val="left" w:pos="360"/>
              </w:tabs>
              <w:rPr>
                <w:rFonts w:cs="Arial"/>
                <w:b w:val="0"/>
                <w:bCs/>
                <w:sz w:val="20"/>
                <w:szCs w:val="20"/>
              </w:rPr>
            </w:pPr>
            <w:r w:rsidRPr="0098787B">
              <w:rPr>
                <w:rFonts w:cs="Arial"/>
                <w:b w:val="0"/>
                <w:bCs/>
                <w:sz w:val="20"/>
                <w:szCs w:val="20"/>
              </w:rPr>
              <w:t xml:space="preserve">0 </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919"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kern w:val="32"/>
                <w:sz w:val="16"/>
                <w:szCs w:val="16"/>
                <w:lang w:eastAsia="x-none"/>
              </w:rPr>
            </w:pPr>
            <w:r w:rsidRPr="0098787B">
              <w:rPr>
                <w:rFonts w:cs="Arial"/>
                <w:kern w:val="32"/>
                <w:sz w:val="16"/>
                <w:szCs w:val="16"/>
                <w:lang w:eastAsia="x-none"/>
              </w:rPr>
              <w:t>Agencija RS za okolje</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A607D"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color w:val="000000"/>
                <w:szCs w:val="20"/>
                <w:shd w:val="clear" w:color="auto" w:fill="FFFFFF"/>
              </w:rPr>
            </w:pPr>
            <w:r>
              <w:rPr>
                <w:rFonts w:cs="Arial"/>
                <w:color w:val="000000"/>
                <w:szCs w:val="20"/>
                <w:shd w:val="clear" w:color="auto" w:fill="FFFFFF"/>
              </w:rPr>
              <w:t>2550-19-0002</w:t>
            </w:r>
          </w:p>
          <w:p w:rsidR="007A607D" w:rsidRPr="0098787B" w:rsidRDefault="007A607D" w:rsidP="00DB61C3">
            <w:pPr>
              <w:keepNext/>
              <w:tabs>
                <w:tab w:val="left" w:pos="360"/>
              </w:tabs>
              <w:overflowPunct w:val="0"/>
              <w:autoSpaceDE w:val="0"/>
              <w:autoSpaceDN w:val="0"/>
              <w:adjustRightInd w:val="0"/>
              <w:spacing w:before="240" w:line="240" w:lineRule="auto"/>
              <w:textAlignment w:val="baseline"/>
              <w:outlineLvl w:val="0"/>
              <w:rPr>
                <w:rFonts w:cs="Arial"/>
                <w:kern w:val="32"/>
                <w:szCs w:val="20"/>
                <w:lang w:eastAsia="x-none"/>
              </w:rPr>
            </w:pPr>
            <w:r w:rsidRPr="0098787B">
              <w:rPr>
                <w:rFonts w:cs="Arial"/>
                <w:color w:val="000000"/>
                <w:szCs w:val="20"/>
                <w:shd w:val="clear" w:color="auto" w:fill="FFFFFF"/>
              </w:rPr>
              <w:t>VISFRIM (Upravljanje poplavne ogroženosti na porečju reke Vipave in na ostalih čezmejnih porečjih)</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A607D" w:rsidRDefault="007A607D" w:rsidP="00DB61C3">
            <w:pPr>
              <w:keepNext/>
              <w:tabs>
                <w:tab w:val="left" w:pos="360"/>
              </w:tabs>
              <w:overflowPunct w:val="0"/>
              <w:autoSpaceDE w:val="0"/>
              <w:autoSpaceDN w:val="0"/>
              <w:adjustRightInd w:val="0"/>
              <w:spacing w:before="240" w:line="240" w:lineRule="auto"/>
              <w:jc w:val="both"/>
              <w:textAlignment w:val="baseline"/>
              <w:outlineLvl w:val="0"/>
              <w:rPr>
                <w:rFonts w:cs="Arial"/>
                <w:szCs w:val="20"/>
                <w:lang w:eastAsia="sl-SI"/>
              </w:rPr>
            </w:pPr>
            <w:r>
              <w:rPr>
                <w:rFonts w:cs="Arial"/>
                <w:szCs w:val="20"/>
                <w:lang w:eastAsia="sl-SI"/>
              </w:rPr>
              <w:t>Teritorialno sodelovanje -14-20- VISFRIM–slovenska udeležba</w:t>
            </w:r>
          </w:p>
          <w:p w:rsidR="007A607D" w:rsidRPr="0098787B" w:rsidRDefault="007A607D" w:rsidP="00DB61C3">
            <w:pPr>
              <w:keepNext/>
              <w:tabs>
                <w:tab w:val="left" w:pos="360"/>
              </w:tabs>
              <w:overflowPunct w:val="0"/>
              <w:autoSpaceDE w:val="0"/>
              <w:autoSpaceDN w:val="0"/>
              <w:adjustRightInd w:val="0"/>
              <w:spacing w:before="240" w:line="240" w:lineRule="auto"/>
              <w:jc w:val="both"/>
              <w:textAlignment w:val="baseline"/>
              <w:outlineLvl w:val="0"/>
              <w:rPr>
                <w:rFonts w:cs="Arial"/>
                <w:kern w:val="32"/>
                <w:szCs w:val="20"/>
                <w:lang w:eastAsia="x-none"/>
              </w:rPr>
            </w:pPr>
            <w:r>
              <w:rPr>
                <w:rFonts w:cs="Arial"/>
                <w:kern w:val="32"/>
                <w:szCs w:val="20"/>
                <w:lang w:eastAsia="x-none"/>
              </w:rPr>
              <w:t>190001</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r w:rsidRPr="0098787B">
              <w:rPr>
                <w:rFonts w:cs="Arial"/>
                <w:b w:val="0"/>
                <w:bCs/>
                <w:sz w:val="20"/>
                <w:szCs w:val="20"/>
              </w:rPr>
              <w:t>0</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r w:rsidRPr="0098787B">
              <w:rPr>
                <w:rFonts w:cs="Arial"/>
                <w:b w:val="0"/>
                <w:bCs/>
                <w:sz w:val="20"/>
                <w:szCs w:val="20"/>
              </w:rPr>
              <w:t>0</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31" w:type="dxa"/>
            <w:gridSpan w:val="5"/>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sz w:val="20"/>
                <w:szCs w:val="20"/>
              </w:rPr>
            </w:pPr>
            <w:r w:rsidRPr="0098787B">
              <w:rPr>
                <w:rFonts w:cs="Arial"/>
                <w:sz w:val="20"/>
                <w:szCs w:val="20"/>
              </w:rPr>
              <w:t>SKUPAJ</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b/>
                <w:szCs w:val="20"/>
              </w:rPr>
            </w:pPr>
            <w:r w:rsidRPr="0098787B">
              <w:rPr>
                <w:rFonts w:cs="Arial"/>
                <w:b/>
                <w:szCs w:val="20"/>
              </w:rPr>
              <w:t>0 EUR</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sz w:val="20"/>
                <w:szCs w:val="20"/>
              </w:rPr>
            </w:pPr>
            <w:r w:rsidRPr="0098787B">
              <w:rPr>
                <w:rFonts w:cs="Arial"/>
                <w:sz w:val="20"/>
                <w:szCs w:val="20"/>
              </w:rPr>
              <w:t>0 EUR</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85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607D" w:rsidRPr="0098787B" w:rsidRDefault="007A607D" w:rsidP="00DB61C3">
            <w:pPr>
              <w:pStyle w:val="Naslov1"/>
              <w:keepNext w:val="0"/>
              <w:widowControl w:val="0"/>
              <w:tabs>
                <w:tab w:val="left" w:pos="2340"/>
              </w:tabs>
              <w:spacing w:before="0" w:after="0"/>
              <w:rPr>
                <w:rFonts w:cs="Arial"/>
                <w:sz w:val="20"/>
                <w:szCs w:val="20"/>
              </w:rPr>
            </w:pPr>
            <w:r w:rsidRPr="0098787B">
              <w:rPr>
                <w:rFonts w:cs="Arial"/>
                <w:sz w:val="20"/>
                <w:szCs w:val="20"/>
              </w:rPr>
              <w:t>II.b Manjkajoče pravice porabe bodo zagotovljene s prerazporeditvijo:</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919"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 xml:space="preserve">Ime proračunskega uporabnika </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Šifra in naziv ukrepa, projekta</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 xml:space="preserve">Šifra in naziv proračunske postavke </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Znesek za tekoče leto (t)</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jc w:val="center"/>
              <w:rPr>
                <w:rFonts w:cs="Arial"/>
                <w:szCs w:val="20"/>
              </w:rPr>
            </w:pPr>
            <w:r w:rsidRPr="0098787B">
              <w:rPr>
                <w:rFonts w:cs="Arial"/>
                <w:szCs w:val="20"/>
              </w:rPr>
              <w:t xml:space="preserve">Znesek za t + 1 </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19"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sz w:val="16"/>
                <w:szCs w:val="16"/>
              </w:rPr>
            </w:pPr>
            <w:r w:rsidRPr="0098787B">
              <w:rPr>
                <w:sz w:val="16"/>
                <w:szCs w:val="16"/>
              </w:rPr>
              <w:lastRenderedPageBreak/>
              <w:t>Ministrstvo za okolje in prostor</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sz w:val="16"/>
                <w:szCs w:val="16"/>
              </w:rPr>
            </w:pPr>
            <w:r w:rsidRPr="0098787B">
              <w:rPr>
                <w:sz w:val="16"/>
                <w:szCs w:val="16"/>
              </w:rPr>
              <w:t>2550-18-0004- Centralizirani in drugi programi EU ter Evropsko teritorialno sodelovanje</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sz w:val="16"/>
                <w:szCs w:val="16"/>
              </w:rPr>
            </w:pPr>
            <w:r w:rsidRPr="0098787B">
              <w:rPr>
                <w:sz w:val="16"/>
                <w:szCs w:val="16"/>
              </w:rPr>
              <w:t>160303 –Teritorialno sodelovanje 14-20-EU</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sz w:val="16"/>
                <w:szCs w:val="16"/>
              </w:rPr>
            </w:pPr>
            <w:r w:rsidRPr="0098787B">
              <w:rPr>
                <w:rFonts w:cs="Arial"/>
                <w:sz w:val="16"/>
                <w:szCs w:val="22"/>
                <w:lang w:eastAsia="sl-SI"/>
              </w:rPr>
              <w:t>36.522,80 EUR</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rFonts w:cs="Arial"/>
                <w:sz w:val="16"/>
                <w:szCs w:val="22"/>
                <w:lang w:eastAsia="sl-SI"/>
              </w:rPr>
            </w:pPr>
            <w:r w:rsidRPr="00497B67">
              <w:rPr>
                <w:rFonts w:cs="Arial"/>
                <w:sz w:val="16"/>
                <w:szCs w:val="22"/>
                <w:lang w:eastAsia="sl-SI"/>
              </w:rPr>
              <w:t>45.050,01</w:t>
            </w:r>
            <w:r w:rsidRPr="0098787B">
              <w:rPr>
                <w:rFonts w:cs="Arial"/>
                <w:sz w:val="16"/>
                <w:szCs w:val="22"/>
                <w:lang w:eastAsia="sl-SI"/>
              </w:rPr>
              <w:t xml:space="preserve"> EUR</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19"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sz w:val="16"/>
                <w:szCs w:val="16"/>
              </w:rPr>
            </w:pPr>
            <w:r w:rsidRPr="0098787B">
              <w:rPr>
                <w:sz w:val="16"/>
                <w:szCs w:val="16"/>
              </w:rPr>
              <w:t>Ministrstvo za okolje in prostor</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A607D" w:rsidRPr="0098787B" w:rsidDel="002E360E" w:rsidRDefault="007A607D" w:rsidP="00DB61C3">
            <w:pPr>
              <w:rPr>
                <w:sz w:val="16"/>
                <w:szCs w:val="16"/>
              </w:rPr>
            </w:pPr>
            <w:r w:rsidRPr="0098787B">
              <w:rPr>
                <w:sz w:val="16"/>
                <w:szCs w:val="16"/>
              </w:rPr>
              <w:t>2550-18-0004- Centralizirani in drugi programi EU ter Evropsko teritorialno sodelovanje</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bCs/>
                <w:sz w:val="16"/>
                <w:szCs w:val="16"/>
              </w:rPr>
            </w:pPr>
            <w:r w:rsidRPr="0098787B">
              <w:rPr>
                <w:bCs/>
                <w:sz w:val="16"/>
                <w:szCs w:val="16"/>
              </w:rPr>
              <w:t>160304 –Teritorialno sodelovanje  14-20 slovenska udeležba</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sz w:val="16"/>
                <w:szCs w:val="16"/>
              </w:rPr>
            </w:pPr>
            <w:r w:rsidRPr="0098787B">
              <w:rPr>
                <w:rFonts w:cs="Arial"/>
                <w:sz w:val="16"/>
                <w:szCs w:val="22"/>
                <w:lang w:eastAsia="sl-SI"/>
              </w:rPr>
              <w:t>6.445,20 EUR</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rFonts w:cs="Arial"/>
                <w:sz w:val="16"/>
                <w:szCs w:val="22"/>
                <w:lang w:eastAsia="sl-SI"/>
              </w:rPr>
            </w:pPr>
            <w:r w:rsidRPr="00497B67">
              <w:rPr>
                <w:rFonts w:cs="Arial"/>
                <w:sz w:val="16"/>
                <w:szCs w:val="22"/>
                <w:lang w:eastAsia="sl-SI"/>
              </w:rPr>
              <w:t>7.949,99</w:t>
            </w:r>
            <w:r w:rsidRPr="0098787B">
              <w:rPr>
                <w:rFonts w:cs="Arial"/>
                <w:sz w:val="16"/>
                <w:szCs w:val="22"/>
                <w:lang w:eastAsia="sl-SI"/>
              </w:rPr>
              <w:t xml:space="preserve"> EUR</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19"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sz w:val="16"/>
                <w:szCs w:val="16"/>
              </w:rPr>
            </w:pPr>
            <w:r w:rsidRPr="0098787B">
              <w:rPr>
                <w:sz w:val="16"/>
                <w:szCs w:val="16"/>
              </w:rPr>
              <w:t xml:space="preserve">Agencija RS za okolje </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bCs/>
                <w:sz w:val="16"/>
                <w:szCs w:val="16"/>
              </w:rPr>
            </w:pPr>
            <w:r w:rsidRPr="0098787B">
              <w:rPr>
                <w:sz w:val="16"/>
                <w:szCs w:val="16"/>
              </w:rPr>
              <w:t>2550-18-0004- Centralizirani in drugi programi EU ter Evropsko teritorialno sodelovanje</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bCs/>
                <w:sz w:val="16"/>
                <w:szCs w:val="16"/>
              </w:rPr>
            </w:pPr>
            <w:r w:rsidRPr="0098787B">
              <w:rPr>
                <w:bCs/>
                <w:sz w:val="16"/>
                <w:szCs w:val="16"/>
              </w:rPr>
              <w:t>160305 – Teritorialno sodelovanje 14-20-EU</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bCs/>
                <w:sz w:val="16"/>
                <w:szCs w:val="16"/>
              </w:rPr>
            </w:pPr>
            <w:r w:rsidRPr="0098787B">
              <w:rPr>
                <w:rFonts w:cs="Arial"/>
                <w:sz w:val="16"/>
                <w:szCs w:val="22"/>
                <w:lang w:eastAsia="sl-SI"/>
              </w:rPr>
              <w:t>54.230,00 EUR</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rFonts w:cs="Arial"/>
                <w:sz w:val="16"/>
                <w:szCs w:val="22"/>
                <w:lang w:eastAsia="sl-SI"/>
              </w:rPr>
            </w:pPr>
            <w:r w:rsidRPr="00497B67">
              <w:rPr>
                <w:rFonts w:cs="Arial"/>
                <w:sz w:val="16"/>
                <w:szCs w:val="22"/>
                <w:lang w:eastAsia="sl-SI"/>
              </w:rPr>
              <w:t>63.750,00</w:t>
            </w:r>
            <w:r w:rsidRPr="0098787B">
              <w:rPr>
                <w:rFonts w:cs="Arial"/>
                <w:sz w:val="16"/>
                <w:szCs w:val="22"/>
                <w:lang w:eastAsia="sl-SI"/>
              </w:rPr>
              <w:t xml:space="preserve"> EUR</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19"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sz w:val="16"/>
                <w:szCs w:val="16"/>
              </w:rPr>
            </w:pPr>
            <w:r w:rsidRPr="0098787B">
              <w:rPr>
                <w:sz w:val="16"/>
                <w:szCs w:val="16"/>
              </w:rPr>
              <w:t>Agencija RS za okolje</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A607D" w:rsidRPr="0098787B" w:rsidDel="002E360E" w:rsidRDefault="007A607D" w:rsidP="00DB61C3">
            <w:pPr>
              <w:rPr>
                <w:sz w:val="16"/>
                <w:szCs w:val="16"/>
              </w:rPr>
            </w:pPr>
            <w:r w:rsidRPr="0098787B">
              <w:rPr>
                <w:sz w:val="16"/>
                <w:szCs w:val="16"/>
              </w:rPr>
              <w:t>2550-18-0004- Centralizirani in drugi programi EU ter Evropsko teritorialno sodelovanje</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bCs/>
                <w:sz w:val="16"/>
                <w:szCs w:val="16"/>
              </w:rPr>
            </w:pPr>
            <w:r w:rsidRPr="0098787B">
              <w:rPr>
                <w:bCs/>
                <w:sz w:val="16"/>
                <w:szCs w:val="16"/>
              </w:rPr>
              <w:t>160306- Teritorialno sodelovanje 14-20-slovenska udeležba</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sz w:val="16"/>
                <w:szCs w:val="16"/>
              </w:rPr>
            </w:pPr>
            <w:r w:rsidRPr="0098787B">
              <w:rPr>
                <w:rFonts w:cs="Arial"/>
                <w:sz w:val="16"/>
                <w:szCs w:val="22"/>
                <w:lang w:eastAsia="sl-SI"/>
              </w:rPr>
              <w:t>9.570,00 EUR</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rPr>
                <w:rFonts w:cs="Arial"/>
                <w:sz w:val="16"/>
                <w:szCs w:val="22"/>
                <w:lang w:eastAsia="sl-SI"/>
              </w:rPr>
            </w:pPr>
            <w:r w:rsidRPr="00497B67">
              <w:rPr>
                <w:rFonts w:cs="Arial"/>
                <w:sz w:val="16"/>
                <w:szCs w:val="22"/>
                <w:lang w:eastAsia="sl-SI"/>
              </w:rPr>
              <w:t>11.250,00</w:t>
            </w:r>
            <w:r w:rsidRPr="0098787B">
              <w:rPr>
                <w:rFonts w:cs="Arial"/>
                <w:sz w:val="16"/>
                <w:szCs w:val="22"/>
                <w:lang w:eastAsia="sl-SI"/>
              </w:rPr>
              <w:t xml:space="preserve"> EUR</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31" w:type="dxa"/>
            <w:gridSpan w:val="5"/>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sz w:val="20"/>
                <w:szCs w:val="20"/>
              </w:rPr>
            </w:pPr>
            <w:r w:rsidRPr="0098787B">
              <w:rPr>
                <w:rFonts w:cs="Arial"/>
                <w:sz w:val="20"/>
                <w:szCs w:val="20"/>
              </w:rPr>
              <w:t>SKUPAJ</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jc w:val="right"/>
              <w:rPr>
                <w:rFonts w:cs="Arial"/>
                <w:sz w:val="20"/>
                <w:szCs w:val="20"/>
              </w:rPr>
            </w:pPr>
            <w:r w:rsidRPr="0098787B">
              <w:rPr>
                <w:rFonts w:cs="Arial"/>
                <w:sz w:val="20"/>
                <w:szCs w:val="20"/>
              </w:rPr>
              <w:t>106.768,00 EUR</w:t>
            </w:r>
          </w:p>
        </w:tc>
        <w:tc>
          <w:tcPr>
            <w:tcW w:w="2708" w:type="dxa"/>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jc w:val="right"/>
              <w:rPr>
                <w:rFonts w:cs="Arial"/>
                <w:sz w:val="20"/>
                <w:szCs w:val="20"/>
              </w:rPr>
            </w:pPr>
            <w:r>
              <w:rPr>
                <w:rFonts w:cs="Arial"/>
                <w:sz w:val="20"/>
                <w:szCs w:val="20"/>
              </w:rPr>
              <w:t xml:space="preserve">128.000 </w:t>
            </w:r>
            <w:r w:rsidRPr="0098787B">
              <w:rPr>
                <w:rFonts w:cs="Arial"/>
                <w:sz w:val="20"/>
                <w:szCs w:val="20"/>
              </w:rPr>
              <w:t>EUR</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856"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607D" w:rsidRPr="0098787B" w:rsidRDefault="007A607D" w:rsidP="00DB61C3">
            <w:pPr>
              <w:pStyle w:val="Naslov1"/>
              <w:keepNext w:val="0"/>
              <w:widowControl w:val="0"/>
              <w:tabs>
                <w:tab w:val="left" w:pos="2340"/>
              </w:tabs>
              <w:spacing w:before="0" w:after="0"/>
              <w:rPr>
                <w:rFonts w:cs="Arial"/>
                <w:sz w:val="20"/>
                <w:szCs w:val="20"/>
              </w:rPr>
            </w:pPr>
            <w:r w:rsidRPr="0098787B">
              <w:rPr>
                <w:rFonts w:cs="Arial"/>
                <w:sz w:val="20"/>
                <w:szCs w:val="20"/>
              </w:rPr>
              <w:t>II.c Načrtovana nadomestitev zmanjšanih prihodkov in povečanih odhodkov proračuna:</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52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ind w:left="-122" w:right="-112"/>
              <w:jc w:val="center"/>
              <w:rPr>
                <w:rFonts w:cs="Arial"/>
                <w:szCs w:val="20"/>
              </w:rPr>
            </w:pPr>
            <w:r w:rsidRPr="0098787B">
              <w:rPr>
                <w:rFonts w:cs="Arial"/>
                <w:szCs w:val="20"/>
              </w:rPr>
              <w:t>Novi prihodki</w:t>
            </w:r>
          </w:p>
        </w:tc>
        <w:tc>
          <w:tcPr>
            <w:tcW w:w="201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ind w:left="-122" w:right="-112"/>
              <w:jc w:val="center"/>
              <w:rPr>
                <w:rFonts w:cs="Arial"/>
                <w:szCs w:val="20"/>
              </w:rPr>
            </w:pPr>
            <w:r w:rsidRPr="0098787B">
              <w:rPr>
                <w:rFonts w:cs="Arial"/>
                <w:szCs w:val="20"/>
              </w:rPr>
              <w:t>Znesek za tekoče leto (t)</w:t>
            </w:r>
          </w:p>
        </w:tc>
        <w:tc>
          <w:tcPr>
            <w:tcW w:w="332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widowControl w:val="0"/>
              <w:ind w:left="-122" w:right="-112"/>
              <w:jc w:val="center"/>
              <w:rPr>
                <w:rFonts w:cs="Arial"/>
                <w:szCs w:val="20"/>
              </w:rPr>
            </w:pPr>
            <w:r w:rsidRPr="0098787B">
              <w:rPr>
                <w:rFonts w:cs="Arial"/>
                <w:szCs w:val="20"/>
              </w:rPr>
              <w:t>Znesek za t + 1</w:t>
            </w: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52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p>
        </w:tc>
        <w:tc>
          <w:tcPr>
            <w:tcW w:w="201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p>
        </w:tc>
        <w:tc>
          <w:tcPr>
            <w:tcW w:w="332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52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p>
        </w:tc>
        <w:tc>
          <w:tcPr>
            <w:tcW w:w="201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p>
        </w:tc>
        <w:tc>
          <w:tcPr>
            <w:tcW w:w="332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52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p>
        </w:tc>
        <w:tc>
          <w:tcPr>
            <w:tcW w:w="201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p>
        </w:tc>
        <w:tc>
          <w:tcPr>
            <w:tcW w:w="332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b w:val="0"/>
                <w:bCs/>
                <w:sz w:val="20"/>
                <w:szCs w:val="20"/>
              </w:rPr>
            </w:pPr>
          </w:p>
        </w:tc>
      </w:tr>
      <w:tr w:rsidR="007A607D" w:rsidRPr="0098787B" w:rsidTr="00DB6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52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sz w:val="20"/>
                <w:szCs w:val="20"/>
              </w:rPr>
            </w:pPr>
            <w:r w:rsidRPr="0098787B">
              <w:rPr>
                <w:rFonts w:cs="Arial"/>
                <w:sz w:val="20"/>
                <w:szCs w:val="20"/>
              </w:rPr>
              <w:t>SKUPAJ</w:t>
            </w:r>
          </w:p>
        </w:tc>
        <w:tc>
          <w:tcPr>
            <w:tcW w:w="201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sz w:val="20"/>
                <w:szCs w:val="20"/>
              </w:rPr>
            </w:pPr>
          </w:p>
        </w:tc>
        <w:tc>
          <w:tcPr>
            <w:tcW w:w="3322" w:type="dxa"/>
            <w:gridSpan w:val="3"/>
            <w:tcBorders>
              <w:top w:val="single" w:sz="4" w:space="0" w:color="auto"/>
              <w:left w:val="single" w:sz="4" w:space="0" w:color="auto"/>
              <w:bottom w:val="single" w:sz="4" w:space="0" w:color="auto"/>
              <w:right w:val="single" w:sz="4" w:space="0" w:color="auto"/>
            </w:tcBorders>
            <w:vAlign w:val="center"/>
          </w:tcPr>
          <w:p w:rsidR="007A607D" w:rsidRPr="0098787B" w:rsidRDefault="007A607D" w:rsidP="00DB61C3">
            <w:pPr>
              <w:pStyle w:val="Naslov1"/>
              <w:keepNext w:val="0"/>
              <w:widowControl w:val="0"/>
              <w:tabs>
                <w:tab w:val="left" w:pos="360"/>
              </w:tabs>
              <w:spacing w:before="0" w:after="0"/>
              <w:rPr>
                <w:rFonts w:cs="Arial"/>
                <w:sz w:val="20"/>
                <w:szCs w:val="20"/>
              </w:rPr>
            </w:pPr>
          </w:p>
        </w:tc>
      </w:tr>
      <w:tr w:rsidR="007A607D" w:rsidRPr="0098787B" w:rsidTr="00DB61C3">
        <w:trPr>
          <w:trHeight w:val="1910"/>
        </w:trPr>
        <w:tc>
          <w:tcPr>
            <w:tcW w:w="9856" w:type="dxa"/>
            <w:gridSpan w:val="9"/>
          </w:tcPr>
          <w:p w:rsidR="007A607D" w:rsidRPr="0098787B" w:rsidRDefault="007A607D" w:rsidP="00DB61C3">
            <w:pPr>
              <w:widowControl w:val="0"/>
              <w:rPr>
                <w:rFonts w:cs="Arial"/>
                <w:b/>
                <w:szCs w:val="20"/>
              </w:rPr>
            </w:pPr>
          </w:p>
          <w:p w:rsidR="007A607D" w:rsidRPr="0098787B" w:rsidRDefault="007A607D" w:rsidP="00DB61C3">
            <w:pPr>
              <w:widowControl w:val="0"/>
              <w:rPr>
                <w:rFonts w:cs="Arial"/>
                <w:b/>
                <w:szCs w:val="20"/>
              </w:rPr>
            </w:pPr>
            <w:r w:rsidRPr="0098787B">
              <w:rPr>
                <w:rFonts w:cs="Arial"/>
                <w:b/>
                <w:szCs w:val="20"/>
              </w:rPr>
              <w:t>OBRAZLOŽITEV:</w:t>
            </w:r>
          </w:p>
          <w:p w:rsidR="007A607D" w:rsidRPr="0098787B" w:rsidRDefault="007A607D" w:rsidP="007A607D">
            <w:pPr>
              <w:widowControl w:val="0"/>
              <w:numPr>
                <w:ilvl w:val="0"/>
                <w:numId w:val="3"/>
              </w:numPr>
              <w:suppressAutoHyphens/>
              <w:spacing w:line="260" w:lineRule="exact"/>
              <w:ind w:left="284" w:hanging="284"/>
              <w:jc w:val="both"/>
              <w:rPr>
                <w:rFonts w:cs="Arial"/>
                <w:b/>
                <w:szCs w:val="20"/>
                <w:lang w:eastAsia="sl-SI"/>
              </w:rPr>
            </w:pPr>
            <w:r w:rsidRPr="0098787B">
              <w:rPr>
                <w:rFonts w:cs="Arial"/>
                <w:b/>
                <w:szCs w:val="20"/>
                <w:lang w:eastAsia="sl-SI"/>
              </w:rPr>
              <w:t>Ocena finančnih posledic, ki niso načrtovane v sprejetem proračunu</w:t>
            </w:r>
          </w:p>
          <w:p w:rsidR="007A607D" w:rsidRPr="0098787B" w:rsidRDefault="007A607D" w:rsidP="00DB61C3">
            <w:pPr>
              <w:widowControl w:val="0"/>
              <w:ind w:left="360" w:hanging="76"/>
              <w:jc w:val="both"/>
              <w:rPr>
                <w:rFonts w:cs="Arial"/>
                <w:szCs w:val="20"/>
                <w:lang w:eastAsia="sl-SI"/>
              </w:rPr>
            </w:pPr>
            <w:r w:rsidRPr="0098787B">
              <w:rPr>
                <w:rFonts w:cs="Arial"/>
                <w:szCs w:val="20"/>
                <w:lang w:eastAsia="sl-SI"/>
              </w:rPr>
              <w:t>V zvezi s predlaganim vladnim gradivom se navedejo predvidene spremembe (povečanje, zmanjšanje):</w:t>
            </w:r>
          </w:p>
          <w:p w:rsidR="007A607D" w:rsidRPr="0098787B" w:rsidRDefault="007A607D" w:rsidP="007A607D">
            <w:pPr>
              <w:widowControl w:val="0"/>
              <w:numPr>
                <w:ilvl w:val="0"/>
                <w:numId w:val="4"/>
              </w:numPr>
              <w:suppressAutoHyphens/>
              <w:spacing w:line="260" w:lineRule="exact"/>
              <w:jc w:val="both"/>
              <w:rPr>
                <w:rFonts w:cs="Arial"/>
                <w:szCs w:val="20"/>
              </w:rPr>
            </w:pPr>
            <w:r w:rsidRPr="0098787B">
              <w:rPr>
                <w:rFonts w:cs="Arial"/>
                <w:szCs w:val="20"/>
                <w:lang w:eastAsia="sl-SI"/>
              </w:rPr>
              <w:t>prihodkov državnega proračuna in občinskih proračunov,</w:t>
            </w:r>
          </w:p>
          <w:p w:rsidR="007A607D" w:rsidRPr="0098787B" w:rsidRDefault="007A607D" w:rsidP="007A607D">
            <w:pPr>
              <w:widowControl w:val="0"/>
              <w:numPr>
                <w:ilvl w:val="0"/>
                <w:numId w:val="4"/>
              </w:numPr>
              <w:suppressAutoHyphens/>
              <w:spacing w:line="260" w:lineRule="exact"/>
              <w:jc w:val="both"/>
              <w:rPr>
                <w:rFonts w:cs="Arial"/>
                <w:szCs w:val="20"/>
              </w:rPr>
            </w:pPr>
            <w:r w:rsidRPr="0098787B">
              <w:rPr>
                <w:rFonts w:cs="Arial"/>
                <w:szCs w:val="20"/>
                <w:lang w:eastAsia="sl-SI"/>
              </w:rPr>
              <w:t>odhodkov državnega proračuna, ki niso načrtovani na ukrepih oziroma projektih sprejetih proračunov,</w:t>
            </w:r>
          </w:p>
          <w:p w:rsidR="007A607D" w:rsidRPr="0098787B" w:rsidRDefault="007A607D" w:rsidP="007A607D">
            <w:pPr>
              <w:widowControl w:val="0"/>
              <w:numPr>
                <w:ilvl w:val="0"/>
                <w:numId w:val="4"/>
              </w:numPr>
              <w:suppressAutoHyphens/>
              <w:spacing w:line="260" w:lineRule="exact"/>
              <w:jc w:val="both"/>
              <w:rPr>
                <w:rFonts w:cs="Arial"/>
                <w:szCs w:val="20"/>
              </w:rPr>
            </w:pPr>
            <w:r w:rsidRPr="0098787B">
              <w:rPr>
                <w:rFonts w:cs="Arial"/>
                <w:szCs w:val="20"/>
                <w:lang w:eastAsia="sl-SI"/>
              </w:rPr>
              <w:t>obveznosti za druga javnofinančna sredstva (drugi viri), ki niso načrtovana na ukrepih oziroma projektih sprejetih proračunov.</w:t>
            </w:r>
          </w:p>
          <w:p w:rsidR="007A607D" w:rsidRPr="0098787B" w:rsidRDefault="007A607D" w:rsidP="00DB61C3">
            <w:pPr>
              <w:widowControl w:val="0"/>
              <w:ind w:left="284"/>
              <w:rPr>
                <w:rFonts w:cs="Arial"/>
                <w:szCs w:val="20"/>
                <w:lang w:eastAsia="sl-SI"/>
              </w:rPr>
            </w:pPr>
          </w:p>
          <w:p w:rsidR="007A607D" w:rsidRPr="0098787B" w:rsidRDefault="007A607D" w:rsidP="007A607D">
            <w:pPr>
              <w:widowControl w:val="0"/>
              <w:numPr>
                <w:ilvl w:val="0"/>
                <w:numId w:val="3"/>
              </w:numPr>
              <w:suppressAutoHyphens/>
              <w:spacing w:line="260" w:lineRule="exact"/>
              <w:ind w:left="284" w:hanging="284"/>
              <w:jc w:val="both"/>
              <w:rPr>
                <w:rFonts w:cs="Arial"/>
                <w:b/>
                <w:szCs w:val="20"/>
                <w:lang w:eastAsia="sl-SI"/>
              </w:rPr>
            </w:pPr>
            <w:r w:rsidRPr="0098787B">
              <w:rPr>
                <w:rFonts w:cs="Arial"/>
                <w:b/>
                <w:szCs w:val="20"/>
                <w:lang w:eastAsia="sl-SI"/>
              </w:rPr>
              <w:t>Finančne posledice za državni proračun</w:t>
            </w:r>
          </w:p>
          <w:p w:rsidR="007A607D" w:rsidRPr="0098787B" w:rsidRDefault="007A607D" w:rsidP="00DB61C3">
            <w:pPr>
              <w:widowControl w:val="0"/>
              <w:ind w:left="284"/>
              <w:jc w:val="both"/>
              <w:rPr>
                <w:rFonts w:cs="Arial"/>
                <w:szCs w:val="20"/>
                <w:lang w:eastAsia="sl-SI"/>
              </w:rPr>
            </w:pPr>
            <w:r w:rsidRPr="0098787B">
              <w:rPr>
                <w:rFonts w:cs="Arial"/>
                <w:szCs w:val="20"/>
                <w:lang w:eastAsia="sl-SI"/>
              </w:rPr>
              <w:t>Prikazane morajo biti finančne posledice za državni proračun, ki so na proračunskih postavkah načrtovane v dinamiki projektov oziroma ukrepov:</w:t>
            </w:r>
          </w:p>
          <w:p w:rsidR="007A607D" w:rsidRPr="0098787B" w:rsidRDefault="007A607D" w:rsidP="00DB61C3">
            <w:pPr>
              <w:widowControl w:val="0"/>
              <w:suppressAutoHyphens/>
              <w:ind w:left="720"/>
              <w:jc w:val="both"/>
              <w:rPr>
                <w:rFonts w:cs="Arial"/>
                <w:b/>
                <w:szCs w:val="20"/>
                <w:lang w:eastAsia="sl-SI"/>
              </w:rPr>
            </w:pPr>
            <w:r w:rsidRPr="0098787B">
              <w:rPr>
                <w:rFonts w:cs="Arial"/>
                <w:b/>
                <w:szCs w:val="20"/>
                <w:lang w:eastAsia="sl-SI"/>
              </w:rPr>
              <w:t>II.a Pravice porabe za izvedbo predlaganih rešitev so zagotovljene:</w:t>
            </w:r>
          </w:p>
          <w:p w:rsidR="007A607D" w:rsidRPr="0098787B" w:rsidRDefault="007A607D" w:rsidP="00DB61C3">
            <w:pPr>
              <w:widowControl w:val="0"/>
              <w:ind w:left="284"/>
              <w:jc w:val="both"/>
              <w:rPr>
                <w:rFonts w:cs="Arial"/>
                <w:szCs w:val="20"/>
                <w:lang w:eastAsia="sl-SI"/>
              </w:rPr>
            </w:pPr>
            <w:r w:rsidRPr="0098787B">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A607D" w:rsidRPr="0098787B" w:rsidRDefault="007A607D" w:rsidP="007A607D">
            <w:pPr>
              <w:widowControl w:val="0"/>
              <w:numPr>
                <w:ilvl w:val="0"/>
                <w:numId w:val="5"/>
              </w:numPr>
              <w:suppressAutoHyphens/>
              <w:spacing w:line="260" w:lineRule="exact"/>
              <w:jc w:val="both"/>
              <w:rPr>
                <w:rFonts w:cs="Arial"/>
                <w:szCs w:val="20"/>
                <w:lang w:eastAsia="sl-SI"/>
              </w:rPr>
            </w:pPr>
            <w:r w:rsidRPr="0098787B">
              <w:rPr>
                <w:rFonts w:cs="Arial"/>
                <w:szCs w:val="20"/>
                <w:lang w:eastAsia="sl-SI"/>
              </w:rPr>
              <w:t>proračunski uporabnik, ki bo financiral novi projekt oziroma ukrep,</w:t>
            </w:r>
          </w:p>
          <w:p w:rsidR="007A607D" w:rsidRPr="0098787B" w:rsidRDefault="007A607D" w:rsidP="007A607D">
            <w:pPr>
              <w:widowControl w:val="0"/>
              <w:numPr>
                <w:ilvl w:val="0"/>
                <w:numId w:val="5"/>
              </w:numPr>
              <w:suppressAutoHyphens/>
              <w:spacing w:line="260" w:lineRule="exact"/>
              <w:jc w:val="both"/>
              <w:rPr>
                <w:rFonts w:cs="Arial"/>
                <w:szCs w:val="20"/>
                <w:lang w:eastAsia="sl-SI"/>
              </w:rPr>
            </w:pPr>
            <w:r w:rsidRPr="0098787B">
              <w:rPr>
                <w:rFonts w:cs="Arial"/>
                <w:szCs w:val="20"/>
                <w:lang w:eastAsia="sl-SI"/>
              </w:rPr>
              <w:lastRenderedPageBreak/>
              <w:t xml:space="preserve">projekt oziroma ukrep, s katerim se bodo dosegli cilji vladnega gradiva, in </w:t>
            </w:r>
          </w:p>
          <w:p w:rsidR="007A607D" w:rsidRPr="0098787B" w:rsidRDefault="007A607D" w:rsidP="007A607D">
            <w:pPr>
              <w:widowControl w:val="0"/>
              <w:numPr>
                <w:ilvl w:val="0"/>
                <w:numId w:val="5"/>
              </w:numPr>
              <w:suppressAutoHyphens/>
              <w:spacing w:line="260" w:lineRule="exact"/>
              <w:jc w:val="both"/>
              <w:rPr>
                <w:rFonts w:cs="Arial"/>
                <w:szCs w:val="20"/>
                <w:lang w:eastAsia="sl-SI"/>
              </w:rPr>
            </w:pPr>
            <w:r w:rsidRPr="0098787B">
              <w:rPr>
                <w:rFonts w:cs="Arial"/>
                <w:szCs w:val="20"/>
                <w:lang w:eastAsia="sl-SI"/>
              </w:rPr>
              <w:t>proračunske postavke.</w:t>
            </w:r>
          </w:p>
          <w:p w:rsidR="007A607D" w:rsidRPr="0098787B" w:rsidRDefault="007A607D" w:rsidP="00DB61C3">
            <w:pPr>
              <w:widowControl w:val="0"/>
              <w:ind w:left="284"/>
              <w:jc w:val="both"/>
              <w:rPr>
                <w:rFonts w:cs="Arial"/>
                <w:szCs w:val="20"/>
                <w:lang w:eastAsia="sl-SI"/>
              </w:rPr>
            </w:pPr>
            <w:r w:rsidRPr="0098787B">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A607D" w:rsidRPr="0098787B" w:rsidRDefault="007A607D" w:rsidP="00DB61C3">
            <w:pPr>
              <w:widowControl w:val="0"/>
              <w:suppressAutoHyphens/>
              <w:ind w:left="714"/>
              <w:jc w:val="both"/>
              <w:rPr>
                <w:rFonts w:cs="Arial"/>
                <w:b/>
                <w:szCs w:val="20"/>
                <w:lang w:eastAsia="sl-SI"/>
              </w:rPr>
            </w:pPr>
            <w:r w:rsidRPr="0098787B">
              <w:rPr>
                <w:rFonts w:cs="Arial"/>
                <w:b/>
                <w:szCs w:val="20"/>
                <w:lang w:eastAsia="sl-SI"/>
              </w:rPr>
              <w:t>II.b Manjkajoče pravice porabe bodo zagotovljene s prerazporeditvijo:</w:t>
            </w:r>
          </w:p>
          <w:p w:rsidR="007A607D" w:rsidRDefault="007A607D" w:rsidP="00DB61C3">
            <w:pPr>
              <w:widowControl w:val="0"/>
              <w:ind w:left="284"/>
              <w:jc w:val="both"/>
              <w:rPr>
                <w:rFonts w:cs="Arial"/>
                <w:szCs w:val="20"/>
                <w:lang w:eastAsia="sl-SI"/>
              </w:rPr>
            </w:pPr>
          </w:p>
          <w:p w:rsidR="007A607D" w:rsidRDefault="007A607D" w:rsidP="00DB61C3">
            <w:pPr>
              <w:widowControl w:val="0"/>
              <w:ind w:left="284"/>
              <w:jc w:val="both"/>
              <w:rPr>
                <w:rFonts w:cs="Arial"/>
                <w:szCs w:val="20"/>
                <w:lang w:eastAsia="sl-SI"/>
              </w:rPr>
            </w:pPr>
            <w:r w:rsidRPr="00306AB2">
              <w:rPr>
                <w:rFonts w:cs="Arial"/>
                <w:szCs w:val="20"/>
                <w:lang w:eastAsia="sl-SI"/>
              </w:rPr>
              <w:t>Sredstva za financiranje aktivnosti bodo zagotovljena s prerazporeditvijo z evidenčnega projekta 2550-18-0004 - Centralizirani in drugi programi EU ter Evropsko teritorialno sodelovanje.</w:t>
            </w:r>
          </w:p>
          <w:p w:rsidR="007A607D" w:rsidRDefault="007A607D" w:rsidP="00DB61C3">
            <w:pPr>
              <w:widowControl w:val="0"/>
              <w:ind w:left="284"/>
              <w:jc w:val="both"/>
              <w:rPr>
                <w:rFonts w:cs="Arial"/>
                <w:szCs w:val="20"/>
                <w:lang w:eastAsia="sl-SI"/>
              </w:rPr>
            </w:pPr>
          </w:p>
          <w:p w:rsidR="007A607D" w:rsidRPr="0098787B" w:rsidRDefault="007A607D" w:rsidP="00DB61C3">
            <w:pPr>
              <w:widowControl w:val="0"/>
              <w:ind w:left="284"/>
              <w:jc w:val="both"/>
              <w:rPr>
                <w:rFonts w:cs="Arial"/>
                <w:szCs w:val="20"/>
                <w:lang w:eastAsia="sl-SI"/>
              </w:rPr>
            </w:pPr>
            <w:r w:rsidRPr="0098787B">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607D" w:rsidRPr="0098787B" w:rsidRDefault="007A607D" w:rsidP="00DB61C3">
            <w:pPr>
              <w:widowControl w:val="0"/>
              <w:suppressAutoHyphens/>
              <w:ind w:left="714"/>
              <w:jc w:val="both"/>
              <w:rPr>
                <w:rFonts w:cs="Arial"/>
                <w:b/>
                <w:szCs w:val="20"/>
                <w:lang w:eastAsia="sl-SI"/>
              </w:rPr>
            </w:pPr>
            <w:r w:rsidRPr="0098787B">
              <w:rPr>
                <w:rFonts w:cs="Arial"/>
                <w:b/>
                <w:szCs w:val="20"/>
                <w:lang w:eastAsia="sl-SI"/>
              </w:rPr>
              <w:t>II.c Načrtovana nadomestitev zmanjšanih prihodkov in povečanih odhodkov proračuna:</w:t>
            </w:r>
          </w:p>
          <w:p w:rsidR="007A607D" w:rsidRPr="0098787B" w:rsidRDefault="007A607D" w:rsidP="00DB61C3">
            <w:pPr>
              <w:widowControl w:val="0"/>
              <w:ind w:left="284"/>
              <w:jc w:val="both"/>
              <w:rPr>
                <w:rFonts w:cs="Arial"/>
                <w:szCs w:val="20"/>
                <w:lang w:eastAsia="sl-SI"/>
              </w:rPr>
            </w:pPr>
            <w:r w:rsidRPr="0098787B">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A607D" w:rsidRPr="0098787B" w:rsidRDefault="007A607D" w:rsidP="00DB61C3">
            <w:pPr>
              <w:pStyle w:val="Vrstapredpisa"/>
              <w:widowControl w:val="0"/>
              <w:spacing w:before="0" w:line="260" w:lineRule="exact"/>
              <w:jc w:val="both"/>
              <w:rPr>
                <w:color w:val="auto"/>
                <w:sz w:val="20"/>
                <w:szCs w:val="20"/>
              </w:rPr>
            </w:pPr>
          </w:p>
        </w:tc>
      </w:tr>
      <w:tr w:rsidR="007A607D" w:rsidRPr="0098787B" w:rsidTr="00DB61C3">
        <w:trPr>
          <w:trHeight w:val="1152"/>
        </w:trPr>
        <w:tc>
          <w:tcPr>
            <w:tcW w:w="9856" w:type="dxa"/>
            <w:gridSpan w:val="9"/>
            <w:tcBorders>
              <w:top w:val="single" w:sz="4" w:space="0" w:color="000000"/>
              <w:left w:val="single" w:sz="4" w:space="0" w:color="000000"/>
              <w:bottom w:val="single" w:sz="4" w:space="0" w:color="000000"/>
              <w:right w:val="single" w:sz="4" w:space="0" w:color="000000"/>
            </w:tcBorders>
          </w:tcPr>
          <w:p w:rsidR="007A607D" w:rsidRPr="0098787B" w:rsidRDefault="007A607D" w:rsidP="00DB61C3">
            <w:pPr>
              <w:rPr>
                <w:rFonts w:cs="Arial"/>
                <w:b/>
                <w:szCs w:val="20"/>
              </w:rPr>
            </w:pPr>
            <w:r w:rsidRPr="0098787B">
              <w:rPr>
                <w:rFonts w:cs="Arial"/>
                <w:b/>
                <w:szCs w:val="20"/>
              </w:rPr>
              <w:lastRenderedPageBreak/>
              <w:t>7.b Predstavitev ocene finančnih posledic pod 40.000 EUR:</w:t>
            </w:r>
          </w:p>
          <w:p w:rsidR="007A607D" w:rsidRPr="0098787B" w:rsidRDefault="007A607D" w:rsidP="00DB61C3">
            <w:pPr>
              <w:rPr>
                <w:rFonts w:cs="Arial"/>
                <w:szCs w:val="20"/>
              </w:rPr>
            </w:pPr>
            <w:r w:rsidRPr="0098787B">
              <w:rPr>
                <w:rFonts w:cs="Arial"/>
                <w:szCs w:val="20"/>
              </w:rPr>
              <w:t>(Samo če izberete NE pod točko 6.a.)</w:t>
            </w:r>
          </w:p>
          <w:p w:rsidR="007A607D" w:rsidRPr="0098787B" w:rsidRDefault="007A607D" w:rsidP="00DB61C3">
            <w:pPr>
              <w:rPr>
                <w:rFonts w:cs="Arial"/>
                <w:b/>
                <w:szCs w:val="20"/>
              </w:rPr>
            </w:pPr>
            <w:r w:rsidRPr="0098787B">
              <w:rPr>
                <w:rFonts w:cs="Arial"/>
                <w:b/>
                <w:szCs w:val="20"/>
              </w:rPr>
              <w:t>Kratka obrazložitev</w:t>
            </w:r>
          </w:p>
          <w:p w:rsidR="007A607D" w:rsidRPr="0098787B" w:rsidRDefault="007A607D" w:rsidP="00DB61C3">
            <w:pPr>
              <w:rPr>
                <w:rFonts w:cs="Arial"/>
                <w:b/>
                <w:szCs w:val="20"/>
              </w:rPr>
            </w:pPr>
            <w:r w:rsidRPr="0098787B">
              <w:rPr>
                <w:rFonts w:cs="Arial"/>
                <w:b/>
                <w:szCs w:val="20"/>
              </w:rPr>
              <w:t>/</w:t>
            </w:r>
          </w:p>
        </w:tc>
      </w:tr>
      <w:tr w:rsidR="007A607D" w:rsidRPr="0098787B" w:rsidTr="00DB61C3">
        <w:trPr>
          <w:trHeight w:val="371"/>
        </w:trPr>
        <w:tc>
          <w:tcPr>
            <w:tcW w:w="9856" w:type="dxa"/>
            <w:gridSpan w:val="9"/>
            <w:tcBorders>
              <w:top w:val="single" w:sz="4" w:space="0" w:color="000000"/>
              <w:left w:val="single" w:sz="4" w:space="0" w:color="000000"/>
              <w:bottom w:val="single" w:sz="4" w:space="0" w:color="000000"/>
              <w:right w:val="single" w:sz="4" w:space="0" w:color="000000"/>
            </w:tcBorders>
          </w:tcPr>
          <w:p w:rsidR="007A607D" w:rsidRPr="0098787B" w:rsidRDefault="007A607D" w:rsidP="00DB61C3">
            <w:pPr>
              <w:rPr>
                <w:rFonts w:cs="Arial"/>
                <w:b/>
                <w:szCs w:val="20"/>
              </w:rPr>
            </w:pPr>
            <w:r w:rsidRPr="0098787B">
              <w:rPr>
                <w:rFonts w:cs="Arial"/>
                <w:b/>
                <w:szCs w:val="20"/>
              </w:rPr>
              <w:t>8. Predstavitev sodelovanja z združenji občin:</w:t>
            </w:r>
          </w:p>
        </w:tc>
      </w:tr>
      <w:tr w:rsidR="007A607D" w:rsidRPr="0098787B" w:rsidTr="00DB61C3">
        <w:tc>
          <w:tcPr>
            <w:tcW w:w="6876" w:type="dxa"/>
            <w:gridSpan w:val="7"/>
          </w:tcPr>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Vsebina predloženega gradiva (predpisa) vpliva na:</w:t>
            </w:r>
          </w:p>
          <w:p w:rsidR="007A607D" w:rsidRPr="0098787B" w:rsidRDefault="007A607D" w:rsidP="007A607D">
            <w:pPr>
              <w:pStyle w:val="Neotevilenodstavek"/>
              <w:widowControl w:val="0"/>
              <w:numPr>
                <w:ilvl w:val="1"/>
                <w:numId w:val="4"/>
              </w:numPr>
              <w:spacing w:before="0" w:after="0" w:line="260" w:lineRule="exact"/>
              <w:rPr>
                <w:iCs/>
                <w:sz w:val="20"/>
                <w:szCs w:val="20"/>
              </w:rPr>
            </w:pPr>
            <w:r w:rsidRPr="0098787B">
              <w:rPr>
                <w:iCs/>
                <w:sz w:val="20"/>
                <w:szCs w:val="20"/>
              </w:rPr>
              <w:t>pristojnosti občin,</w:t>
            </w:r>
          </w:p>
          <w:p w:rsidR="007A607D" w:rsidRPr="0098787B" w:rsidRDefault="007A607D" w:rsidP="007A607D">
            <w:pPr>
              <w:pStyle w:val="Neotevilenodstavek"/>
              <w:widowControl w:val="0"/>
              <w:numPr>
                <w:ilvl w:val="1"/>
                <w:numId w:val="4"/>
              </w:numPr>
              <w:spacing w:before="0" w:after="0" w:line="260" w:lineRule="exact"/>
              <w:rPr>
                <w:iCs/>
                <w:sz w:val="20"/>
                <w:szCs w:val="20"/>
              </w:rPr>
            </w:pPr>
            <w:r w:rsidRPr="0098787B">
              <w:rPr>
                <w:iCs/>
                <w:sz w:val="20"/>
                <w:szCs w:val="20"/>
              </w:rPr>
              <w:t>delovanje občin,</w:t>
            </w:r>
          </w:p>
          <w:p w:rsidR="007A607D" w:rsidRPr="0098787B" w:rsidRDefault="007A607D" w:rsidP="007A607D">
            <w:pPr>
              <w:pStyle w:val="Neotevilenodstavek"/>
              <w:widowControl w:val="0"/>
              <w:numPr>
                <w:ilvl w:val="1"/>
                <w:numId w:val="4"/>
              </w:numPr>
              <w:spacing w:before="0" w:after="0" w:line="260" w:lineRule="exact"/>
              <w:rPr>
                <w:iCs/>
                <w:sz w:val="20"/>
                <w:szCs w:val="20"/>
              </w:rPr>
            </w:pPr>
            <w:r w:rsidRPr="0098787B">
              <w:rPr>
                <w:iCs/>
                <w:sz w:val="20"/>
                <w:szCs w:val="20"/>
              </w:rPr>
              <w:t>financiranje občin.</w:t>
            </w:r>
          </w:p>
        </w:tc>
        <w:tc>
          <w:tcPr>
            <w:tcW w:w="2980" w:type="dxa"/>
            <w:gridSpan w:val="2"/>
          </w:tcPr>
          <w:p w:rsidR="007A607D" w:rsidRPr="0098787B" w:rsidRDefault="007A607D" w:rsidP="00DB61C3">
            <w:pPr>
              <w:pStyle w:val="Neotevilenodstavek"/>
              <w:widowControl w:val="0"/>
              <w:spacing w:before="0" w:after="0" w:line="260" w:lineRule="exact"/>
              <w:jc w:val="center"/>
              <w:rPr>
                <w:sz w:val="20"/>
                <w:szCs w:val="20"/>
              </w:rPr>
            </w:pPr>
            <w:r w:rsidRPr="0098787B">
              <w:rPr>
                <w:sz w:val="20"/>
                <w:szCs w:val="20"/>
              </w:rPr>
              <w:t>DA/NE</w:t>
            </w:r>
          </w:p>
        </w:tc>
      </w:tr>
      <w:tr w:rsidR="007A607D" w:rsidRPr="0098787B" w:rsidTr="00DB61C3">
        <w:trPr>
          <w:trHeight w:val="274"/>
        </w:trPr>
        <w:tc>
          <w:tcPr>
            <w:tcW w:w="9856" w:type="dxa"/>
            <w:gridSpan w:val="9"/>
          </w:tcPr>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 xml:space="preserve">Gradivo (predpis) je bilo poslano v mnenje: </w:t>
            </w:r>
          </w:p>
          <w:p w:rsidR="007A607D" w:rsidRPr="0098787B" w:rsidRDefault="007A607D" w:rsidP="007A607D">
            <w:pPr>
              <w:pStyle w:val="Neotevilenodstavek"/>
              <w:widowControl w:val="0"/>
              <w:numPr>
                <w:ilvl w:val="0"/>
                <w:numId w:val="6"/>
              </w:numPr>
              <w:spacing w:before="0" w:after="0" w:line="260" w:lineRule="exact"/>
              <w:rPr>
                <w:iCs/>
                <w:sz w:val="20"/>
                <w:szCs w:val="20"/>
              </w:rPr>
            </w:pPr>
            <w:r w:rsidRPr="0098787B">
              <w:rPr>
                <w:iCs/>
                <w:sz w:val="20"/>
                <w:szCs w:val="20"/>
              </w:rPr>
              <w:t>Skupnosti občin Slovenije SOS: DA/NE</w:t>
            </w:r>
          </w:p>
          <w:p w:rsidR="007A607D" w:rsidRPr="0098787B" w:rsidRDefault="007A607D" w:rsidP="007A607D">
            <w:pPr>
              <w:pStyle w:val="Neotevilenodstavek"/>
              <w:widowControl w:val="0"/>
              <w:numPr>
                <w:ilvl w:val="0"/>
                <w:numId w:val="6"/>
              </w:numPr>
              <w:spacing w:before="0" w:after="0" w:line="260" w:lineRule="exact"/>
              <w:rPr>
                <w:iCs/>
                <w:sz w:val="20"/>
                <w:szCs w:val="20"/>
              </w:rPr>
            </w:pPr>
            <w:r w:rsidRPr="0098787B">
              <w:rPr>
                <w:iCs/>
                <w:sz w:val="20"/>
                <w:szCs w:val="20"/>
              </w:rPr>
              <w:t>Združenju občin Slovenije ZOS: DA/NE</w:t>
            </w:r>
          </w:p>
          <w:p w:rsidR="007A607D" w:rsidRPr="0098787B" w:rsidRDefault="007A607D" w:rsidP="007A607D">
            <w:pPr>
              <w:pStyle w:val="Neotevilenodstavek"/>
              <w:widowControl w:val="0"/>
              <w:numPr>
                <w:ilvl w:val="0"/>
                <w:numId w:val="6"/>
              </w:numPr>
              <w:spacing w:before="0" w:after="0" w:line="260" w:lineRule="exact"/>
              <w:rPr>
                <w:iCs/>
                <w:sz w:val="20"/>
                <w:szCs w:val="20"/>
              </w:rPr>
            </w:pPr>
            <w:r w:rsidRPr="0098787B">
              <w:rPr>
                <w:iCs/>
                <w:sz w:val="20"/>
                <w:szCs w:val="20"/>
              </w:rPr>
              <w:t>Združenju mestnih občin Slovenije ZMOS: DA/NE</w:t>
            </w:r>
          </w:p>
          <w:p w:rsidR="007A607D" w:rsidRPr="0098787B" w:rsidRDefault="007A607D" w:rsidP="00DB61C3">
            <w:pPr>
              <w:pStyle w:val="Neotevilenodstavek"/>
              <w:widowControl w:val="0"/>
              <w:spacing w:before="0" w:after="0" w:line="260" w:lineRule="exact"/>
              <w:rPr>
                <w:iCs/>
                <w:sz w:val="20"/>
                <w:szCs w:val="20"/>
              </w:rPr>
            </w:pPr>
          </w:p>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Predlogi in pripombe združenj so bili upoštevani:</w:t>
            </w:r>
          </w:p>
          <w:p w:rsidR="007A607D" w:rsidRPr="0098787B" w:rsidRDefault="007A607D" w:rsidP="007A607D">
            <w:pPr>
              <w:pStyle w:val="Neotevilenodstavek"/>
              <w:widowControl w:val="0"/>
              <w:numPr>
                <w:ilvl w:val="0"/>
                <w:numId w:val="7"/>
              </w:numPr>
              <w:spacing w:before="0" w:after="0" w:line="260" w:lineRule="exact"/>
              <w:rPr>
                <w:iCs/>
                <w:sz w:val="20"/>
                <w:szCs w:val="20"/>
              </w:rPr>
            </w:pPr>
            <w:r w:rsidRPr="0098787B">
              <w:rPr>
                <w:iCs/>
                <w:sz w:val="20"/>
                <w:szCs w:val="20"/>
              </w:rPr>
              <w:t>v celoti,</w:t>
            </w:r>
          </w:p>
          <w:p w:rsidR="007A607D" w:rsidRPr="0098787B" w:rsidRDefault="007A607D" w:rsidP="007A607D">
            <w:pPr>
              <w:pStyle w:val="Neotevilenodstavek"/>
              <w:widowControl w:val="0"/>
              <w:numPr>
                <w:ilvl w:val="0"/>
                <w:numId w:val="7"/>
              </w:numPr>
              <w:spacing w:before="0" w:after="0" w:line="260" w:lineRule="exact"/>
              <w:rPr>
                <w:iCs/>
                <w:sz w:val="20"/>
                <w:szCs w:val="20"/>
              </w:rPr>
            </w:pPr>
            <w:r w:rsidRPr="0098787B">
              <w:rPr>
                <w:iCs/>
                <w:sz w:val="20"/>
                <w:szCs w:val="20"/>
              </w:rPr>
              <w:t>večinoma,</w:t>
            </w:r>
          </w:p>
          <w:p w:rsidR="007A607D" w:rsidRPr="0098787B" w:rsidRDefault="007A607D" w:rsidP="007A607D">
            <w:pPr>
              <w:pStyle w:val="Neotevilenodstavek"/>
              <w:widowControl w:val="0"/>
              <w:numPr>
                <w:ilvl w:val="0"/>
                <w:numId w:val="7"/>
              </w:numPr>
              <w:spacing w:before="0" w:after="0" w:line="260" w:lineRule="exact"/>
              <w:rPr>
                <w:iCs/>
                <w:sz w:val="20"/>
                <w:szCs w:val="20"/>
              </w:rPr>
            </w:pPr>
            <w:r w:rsidRPr="0098787B">
              <w:rPr>
                <w:iCs/>
                <w:sz w:val="20"/>
                <w:szCs w:val="20"/>
              </w:rPr>
              <w:t>delno,</w:t>
            </w:r>
          </w:p>
          <w:p w:rsidR="007A607D" w:rsidRPr="0098787B" w:rsidRDefault="007A607D" w:rsidP="007A607D">
            <w:pPr>
              <w:pStyle w:val="Neotevilenodstavek"/>
              <w:widowControl w:val="0"/>
              <w:numPr>
                <w:ilvl w:val="0"/>
                <w:numId w:val="7"/>
              </w:numPr>
              <w:spacing w:before="0" w:after="0" w:line="260" w:lineRule="exact"/>
              <w:rPr>
                <w:iCs/>
                <w:sz w:val="20"/>
                <w:szCs w:val="20"/>
              </w:rPr>
            </w:pPr>
            <w:r w:rsidRPr="0098787B">
              <w:rPr>
                <w:iCs/>
                <w:sz w:val="20"/>
                <w:szCs w:val="20"/>
              </w:rPr>
              <w:t>niso bili upoštevani.</w:t>
            </w:r>
          </w:p>
          <w:p w:rsidR="007A607D" w:rsidRPr="0098787B" w:rsidRDefault="007A607D" w:rsidP="00DB61C3">
            <w:pPr>
              <w:pStyle w:val="Neotevilenodstavek"/>
              <w:widowControl w:val="0"/>
              <w:spacing w:before="0" w:after="0" w:line="260" w:lineRule="exact"/>
              <w:ind w:left="360"/>
              <w:rPr>
                <w:iCs/>
                <w:sz w:val="20"/>
                <w:szCs w:val="20"/>
              </w:rPr>
            </w:pPr>
          </w:p>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Bistveni predlogi in pripombe, ki niso bili upoštevani.</w:t>
            </w:r>
          </w:p>
          <w:p w:rsidR="007A607D" w:rsidRPr="0098787B" w:rsidRDefault="007A607D" w:rsidP="00DB61C3">
            <w:pPr>
              <w:pStyle w:val="Neotevilenodstavek"/>
              <w:widowControl w:val="0"/>
              <w:spacing w:before="0" w:after="0" w:line="260" w:lineRule="exact"/>
              <w:rPr>
                <w:iCs/>
                <w:sz w:val="20"/>
                <w:szCs w:val="20"/>
              </w:rPr>
            </w:pPr>
          </w:p>
        </w:tc>
      </w:tr>
      <w:tr w:rsidR="007A607D" w:rsidRPr="0098787B" w:rsidTr="00DB61C3">
        <w:tc>
          <w:tcPr>
            <w:tcW w:w="9856" w:type="dxa"/>
            <w:gridSpan w:val="9"/>
            <w:vAlign w:val="center"/>
          </w:tcPr>
          <w:p w:rsidR="007A607D" w:rsidRPr="0098787B" w:rsidRDefault="007A607D" w:rsidP="00DB61C3">
            <w:pPr>
              <w:pStyle w:val="Neotevilenodstavek"/>
              <w:widowControl w:val="0"/>
              <w:spacing w:before="0" w:after="0" w:line="260" w:lineRule="exact"/>
              <w:jc w:val="left"/>
              <w:rPr>
                <w:b/>
                <w:sz w:val="20"/>
                <w:szCs w:val="20"/>
              </w:rPr>
            </w:pPr>
            <w:r w:rsidRPr="0098787B">
              <w:rPr>
                <w:b/>
                <w:sz w:val="20"/>
                <w:szCs w:val="20"/>
              </w:rPr>
              <w:t>9. Predstavitev sodelovanja javnosti:</w:t>
            </w:r>
          </w:p>
        </w:tc>
      </w:tr>
      <w:tr w:rsidR="007A607D" w:rsidRPr="0098787B" w:rsidTr="00DB61C3">
        <w:tc>
          <w:tcPr>
            <w:tcW w:w="6876" w:type="dxa"/>
            <w:gridSpan w:val="7"/>
          </w:tcPr>
          <w:p w:rsidR="007A607D" w:rsidRPr="0098787B" w:rsidRDefault="007A607D" w:rsidP="00DB61C3">
            <w:pPr>
              <w:pStyle w:val="Neotevilenodstavek"/>
              <w:widowControl w:val="0"/>
              <w:spacing w:before="0" w:after="0" w:line="260" w:lineRule="exact"/>
              <w:rPr>
                <w:sz w:val="20"/>
                <w:szCs w:val="20"/>
              </w:rPr>
            </w:pPr>
            <w:r w:rsidRPr="0098787B">
              <w:rPr>
                <w:iCs/>
                <w:sz w:val="20"/>
                <w:szCs w:val="20"/>
              </w:rPr>
              <w:t>Gradivo je bilo predhodno objavljeno na spletni strani predlagatelja:</w:t>
            </w:r>
          </w:p>
        </w:tc>
        <w:tc>
          <w:tcPr>
            <w:tcW w:w="2980" w:type="dxa"/>
            <w:gridSpan w:val="2"/>
          </w:tcPr>
          <w:p w:rsidR="007A607D" w:rsidRPr="0098787B" w:rsidRDefault="007A607D" w:rsidP="00DB61C3">
            <w:pPr>
              <w:pStyle w:val="Neotevilenodstavek"/>
              <w:widowControl w:val="0"/>
              <w:spacing w:before="0" w:after="0" w:line="260" w:lineRule="exact"/>
              <w:jc w:val="center"/>
              <w:rPr>
                <w:iCs/>
                <w:sz w:val="20"/>
                <w:szCs w:val="20"/>
              </w:rPr>
            </w:pPr>
            <w:r w:rsidRPr="0098787B">
              <w:rPr>
                <w:sz w:val="20"/>
                <w:szCs w:val="20"/>
              </w:rPr>
              <w:t>DA/NE</w:t>
            </w:r>
          </w:p>
        </w:tc>
      </w:tr>
      <w:tr w:rsidR="007A607D" w:rsidRPr="0098787B" w:rsidTr="00DB61C3">
        <w:tc>
          <w:tcPr>
            <w:tcW w:w="9856" w:type="dxa"/>
            <w:gridSpan w:val="9"/>
          </w:tcPr>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(Če je odgovor NE, navedite, zakaj ni bilo objavljeno.)</w:t>
            </w:r>
          </w:p>
        </w:tc>
      </w:tr>
      <w:tr w:rsidR="007A607D" w:rsidRPr="0098787B" w:rsidTr="00DB61C3">
        <w:tc>
          <w:tcPr>
            <w:tcW w:w="9856" w:type="dxa"/>
            <w:gridSpan w:val="9"/>
          </w:tcPr>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(Če je odgovor DA, navedite:</w:t>
            </w:r>
          </w:p>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Datum objave: ………</w:t>
            </w:r>
          </w:p>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 xml:space="preserve">V razpravo so bili vključeni: </w:t>
            </w:r>
          </w:p>
          <w:p w:rsidR="007A607D" w:rsidRPr="0098787B" w:rsidRDefault="007A607D" w:rsidP="007A607D">
            <w:pPr>
              <w:pStyle w:val="Neotevilenodstavek"/>
              <w:widowControl w:val="0"/>
              <w:numPr>
                <w:ilvl w:val="0"/>
                <w:numId w:val="6"/>
              </w:numPr>
              <w:spacing w:before="0" w:after="0" w:line="260" w:lineRule="exact"/>
              <w:rPr>
                <w:iCs/>
                <w:sz w:val="20"/>
                <w:szCs w:val="20"/>
              </w:rPr>
            </w:pPr>
            <w:r w:rsidRPr="0098787B">
              <w:rPr>
                <w:iCs/>
                <w:sz w:val="20"/>
                <w:szCs w:val="20"/>
              </w:rPr>
              <w:t xml:space="preserve">nevladne organizacije, </w:t>
            </w:r>
          </w:p>
          <w:p w:rsidR="007A607D" w:rsidRPr="0098787B" w:rsidRDefault="007A607D" w:rsidP="007A607D">
            <w:pPr>
              <w:pStyle w:val="Neotevilenodstavek"/>
              <w:widowControl w:val="0"/>
              <w:numPr>
                <w:ilvl w:val="0"/>
                <w:numId w:val="6"/>
              </w:numPr>
              <w:spacing w:before="0" w:after="0" w:line="260" w:lineRule="exact"/>
              <w:rPr>
                <w:iCs/>
                <w:sz w:val="20"/>
                <w:szCs w:val="20"/>
              </w:rPr>
            </w:pPr>
            <w:r w:rsidRPr="0098787B">
              <w:rPr>
                <w:iCs/>
                <w:sz w:val="20"/>
                <w:szCs w:val="20"/>
              </w:rPr>
              <w:t>predstavniki zainteresirane javnosti,</w:t>
            </w:r>
          </w:p>
          <w:p w:rsidR="007A607D" w:rsidRPr="0098787B" w:rsidRDefault="007A607D" w:rsidP="007A607D">
            <w:pPr>
              <w:pStyle w:val="Neotevilenodstavek"/>
              <w:widowControl w:val="0"/>
              <w:numPr>
                <w:ilvl w:val="0"/>
                <w:numId w:val="6"/>
              </w:numPr>
              <w:spacing w:before="0" w:after="0" w:line="260" w:lineRule="exact"/>
              <w:rPr>
                <w:iCs/>
                <w:sz w:val="20"/>
                <w:szCs w:val="20"/>
              </w:rPr>
            </w:pPr>
            <w:r w:rsidRPr="0098787B">
              <w:rPr>
                <w:iCs/>
                <w:sz w:val="20"/>
                <w:szCs w:val="20"/>
              </w:rPr>
              <w:lastRenderedPageBreak/>
              <w:t>predstavniki strokovne javnosti.</w:t>
            </w:r>
          </w:p>
          <w:p w:rsidR="007A607D" w:rsidRPr="0098787B" w:rsidRDefault="007A607D" w:rsidP="007A607D">
            <w:pPr>
              <w:pStyle w:val="Neotevilenodstavek"/>
              <w:widowControl w:val="0"/>
              <w:numPr>
                <w:ilvl w:val="0"/>
                <w:numId w:val="6"/>
              </w:numPr>
              <w:spacing w:before="0" w:after="0" w:line="260" w:lineRule="exact"/>
              <w:rPr>
                <w:iCs/>
                <w:sz w:val="20"/>
                <w:szCs w:val="20"/>
              </w:rPr>
            </w:pPr>
            <w:r w:rsidRPr="0098787B">
              <w:rPr>
                <w:iCs/>
                <w:sz w:val="20"/>
                <w:szCs w:val="20"/>
              </w:rPr>
              <w:t>.</w:t>
            </w:r>
          </w:p>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 xml:space="preserve">Mnenja, predlogi in pripombe z navedbo predlagateljev </w:t>
            </w:r>
            <w:r w:rsidRPr="0098787B">
              <w:rPr>
                <w:color w:val="000000"/>
                <w:sz w:val="20"/>
                <w:szCs w:val="20"/>
              </w:rPr>
              <w:t>(imen in priimkov fizičnih oseb, ki niso poslovni subjekti, ne navajajte</w:t>
            </w:r>
            <w:r w:rsidRPr="0098787B">
              <w:rPr>
                <w:iCs/>
                <w:sz w:val="20"/>
                <w:szCs w:val="20"/>
              </w:rPr>
              <w:t>):</w:t>
            </w:r>
          </w:p>
          <w:p w:rsidR="007A607D" w:rsidRPr="0098787B" w:rsidRDefault="007A607D" w:rsidP="00DB61C3">
            <w:pPr>
              <w:pStyle w:val="Neotevilenodstavek"/>
              <w:widowControl w:val="0"/>
              <w:spacing w:before="0" w:after="0" w:line="260" w:lineRule="exact"/>
              <w:rPr>
                <w:iCs/>
                <w:sz w:val="20"/>
                <w:szCs w:val="20"/>
              </w:rPr>
            </w:pPr>
          </w:p>
          <w:p w:rsidR="007A607D" w:rsidRPr="0098787B" w:rsidRDefault="007A607D" w:rsidP="00DB61C3">
            <w:pPr>
              <w:pStyle w:val="Neotevilenodstavek"/>
              <w:widowControl w:val="0"/>
              <w:spacing w:before="0" w:after="0" w:line="260" w:lineRule="exact"/>
              <w:rPr>
                <w:iCs/>
                <w:sz w:val="20"/>
                <w:szCs w:val="20"/>
              </w:rPr>
            </w:pPr>
          </w:p>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Upoštevani so bili:</w:t>
            </w:r>
          </w:p>
          <w:p w:rsidR="007A607D" w:rsidRPr="0098787B" w:rsidRDefault="007A607D" w:rsidP="007A607D">
            <w:pPr>
              <w:pStyle w:val="Neotevilenodstavek"/>
              <w:widowControl w:val="0"/>
              <w:numPr>
                <w:ilvl w:val="0"/>
                <w:numId w:val="7"/>
              </w:numPr>
              <w:spacing w:before="0" w:after="0" w:line="260" w:lineRule="exact"/>
              <w:rPr>
                <w:iCs/>
                <w:sz w:val="20"/>
                <w:szCs w:val="20"/>
              </w:rPr>
            </w:pPr>
            <w:r w:rsidRPr="0098787B">
              <w:rPr>
                <w:iCs/>
                <w:sz w:val="20"/>
                <w:szCs w:val="20"/>
              </w:rPr>
              <w:t>v celoti,</w:t>
            </w:r>
          </w:p>
          <w:p w:rsidR="007A607D" w:rsidRPr="0098787B" w:rsidRDefault="007A607D" w:rsidP="007A607D">
            <w:pPr>
              <w:pStyle w:val="Neotevilenodstavek"/>
              <w:widowControl w:val="0"/>
              <w:numPr>
                <w:ilvl w:val="0"/>
                <w:numId w:val="7"/>
              </w:numPr>
              <w:spacing w:before="0" w:after="0" w:line="260" w:lineRule="exact"/>
              <w:rPr>
                <w:iCs/>
                <w:sz w:val="20"/>
                <w:szCs w:val="20"/>
              </w:rPr>
            </w:pPr>
            <w:r w:rsidRPr="0098787B">
              <w:rPr>
                <w:iCs/>
                <w:sz w:val="20"/>
                <w:szCs w:val="20"/>
              </w:rPr>
              <w:t>večinoma,</w:t>
            </w:r>
          </w:p>
          <w:p w:rsidR="007A607D" w:rsidRPr="0098787B" w:rsidRDefault="007A607D" w:rsidP="007A607D">
            <w:pPr>
              <w:pStyle w:val="Neotevilenodstavek"/>
              <w:widowControl w:val="0"/>
              <w:numPr>
                <w:ilvl w:val="0"/>
                <w:numId w:val="7"/>
              </w:numPr>
              <w:spacing w:before="0" w:after="0" w:line="260" w:lineRule="exact"/>
              <w:rPr>
                <w:iCs/>
                <w:sz w:val="20"/>
                <w:szCs w:val="20"/>
              </w:rPr>
            </w:pPr>
            <w:r w:rsidRPr="0098787B">
              <w:rPr>
                <w:iCs/>
                <w:sz w:val="20"/>
                <w:szCs w:val="20"/>
              </w:rPr>
              <w:t>delno,</w:t>
            </w:r>
          </w:p>
          <w:p w:rsidR="007A607D" w:rsidRPr="0098787B" w:rsidRDefault="007A607D" w:rsidP="007A607D">
            <w:pPr>
              <w:pStyle w:val="Neotevilenodstavek"/>
              <w:widowControl w:val="0"/>
              <w:numPr>
                <w:ilvl w:val="0"/>
                <w:numId w:val="7"/>
              </w:numPr>
              <w:spacing w:before="0" w:after="0" w:line="260" w:lineRule="exact"/>
              <w:rPr>
                <w:iCs/>
                <w:sz w:val="20"/>
                <w:szCs w:val="20"/>
              </w:rPr>
            </w:pPr>
            <w:r w:rsidRPr="0098787B">
              <w:rPr>
                <w:iCs/>
                <w:sz w:val="20"/>
                <w:szCs w:val="20"/>
              </w:rPr>
              <w:t>niso bili upoštevani.</w:t>
            </w:r>
          </w:p>
          <w:p w:rsidR="007A607D" w:rsidRPr="0098787B" w:rsidRDefault="007A607D" w:rsidP="00DB61C3">
            <w:pPr>
              <w:pStyle w:val="Neotevilenodstavek"/>
              <w:widowControl w:val="0"/>
              <w:spacing w:before="0" w:after="0" w:line="260" w:lineRule="exact"/>
              <w:rPr>
                <w:iCs/>
                <w:sz w:val="20"/>
                <w:szCs w:val="20"/>
              </w:rPr>
            </w:pPr>
          </w:p>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Bistvena mnenja, predlogi in pripombe, ki niso bili upoštevani, ter razlogi za neupoštevanje:</w:t>
            </w:r>
          </w:p>
          <w:p w:rsidR="007A607D" w:rsidRPr="0098787B" w:rsidRDefault="007A607D" w:rsidP="00DB61C3">
            <w:pPr>
              <w:pStyle w:val="Neotevilenodstavek"/>
              <w:widowControl w:val="0"/>
              <w:spacing w:before="0" w:after="0" w:line="260" w:lineRule="exact"/>
              <w:rPr>
                <w:iCs/>
                <w:sz w:val="20"/>
                <w:szCs w:val="20"/>
              </w:rPr>
            </w:pPr>
          </w:p>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Poročilo je bilo dano ……………..</w:t>
            </w:r>
          </w:p>
          <w:p w:rsidR="007A607D" w:rsidRPr="0098787B" w:rsidRDefault="007A607D" w:rsidP="00DB61C3">
            <w:pPr>
              <w:pStyle w:val="Neotevilenodstavek"/>
              <w:widowControl w:val="0"/>
              <w:spacing w:before="0" w:after="0" w:line="260" w:lineRule="exact"/>
              <w:rPr>
                <w:iCs/>
                <w:sz w:val="20"/>
                <w:szCs w:val="20"/>
              </w:rPr>
            </w:pPr>
          </w:p>
          <w:p w:rsidR="007A607D" w:rsidRPr="0098787B" w:rsidRDefault="007A607D" w:rsidP="00DB61C3">
            <w:pPr>
              <w:pStyle w:val="Neotevilenodstavek"/>
              <w:widowControl w:val="0"/>
              <w:spacing w:before="0" w:after="0" w:line="260" w:lineRule="exact"/>
              <w:rPr>
                <w:iCs/>
                <w:sz w:val="20"/>
                <w:szCs w:val="20"/>
              </w:rPr>
            </w:pPr>
            <w:r w:rsidRPr="0098787B">
              <w:rPr>
                <w:iCs/>
                <w:sz w:val="20"/>
                <w:szCs w:val="20"/>
              </w:rPr>
              <w:t>Javnost je bila vključena v pripravo gradiva v skladu z Zakonom o …, kar je navedeno v predlogu predpisa.)</w:t>
            </w:r>
          </w:p>
          <w:p w:rsidR="007A607D" w:rsidRPr="0098787B" w:rsidRDefault="007A607D" w:rsidP="00DB61C3">
            <w:pPr>
              <w:pStyle w:val="Neotevilenodstavek"/>
              <w:widowControl w:val="0"/>
              <w:spacing w:before="0" w:after="0" w:line="260" w:lineRule="exact"/>
              <w:rPr>
                <w:iCs/>
                <w:sz w:val="20"/>
                <w:szCs w:val="20"/>
              </w:rPr>
            </w:pPr>
          </w:p>
        </w:tc>
      </w:tr>
      <w:tr w:rsidR="007A607D" w:rsidRPr="0098787B" w:rsidTr="00DB61C3">
        <w:tc>
          <w:tcPr>
            <w:tcW w:w="6876" w:type="dxa"/>
            <w:gridSpan w:val="7"/>
            <w:vAlign w:val="center"/>
          </w:tcPr>
          <w:p w:rsidR="007A607D" w:rsidRPr="0098787B" w:rsidRDefault="007A607D" w:rsidP="00DB61C3">
            <w:pPr>
              <w:pStyle w:val="Neotevilenodstavek"/>
              <w:widowControl w:val="0"/>
              <w:spacing w:before="0" w:after="0" w:line="260" w:lineRule="exact"/>
              <w:jc w:val="left"/>
              <w:rPr>
                <w:sz w:val="20"/>
                <w:szCs w:val="20"/>
              </w:rPr>
            </w:pPr>
            <w:r w:rsidRPr="0098787B">
              <w:rPr>
                <w:b/>
                <w:sz w:val="20"/>
                <w:szCs w:val="20"/>
              </w:rPr>
              <w:lastRenderedPageBreak/>
              <w:t>10. Pri pripravi gradiva so bile upoštevane zahteve iz Resolucije o normativni dejavnosti:</w:t>
            </w:r>
          </w:p>
        </w:tc>
        <w:tc>
          <w:tcPr>
            <w:tcW w:w="2980" w:type="dxa"/>
            <w:gridSpan w:val="2"/>
            <w:vAlign w:val="center"/>
          </w:tcPr>
          <w:p w:rsidR="007A607D" w:rsidRPr="0098787B" w:rsidRDefault="007A607D" w:rsidP="00DB61C3">
            <w:pPr>
              <w:pStyle w:val="Neotevilenodstavek"/>
              <w:widowControl w:val="0"/>
              <w:spacing w:before="0" w:after="0" w:line="260" w:lineRule="exact"/>
              <w:jc w:val="center"/>
              <w:rPr>
                <w:iCs/>
                <w:sz w:val="20"/>
                <w:szCs w:val="20"/>
              </w:rPr>
            </w:pPr>
            <w:r w:rsidRPr="0098787B">
              <w:rPr>
                <w:sz w:val="20"/>
                <w:szCs w:val="20"/>
              </w:rPr>
              <w:t>DA/NE</w:t>
            </w:r>
          </w:p>
        </w:tc>
      </w:tr>
      <w:tr w:rsidR="007A607D" w:rsidRPr="0098787B" w:rsidTr="00DB61C3">
        <w:tc>
          <w:tcPr>
            <w:tcW w:w="6876" w:type="dxa"/>
            <w:gridSpan w:val="7"/>
            <w:vAlign w:val="center"/>
          </w:tcPr>
          <w:p w:rsidR="007A607D" w:rsidRPr="0098787B" w:rsidRDefault="007A607D" w:rsidP="00DB61C3">
            <w:pPr>
              <w:pStyle w:val="Neotevilenodstavek"/>
              <w:widowControl w:val="0"/>
              <w:spacing w:before="0" w:after="0" w:line="260" w:lineRule="exact"/>
              <w:jc w:val="left"/>
              <w:rPr>
                <w:b/>
                <w:sz w:val="20"/>
                <w:szCs w:val="20"/>
              </w:rPr>
            </w:pPr>
            <w:r w:rsidRPr="0098787B">
              <w:rPr>
                <w:b/>
                <w:sz w:val="20"/>
                <w:szCs w:val="20"/>
              </w:rPr>
              <w:t>11. Gradivo je uvrščeno v delovni program vlade:</w:t>
            </w:r>
          </w:p>
        </w:tc>
        <w:tc>
          <w:tcPr>
            <w:tcW w:w="2980" w:type="dxa"/>
            <w:gridSpan w:val="2"/>
            <w:vAlign w:val="center"/>
          </w:tcPr>
          <w:p w:rsidR="007A607D" w:rsidRPr="0098787B" w:rsidRDefault="007A607D" w:rsidP="00DB61C3">
            <w:pPr>
              <w:pStyle w:val="Neotevilenodstavek"/>
              <w:widowControl w:val="0"/>
              <w:spacing w:before="0" w:after="0" w:line="260" w:lineRule="exact"/>
              <w:jc w:val="center"/>
              <w:rPr>
                <w:sz w:val="20"/>
                <w:szCs w:val="20"/>
              </w:rPr>
            </w:pPr>
            <w:r w:rsidRPr="0098787B">
              <w:rPr>
                <w:sz w:val="20"/>
                <w:szCs w:val="20"/>
              </w:rPr>
              <w:t>DA/NE</w:t>
            </w:r>
          </w:p>
        </w:tc>
      </w:tr>
      <w:tr w:rsidR="007A607D" w:rsidRPr="0098787B" w:rsidTr="00DB61C3">
        <w:tc>
          <w:tcPr>
            <w:tcW w:w="9856" w:type="dxa"/>
            <w:gridSpan w:val="9"/>
            <w:tcBorders>
              <w:top w:val="single" w:sz="4" w:space="0" w:color="000000"/>
              <w:left w:val="single" w:sz="4" w:space="0" w:color="000000"/>
              <w:bottom w:val="single" w:sz="4" w:space="0" w:color="000000"/>
              <w:right w:val="single" w:sz="4" w:space="0" w:color="000000"/>
            </w:tcBorders>
          </w:tcPr>
          <w:p w:rsidR="007A607D" w:rsidRPr="0098787B" w:rsidRDefault="007A607D" w:rsidP="00DB61C3">
            <w:pPr>
              <w:pStyle w:val="Poglavje"/>
              <w:widowControl w:val="0"/>
              <w:spacing w:before="0" w:after="0" w:line="260" w:lineRule="exact"/>
              <w:ind w:left="3400"/>
              <w:jc w:val="left"/>
              <w:rPr>
                <w:sz w:val="20"/>
                <w:szCs w:val="20"/>
              </w:rPr>
            </w:pPr>
          </w:p>
          <w:p w:rsidR="007A607D" w:rsidRDefault="007A607D" w:rsidP="007A607D">
            <w:pPr>
              <w:pStyle w:val="Poglavje"/>
              <w:widowControl w:val="0"/>
              <w:spacing w:before="0" w:after="0" w:line="260" w:lineRule="exact"/>
              <w:ind w:left="3400"/>
              <w:jc w:val="left"/>
              <w:rPr>
                <w:b w:val="0"/>
                <w:sz w:val="20"/>
                <w:szCs w:val="20"/>
              </w:rPr>
            </w:pPr>
            <w:r w:rsidRPr="0098787B">
              <w:rPr>
                <w:b w:val="0"/>
                <w:sz w:val="20"/>
                <w:szCs w:val="20"/>
              </w:rPr>
              <w:t xml:space="preserve">                                                       </w:t>
            </w:r>
            <w:r>
              <w:rPr>
                <w:b w:val="0"/>
                <w:sz w:val="20"/>
                <w:szCs w:val="20"/>
              </w:rPr>
              <w:t>SIMON ZAJC</w:t>
            </w:r>
          </w:p>
          <w:p w:rsidR="007A607D" w:rsidRPr="0098787B" w:rsidRDefault="007A607D" w:rsidP="007A607D">
            <w:pPr>
              <w:pStyle w:val="Poglavje"/>
              <w:widowControl w:val="0"/>
              <w:spacing w:before="0" w:after="0" w:line="260" w:lineRule="exact"/>
              <w:ind w:left="3400"/>
              <w:jc w:val="left"/>
              <w:rPr>
                <w:b w:val="0"/>
                <w:sz w:val="20"/>
                <w:szCs w:val="20"/>
              </w:rPr>
            </w:pPr>
            <w:r>
              <w:rPr>
                <w:b w:val="0"/>
                <w:sz w:val="20"/>
                <w:szCs w:val="20"/>
              </w:rPr>
              <w:t xml:space="preserve">                                               DRŽAVNI SEKRETAR</w:t>
            </w:r>
          </w:p>
          <w:p w:rsidR="007A607D" w:rsidRPr="0098787B" w:rsidRDefault="007A607D" w:rsidP="00DB61C3">
            <w:pPr>
              <w:pStyle w:val="Poglavje"/>
              <w:widowControl w:val="0"/>
              <w:spacing w:before="0" w:after="0" w:line="260" w:lineRule="exact"/>
              <w:ind w:left="3400"/>
              <w:jc w:val="left"/>
              <w:rPr>
                <w:sz w:val="20"/>
                <w:szCs w:val="20"/>
              </w:rPr>
            </w:pPr>
          </w:p>
        </w:tc>
      </w:tr>
    </w:tbl>
    <w:p w:rsidR="007A607D" w:rsidRPr="0098787B" w:rsidRDefault="007A607D" w:rsidP="007A607D">
      <w:pPr>
        <w:pStyle w:val="Telobesedila2"/>
        <w:ind w:left="4956" w:firstLine="708"/>
        <w:rPr>
          <w:rFonts w:ascii="Arial" w:hAnsi="Arial"/>
          <w:b w:val="0"/>
          <w:sz w:val="20"/>
        </w:rPr>
      </w:pPr>
    </w:p>
    <w:p w:rsidR="007A607D" w:rsidRPr="0098787B" w:rsidRDefault="007A607D" w:rsidP="007A607D">
      <w:pPr>
        <w:jc w:val="both"/>
        <w:rPr>
          <w:rFonts w:cs="Arial"/>
          <w:szCs w:val="20"/>
        </w:rPr>
      </w:pPr>
      <w:r w:rsidRPr="0098787B">
        <w:rPr>
          <w:rFonts w:cs="Arial"/>
          <w:szCs w:val="20"/>
        </w:rPr>
        <w:t>PRILOGE:</w:t>
      </w:r>
    </w:p>
    <w:p w:rsidR="007A607D" w:rsidRPr="0098787B" w:rsidRDefault="007A607D" w:rsidP="007A607D">
      <w:pPr>
        <w:jc w:val="both"/>
        <w:rPr>
          <w:rFonts w:cs="Arial"/>
          <w:szCs w:val="20"/>
        </w:rPr>
      </w:pPr>
    </w:p>
    <w:p w:rsidR="007A607D" w:rsidRPr="0098787B" w:rsidRDefault="007A607D" w:rsidP="007A607D">
      <w:pPr>
        <w:numPr>
          <w:ilvl w:val="0"/>
          <w:numId w:val="8"/>
        </w:numPr>
        <w:spacing w:line="240" w:lineRule="auto"/>
        <w:rPr>
          <w:rFonts w:cs="Arial"/>
          <w:szCs w:val="20"/>
        </w:rPr>
      </w:pPr>
      <w:r w:rsidRPr="0098787B">
        <w:rPr>
          <w:rFonts w:cs="Arial"/>
          <w:szCs w:val="20"/>
        </w:rPr>
        <w:t>Priloga 1: Obrazložitev</w:t>
      </w:r>
    </w:p>
    <w:p w:rsidR="007A607D" w:rsidRPr="0098787B" w:rsidRDefault="007A607D" w:rsidP="007A607D">
      <w:pPr>
        <w:numPr>
          <w:ilvl w:val="0"/>
          <w:numId w:val="8"/>
        </w:numPr>
        <w:spacing w:line="240" w:lineRule="auto"/>
        <w:rPr>
          <w:rFonts w:cs="Arial"/>
          <w:szCs w:val="20"/>
        </w:rPr>
      </w:pPr>
      <w:r w:rsidRPr="0098787B">
        <w:rPr>
          <w:rFonts w:cs="Arial"/>
          <w:szCs w:val="20"/>
        </w:rPr>
        <w:t>Priloga 2: Izpis obrazca 3 iz MFERAC</w:t>
      </w:r>
    </w:p>
    <w:p w:rsidR="007A607D" w:rsidRPr="0098787B" w:rsidRDefault="007A607D" w:rsidP="007A607D">
      <w:pPr>
        <w:numPr>
          <w:ilvl w:val="0"/>
          <w:numId w:val="8"/>
        </w:numPr>
        <w:spacing w:line="240" w:lineRule="auto"/>
        <w:rPr>
          <w:rFonts w:cs="Arial"/>
          <w:szCs w:val="20"/>
        </w:rPr>
      </w:pPr>
      <w:r w:rsidRPr="0098787B">
        <w:rPr>
          <w:rFonts w:cs="Arial"/>
          <w:szCs w:val="20"/>
        </w:rPr>
        <w:t>Priloga 3: Mnenje Ministrstva za finance</w:t>
      </w:r>
    </w:p>
    <w:p w:rsidR="007A607D" w:rsidRPr="0098787B" w:rsidRDefault="007A607D" w:rsidP="007A607D">
      <w:pPr>
        <w:pStyle w:val="Telobesedila2"/>
        <w:ind w:left="4956" w:firstLine="708"/>
        <w:rPr>
          <w:rFonts w:ascii="Arial" w:hAnsi="Arial"/>
          <w:b w:val="0"/>
          <w:sz w:val="20"/>
        </w:rPr>
      </w:pPr>
    </w:p>
    <w:p w:rsidR="007A607D" w:rsidRPr="0098787B" w:rsidRDefault="007A607D" w:rsidP="007A607D">
      <w:pPr>
        <w:pStyle w:val="Telobesedila2"/>
        <w:ind w:left="4956" w:firstLine="708"/>
        <w:rPr>
          <w:rFonts w:ascii="Arial" w:hAnsi="Arial"/>
          <w:b w:val="0"/>
          <w:sz w:val="20"/>
        </w:rPr>
      </w:pPr>
    </w:p>
    <w:p w:rsidR="007A607D" w:rsidRPr="0098787B" w:rsidRDefault="007A607D" w:rsidP="007A607D">
      <w:pPr>
        <w:pStyle w:val="Naslovpredpisa"/>
        <w:spacing w:before="0" w:after="0" w:line="260" w:lineRule="exact"/>
        <w:jc w:val="left"/>
        <w:rPr>
          <w:sz w:val="20"/>
          <w:szCs w:val="20"/>
        </w:rPr>
      </w:pPr>
    </w:p>
    <w:p w:rsidR="007A607D" w:rsidRPr="0098787B" w:rsidRDefault="007A607D" w:rsidP="007A607D">
      <w:pPr>
        <w:keepLines/>
        <w:jc w:val="right"/>
        <w:rPr>
          <w:b/>
          <w:szCs w:val="20"/>
        </w:rPr>
      </w:pPr>
      <w:r w:rsidRPr="0098787B">
        <w:rPr>
          <w:b/>
          <w:szCs w:val="20"/>
        </w:rPr>
        <w:br w:type="page"/>
      </w:r>
      <w:r w:rsidRPr="0098787B">
        <w:rPr>
          <w:b/>
          <w:szCs w:val="20"/>
        </w:rPr>
        <w:lastRenderedPageBreak/>
        <w:t>PRILOGA 1</w:t>
      </w:r>
    </w:p>
    <w:p w:rsidR="007A607D" w:rsidRPr="0098787B" w:rsidRDefault="007A607D" w:rsidP="007A607D">
      <w:pPr>
        <w:jc w:val="center"/>
        <w:rPr>
          <w:rFonts w:cs="Arial"/>
          <w:b/>
        </w:rPr>
      </w:pPr>
    </w:p>
    <w:p w:rsidR="007A607D" w:rsidRPr="0098787B" w:rsidRDefault="007A607D" w:rsidP="007A607D">
      <w:pPr>
        <w:jc w:val="center"/>
        <w:rPr>
          <w:rFonts w:cs="Arial"/>
          <w:b/>
        </w:rPr>
      </w:pPr>
      <w:r w:rsidRPr="0098787B">
        <w:rPr>
          <w:rFonts w:cs="Arial"/>
          <w:b/>
        </w:rPr>
        <w:t>OBRAZLOŽITEV</w:t>
      </w:r>
    </w:p>
    <w:p w:rsidR="007A607D" w:rsidRPr="0098787B" w:rsidRDefault="007A607D" w:rsidP="007A607D">
      <w:pPr>
        <w:jc w:val="both"/>
        <w:rPr>
          <w:rFonts w:cs="Arial"/>
          <w:b/>
        </w:rPr>
      </w:pPr>
    </w:p>
    <w:p w:rsidR="007A607D" w:rsidRPr="0098787B" w:rsidRDefault="007A607D" w:rsidP="007A607D">
      <w:pPr>
        <w:jc w:val="both"/>
        <w:rPr>
          <w:rFonts w:cs="Arial"/>
          <w:b/>
        </w:rPr>
      </w:pPr>
    </w:p>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ascii="Helv" w:hAnsi="Helv" w:cs="Helv"/>
          <w:iCs/>
          <w:color w:val="000000"/>
          <w:szCs w:val="20"/>
        </w:rPr>
        <w:t>V prvem odstavku 4. člena Zakona o vodah (Uradni list RS, št. 67/02, 2/04 – ZZdrI-A, 41/04 – ZVO-1, 57/08, 57/12, 100/13, 40/14 in 56/15; v nadaljevanju: ZV-1) je določeno, da</w:t>
      </w:r>
      <w:r w:rsidRPr="0098787B">
        <w:rPr>
          <w:rFonts w:ascii="Helv" w:hAnsi="Helv" w:cs="Helv"/>
          <w:bCs/>
          <w:iCs/>
          <w:color w:val="000000"/>
          <w:szCs w:val="20"/>
        </w:rPr>
        <w:t xml:space="preserve"> je upravljanje z vodami in vodnimi ter priobalnimi zemljišči v pristojnosti države</w:t>
      </w:r>
      <w:r w:rsidRPr="0098787B">
        <w:rPr>
          <w:rFonts w:ascii="Helv" w:hAnsi="Helv" w:cs="Helv"/>
          <w:iCs/>
          <w:color w:val="000000"/>
          <w:szCs w:val="20"/>
        </w:rPr>
        <w:t xml:space="preserve"> (razen tistih nalog, za katere je po tem zakonu pristojna lokalna skupnost). Nadalje je v prvem odstavku 158. člena ZV-1 določeno, da upravne in z njimi povezane strokovne naloge ter organizacijske in razvojne naloge iz ZV-1</w:t>
      </w:r>
      <w:r w:rsidRPr="0098787B">
        <w:rPr>
          <w:rFonts w:ascii="Helv" w:hAnsi="Helv" w:cs="Helv"/>
          <w:i/>
          <w:iCs/>
          <w:color w:val="000000"/>
          <w:szCs w:val="20"/>
        </w:rPr>
        <w:t xml:space="preserve"> </w:t>
      </w:r>
      <w:r w:rsidRPr="0098787B">
        <w:rPr>
          <w:rFonts w:ascii="Helv" w:hAnsi="Helv" w:cs="Helv"/>
          <w:iCs/>
          <w:color w:val="000000"/>
          <w:szCs w:val="20"/>
        </w:rPr>
        <w:t>opravlja ministrstvo, pristojno za vode – Ministrstvo za okolje in prostor Republike Slovenije ter na podlagi Uredbe o organih v sestavi ministrstev (Uradni list RS, št. 35/15, 62/15, 84/16, 41/17, 53/17</w:t>
      </w:r>
      <w:r>
        <w:rPr>
          <w:rFonts w:ascii="Helv" w:hAnsi="Helv" w:cs="Helv"/>
          <w:iCs/>
          <w:color w:val="000000"/>
          <w:szCs w:val="20"/>
        </w:rPr>
        <w:t>,</w:t>
      </w:r>
      <w:r w:rsidRPr="0098787B">
        <w:rPr>
          <w:rFonts w:ascii="Helv" w:hAnsi="Helv" w:cs="Helv"/>
          <w:iCs/>
          <w:color w:val="000000"/>
          <w:szCs w:val="20"/>
        </w:rPr>
        <w:t xml:space="preserve"> 52/18</w:t>
      </w:r>
      <w:r>
        <w:rPr>
          <w:rFonts w:ascii="Helv" w:hAnsi="Helv" w:cs="Helv"/>
          <w:iCs/>
          <w:color w:val="000000"/>
          <w:szCs w:val="20"/>
        </w:rPr>
        <w:t xml:space="preserve"> in 84/18</w:t>
      </w:r>
      <w:r w:rsidRPr="0098787B">
        <w:rPr>
          <w:rFonts w:ascii="Helv" w:hAnsi="Helv" w:cs="Helv"/>
          <w:iCs/>
          <w:color w:val="000000"/>
          <w:szCs w:val="20"/>
        </w:rPr>
        <w:t xml:space="preserve">) tudi nekateri njegovi organi v sestavi. Ministrstvo za okolje in prostor (skupaj z organom v sestavi - Agencijo RS za okolje) je zato kot stvarno pristojni organ za področje upravljanja z vodami aktivno pristopilo k sodelovanju pri izvajanju Programa sodelovanja V-A Italija-Slovenija 2014 - 2020 na čezmejnem programskem območju. Program sodelovanja V-A Italija-Slovenija CCI 2014TC16RFCB036 je bil odobren z odločitvijo Evropske komisije C(2015)9285 z dne 15.12.2015 in spremenjen z odločitvijo C (2017) 6247 z dne 14.9.2017. </w:t>
      </w:r>
    </w:p>
    <w:p w:rsidR="007A607D" w:rsidRPr="0098787B" w:rsidRDefault="007A607D" w:rsidP="007A607D">
      <w:pPr>
        <w:jc w:val="both"/>
        <w:rPr>
          <w:rFonts w:cs="Arial"/>
          <w:b/>
        </w:rPr>
      </w:pPr>
    </w:p>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ascii="Helv" w:hAnsi="Helv" w:cs="Helv"/>
          <w:iCs/>
          <w:color w:val="000000"/>
          <w:szCs w:val="20"/>
        </w:rPr>
        <w:t xml:space="preserve">Razlog za aktivno sodelovanje pri navedenem Programu je dejstvo, da je programsko območje zelo izpostavljeno negativnim posledicam poplav, ki se bodo ob naraščajoči urbanizaciji in vplivih podnebnih sprememb še povečevale (v čezmejnem porečju Soče je zaradi poplav na območjih pomembnega vpliva poplav ogroženih približno 12.000 prebivalcev na slovenski strani). Še posebej je ogroženo čezmejno porečje Vipave, kjer je bilo na slovenski strani opredeljenih 5 od 61 vseh območij pomembnega vpliva poplav v Republiki Sloveniji. Območja pomembnega vpliva poplav so poplavna območja, na katerih obstaja možnost nastanka pomembnih škodljivih posledic za zdravje ljudi, okolje, kulturno dediščino in gospodarske dejavnosti ter predstavljajo območja s potencialno največjimi škodami v primeru nastopa poplav. </w:t>
      </w:r>
    </w:p>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p>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ascii="Helv" w:hAnsi="Helv" w:cs="Helv"/>
          <w:iCs/>
          <w:color w:val="000000"/>
          <w:szCs w:val="20"/>
        </w:rPr>
        <w:t xml:space="preserve">Zagotoviti je treba celostno obvladovanje poplavne ogroženosti, vključno z usklajenim načrtovanjem in izboljšavami v kartiranju poplavne ogroženosti, z izmenjavo podatkov, modeli napovedovanja poplav in sistemi opozarjanja ter ozaveščanja ogroženih prebivalcev. Rešitve je treba zaradi značilnosti poplavnih dogodkov iskati na čezmejnih območjih in jih zaradi čezmejnih vplivov uskladiti s sosednjo državo skladno z Direktivo 2007/60/ES Evropskega parlamenta in Sveta z dne 23. oktobra 2007 o oceni in obvladovanju poplavne ogroženosti. </w:t>
      </w:r>
    </w:p>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p>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r w:rsidRPr="0098787B">
        <w:rPr>
          <w:rFonts w:cs="Arial"/>
          <w:iCs/>
          <w:color w:val="000000"/>
          <w:szCs w:val="20"/>
        </w:rPr>
        <w:t xml:space="preserve">Tako na slovenski kot na italijanski strani je bilo prepoznano, da </w:t>
      </w:r>
      <w:r w:rsidRPr="0098787B">
        <w:rPr>
          <w:rFonts w:ascii="Helv" w:hAnsi="Helv" w:cs="Helv"/>
          <w:iCs/>
          <w:color w:val="000000"/>
          <w:szCs w:val="20"/>
        </w:rPr>
        <w:t xml:space="preserve">Program sodelovanja V-A Italija-Slovenija </w:t>
      </w:r>
      <w:r w:rsidRPr="0098787B">
        <w:rPr>
          <w:rFonts w:cs="Arial"/>
          <w:iCs/>
          <w:color w:val="000000"/>
          <w:szCs w:val="20"/>
        </w:rPr>
        <w:t>omogoča čezmejno usklajeno izvajanje ukrepov za zmanjševanje poplavne ogroženosti</w:t>
      </w:r>
      <w:r w:rsidRPr="0098787B">
        <w:rPr>
          <w:rFonts w:ascii="Helv" w:hAnsi="Helv" w:cs="Helv"/>
          <w:iCs/>
          <w:color w:val="000000"/>
          <w:szCs w:val="20"/>
        </w:rPr>
        <w:t xml:space="preserve">. Rezultat projektov v okviru prednostne osi 3, tematski cilj 6, prednostna naložba 6f Programa je učinkovito upravljanje voda z razvojem in širjenjem zelenih tehnologij ter inovativnih upravljalskih orodij. </w:t>
      </w:r>
      <w:r w:rsidRPr="0098787B">
        <w:rPr>
          <w:rFonts w:cs="Arial"/>
          <w:iCs/>
          <w:color w:val="000000"/>
          <w:szCs w:val="20"/>
        </w:rPr>
        <w:t>V okviru prednostne naložbe 6f je predvidena izvedba enega strateškega projekta, za izvajanje evropskih in programskih strategij.</w:t>
      </w:r>
    </w:p>
    <w:p w:rsidR="007A607D" w:rsidRPr="0098787B" w:rsidRDefault="007A607D" w:rsidP="007A607D">
      <w:pPr>
        <w:jc w:val="both"/>
        <w:rPr>
          <w:rFonts w:ascii="Helv" w:hAnsi="Helv" w:cs="Helv"/>
          <w:iCs/>
          <w:color w:val="000000"/>
          <w:szCs w:val="20"/>
        </w:rPr>
      </w:pP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 xml:space="preserve">V Programu sodelovanja V-A Italija-Slovenija so za izvedbo tematskega cilja 6 namenjena sredstva v višini 32.088.805,00 EUR </w:t>
      </w:r>
      <w:r w:rsidRPr="0098787B">
        <w:rPr>
          <w:rFonts w:cs="Arial"/>
          <w:iCs/>
          <w:color w:val="000000"/>
          <w:szCs w:val="20"/>
        </w:rPr>
        <w:t>(85</w:t>
      </w:r>
      <w:r>
        <w:rPr>
          <w:rFonts w:cs="Arial"/>
          <w:iCs/>
          <w:color w:val="000000"/>
          <w:szCs w:val="20"/>
        </w:rPr>
        <w:t xml:space="preserve"> </w:t>
      </w:r>
      <w:r w:rsidRPr="0098787B">
        <w:rPr>
          <w:rFonts w:cs="Arial"/>
          <w:iCs/>
          <w:color w:val="000000"/>
          <w:szCs w:val="20"/>
        </w:rPr>
        <w:t xml:space="preserve">% ESRR: in 15 % lastna udeležba). </w:t>
      </w:r>
      <w:r w:rsidRPr="0001557B">
        <w:rPr>
          <w:rFonts w:cs="Arial"/>
          <w:iCs/>
          <w:color w:val="000000"/>
          <w:szCs w:val="20"/>
        </w:rPr>
        <w:t>Dodelitev sredstev je utemeljena v Programu sodelovanja V-A Italija-Slovenija in temelji na odločitvah, na podlagi katerih je bila določena strategija programa (Strategija za prispevek programa sodelovanja k strategiji Evropske unije za pametno, trajnostno in vključujočo rast ter k uresničevanju ekonomske, socialne in teritorialne kohezije). Finančna dodelitev zato upošteva pomembnost posameznih strateških možnosti, in sicer na podlagi naslednjih dejavnikov:</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 socialna in gospodarska analiza, na podlagi katere so bili opredeljeni izzivi in potrebe programskega območja;</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 ocenjena finančna vrednost projektov za vsako prednostno os na podlagi izkušenj iz obdobja 2007–2013;</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 mnenja, ki so bila pridobljena v času posvetovanj z deležniki;</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 število in doslednost opredeljenih prednostnih naložb in finančna zmožnost za predvidene aktivnosti.</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98787B">
        <w:rPr>
          <w:rFonts w:cs="Arial"/>
          <w:iCs/>
          <w:color w:val="000000"/>
          <w:szCs w:val="20"/>
        </w:rPr>
        <w:t xml:space="preserve">Za doseganje zastavljenih programskih ciljev na programskem območju v obdobju 2014 -2020 </w:t>
      </w:r>
      <w:r w:rsidRPr="0001557B">
        <w:rPr>
          <w:rFonts w:cs="Arial"/>
          <w:iCs/>
          <w:color w:val="000000"/>
          <w:szCs w:val="20"/>
        </w:rPr>
        <w:t>je Ministrstvo za okolje in prostor skupaj s slovenskimi in italijanskimi partnerji z nacionalnega, regionalnega in lokalnega nivoja pripravilo čezmejno usklajeni strateški projekt VISFRIM (Upravljanje poplavne ogroženosti na porečju reke Vipave in na ostalih čezmejnih porečjih).</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 xml:space="preserve">Aktivnosti projekta je podprla Stalna slovensko-italijanska komisija za vodno gospodarstvo 17.5.2016 v Gorici (http://www.statika.evode.gov.si/fileadmin/vg_komisije/SLO-IT-zasedanje_maj_2016.pdf). Izbrane aktivnosti izhajajo iz Načrta zmanjševanja poplavne ogroženosti 2017–2021, ki je bil sprejet 27.7.2017 s Sklepom Vlade RS št.: 35500-5/2017/8 (http://www.mop.gov.si/fileadmin/mop.gov.si/pageuploads/podrocja/voda/nzpo_2017_2021.pdf). </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 xml:space="preserve">Strateški projekt VISFRIM je bil prijavljen na Ciljni razpis za strateške projekte št. 05/2018 Programa sodelovanja V-A Italija-Slovenija 2014 – 2020 (Uradni list RS, št.: 8/2018), in sicer v okviru prednostne osi 3, tematski cilj 6, prednostna naložba 6f. Odbor za spremljanje Programa sodelovanja V-A Italija-Slovenija je 25.7.2018 odobril sofinanciranje strateškega projekta VISFRIM iz Evropskega sklada za regionalni razvoj (https://www.ita-slo.eu/sl/vse-novice/news/odobritev-prednostnih-lestvic-strate%C5%A1kih-projektnih-predlogov-na-ciljni-razpisih-%C5%A1t). Pogodba o dotaciji sofinanciranja </w:t>
      </w:r>
      <w:r>
        <w:t xml:space="preserve">za izvedbo projekta »VISFRIM-Upravljanje poplavne ogroženosti na porečju Vipave in na ostalih čezmejnih porečjih« </w:t>
      </w:r>
      <w:r w:rsidRPr="0001557B">
        <w:rPr>
          <w:rFonts w:cs="Arial"/>
          <w:iCs/>
          <w:color w:val="000000"/>
          <w:szCs w:val="20"/>
        </w:rPr>
        <w:t>med Organom upravljanja in Vodilnim partnerjem št. 3920/2018 je bila podpisana 10.10.2018.</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 xml:space="preserve">Cilj projekta VISFRIM je učinkovito obvladovanje poplavne ogroženosti na čezmejnih porečjih na podlagi razvoja metodologij in funkcionalnih orodij za izvajanje načrtov zmanjševanja obstoječe poplavne ogroženosti in njihovo naknadno posodabljanje do leta 2021, kot to določata ZV-1 in Direktiva 2007/60/ES Evropskega parlamenta in Sveta z dne 23. oktobra 2007 o oceni in obvladovanju poplavne ogroženosti. </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 xml:space="preserve">Vodilni partner projekta VISFRIM je Autorita’ di bacino Distrettuale delle Alpi Orientali, kot partnerji pa sodelujejo tudi: Città metropolitana di Venezia, Avtonomna dežela Furlanija Julijska krajina, Dežela Veneto, Ministrstvo za okolje in prostor Republike Slovenije, Agencija Republike Slovenije za okolje, Občina Miren-Kostanjevica, Mestna občina Nova Gorica, Občina Postojna, Občina Šempeter-Vrtojba in Občina Vipava. </w:t>
      </w:r>
    </w:p>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iCs/>
          <w:color w:val="000000"/>
          <w:szCs w:val="20"/>
        </w:rPr>
      </w:pPr>
    </w:p>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98787B">
        <w:rPr>
          <w:rFonts w:ascii="Helv" w:hAnsi="Helv" w:cs="Helv"/>
          <w:iCs/>
          <w:color w:val="000000"/>
          <w:szCs w:val="20"/>
        </w:rPr>
        <w:t xml:space="preserve">Sredstva za izvedbo triletnega projekta znašajo 2.940.441,15 EUR. Od tega je za </w:t>
      </w:r>
      <w:r w:rsidRPr="0098787B">
        <w:rPr>
          <w:rFonts w:ascii="Helv" w:hAnsi="Helv" w:cs="Helv"/>
          <w:b/>
          <w:iCs/>
          <w:color w:val="000000"/>
          <w:szCs w:val="20"/>
        </w:rPr>
        <w:t xml:space="preserve">aktivnosti </w:t>
      </w:r>
      <w:r w:rsidRPr="0098787B">
        <w:rPr>
          <w:rFonts w:cs="Arial"/>
          <w:b/>
          <w:iCs/>
          <w:color w:val="000000"/>
          <w:szCs w:val="20"/>
        </w:rPr>
        <w:t>Ministrstva za okolje in prostor skupaj z organom v sestavi (Agencija RS za okolje)</w:t>
      </w:r>
      <w:r w:rsidRPr="0098787B">
        <w:rPr>
          <w:rFonts w:cs="Arial"/>
          <w:iCs/>
          <w:color w:val="000000"/>
          <w:szCs w:val="20"/>
        </w:rPr>
        <w:t xml:space="preserve"> v projektu VISFRIM treba zagotoviti </w:t>
      </w:r>
      <w:r w:rsidRPr="0098787B">
        <w:rPr>
          <w:rFonts w:cs="Arial"/>
          <w:b/>
          <w:iCs/>
          <w:color w:val="000000"/>
          <w:szCs w:val="20"/>
        </w:rPr>
        <w:t>335.000 EUR</w:t>
      </w:r>
      <w:r w:rsidRPr="0098787B">
        <w:rPr>
          <w:rFonts w:cs="Arial"/>
          <w:iCs/>
          <w:color w:val="000000"/>
          <w:szCs w:val="20"/>
        </w:rPr>
        <w:t xml:space="preserve"> (ESRR: 85</w:t>
      </w:r>
      <w:r>
        <w:rPr>
          <w:rFonts w:cs="Arial"/>
          <w:iCs/>
          <w:color w:val="000000"/>
          <w:szCs w:val="20"/>
        </w:rPr>
        <w:t xml:space="preserve"> </w:t>
      </w:r>
      <w:r w:rsidRPr="0098787B">
        <w:rPr>
          <w:rFonts w:cs="Arial"/>
          <w:iCs/>
          <w:color w:val="000000"/>
          <w:szCs w:val="20"/>
        </w:rPr>
        <w:t>% oziroma 284.750 EUR in lastna udeležba: 15 % oziroma 50.250 EUR). Podrobneje v spodnji preglednici:</w:t>
      </w:r>
    </w:p>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tbl>
      <w:tblPr>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4"/>
        <w:gridCol w:w="1150"/>
        <w:gridCol w:w="1177"/>
        <w:gridCol w:w="1195"/>
        <w:gridCol w:w="1195"/>
        <w:gridCol w:w="1195"/>
        <w:gridCol w:w="1073"/>
        <w:gridCol w:w="1034"/>
      </w:tblGrid>
      <w:tr w:rsidR="007A607D" w:rsidRPr="0098787B" w:rsidTr="00DB61C3">
        <w:tc>
          <w:tcPr>
            <w:tcW w:w="1364" w:type="dxa"/>
            <w:shd w:val="clear" w:color="auto" w:fill="auto"/>
          </w:tcPr>
          <w:p w:rsidR="007A607D" w:rsidRPr="0098787B" w:rsidRDefault="007A607D" w:rsidP="00DB61C3">
            <w:pPr>
              <w:rPr>
                <w:b/>
                <w:sz w:val="16"/>
              </w:rPr>
            </w:pPr>
            <w:r w:rsidRPr="0098787B">
              <w:rPr>
                <w:b/>
                <w:sz w:val="16"/>
              </w:rPr>
              <w:t xml:space="preserve">Ime proračunskega uporabnika </w:t>
            </w:r>
          </w:p>
        </w:tc>
        <w:tc>
          <w:tcPr>
            <w:tcW w:w="1150" w:type="dxa"/>
            <w:shd w:val="clear" w:color="auto" w:fill="auto"/>
          </w:tcPr>
          <w:p w:rsidR="007A607D" w:rsidRPr="0098787B" w:rsidRDefault="007A607D" w:rsidP="00DB61C3">
            <w:pPr>
              <w:rPr>
                <w:b/>
                <w:sz w:val="16"/>
              </w:rPr>
            </w:pPr>
            <w:r w:rsidRPr="0098787B">
              <w:rPr>
                <w:b/>
                <w:sz w:val="16"/>
              </w:rPr>
              <w:t>Šifra in naziv ukrepa, projekta</w:t>
            </w:r>
          </w:p>
        </w:tc>
        <w:tc>
          <w:tcPr>
            <w:tcW w:w="1177" w:type="dxa"/>
            <w:shd w:val="clear" w:color="auto" w:fill="auto"/>
          </w:tcPr>
          <w:p w:rsidR="007A607D" w:rsidRPr="0098787B" w:rsidRDefault="007A607D" w:rsidP="00DB61C3">
            <w:pPr>
              <w:rPr>
                <w:b/>
                <w:sz w:val="16"/>
              </w:rPr>
            </w:pPr>
            <w:r w:rsidRPr="0098787B">
              <w:rPr>
                <w:b/>
                <w:sz w:val="16"/>
              </w:rPr>
              <w:t>Šifra in naziv proračunske postavke</w:t>
            </w:r>
          </w:p>
        </w:tc>
        <w:tc>
          <w:tcPr>
            <w:tcW w:w="1195" w:type="dxa"/>
            <w:shd w:val="clear" w:color="auto" w:fill="auto"/>
          </w:tcPr>
          <w:p w:rsidR="007A607D" w:rsidRPr="0098787B" w:rsidRDefault="007A607D" w:rsidP="00DB61C3">
            <w:pPr>
              <w:rPr>
                <w:b/>
                <w:sz w:val="16"/>
              </w:rPr>
            </w:pPr>
            <w:r w:rsidRPr="0098787B">
              <w:rPr>
                <w:b/>
                <w:sz w:val="16"/>
              </w:rPr>
              <w:t>Znesek za leto 2019 (EUR)</w:t>
            </w:r>
          </w:p>
        </w:tc>
        <w:tc>
          <w:tcPr>
            <w:tcW w:w="1195" w:type="dxa"/>
            <w:shd w:val="clear" w:color="auto" w:fill="auto"/>
          </w:tcPr>
          <w:p w:rsidR="007A607D" w:rsidRPr="0098787B" w:rsidRDefault="007A607D" w:rsidP="00DB61C3">
            <w:pPr>
              <w:rPr>
                <w:rFonts w:ascii="Helv" w:hAnsi="Helv"/>
                <w:b/>
                <w:sz w:val="16"/>
                <w:highlight w:val="green"/>
              </w:rPr>
            </w:pPr>
            <w:r w:rsidRPr="0098787B">
              <w:rPr>
                <w:b/>
                <w:sz w:val="16"/>
              </w:rPr>
              <w:t>Znesek za leto 2020 (EUR)</w:t>
            </w:r>
          </w:p>
        </w:tc>
        <w:tc>
          <w:tcPr>
            <w:tcW w:w="1195" w:type="dxa"/>
            <w:shd w:val="clear" w:color="auto" w:fill="auto"/>
          </w:tcPr>
          <w:p w:rsidR="007A607D" w:rsidRPr="0098787B" w:rsidRDefault="007A607D" w:rsidP="00DB61C3">
            <w:pPr>
              <w:rPr>
                <w:rFonts w:ascii="Helv" w:hAnsi="Helv"/>
                <w:b/>
                <w:sz w:val="16"/>
                <w:highlight w:val="green"/>
              </w:rPr>
            </w:pPr>
            <w:r w:rsidRPr="0098787B">
              <w:rPr>
                <w:b/>
                <w:sz w:val="16"/>
              </w:rPr>
              <w:t>Znesek za leto 2021 (EUR)</w:t>
            </w:r>
          </w:p>
        </w:tc>
        <w:tc>
          <w:tcPr>
            <w:tcW w:w="1073" w:type="dxa"/>
            <w:shd w:val="clear" w:color="auto" w:fill="auto"/>
          </w:tcPr>
          <w:p w:rsidR="007A607D" w:rsidRPr="0098787B" w:rsidRDefault="007A607D" w:rsidP="00DB61C3">
            <w:pPr>
              <w:rPr>
                <w:rFonts w:ascii="Helv" w:hAnsi="Helv"/>
                <w:b/>
                <w:sz w:val="16"/>
                <w:highlight w:val="green"/>
              </w:rPr>
            </w:pPr>
            <w:r w:rsidRPr="0098787B">
              <w:rPr>
                <w:b/>
                <w:sz w:val="16"/>
              </w:rPr>
              <w:t>Znesek za leto 2022 (EUR)</w:t>
            </w:r>
          </w:p>
        </w:tc>
        <w:tc>
          <w:tcPr>
            <w:tcW w:w="1034" w:type="dxa"/>
            <w:shd w:val="clear" w:color="auto" w:fill="auto"/>
          </w:tcPr>
          <w:p w:rsidR="007A607D" w:rsidRPr="0098787B" w:rsidRDefault="007A607D" w:rsidP="00DB61C3">
            <w:pPr>
              <w:rPr>
                <w:b/>
                <w:sz w:val="16"/>
              </w:rPr>
            </w:pPr>
            <w:r w:rsidRPr="0098787B">
              <w:rPr>
                <w:b/>
                <w:sz w:val="16"/>
              </w:rPr>
              <w:t>Skupaj</w:t>
            </w:r>
          </w:p>
        </w:tc>
      </w:tr>
      <w:tr w:rsidR="007A607D" w:rsidRPr="0098787B" w:rsidTr="00DB61C3">
        <w:tc>
          <w:tcPr>
            <w:tcW w:w="1364" w:type="dxa"/>
            <w:shd w:val="clear" w:color="auto" w:fill="auto"/>
            <w:vAlign w:val="center"/>
          </w:tcPr>
          <w:p w:rsidR="007A607D" w:rsidRPr="0098787B" w:rsidRDefault="007A607D" w:rsidP="00DB61C3">
            <w:pPr>
              <w:jc w:val="right"/>
              <w:rPr>
                <w:sz w:val="16"/>
              </w:rPr>
            </w:pPr>
            <w:r w:rsidRPr="0098787B">
              <w:rPr>
                <w:sz w:val="16"/>
              </w:rPr>
              <w:t>Ministrstvo za okolje in prostor</w:t>
            </w:r>
          </w:p>
        </w:tc>
        <w:tc>
          <w:tcPr>
            <w:tcW w:w="1150" w:type="dxa"/>
            <w:shd w:val="clear" w:color="auto" w:fill="auto"/>
            <w:vAlign w:val="center"/>
          </w:tcPr>
          <w:p w:rsidR="007A607D" w:rsidRPr="0098787B" w:rsidRDefault="007A607D" w:rsidP="00DB61C3">
            <w:pPr>
              <w:jc w:val="right"/>
              <w:rPr>
                <w:sz w:val="16"/>
              </w:rPr>
            </w:pPr>
            <w:r w:rsidRPr="0098787B">
              <w:rPr>
                <w:sz w:val="16"/>
              </w:rPr>
              <w:t>2550-18-0004- Centralizirani in drugi programi EU ter Evropsko teritorialno sodelovanje</w:t>
            </w:r>
          </w:p>
        </w:tc>
        <w:tc>
          <w:tcPr>
            <w:tcW w:w="1177" w:type="dxa"/>
            <w:shd w:val="clear" w:color="auto" w:fill="auto"/>
            <w:vAlign w:val="center"/>
          </w:tcPr>
          <w:p w:rsidR="007A607D" w:rsidRPr="0098787B" w:rsidRDefault="007A607D" w:rsidP="00DB61C3">
            <w:pPr>
              <w:jc w:val="right"/>
              <w:rPr>
                <w:sz w:val="16"/>
              </w:rPr>
            </w:pPr>
            <w:r w:rsidRPr="0098787B">
              <w:rPr>
                <w:sz w:val="16"/>
              </w:rPr>
              <w:t>160303 –Teritorialno sodelovanje 14-20-EU</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36.522,80</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45.050,01</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34.503,21</w:t>
            </w:r>
          </w:p>
        </w:tc>
        <w:tc>
          <w:tcPr>
            <w:tcW w:w="1073"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1.734,00</w:t>
            </w:r>
          </w:p>
        </w:tc>
        <w:tc>
          <w:tcPr>
            <w:tcW w:w="1034"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117.810,02</w:t>
            </w:r>
          </w:p>
        </w:tc>
      </w:tr>
      <w:tr w:rsidR="007A607D" w:rsidRPr="0098787B" w:rsidTr="00DB61C3">
        <w:tc>
          <w:tcPr>
            <w:tcW w:w="1364" w:type="dxa"/>
            <w:shd w:val="clear" w:color="auto" w:fill="auto"/>
            <w:vAlign w:val="center"/>
          </w:tcPr>
          <w:p w:rsidR="007A607D" w:rsidRPr="0098787B" w:rsidRDefault="007A607D" w:rsidP="00DB61C3">
            <w:pPr>
              <w:jc w:val="right"/>
              <w:rPr>
                <w:sz w:val="16"/>
              </w:rPr>
            </w:pPr>
            <w:r w:rsidRPr="0098787B">
              <w:rPr>
                <w:sz w:val="16"/>
              </w:rPr>
              <w:t>Ministrstvo za okolje in prostor</w:t>
            </w:r>
          </w:p>
        </w:tc>
        <w:tc>
          <w:tcPr>
            <w:tcW w:w="1150" w:type="dxa"/>
            <w:shd w:val="clear" w:color="auto" w:fill="auto"/>
            <w:vAlign w:val="center"/>
          </w:tcPr>
          <w:p w:rsidR="007A607D" w:rsidRPr="0098787B" w:rsidDel="002E360E" w:rsidRDefault="007A607D" w:rsidP="00DB61C3">
            <w:pPr>
              <w:jc w:val="right"/>
              <w:rPr>
                <w:sz w:val="16"/>
              </w:rPr>
            </w:pPr>
            <w:r w:rsidRPr="0098787B">
              <w:rPr>
                <w:sz w:val="16"/>
              </w:rPr>
              <w:t xml:space="preserve">2550-18-0004- Centralizirani in drugi programi EU ter Evropsko teritorialno </w:t>
            </w:r>
            <w:r w:rsidRPr="0098787B">
              <w:rPr>
                <w:sz w:val="16"/>
              </w:rPr>
              <w:lastRenderedPageBreak/>
              <w:t>sodelovanje</w:t>
            </w:r>
          </w:p>
        </w:tc>
        <w:tc>
          <w:tcPr>
            <w:tcW w:w="1177" w:type="dxa"/>
            <w:shd w:val="clear" w:color="auto" w:fill="auto"/>
            <w:vAlign w:val="center"/>
          </w:tcPr>
          <w:p w:rsidR="007A607D" w:rsidRPr="0098787B" w:rsidRDefault="007A607D" w:rsidP="00DB61C3">
            <w:pPr>
              <w:jc w:val="right"/>
              <w:rPr>
                <w:bCs/>
                <w:sz w:val="16"/>
              </w:rPr>
            </w:pPr>
            <w:r w:rsidRPr="0098787B">
              <w:rPr>
                <w:bCs/>
                <w:sz w:val="16"/>
              </w:rPr>
              <w:lastRenderedPageBreak/>
              <w:t>160304 –Teritorialno sodelovanje  14-20 slovenska udeležba</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6.445,20</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7.949,99</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6.088,79</w:t>
            </w:r>
          </w:p>
        </w:tc>
        <w:tc>
          <w:tcPr>
            <w:tcW w:w="1073"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306,00</w:t>
            </w:r>
          </w:p>
        </w:tc>
        <w:tc>
          <w:tcPr>
            <w:tcW w:w="1034"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20.789,98</w:t>
            </w:r>
          </w:p>
        </w:tc>
      </w:tr>
      <w:tr w:rsidR="007A607D" w:rsidRPr="0098787B" w:rsidTr="00DB61C3">
        <w:tc>
          <w:tcPr>
            <w:tcW w:w="1364" w:type="dxa"/>
            <w:shd w:val="clear" w:color="auto" w:fill="auto"/>
            <w:vAlign w:val="center"/>
          </w:tcPr>
          <w:p w:rsidR="007A607D" w:rsidRPr="0098787B" w:rsidRDefault="007A607D" w:rsidP="00DB61C3">
            <w:pPr>
              <w:jc w:val="right"/>
              <w:rPr>
                <w:sz w:val="16"/>
              </w:rPr>
            </w:pPr>
            <w:r w:rsidRPr="0098787B">
              <w:rPr>
                <w:sz w:val="16"/>
              </w:rPr>
              <w:lastRenderedPageBreak/>
              <w:t xml:space="preserve">Agencija RS za okolje </w:t>
            </w:r>
          </w:p>
        </w:tc>
        <w:tc>
          <w:tcPr>
            <w:tcW w:w="1150" w:type="dxa"/>
            <w:shd w:val="clear" w:color="auto" w:fill="auto"/>
            <w:vAlign w:val="center"/>
          </w:tcPr>
          <w:p w:rsidR="007A607D" w:rsidRPr="0098787B" w:rsidRDefault="007A607D" w:rsidP="00DB61C3">
            <w:pPr>
              <w:jc w:val="right"/>
              <w:rPr>
                <w:b/>
                <w:bCs/>
                <w:sz w:val="16"/>
              </w:rPr>
            </w:pPr>
            <w:r w:rsidRPr="0098787B">
              <w:rPr>
                <w:sz w:val="16"/>
              </w:rPr>
              <w:t>2550-18-0004- Centralizirani in drugi programi EU ter Evropsko teritorialno sodelovanje</w:t>
            </w:r>
          </w:p>
        </w:tc>
        <w:tc>
          <w:tcPr>
            <w:tcW w:w="1177" w:type="dxa"/>
            <w:shd w:val="clear" w:color="auto" w:fill="auto"/>
            <w:vAlign w:val="center"/>
          </w:tcPr>
          <w:p w:rsidR="007A607D" w:rsidRPr="0098787B" w:rsidRDefault="007A607D" w:rsidP="00DB61C3">
            <w:pPr>
              <w:jc w:val="right"/>
              <w:rPr>
                <w:bCs/>
                <w:sz w:val="16"/>
              </w:rPr>
            </w:pPr>
            <w:r w:rsidRPr="0098787B">
              <w:rPr>
                <w:bCs/>
                <w:sz w:val="16"/>
              </w:rPr>
              <w:t>160305 – Teritorialno sodelovanje 14-20-EU</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54.230,00</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63.750,00</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45.900,00</w:t>
            </w:r>
          </w:p>
        </w:tc>
        <w:tc>
          <w:tcPr>
            <w:tcW w:w="1073"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3.060,00</w:t>
            </w:r>
          </w:p>
        </w:tc>
        <w:tc>
          <w:tcPr>
            <w:tcW w:w="1034"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166.940,00</w:t>
            </w:r>
          </w:p>
        </w:tc>
      </w:tr>
      <w:tr w:rsidR="007A607D" w:rsidRPr="0098787B" w:rsidTr="00DB61C3">
        <w:tc>
          <w:tcPr>
            <w:tcW w:w="1364" w:type="dxa"/>
            <w:shd w:val="clear" w:color="auto" w:fill="auto"/>
            <w:vAlign w:val="center"/>
          </w:tcPr>
          <w:p w:rsidR="007A607D" w:rsidRPr="0098787B" w:rsidRDefault="007A607D" w:rsidP="00DB61C3">
            <w:pPr>
              <w:jc w:val="right"/>
              <w:rPr>
                <w:sz w:val="16"/>
              </w:rPr>
            </w:pPr>
            <w:r w:rsidRPr="0098787B">
              <w:rPr>
                <w:sz w:val="16"/>
              </w:rPr>
              <w:t>Agencija RS za okolje</w:t>
            </w:r>
          </w:p>
        </w:tc>
        <w:tc>
          <w:tcPr>
            <w:tcW w:w="1150" w:type="dxa"/>
            <w:shd w:val="clear" w:color="auto" w:fill="auto"/>
            <w:vAlign w:val="center"/>
          </w:tcPr>
          <w:p w:rsidR="007A607D" w:rsidRPr="0098787B" w:rsidDel="002E360E" w:rsidRDefault="007A607D" w:rsidP="00DB61C3">
            <w:pPr>
              <w:jc w:val="right"/>
              <w:rPr>
                <w:sz w:val="16"/>
              </w:rPr>
            </w:pPr>
            <w:r w:rsidRPr="0098787B">
              <w:rPr>
                <w:sz w:val="16"/>
              </w:rPr>
              <w:t>2550-18-0004- Centralizirani in drugi programi EU ter Evropsko teritorialno sodelovanje</w:t>
            </w:r>
          </w:p>
        </w:tc>
        <w:tc>
          <w:tcPr>
            <w:tcW w:w="1177" w:type="dxa"/>
            <w:shd w:val="clear" w:color="auto" w:fill="auto"/>
            <w:vAlign w:val="center"/>
          </w:tcPr>
          <w:p w:rsidR="007A607D" w:rsidRPr="0098787B" w:rsidRDefault="007A607D" w:rsidP="00DB61C3">
            <w:pPr>
              <w:jc w:val="right"/>
              <w:rPr>
                <w:bCs/>
                <w:sz w:val="16"/>
              </w:rPr>
            </w:pPr>
            <w:r w:rsidRPr="0098787B">
              <w:rPr>
                <w:bCs/>
                <w:sz w:val="16"/>
              </w:rPr>
              <w:t>160306- Teritorialno sodelovanje 14-20-slovenska udeležba</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9.570,00</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11.250,00</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8.100,00</w:t>
            </w:r>
          </w:p>
        </w:tc>
        <w:tc>
          <w:tcPr>
            <w:tcW w:w="1073"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540,00</w:t>
            </w:r>
          </w:p>
        </w:tc>
        <w:tc>
          <w:tcPr>
            <w:tcW w:w="1034"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29.460,00</w:t>
            </w:r>
          </w:p>
        </w:tc>
      </w:tr>
      <w:tr w:rsidR="007A607D" w:rsidRPr="0098787B" w:rsidTr="00DB61C3">
        <w:tc>
          <w:tcPr>
            <w:tcW w:w="3691" w:type="dxa"/>
            <w:gridSpan w:val="3"/>
            <w:shd w:val="clear" w:color="auto" w:fill="auto"/>
          </w:tcPr>
          <w:p w:rsidR="007A607D" w:rsidRPr="0098787B" w:rsidRDefault="007A607D" w:rsidP="00DB61C3">
            <w:pPr>
              <w:rPr>
                <w:b/>
                <w:sz w:val="14"/>
                <w:szCs w:val="14"/>
                <w:highlight w:val="green"/>
              </w:rPr>
            </w:pPr>
            <w:r w:rsidRPr="0098787B">
              <w:rPr>
                <w:b/>
                <w:sz w:val="16"/>
              </w:rPr>
              <w:t>Ostali viri</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636.626,12</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1.447.246,37</w:t>
            </w:r>
          </w:p>
        </w:tc>
        <w:tc>
          <w:tcPr>
            <w:tcW w:w="1195"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417.659,39</w:t>
            </w:r>
          </w:p>
        </w:tc>
        <w:tc>
          <w:tcPr>
            <w:tcW w:w="1073"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103.909,27</w:t>
            </w:r>
          </w:p>
        </w:tc>
        <w:tc>
          <w:tcPr>
            <w:tcW w:w="1034" w:type="dxa"/>
            <w:shd w:val="clear" w:color="auto" w:fill="auto"/>
            <w:vAlign w:val="center"/>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2.605.441,15</w:t>
            </w:r>
          </w:p>
        </w:tc>
      </w:tr>
      <w:tr w:rsidR="007A607D" w:rsidRPr="0098787B" w:rsidTr="00DB61C3">
        <w:tc>
          <w:tcPr>
            <w:tcW w:w="3691" w:type="dxa"/>
            <w:gridSpan w:val="3"/>
            <w:shd w:val="clear" w:color="auto" w:fill="auto"/>
          </w:tcPr>
          <w:p w:rsidR="007A607D" w:rsidRPr="0098787B" w:rsidRDefault="007A607D" w:rsidP="00DB61C3">
            <w:pPr>
              <w:rPr>
                <w:b/>
                <w:sz w:val="16"/>
                <w:highlight w:val="green"/>
              </w:rPr>
            </w:pPr>
            <w:r w:rsidRPr="0098787B">
              <w:rPr>
                <w:b/>
                <w:sz w:val="16"/>
              </w:rPr>
              <w:t>Skupaj</w:t>
            </w:r>
          </w:p>
        </w:tc>
        <w:tc>
          <w:tcPr>
            <w:tcW w:w="1195" w:type="dxa"/>
            <w:shd w:val="clear" w:color="auto" w:fill="auto"/>
            <w:vAlign w:val="bottom"/>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743.394,12</w:t>
            </w:r>
          </w:p>
        </w:tc>
        <w:tc>
          <w:tcPr>
            <w:tcW w:w="1195" w:type="dxa"/>
            <w:shd w:val="clear" w:color="auto" w:fill="auto"/>
            <w:vAlign w:val="bottom"/>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1.575.246,37</w:t>
            </w:r>
          </w:p>
        </w:tc>
        <w:tc>
          <w:tcPr>
            <w:tcW w:w="1195" w:type="dxa"/>
            <w:shd w:val="clear" w:color="auto" w:fill="auto"/>
            <w:vAlign w:val="bottom"/>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512.251,39</w:t>
            </w:r>
          </w:p>
        </w:tc>
        <w:tc>
          <w:tcPr>
            <w:tcW w:w="1073" w:type="dxa"/>
            <w:shd w:val="clear" w:color="auto" w:fill="auto"/>
            <w:vAlign w:val="bottom"/>
          </w:tcPr>
          <w:p w:rsidR="007A607D" w:rsidRPr="0098787B" w:rsidRDefault="007A607D" w:rsidP="00DB61C3">
            <w:pPr>
              <w:spacing w:line="240" w:lineRule="auto"/>
              <w:jc w:val="right"/>
              <w:rPr>
                <w:rFonts w:cs="Arial"/>
                <w:sz w:val="14"/>
                <w:szCs w:val="22"/>
                <w:lang w:eastAsia="sl-SI"/>
              </w:rPr>
            </w:pPr>
            <w:r w:rsidRPr="0098787B">
              <w:rPr>
                <w:rFonts w:cs="Arial"/>
                <w:sz w:val="14"/>
                <w:szCs w:val="22"/>
                <w:lang w:eastAsia="sl-SI"/>
              </w:rPr>
              <w:t>109.549,27</w:t>
            </w:r>
          </w:p>
        </w:tc>
        <w:tc>
          <w:tcPr>
            <w:tcW w:w="1034" w:type="dxa"/>
            <w:shd w:val="clear" w:color="auto" w:fill="auto"/>
            <w:vAlign w:val="bottom"/>
          </w:tcPr>
          <w:p w:rsidR="007A607D" w:rsidRPr="0098787B" w:rsidRDefault="007A607D" w:rsidP="00DB61C3">
            <w:pPr>
              <w:spacing w:line="240" w:lineRule="auto"/>
              <w:jc w:val="right"/>
              <w:rPr>
                <w:rFonts w:cs="Arial"/>
                <w:b/>
                <w:sz w:val="14"/>
                <w:szCs w:val="14"/>
                <w:lang w:eastAsia="sl-SI"/>
              </w:rPr>
            </w:pPr>
            <w:r w:rsidRPr="0098787B">
              <w:rPr>
                <w:rFonts w:cs="Arial"/>
                <w:b/>
                <w:sz w:val="14"/>
                <w:szCs w:val="14"/>
                <w:lang w:eastAsia="sl-SI"/>
              </w:rPr>
              <w:t>2.940.441,15</w:t>
            </w:r>
          </w:p>
        </w:tc>
      </w:tr>
    </w:tbl>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98787B">
        <w:rPr>
          <w:rFonts w:cs="Arial"/>
          <w:iCs/>
          <w:color w:val="000000"/>
          <w:szCs w:val="20"/>
        </w:rPr>
        <w:t>V okviru projekta bodo za ciljno programsko območje izvedeni naslednji delovni sklopi:</w:t>
      </w:r>
    </w:p>
    <w:p w:rsidR="007A607D" w:rsidRPr="009878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Pr>
          <w:rFonts w:cs="Arial"/>
          <w:iCs/>
          <w:color w:val="000000"/>
          <w:szCs w:val="20"/>
        </w:rPr>
        <w:t>-</w:t>
      </w:r>
      <w:r w:rsidRPr="0001557B">
        <w:rPr>
          <w:rFonts w:cs="Arial"/>
          <w:iCs/>
          <w:color w:val="000000"/>
          <w:szCs w:val="20"/>
        </w:rPr>
        <w:t>Pripravljalne aktivnosti, povezane z upravljanjem poplavne ogroženosti,</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Pr>
          <w:rFonts w:cs="Arial"/>
          <w:iCs/>
          <w:color w:val="000000"/>
          <w:szCs w:val="20"/>
        </w:rPr>
        <w:t>-</w:t>
      </w:r>
      <w:r w:rsidRPr="0001557B">
        <w:rPr>
          <w:rFonts w:cs="Arial"/>
          <w:iCs/>
          <w:color w:val="000000"/>
          <w:szCs w:val="20"/>
        </w:rPr>
        <w:t>Razvoj naprednih orodij za oceno poplavne ogroženosti in analizo stroškov in koristi ukrepov,</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Pr>
          <w:rFonts w:cs="Arial"/>
          <w:iCs/>
          <w:color w:val="000000"/>
          <w:szCs w:val="20"/>
        </w:rPr>
        <w:t>-</w:t>
      </w:r>
      <w:r w:rsidRPr="0001557B">
        <w:rPr>
          <w:rFonts w:cs="Arial"/>
          <w:iCs/>
          <w:color w:val="000000"/>
          <w:szCs w:val="20"/>
        </w:rPr>
        <w:t>Razvoj inovativnega okolja za dvosmerno komunikacijo o poplavni ogroženosti v čezmejnih porečjih.</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Ministrstvo za okolje in prostor bo z organom v sestavi (Agencija RS za okolje) sodelovalo pri vseh treh delovnih sklopih, in sicer pri naslednjih aktivnostih:</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Pr>
          <w:rFonts w:cs="Arial"/>
          <w:iCs/>
          <w:color w:val="000000"/>
          <w:szCs w:val="20"/>
        </w:rPr>
        <w:t>-</w:t>
      </w:r>
      <w:r w:rsidRPr="0001557B">
        <w:rPr>
          <w:rFonts w:cs="Arial"/>
          <w:iCs/>
          <w:color w:val="000000"/>
          <w:szCs w:val="20"/>
        </w:rPr>
        <w:t>Izvedba meritev in izmenjava podatkov za usklajeno obvladovanje poplavne ogroženosti,</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Pr>
          <w:rFonts w:cs="Arial"/>
          <w:iCs/>
          <w:color w:val="000000"/>
          <w:szCs w:val="20"/>
        </w:rPr>
        <w:t>-</w:t>
      </w:r>
      <w:r w:rsidRPr="0001557B">
        <w:rPr>
          <w:rFonts w:cs="Arial"/>
          <w:iCs/>
          <w:color w:val="000000"/>
          <w:szCs w:val="20"/>
        </w:rPr>
        <w:t>Razvoj skupnih hidrološko-hidravličnih modelov za simulacijo poplavnih procesov in izdelava kart poplavne nevarnosti na čezmejnih porečjih Soče in Vipave,</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Pr>
          <w:rFonts w:cs="Arial"/>
          <w:iCs/>
          <w:color w:val="000000"/>
          <w:szCs w:val="20"/>
        </w:rPr>
        <w:t>-</w:t>
      </w:r>
      <w:r w:rsidRPr="0001557B">
        <w:rPr>
          <w:rFonts w:cs="Arial"/>
          <w:iCs/>
          <w:color w:val="000000"/>
          <w:szCs w:val="20"/>
        </w:rPr>
        <w:t>Razvoj skupnega pristopa za ocenjevanje poplavne ogroženosti in izdelava usklajenih kart poplavne ogroženosti na čezmejnih porečjih,</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Pr>
          <w:rFonts w:cs="Arial"/>
          <w:iCs/>
          <w:color w:val="000000"/>
          <w:szCs w:val="20"/>
        </w:rPr>
        <w:t>-</w:t>
      </w:r>
      <w:r w:rsidRPr="0001557B">
        <w:rPr>
          <w:rFonts w:cs="Arial"/>
          <w:iCs/>
          <w:color w:val="000000"/>
          <w:szCs w:val="20"/>
        </w:rPr>
        <w:t>Priprava smernic za vrednotenje stroškov in koristi ukrepov zmanjševanja poplavne ogroženosti na čezmejnih porečjih,</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Pr>
          <w:rFonts w:cs="Arial"/>
          <w:iCs/>
          <w:color w:val="000000"/>
          <w:szCs w:val="20"/>
        </w:rPr>
        <w:t>-</w:t>
      </w:r>
      <w:r w:rsidRPr="0001557B">
        <w:rPr>
          <w:rFonts w:cs="Arial"/>
          <w:iCs/>
          <w:color w:val="000000"/>
          <w:szCs w:val="20"/>
        </w:rPr>
        <w:t>Vzpostavitev Opazovalnice za občane (spletna platforma in aplikacija za mobilne telefone) z namenom ozaveščanja ogroženih prebivalcev.</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Poleg navedenih aktivnosti bodo občine, ki sodelujejo v projektu VISFRIM, izvedle štiri gradbene ukrepe za zmanjšanje poplavne ogroženosti v porečju Vipave v vrednosti 895.000 EUR.</w:t>
      </w:r>
    </w:p>
    <w:p w:rsidR="007A607D" w:rsidRPr="0001557B"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r w:rsidRPr="0001557B">
        <w:rPr>
          <w:rFonts w:cs="Arial"/>
          <w:iCs/>
          <w:color w:val="000000"/>
          <w:szCs w:val="20"/>
        </w:rPr>
        <w:t xml:space="preserve">Navedene aktivnosti bodo prispevale k zmanjšanju poplavne ogroženosti prebivalcev v čezmejnih porečjih, k zmanjšanju škod med poplavnimi dogodki, s čimer se </w:t>
      </w:r>
      <w:r w:rsidRPr="0098787B">
        <w:rPr>
          <w:rFonts w:cs="Arial"/>
          <w:iCs/>
          <w:color w:val="000000"/>
          <w:szCs w:val="20"/>
        </w:rPr>
        <w:t>posledično izboljšuje tako socialni kot ekonomski položaj na programskem območju.</w:t>
      </w:r>
    </w:p>
    <w:p w:rsidR="007A607D" w:rsidRDefault="007A607D" w:rsidP="007A607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iCs/>
          <w:color w:val="000000"/>
          <w:szCs w:val="20"/>
        </w:rPr>
      </w:pPr>
    </w:p>
    <w:p w:rsidR="007A607D" w:rsidRDefault="007A607D" w:rsidP="007A607D">
      <w:pPr>
        <w:pStyle w:val="Telobesedila2"/>
        <w:ind w:left="4956" w:firstLine="708"/>
        <w:rPr>
          <w:rFonts w:ascii="Arial" w:hAnsi="Arial"/>
          <w:b w:val="0"/>
          <w:sz w:val="20"/>
        </w:rPr>
      </w:pPr>
    </w:p>
    <w:p w:rsidR="007A607D" w:rsidRPr="0098787B" w:rsidRDefault="007A607D" w:rsidP="007A607D">
      <w:pPr>
        <w:pStyle w:val="Telobesedila2"/>
        <w:ind w:left="4956" w:firstLine="708"/>
        <w:rPr>
          <w:rFonts w:ascii="Arial" w:hAnsi="Arial"/>
          <w:b w:val="0"/>
          <w:sz w:val="20"/>
        </w:rPr>
      </w:pPr>
    </w:p>
    <w:p w:rsidR="00B27792" w:rsidRPr="007A607D" w:rsidRDefault="00B27792" w:rsidP="007A607D"/>
    <w:sectPr w:rsidR="00B27792" w:rsidRPr="007A607D"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EF" w:rsidRDefault="000A65EF">
      <w:pPr>
        <w:spacing w:line="240" w:lineRule="auto"/>
      </w:pPr>
      <w:r>
        <w:separator/>
      </w:r>
    </w:p>
  </w:endnote>
  <w:endnote w:type="continuationSeparator" w:id="0">
    <w:p w:rsidR="000A65EF" w:rsidRDefault="000A6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EF" w:rsidRDefault="000A65EF">
      <w:pPr>
        <w:spacing w:line="240" w:lineRule="auto"/>
      </w:pPr>
      <w:r>
        <w:separator/>
      </w:r>
    </w:p>
  </w:footnote>
  <w:footnote w:type="continuationSeparator" w:id="0">
    <w:p w:rsidR="000A65EF" w:rsidRDefault="000A65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C6" w:rsidRPr="00110CBD" w:rsidRDefault="000A65E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rsidTr="00B77473">
      <w:trPr>
        <w:cantSplit/>
        <w:trHeight w:hRule="exact" w:val="847"/>
      </w:trPr>
      <w:tc>
        <w:tcPr>
          <w:tcW w:w="649" w:type="dxa"/>
        </w:tcPr>
        <w:p w:rsidR="00AA36C6" w:rsidRDefault="007A607D"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p w:rsidR="00AA36C6" w:rsidRPr="006D42D9" w:rsidRDefault="000A65EF" w:rsidP="006D42D9">
          <w:pPr>
            <w:rPr>
              <w:rFonts w:ascii="Republika" w:hAnsi="Republika"/>
              <w:sz w:val="60"/>
              <w:szCs w:val="60"/>
            </w:rPr>
          </w:pPr>
        </w:p>
      </w:tc>
    </w:tr>
  </w:tbl>
  <w:p w:rsidR="00B77473" w:rsidRPr="00B95595" w:rsidRDefault="007A607D" w:rsidP="00B77473">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B95595">
      <w:rPr>
        <w:rFonts w:ascii="Republika" w:hAnsi="Republika"/>
      </w:rPr>
      <w:t>REPUBLIKA SLOVENIJA</w:t>
    </w:r>
  </w:p>
  <w:p w:rsidR="00B77473" w:rsidRPr="00B95595" w:rsidRDefault="007A607D" w:rsidP="00B77473">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B77473" w:rsidRDefault="007A607D" w:rsidP="00B77473">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rsidR="00B77473" w:rsidRDefault="007A607D" w:rsidP="00B77473">
    <w:pPr>
      <w:pStyle w:val="Glava"/>
      <w:tabs>
        <w:tab w:val="clear" w:pos="4320"/>
        <w:tab w:val="left" w:pos="5112"/>
      </w:tabs>
      <w:spacing w:line="240" w:lineRule="exact"/>
      <w:rPr>
        <w:rFonts w:cs="Arial"/>
        <w:sz w:val="16"/>
      </w:rPr>
    </w:pPr>
    <w:r>
      <w:rPr>
        <w:rFonts w:cs="Arial"/>
        <w:sz w:val="16"/>
      </w:rPr>
      <w:tab/>
      <w:t xml:space="preserve">F: 01 478 74 25 </w:t>
    </w:r>
  </w:p>
  <w:p w:rsidR="00B77473" w:rsidRDefault="007A607D" w:rsidP="00B77473">
    <w:pPr>
      <w:pStyle w:val="Glava"/>
      <w:tabs>
        <w:tab w:val="clear" w:pos="4320"/>
        <w:tab w:val="left" w:pos="5112"/>
      </w:tabs>
      <w:spacing w:line="240" w:lineRule="exact"/>
      <w:rPr>
        <w:rFonts w:cs="Arial"/>
        <w:sz w:val="16"/>
      </w:rPr>
    </w:pPr>
    <w:r>
      <w:rPr>
        <w:rFonts w:cs="Arial"/>
        <w:sz w:val="16"/>
      </w:rPr>
      <w:tab/>
      <w:t>E: gp.mop@gov.si</w:t>
    </w:r>
  </w:p>
  <w:p w:rsidR="00B77473" w:rsidRDefault="007A607D" w:rsidP="00B77473">
    <w:pPr>
      <w:pStyle w:val="Glava"/>
      <w:tabs>
        <w:tab w:val="clear" w:pos="4320"/>
        <w:tab w:val="left" w:pos="5112"/>
      </w:tabs>
      <w:spacing w:line="240" w:lineRule="exact"/>
      <w:rPr>
        <w:rFonts w:cs="Arial"/>
        <w:sz w:val="16"/>
      </w:rPr>
    </w:pPr>
    <w:r>
      <w:rPr>
        <w:rFonts w:cs="Arial"/>
        <w:sz w:val="16"/>
      </w:rPr>
      <w:tab/>
      <w:t>www.mop.gov.si</w:t>
    </w:r>
  </w:p>
  <w:p w:rsidR="00231EB5" w:rsidRPr="008F3500" w:rsidRDefault="000A65EF"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2855285"/>
    <w:multiLevelType w:val="hybridMultilevel"/>
    <w:tmpl w:val="E69C9C8E"/>
    <w:lvl w:ilvl="0" w:tplc="0E3A20B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8"/>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7D"/>
    <w:rsid w:val="000A65EF"/>
    <w:rsid w:val="007A607D"/>
    <w:rsid w:val="00956521"/>
    <w:rsid w:val="00B27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07D"/>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7A607D"/>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7A607D"/>
    <w:rPr>
      <w:rFonts w:ascii="Arial" w:eastAsia="Times New Roman" w:hAnsi="Arial" w:cs="Times New Roman"/>
      <w:b/>
      <w:kern w:val="32"/>
      <w:sz w:val="28"/>
      <w:szCs w:val="32"/>
      <w:lang w:eastAsia="sl-SI"/>
    </w:rPr>
  </w:style>
  <w:style w:type="paragraph" w:styleId="Glava">
    <w:name w:val="header"/>
    <w:basedOn w:val="Navaden"/>
    <w:link w:val="GlavaZnak"/>
    <w:rsid w:val="007A607D"/>
    <w:pPr>
      <w:tabs>
        <w:tab w:val="center" w:pos="4320"/>
        <w:tab w:val="right" w:pos="8640"/>
      </w:tabs>
    </w:pPr>
  </w:style>
  <w:style w:type="character" w:customStyle="1" w:styleId="GlavaZnak">
    <w:name w:val="Glava Znak"/>
    <w:basedOn w:val="Privzetapisavaodstavka"/>
    <w:link w:val="Glava"/>
    <w:rsid w:val="007A607D"/>
    <w:rPr>
      <w:rFonts w:ascii="Arial" w:eastAsia="Times New Roman" w:hAnsi="Arial" w:cs="Times New Roman"/>
      <w:sz w:val="20"/>
      <w:szCs w:val="24"/>
    </w:rPr>
  </w:style>
  <w:style w:type="character" w:styleId="Hiperpovezava">
    <w:name w:val="Hyperlink"/>
    <w:rsid w:val="007A607D"/>
    <w:rPr>
      <w:color w:val="0000FF"/>
      <w:u w:val="single"/>
    </w:rPr>
  </w:style>
  <w:style w:type="paragraph" w:styleId="Telobesedila2">
    <w:name w:val="Body Text 2"/>
    <w:basedOn w:val="Navaden"/>
    <w:link w:val="Telobesedila2Znak"/>
    <w:rsid w:val="007A607D"/>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7A607D"/>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7A607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A607D"/>
    <w:rPr>
      <w:rFonts w:ascii="Arial" w:eastAsia="Times New Roman" w:hAnsi="Arial" w:cs="Arial"/>
      <w:b/>
      <w:lang w:eastAsia="sl-SI"/>
    </w:rPr>
  </w:style>
  <w:style w:type="paragraph" w:customStyle="1" w:styleId="Poglavje">
    <w:name w:val="Poglavje"/>
    <w:basedOn w:val="Navaden"/>
    <w:qFormat/>
    <w:rsid w:val="007A607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A607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A607D"/>
    <w:rPr>
      <w:rFonts w:ascii="Arial" w:eastAsia="Times New Roman" w:hAnsi="Arial" w:cs="Arial"/>
      <w:lang w:eastAsia="sl-SI"/>
    </w:rPr>
  </w:style>
  <w:style w:type="paragraph" w:customStyle="1" w:styleId="Oddelek">
    <w:name w:val="Oddelek"/>
    <w:basedOn w:val="Navaden"/>
    <w:link w:val="OddelekZnak1"/>
    <w:qFormat/>
    <w:rsid w:val="007A607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A607D"/>
    <w:rPr>
      <w:rFonts w:ascii="Arial" w:eastAsia="Times New Roman" w:hAnsi="Arial" w:cs="Arial"/>
      <w:b/>
      <w:lang w:eastAsia="sl-SI"/>
    </w:rPr>
  </w:style>
  <w:style w:type="paragraph" w:customStyle="1" w:styleId="Vrstapredpisa">
    <w:name w:val="Vrsta predpisa"/>
    <w:basedOn w:val="Navaden"/>
    <w:link w:val="VrstapredpisaZnak"/>
    <w:qFormat/>
    <w:rsid w:val="007A607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A607D"/>
    <w:rPr>
      <w:rFonts w:ascii="Arial" w:eastAsia="Times New Roman" w:hAnsi="Arial" w:cs="Arial"/>
      <w:b/>
      <w:bCs/>
      <w:color w:val="000000"/>
      <w:spacing w:val="4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07D"/>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7A607D"/>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7A607D"/>
    <w:rPr>
      <w:rFonts w:ascii="Arial" w:eastAsia="Times New Roman" w:hAnsi="Arial" w:cs="Times New Roman"/>
      <w:b/>
      <w:kern w:val="32"/>
      <w:sz w:val="28"/>
      <w:szCs w:val="32"/>
      <w:lang w:eastAsia="sl-SI"/>
    </w:rPr>
  </w:style>
  <w:style w:type="paragraph" w:styleId="Glava">
    <w:name w:val="header"/>
    <w:basedOn w:val="Navaden"/>
    <w:link w:val="GlavaZnak"/>
    <w:rsid w:val="007A607D"/>
    <w:pPr>
      <w:tabs>
        <w:tab w:val="center" w:pos="4320"/>
        <w:tab w:val="right" w:pos="8640"/>
      </w:tabs>
    </w:pPr>
  </w:style>
  <w:style w:type="character" w:customStyle="1" w:styleId="GlavaZnak">
    <w:name w:val="Glava Znak"/>
    <w:basedOn w:val="Privzetapisavaodstavka"/>
    <w:link w:val="Glava"/>
    <w:rsid w:val="007A607D"/>
    <w:rPr>
      <w:rFonts w:ascii="Arial" w:eastAsia="Times New Roman" w:hAnsi="Arial" w:cs="Times New Roman"/>
      <w:sz w:val="20"/>
      <w:szCs w:val="24"/>
    </w:rPr>
  </w:style>
  <w:style w:type="character" w:styleId="Hiperpovezava">
    <w:name w:val="Hyperlink"/>
    <w:rsid w:val="007A607D"/>
    <w:rPr>
      <w:color w:val="0000FF"/>
      <w:u w:val="single"/>
    </w:rPr>
  </w:style>
  <w:style w:type="paragraph" w:styleId="Telobesedila2">
    <w:name w:val="Body Text 2"/>
    <w:basedOn w:val="Navaden"/>
    <w:link w:val="Telobesedila2Znak"/>
    <w:rsid w:val="007A607D"/>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7A607D"/>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7A607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A607D"/>
    <w:rPr>
      <w:rFonts w:ascii="Arial" w:eastAsia="Times New Roman" w:hAnsi="Arial" w:cs="Arial"/>
      <w:b/>
      <w:lang w:eastAsia="sl-SI"/>
    </w:rPr>
  </w:style>
  <w:style w:type="paragraph" w:customStyle="1" w:styleId="Poglavje">
    <w:name w:val="Poglavje"/>
    <w:basedOn w:val="Navaden"/>
    <w:qFormat/>
    <w:rsid w:val="007A607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A607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A607D"/>
    <w:rPr>
      <w:rFonts w:ascii="Arial" w:eastAsia="Times New Roman" w:hAnsi="Arial" w:cs="Arial"/>
      <w:lang w:eastAsia="sl-SI"/>
    </w:rPr>
  </w:style>
  <w:style w:type="paragraph" w:customStyle="1" w:styleId="Oddelek">
    <w:name w:val="Oddelek"/>
    <w:basedOn w:val="Navaden"/>
    <w:link w:val="OddelekZnak1"/>
    <w:qFormat/>
    <w:rsid w:val="007A607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A607D"/>
    <w:rPr>
      <w:rFonts w:ascii="Arial" w:eastAsia="Times New Roman" w:hAnsi="Arial" w:cs="Arial"/>
      <w:b/>
      <w:lang w:eastAsia="sl-SI"/>
    </w:rPr>
  </w:style>
  <w:style w:type="paragraph" w:customStyle="1" w:styleId="Vrstapredpisa">
    <w:name w:val="Vrsta predpisa"/>
    <w:basedOn w:val="Navaden"/>
    <w:link w:val="VrstapredpisaZnak"/>
    <w:qFormat/>
    <w:rsid w:val="007A607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A607D"/>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3617</Words>
  <Characters>20621</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 Jamnik</dc:creator>
  <cp:lastModifiedBy>Katja.Goricar</cp:lastModifiedBy>
  <cp:revision>2</cp:revision>
  <dcterms:created xsi:type="dcterms:W3CDTF">2019-03-08T08:50:00Z</dcterms:created>
  <dcterms:modified xsi:type="dcterms:W3CDTF">2019-03-08T08:50:00Z</dcterms:modified>
</cp:coreProperties>
</file>