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1C" w:rsidRDefault="000B56ED" w:rsidP="00703E1C">
      <w:pPr>
        <w:pStyle w:val="TechnicalBlock"/>
        <w:ind w:left="-1134" w:right="-1134"/>
      </w:pPr>
      <w:bookmarkStart w:id="0" w:name="DW_BM_COVERPAGE"/>
      <w:bookmarkStart w:id="1" w:name="L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15051/19 ADD 1.&#10;Subject Codes: CLIMA 327 ENV 1005 ENER 538 TRANS 580 SUSTDEV 175 AGRI 608 ECOFIN 1141 COMPET 796 IND 306 MI 844.&#10;Heading: SPREMNI DOPIS.&#10;Originator: za generalnega sekretarja Evropske komisije: direktor Jordi AYET PUIGARNAU.&#10;Recipient: generalni sekretar Sveta Evropske unije Jeppe TRANHOLM-MIKKELSEN.&#10;Subject: PRILOGA k SPOROČILU KOMISIJE EVROPSKEMU PARLAMENTU, EVROPSKEMU SVETU, SVETU, EVROPSKEMU EKONOMSKO-SOCIALNEMU ODBORU IN ODBORU REGIJ  - Evropski zeleni dogovor.&#10;Commission Document Number: COM(2019) 640 final - Annex.&#10;Preceeding Document Number: Not Set.&#10;Location: Bruselj.&#10;Date: 11. december 2019.&#10;Interinstitutional Files: Not Set.&#10;Institutional Framework: Svet Evropske unije.&#10;Language: SL.&#10;Distribution Code: PUBLIC.&#10;GUID: 5315936204666874377_0" style="width:568.5pt;height:474pt">
            <v:imagedata r:id="rId8" o:title=""/>
          </v:shape>
        </w:pict>
      </w:r>
      <w:bookmarkEnd w:id="0"/>
    </w:p>
    <w:p w:rsidR="00703E1C" w:rsidRDefault="00703E1C" w:rsidP="00703E1C">
      <w:pPr>
        <w:pStyle w:val="EntText"/>
        <w:spacing w:before="480"/>
      </w:pPr>
      <w:bookmarkStart w:id="2" w:name="_GoBack"/>
      <w:bookmarkEnd w:id="2"/>
      <w:r w:rsidRPr="00703E1C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03E1C">
        <w:instrText>COM(2019) 640 final - Annex</w:instrText>
      </w:r>
      <w:r>
        <w:instrText xml:space="preserve">" </w:instrText>
      </w:r>
      <w:r>
        <w:fldChar w:fldCharType="separate"/>
      </w:r>
      <w:r w:rsidRPr="00703E1C">
        <w:t>COM(2019) 640 final - Annex</w:t>
      </w:r>
      <w:r>
        <w:fldChar w:fldCharType="end"/>
      </w:r>
      <w:r w:rsidRPr="00703E1C">
        <w:t>.</w:t>
      </w:r>
    </w:p>
    <w:p w:rsidR="00703E1C" w:rsidRDefault="00703E1C" w:rsidP="00703E1C">
      <w:pPr>
        <w:pStyle w:val="Lignefinal"/>
      </w:pPr>
    </w:p>
    <w:p w:rsidR="00703E1C" w:rsidRDefault="00703E1C" w:rsidP="00703E1C">
      <w:pPr>
        <w:pStyle w:val="pj"/>
        <w:spacing w:before="120"/>
      </w:pPr>
      <w:r w:rsidRPr="00703E1C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03E1C">
        <w:instrText>COM(2019) 640 final - Annex</w:instrText>
      </w:r>
      <w:r>
        <w:instrText xml:space="preserve">" </w:instrText>
      </w:r>
      <w:r>
        <w:fldChar w:fldCharType="separate"/>
      </w:r>
      <w:r w:rsidRPr="00703E1C">
        <w:t>COM(2019) 640 final - Annex</w:t>
      </w:r>
      <w:r>
        <w:fldChar w:fldCharType="end"/>
      </w:r>
    </w:p>
    <w:p w:rsidR="00703E1C" w:rsidRDefault="00703E1C" w:rsidP="00703E1C">
      <w:pPr>
        <w:rPr>
          <w:noProof/>
        </w:rPr>
        <w:sectPr w:rsidR="00703E1C" w:rsidSect="00703E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24" w:right="1134" w:bottom="1134" w:left="1134" w:header="567" w:footer="567" w:gutter="0"/>
          <w:pgNumType w:start="0"/>
          <w:cols w:space="720"/>
          <w:titlePg/>
          <w:docGrid w:linePitch="326"/>
        </w:sectPr>
      </w:pPr>
    </w:p>
    <w:p w:rsidR="002F1C2E" w:rsidRDefault="000B56ED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F0EE241A-3328-41E2-8E49-05AC29EF3B1D" style="width:450.75pt;height:405.75pt">
            <v:imagedata r:id="rId15" o:title=""/>
          </v:shape>
        </w:pict>
      </w:r>
    </w:p>
    <w:bookmarkEnd w:id="1"/>
    <w:p w:rsidR="002F1C2E" w:rsidRDefault="002F1C2E">
      <w:pPr>
        <w:rPr>
          <w:noProof/>
        </w:rPr>
        <w:sectPr w:rsidR="002F1C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2F1C2E" w:rsidRDefault="00703E1C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lastRenderedPageBreak/>
        <w:t>Priloga k sporočilu o evropskem zelenem dogovoru</w:t>
      </w:r>
    </w:p>
    <w:p w:rsidR="002F1C2E" w:rsidRDefault="00703E1C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t>Časovni načrt – ključni ukrepi</w:t>
      </w:r>
    </w:p>
    <w:p w:rsidR="002F1C2E" w:rsidRDefault="002F1C2E">
      <w:pPr>
        <w:pStyle w:val="Text1"/>
        <w:spacing w:after="120"/>
        <w:jc w:val="center"/>
        <w:rPr>
          <w:b/>
          <w:noProof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63"/>
        <w:gridCol w:w="2125"/>
      </w:tblGrid>
      <w:tr w:rsidR="002F1C2E">
        <w:trPr>
          <w:tblHeader/>
        </w:trPr>
        <w:tc>
          <w:tcPr>
            <w:tcW w:w="3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F1C2E" w:rsidRDefault="00703E1C">
            <w:pPr>
              <w:pStyle w:val="Text1"/>
              <w:spacing w:after="120"/>
              <w:ind w:left="55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Ukrepi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F1C2E" w:rsidRDefault="00703E1C">
            <w:pPr>
              <w:pStyle w:val="Text1"/>
              <w:spacing w:after="120"/>
              <w:ind w:left="132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Okvirni časovni razpored</w:t>
            </w:r>
            <w:r>
              <w:rPr>
                <w:rStyle w:val="FootnoteReference"/>
                <w:b/>
                <w:noProof/>
              </w:rPr>
              <w:footnoteReference w:id="1"/>
            </w:r>
          </w:p>
        </w:tc>
      </w:tr>
      <w:tr w:rsidR="002F1C2E">
        <w:tc>
          <w:tcPr>
            <w:tcW w:w="3856" w:type="pct"/>
            <w:shd w:val="clear" w:color="auto" w:fill="EAF1DD" w:themeFill="accent3" w:themeFillTint="33"/>
            <w:vAlign w:val="bottom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Podnebne ambicije</w:t>
            </w:r>
          </w:p>
        </w:tc>
        <w:tc>
          <w:tcPr>
            <w:tcW w:w="1144" w:type="pct"/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 xml:space="preserve">Predlog evropskega „podnebnega zakona“, ki uzakonja cilj podnebne nevtralnosti do leta 2050 </w:t>
            </w:r>
          </w:p>
        </w:tc>
        <w:tc>
          <w:tcPr>
            <w:tcW w:w="1144" w:type="pct"/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marec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Celovit načrt za odgovorno povečanje podnebnega cilja EU za leto 2030 na najmanj 50 % in na okoli 55 %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poletje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>Predlogi za pregled relevantnih zakonodajnih ukrepov za izpolnitev povečanih podnebnih ambicij, ki bodo sledili pregledu direktive o sistemu za trgovanje z emisijami; uredbe o porazdelitvi prizadevanj; uredbe o rabi zemljišč, spremembi rabe zemljišč in gozdarstvu; direktive o energetski učinkovitosti; direktive o energiji iz obnovljivih virov Standardi emisijskih vrednosti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za vozila in kombinirana vozila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junij 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Predlog za pregled direktive o obdavčitvi energije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junij 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55"/>
              <w:rPr>
                <w:noProof/>
                <w:szCs w:val="24"/>
              </w:rPr>
            </w:pPr>
            <w:r>
              <w:rPr>
                <w:noProof/>
              </w:rPr>
              <w:t xml:space="preserve">Predlog za mehanizem za ogljično prilagoditev na mejah za izbrane gospodarske panoge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Nova strategija EU za prilagajanje podnebnim spremembam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2020/2021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Čista in varna energija po dostopnih cenah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Ocena končnih nacionalnih energetskih in podnebnih načrtov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junij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Strategija za pametno povezovanje sektorjev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Pobuda „val prenove“ za gradbeni sektor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Vrednotenje in pregled uredbe o vseevropskih energetskih omrežjih (TEN-E)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Strategija za proizvodnjo vetrne energije na morju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Industrijska strategija za čisto in krožno gospodarstvo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Industrijska strategija EU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marec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Akcijski načrt za krožno gospodarstvo, vključno s pobudo za trajnostne izdelke in posebnim poudarkom na sektorjih, ki zahtevajo veliko virov, kot so tekstilna industrija, gradbeništvo ter sektorja elektronike in </w:t>
            </w:r>
            <w:r>
              <w:rPr>
                <w:noProof/>
              </w:rPr>
              <w:lastRenderedPageBreak/>
              <w:t>umetnih mas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marec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Pobude za spodbuditev vodilnih trgov za podnebno nevtralne in krožne izdelke v energetsko intenzivnih industrijskih panogah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tabs>
                <w:tab w:val="left" w:pos="228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Predlog za podporo postopkov brezogljične proizvodnje jekla do leta 2030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Zakonodaja o baterijah v podporo strateškemu akcijskemu načrtu za baterije in krožnemu gospodarstvu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oktober 2020</w:t>
            </w:r>
          </w:p>
        </w:tc>
      </w:tr>
      <w:tr w:rsidR="002F1C2E">
        <w:trPr>
          <w:trHeight w:val="57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Predlog zakonodajnih reform na področju odpadkov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rPr>
          <w:trHeight w:val="13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Trajnostna in pametna mobilnost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55"/>
              <w:jc w:val="center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Strategija za trajnostno in pametno mobilnost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Razpis za financiranje vzpostavitve javnih polnilnih in oskrbovalnih mest kot del infrastrukture za alternativna goriva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Ocena zakonodajnih možnosti za spodbujanje proizvodnje in oskrbe s trajnostnimi alternativnimi gorivi za različne načine prevoza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ind w:left="283" w:hanging="283"/>
              <w:rPr>
                <w:noProof/>
                <w:szCs w:val="24"/>
              </w:rPr>
            </w:pPr>
            <w:r>
              <w:rPr>
                <w:noProof/>
              </w:rPr>
              <w:t>Revidiran predlog direktive o kombiniranem prevozu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Pregled direktive o infrastrukturi za alternativna goriva in uredbe o vseevropskih energetskih omrežjih (TEN-E)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Pobude za povečanje zmogljivosti železnic in celinskih plovnih poti ter njihovo boljše upravljanje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Predlog za strožje standarde za emisije onesnaževal zraka v vozilih z motorjem z notranjim izgorevanjem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Ekologizacija skupne kmetijske politike / strategija „od vil do vilic“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Proučitev predlogov nacionalnih strateških načrtov na podlagi ambicij evropskega zelenega dogovora in strategije „od vil do vilic“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v obdobju od 2020 do 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Strategija „od vil do vilic“</w:t>
            </w:r>
          </w:p>
          <w:p w:rsidR="002F1C2E" w:rsidRDefault="00703E1C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Ukrepi, tudi zakonodajni, za znatno zmanjšanje uporabe in tveganj kemičnih pesticidov ter uporabe gnojil in antibiotikov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pomlad 2020</w:t>
            </w:r>
          </w:p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Ohranjanje in varovanje biotske raznovrstnosti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Strategija EU za biotsko raznovrstnost do leta 2030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marec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Ukrepi za odpravljanje glavnih vzrokov izgube biotske raznovrstnosti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Nova gozdarska strategija EU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Ukrepi za podporo vrednostnih verig brez krčenja gozdov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Prizadevanja za ničelno onesnaževanje za okolje brez strupov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Trajnostna strategija za kemikalije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poletje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Akcijski načrt za ničelno onesnaževanje vode, zraka in tal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Pregled ukrepov za obravnavanje onesnaževanja iz velikih industrijskih obratov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Vključevanje trajnosti v vse politike EU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Predlog za mehanizem za pravičen prehod, vključno s skladom za pravičen prehod, in naložbeni načrt za trajnostno Evropo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januar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Prenovljena strategija za trajnostno financiranje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jesen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Pregled direktive o nefinančnem poročanju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Pobude za pregled in primerjalno analizo zelenih proračunskih praks držav članic in EU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Pregled relevantnih smernic o državni pomoči, vključno s smernicami o državni pomoči za varstvo okolja in energijo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Uskladitev vseh novih pobud Komisije s cilji zelenega dogovora in spodbujanje inovacij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Deležniki opredelijo in odpravijo nedosledno zakonodajo, ki zmanjšuje učinkovitost pri izvajanju evropskega zelenega dogovora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Vključitev ciljev trajnostnega razvoja v evropski semester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Vodilna vloga EU v svetu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252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EU še naprej vodi mednarodna pogajanja o podnebju in biotski raznovrstnosti z namenom dodatne okrepitve mednarodnega okvira politike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2019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Okrepitev diplomacije EU v okviru zelenega dogovora v sodelovanju z državami članicami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Dvostranska prizadevanja za spodbujanje partnerjev k ukrepanju in zagotavljanju primerljivosti ukrepov in politik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ListBullet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Zelena agenda za Zahodni Balkan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 leta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Skupna prizadevanja – evropski podnebni pakt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F1C2E" w:rsidRDefault="002F1C2E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Začetek izvajanja evropskega podnebnega pakta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marec 2020</w:t>
            </w:r>
          </w:p>
        </w:tc>
      </w:tr>
      <w:tr w:rsidR="002F1C2E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Predlog za 8. okoljski akcijski program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2E" w:rsidRDefault="00703E1C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</w:t>
            </w:r>
          </w:p>
        </w:tc>
      </w:tr>
    </w:tbl>
    <w:p w:rsidR="002F1C2E" w:rsidRDefault="002F1C2E">
      <w:pPr>
        <w:spacing w:after="120" w:line="240" w:lineRule="auto"/>
        <w:rPr>
          <w:rFonts w:ascii="Times New Roman" w:hAnsi="Times New Roman" w:cs="Times New Roman"/>
          <w:noProof/>
          <w:sz w:val="16"/>
          <w:szCs w:val="24"/>
        </w:rPr>
      </w:pPr>
    </w:p>
    <w:sectPr w:rsidR="002F1C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7" w:bottom="1134" w:left="1417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2E" w:rsidRDefault="00703E1C">
      <w:pPr>
        <w:spacing w:after="0" w:line="240" w:lineRule="auto"/>
      </w:pPr>
      <w:r>
        <w:separator/>
      </w:r>
    </w:p>
  </w:endnote>
  <w:endnote w:type="continuationSeparator" w:id="0">
    <w:p w:rsidR="002F1C2E" w:rsidRDefault="0070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Pr="00703E1C" w:rsidRDefault="002F1C2E" w:rsidP="0070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703E1C" w:rsidRPr="00D94637" w:rsidTr="00703E1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703E1C" w:rsidRPr="00D94637" w:rsidRDefault="00703E1C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STANDARD"/>
        </w:p>
      </w:tc>
    </w:tr>
    <w:tr w:rsidR="00703E1C" w:rsidRPr="00B310DC" w:rsidTr="00703E1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703E1C" w:rsidRPr="00AD7BF2" w:rsidRDefault="00703E1C" w:rsidP="004F54B2">
          <w:pPr>
            <w:pStyle w:val="FooterText"/>
          </w:pPr>
          <w:r>
            <w:t>15051/19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703E1C" w:rsidRPr="00AD7BF2" w:rsidRDefault="00703E1C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703E1C" w:rsidRPr="002511D8" w:rsidRDefault="00703E1C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703E1C" w:rsidRPr="00B310DC" w:rsidRDefault="00703E1C" w:rsidP="00703E1C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B56ED">
            <w:rPr>
              <w:noProof/>
            </w:rPr>
            <w:t>0</w:t>
          </w:r>
          <w:r>
            <w:fldChar w:fldCharType="end"/>
          </w:r>
        </w:p>
      </w:tc>
    </w:tr>
    <w:tr w:rsidR="00703E1C" w:rsidRPr="00D94637" w:rsidTr="00703E1C">
      <w:trPr>
        <w:jc w:val="center"/>
      </w:trPr>
      <w:tc>
        <w:tcPr>
          <w:tcW w:w="1774" w:type="pct"/>
          <w:shd w:val="clear" w:color="auto" w:fill="auto"/>
        </w:tcPr>
        <w:p w:rsidR="00703E1C" w:rsidRPr="00AD7BF2" w:rsidRDefault="00703E1C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703E1C" w:rsidRPr="00AD7BF2" w:rsidRDefault="00703E1C" w:rsidP="00D204D6">
          <w:pPr>
            <w:pStyle w:val="FooterText"/>
            <w:spacing w:before="40"/>
            <w:jc w:val="center"/>
          </w:pPr>
          <w:r>
            <w:t>TREE 1 A</w:t>
          </w:r>
        </w:p>
      </w:tc>
      <w:tc>
        <w:tcPr>
          <w:tcW w:w="742" w:type="pct"/>
          <w:shd w:val="clear" w:color="auto" w:fill="auto"/>
        </w:tcPr>
        <w:p w:rsidR="00703E1C" w:rsidRPr="00D94637" w:rsidRDefault="00703E1C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703E1C" w:rsidRPr="000310C2" w:rsidRDefault="00703E1C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3"/>
  </w:tbl>
  <w:p w:rsidR="002F1C2E" w:rsidRPr="00703E1C" w:rsidRDefault="002F1C2E" w:rsidP="00703E1C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399"/>
      <w:gridCol w:w="1205"/>
      <w:gridCol w:w="200"/>
      <w:gridCol w:w="1430"/>
      <w:gridCol w:w="848"/>
      <w:gridCol w:w="1135"/>
    </w:tblGrid>
    <w:tr w:rsidR="00703E1C" w:rsidRPr="00D94637" w:rsidTr="00703E1C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703E1C" w:rsidRPr="00D94637" w:rsidRDefault="00703E1C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703E1C" w:rsidRPr="00B310DC" w:rsidTr="00703E1C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703E1C" w:rsidRPr="00AD7BF2" w:rsidRDefault="00703E1C" w:rsidP="004F54B2">
          <w:pPr>
            <w:pStyle w:val="FooterText"/>
          </w:pPr>
          <w:r>
            <w:t>15051/19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703E1C" w:rsidRPr="00AD7BF2" w:rsidRDefault="00703E1C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703E1C" w:rsidRPr="002511D8" w:rsidRDefault="00703E1C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703E1C" w:rsidRPr="00B310DC" w:rsidRDefault="00703E1C" w:rsidP="00D94637">
          <w:pPr>
            <w:pStyle w:val="FooterText"/>
            <w:jc w:val="right"/>
          </w:pPr>
        </w:p>
      </w:tc>
    </w:tr>
    <w:tr w:rsidR="00703E1C" w:rsidRPr="00D94637" w:rsidTr="00703E1C">
      <w:trPr>
        <w:jc w:val="center"/>
      </w:trPr>
      <w:tc>
        <w:tcPr>
          <w:tcW w:w="1774" w:type="pct"/>
          <w:shd w:val="clear" w:color="auto" w:fill="auto"/>
        </w:tcPr>
        <w:p w:rsidR="00703E1C" w:rsidRPr="00AD7BF2" w:rsidRDefault="00703E1C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703E1C" w:rsidRPr="00AD7BF2" w:rsidRDefault="00703E1C" w:rsidP="00D204D6">
          <w:pPr>
            <w:pStyle w:val="FooterText"/>
            <w:spacing w:before="40"/>
            <w:jc w:val="center"/>
          </w:pPr>
          <w:r>
            <w:t>TREE 1 A</w:t>
          </w:r>
        </w:p>
      </w:tc>
      <w:tc>
        <w:tcPr>
          <w:tcW w:w="742" w:type="pct"/>
          <w:shd w:val="clear" w:color="auto" w:fill="auto"/>
        </w:tcPr>
        <w:p w:rsidR="00703E1C" w:rsidRPr="00D94637" w:rsidRDefault="00703E1C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703E1C" w:rsidRPr="000310C2" w:rsidRDefault="00703E1C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2F1C2E" w:rsidRPr="00703E1C" w:rsidRDefault="002F1C2E" w:rsidP="00703E1C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1C" w:rsidRDefault="00703E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1C" w:rsidRDefault="00703E1C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1C" w:rsidRDefault="00703E1C">
    <w:pPr>
      <w:pStyle w:val="FooterCover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Default="002F1C2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66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F1C2E" w:rsidRDefault="00703E1C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0B56ED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Default="002F1C2E">
    <w:pPr>
      <w:pStyle w:val="FooterCover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2E" w:rsidRDefault="00703E1C">
      <w:pPr>
        <w:spacing w:after="0" w:line="240" w:lineRule="auto"/>
      </w:pPr>
      <w:r>
        <w:separator/>
      </w:r>
    </w:p>
  </w:footnote>
  <w:footnote w:type="continuationSeparator" w:id="0">
    <w:p w:rsidR="002F1C2E" w:rsidRDefault="00703E1C">
      <w:pPr>
        <w:spacing w:after="0" w:line="240" w:lineRule="auto"/>
      </w:pPr>
      <w:r>
        <w:continuationSeparator/>
      </w:r>
    </w:p>
  </w:footnote>
  <w:footnote w:id="1">
    <w:p w:rsidR="002F1C2E" w:rsidRDefault="00703E1C"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>V delovnem programu Komisije za leto 2020 bo dodatno podrobno pojasnjen časovni okvir zadevnih ukrepov, napovedanih za leto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Pr="00703E1C" w:rsidRDefault="002F1C2E" w:rsidP="0070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Pr="00703E1C" w:rsidRDefault="00703E1C" w:rsidP="00703E1C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Pr="00703E1C" w:rsidRDefault="00703E1C" w:rsidP="00703E1C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1C" w:rsidRDefault="00703E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1C" w:rsidRDefault="00703E1C">
    <w:pPr>
      <w:pStyle w:val="HeaderCoverPag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1C" w:rsidRDefault="00703E1C">
    <w:pPr>
      <w:pStyle w:val="HeaderCoverPag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Default="002F1C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Default="002F1C2E">
    <w:pPr>
      <w:pStyle w:val="HeaderCoverPag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2E" w:rsidRDefault="002F1C2E">
    <w:pPr>
      <w:pStyle w:val="HeaderCover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746AA9A8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18F4FB3"/>
    <w:multiLevelType w:val="multilevel"/>
    <w:tmpl w:val="974834F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31821268"/>
    <w:multiLevelType w:val="hybridMultilevel"/>
    <w:tmpl w:val="B450DC5C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3A74450D"/>
    <w:multiLevelType w:val="hybridMultilevel"/>
    <w:tmpl w:val="8CF8A022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982C"/>
    <w:multiLevelType w:val="multilevel"/>
    <w:tmpl w:val="F8F8C3D6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true"/>
    <w:docVar w:name="DocStatus" w:val="Green"/>
    <w:docVar w:name="DocuWriteMetaData" w:val="&lt;metadataset docuwriteversion=&quot;4.3.10&quot; technicalblockguid=&quot;5315936204666874377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4&quot; text=&quot;SPREMNI DOPIS&quot; /&gt;_x000d__x000a_    &lt;/basicdatatype&gt;_x000d__x000a_  &lt;/metadata&gt;_x000d__x000a_  &lt;metadata key=&quot;md_HeadingText&quot;&gt;_x000d__x000a_    &lt;headingtext text=&quot;SPREMNI DOPIS&quot;&gt;_x000d__x000a_      &lt;formattedtext&gt;_x000d__x000a_        &lt;xaml text=&quot;SPREMNI DOPIS&quot;&gt;&amp;lt;FlowDocument xmlns=&quot;http://schemas.microsoft.com/winfx/2006/xaml/presentation&quot;&amp;gt;&amp;lt;Paragraph&amp;gt;SPREMNI DOPI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19-12-11&lt;/text&gt;_x000d__x000a_  &lt;/metadata&gt;_x000d__x000a_  &lt;metadata key=&quot;md_Prefix&quot;&gt;_x000d__x000a_    &lt;text&gt;&lt;/text&gt;_x000d__x000a_  &lt;/metadata&gt;_x000d__x000a_  &lt;metadata key=&quot;md_DocumentNumber&quot;&gt;_x000d__x000a_    &lt;text&gt;15051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LIMA 327&lt;/text&gt;_x000d__x000a_      &lt;text&gt;ENV 1005&lt;/text&gt;_x000d__x000a_      &lt;text&gt;ENER 538&lt;/text&gt;_x000d__x000a_      &lt;text&gt;TRANS 580&lt;/text&gt;_x000d__x000a_      &lt;text&gt;SUSTDEV 175&lt;/text&gt;_x000d__x000a_      &lt;text&gt;AGRI 608&lt;/text&gt;_x000d__x000a_      &lt;text&gt;ECOFIN 1141&lt;/text&gt;_x000d__x000a_      &lt;text&gt;COMPET 796&lt;/text&gt;_x000d__x000a_      &lt;text&gt;IND 306&lt;/text&gt;_x000d__x000a_      &lt;text&gt;MI 844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01&quot; text=&quot;za generalnega sekretarja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19-12-11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9) 640 final -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A k SPORO&amp;#268;ILU KOMISIJE EVROPSKEMU PARLAMENTU, EVROPSKEMU SVETU, SVETU, EVROPSKEMU EKONOMSKO-SOCIALNEMU ODBORU IN ODBORU REGIJ  - Evropski zeleni dogovor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 xml:space=&quot;preserve&quot;&amp;gt;PRILOGA k SPORO&amp;#268;ILU KOMISIJE EVROPSKEMU PARLAMENTU, EVROPSKEMU SVETU, SVETU, EVROPSKEMU EKONOMSKO-SOCIALNEMU ODBORU IN ODBORU REGIJ &amp;lt;LineBreak /&amp;gt;&amp;lt;Run xml:lang=&quot;en-gb&quot;&amp;gt;- &amp;lt;/Run&amp;gt;Evropski zeleni dogovor&amp;lt;/Paragraph&amp;gt;&amp;lt;/FlowDocument&amp;gt;&lt;/xaml&gt;_x000d__x000a_  &lt;/metadata&gt;_x000d__x000a_  &lt;metadata key=&quot;md_SubjectFootnote&quot; /&gt;_x000d__x000a_  &lt;metadata key=&quot;md_DG&quot;&gt;_x000d__x000a_    &lt;text&gt;TREE 1 A&lt;/text&gt;_x000d__x000a_  &lt;/metadata&gt;_x000d__x000a_  &lt;metadata key=&quot;md_Initials&quot;&gt;_x000d__x000a_    &lt;text&gt;nr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9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_x000d__x000a_&lt;/text&gt;_x000d__x000a_  &lt;/metadata&gt;_x000d__x000a_  &lt;metadata key=&quot;md_SourceDocTitle&quot;&gt;_x000d__x000a_    &lt;text&gt;k _x000d__x000a_SPORO&amp;#268;ILU KOMISIJE EVROPSKEMU PARLAMENTU, EVROPSKEMU SVETU, SVETU, EVROPSKEMU EKONOMSKO-SOCIALNEMU ODBORU IN ODBORU REGIJ_x000d__x000a_ _x000d__x000a_Evropski zeleni dogovor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0EE241A-3328-41E2-8E49-05AC29EF3B1D"/>
    <w:docVar w:name="LW_COVERPAGE_TYPE" w:val="1"/>
    <w:docVar w:name="LW_CROSSREFERENCE" w:val="&lt;UNUSED&gt;"/>
    <w:docVar w:name="LW_DocType" w:val="NORMAL"/>
    <w:docVar w:name="LW_EMISSION" w:val="11.12.2019"/>
    <w:docVar w:name="LW_EMISSION_ISODATE" w:val="2019-12-11"/>
    <w:docVar w:name="LW_EMISSION_LOCATION" w:val="BRX"/>
    <w:docVar w:name="LW_EMISSION_PREFIX" w:val="Bruselj, "/>
    <w:docVar w:name="LW_EMISSION_SUFFIX" w:val=" "/>
    <w:docVar w:name="LW_ID_DOCTYPE_NONLW" w:val="CP-039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.CP" w:val="Evropski zeleni dogovor"/>
    <w:docVar w:name="LW_PART_NBR" w:val="1"/>
    <w:docVar w:name="LW_PART_NBR_TOTAL" w:val="1"/>
    <w:docVar w:name="LW_REF.INST.NEW" w:val="COM"/>
    <w:docVar w:name="LW_REF.INST.NEW_ADOPTED" w:val="final"/>
    <w:docVar w:name="LW_REF.INST.NEW_TEXT" w:val="(2019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A_x000b_"/>
    <w:docVar w:name="LW_TYPEACTEPRINCIPAL.CP" w:val="SPORO\u268?ILU KOMISIJE EVROPSKEMU PARLAMENTU, EVROPSKEMU SVETU, SVETU, EVROPSKEMU EKONOMSKO-SOCIALNEMU ODBORU IN ODBORU REGIJ_x000b_"/>
  </w:docVars>
  <w:rsids>
    <w:rsidRoot w:val="002F1C2E"/>
    <w:rsid w:val="000B56ED"/>
    <w:rsid w:val="002F1C2E"/>
    <w:rsid w:val="007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6403EF-169C-4BFC-BBF1-AB31AFEF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sid w:val="00703E1C"/>
    <w:rPr>
      <w:color w:val="0000FF"/>
      <w:bdr w:val="none" w:sz="0" w:space="0" w:color="auto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BulletLevel2">
    <w:name w:val="List Bullet (Level 2)"/>
    <w:basedOn w:val="Text1"/>
    <w:pPr>
      <w:numPr>
        <w:ilvl w:val="1"/>
        <w:numId w:val="2"/>
      </w:numPr>
    </w:pPr>
    <w:rPr>
      <w:lang w:eastAsia="en-GB"/>
    </w:r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2"/>
      </w:numPr>
    </w:pPr>
    <w:rPr>
      <w:lang w:eastAsia="en-GB"/>
    </w:r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2"/>
      </w:numPr>
    </w:pPr>
    <w:rPr>
      <w:lang w:eastAsia="en-GB"/>
    </w:rPr>
  </w:style>
  <w:style w:type="paragraph" w:customStyle="1" w:styleId="HistoryTable">
    <w:name w:val="HistoryTable"/>
    <w:basedOn w:val="Normal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Dash4">
    <w:name w:val="List Dash 4"/>
    <w:basedOn w:val="Normal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2">
    <w:name w:val="List Dash 4 (Level 2)"/>
    <w:basedOn w:val="Normal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3">
    <w:name w:val="List Dash 4 (Level 3)"/>
    <w:basedOn w:val="Normal"/>
    <w:semiHidden/>
    <w:unhideWhenUsed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4">
    <w:name w:val="List Dash 4 (Level 4)"/>
    <w:basedOn w:val="Normal"/>
    <w:semiHidden/>
    <w:unhideWhenUsed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ext1Char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ext1Char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ext1Char"/>
    <w:link w:val="HeaderSensitivityRight"/>
    <w:rPr>
      <w:rFonts w:ascii="Times New Roman" w:eastAsia="Times New Roman" w:hAnsi="Times New Roman" w:cs="Times New Roman"/>
      <w:sz w:val="28"/>
      <w:szCs w:val="20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chnicalBlock">
    <w:name w:val="Technical Block"/>
    <w:basedOn w:val="Normal"/>
    <w:link w:val="TechnicalBlockChar"/>
    <w:rsid w:val="00703E1C"/>
    <w:pPr>
      <w:spacing w:after="240" w:line="240" w:lineRule="auto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703E1C"/>
  </w:style>
  <w:style w:type="paragraph" w:customStyle="1" w:styleId="EntText">
    <w:name w:val="EntText"/>
    <w:basedOn w:val="Normal"/>
    <w:rsid w:val="00703E1C"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703E1C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hAnsi="Times New Roman" w:cs="Times New Roman"/>
      <w:b/>
      <w:sz w:val="24"/>
    </w:rPr>
  </w:style>
  <w:style w:type="paragraph" w:customStyle="1" w:styleId="pj">
    <w:name w:val="p.j."/>
    <w:basedOn w:val="Normal"/>
    <w:link w:val="pjChar"/>
    <w:rsid w:val="00703E1C"/>
    <w:pPr>
      <w:spacing w:before="1200" w:after="120" w:line="240" w:lineRule="auto"/>
      <w:ind w:left="1440" w:hanging="1440"/>
    </w:pPr>
    <w:rPr>
      <w:rFonts w:ascii="Times New Roman" w:hAnsi="Times New Roman" w:cs="Times New Roman"/>
      <w:sz w:val="24"/>
    </w:rPr>
  </w:style>
  <w:style w:type="character" w:customStyle="1" w:styleId="pjChar">
    <w:name w:val="p.j. Char"/>
    <w:basedOn w:val="TechnicalBlockChar"/>
    <w:link w:val="pj"/>
    <w:rsid w:val="00703E1C"/>
    <w:rPr>
      <w:rFonts w:ascii="Times New Roman" w:hAnsi="Times New Roman" w:cs="Times New Roman"/>
      <w:sz w:val="24"/>
    </w:rPr>
  </w:style>
  <w:style w:type="paragraph" w:customStyle="1" w:styleId="nbbordered">
    <w:name w:val="nb bordered"/>
    <w:basedOn w:val="Normal"/>
    <w:link w:val="nbborderedChar"/>
    <w:rsid w:val="007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 w:line="240" w:lineRule="auto"/>
      <w:ind w:left="480" w:hanging="480"/>
    </w:pPr>
    <w:rPr>
      <w:rFonts w:ascii="Times New Roman" w:hAnsi="Times New Roman" w:cs="Times New Roman"/>
      <w:b/>
      <w:sz w:val="24"/>
    </w:rPr>
  </w:style>
  <w:style w:type="character" w:customStyle="1" w:styleId="nbborderedChar">
    <w:name w:val="nb bordered Char"/>
    <w:basedOn w:val="TechnicalBlockChar"/>
    <w:link w:val="nbbordered"/>
    <w:rsid w:val="00703E1C"/>
    <w:rPr>
      <w:rFonts w:ascii="Times New Roman" w:hAnsi="Times New Roman" w:cs="Times New Roman"/>
      <w:b/>
      <w:sz w:val="24"/>
    </w:rPr>
  </w:style>
  <w:style w:type="paragraph" w:customStyle="1" w:styleId="HeaderCouncil">
    <w:name w:val="Header Council"/>
    <w:basedOn w:val="Normal"/>
    <w:link w:val="HeaderCouncilChar"/>
    <w:rsid w:val="00703E1C"/>
    <w:pPr>
      <w:spacing w:after="0"/>
    </w:pPr>
    <w:rPr>
      <w:noProof/>
      <w:sz w:val="2"/>
    </w:rPr>
  </w:style>
  <w:style w:type="character" w:customStyle="1" w:styleId="HeaderCouncilChar">
    <w:name w:val="Header Council Char"/>
    <w:basedOn w:val="DefaultParagraphFont"/>
    <w:link w:val="HeaderCouncil"/>
    <w:rsid w:val="00703E1C"/>
    <w:rPr>
      <w:noProof/>
      <w:sz w:val="2"/>
    </w:rPr>
  </w:style>
  <w:style w:type="paragraph" w:customStyle="1" w:styleId="HeaderCouncilLarge">
    <w:name w:val="Header Council Large"/>
    <w:basedOn w:val="Normal"/>
    <w:link w:val="HeaderCouncilLargeChar"/>
    <w:rsid w:val="00703E1C"/>
    <w:pPr>
      <w:spacing w:after="440"/>
    </w:pPr>
    <w:rPr>
      <w:noProof/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703E1C"/>
    <w:rPr>
      <w:noProof/>
      <w:sz w:val="2"/>
    </w:rPr>
  </w:style>
  <w:style w:type="paragraph" w:customStyle="1" w:styleId="FooterCouncil">
    <w:name w:val="Footer Council"/>
    <w:basedOn w:val="Normal"/>
    <w:link w:val="FooterCouncilChar"/>
    <w:rsid w:val="00703E1C"/>
    <w:pPr>
      <w:spacing w:after="0"/>
    </w:pPr>
    <w:rPr>
      <w:noProof/>
      <w:sz w:val="2"/>
    </w:rPr>
  </w:style>
  <w:style w:type="character" w:customStyle="1" w:styleId="FooterCouncilChar">
    <w:name w:val="Footer Council Char"/>
    <w:basedOn w:val="DefaultParagraphFont"/>
    <w:link w:val="FooterCouncil"/>
    <w:rsid w:val="00703E1C"/>
    <w:rPr>
      <w:noProof/>
      <w:sz w:val="2"/>
    </w:rPr>
  </w:style>
  <w:style w:type="paragraph" w:customStyle="1" w:styleId="FooterText">
    <w:name w:val="Footer Text"/>
    <w:basedOn w:val="Normal"/>
    <w:rsid w:val="0070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0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2606-DD5C-4329-8FB7-2F94C5EF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VERMAELEN Hilde (SG)</dc:creator>
  <cp:lastModifiedBy>NOVAK Roman</cp:lastModifiedBy>
  <cp:revision>3</cp:revision>
  <cp:lastPrinted>2019-12-06T17:24:00Z</cp:lastPrinted>
  <dcterms:created xsi:type="dcterms:W3CDTF">2019-12-11T15:37:00Z</dcterms:created>
  <dcterms:modified xsi:type="dcterms:W3CDTF">2019-12-11T15:37:00Z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Last edited using">
    <vt:lpwstr>DocuWrite 4.3.10, Build 20191129</vt:lpwstr>
  </property>
  <property fmtid="{D5CDD505-2E9C-101B-9397-08002B2CF9AE}" pid="9" name="Unique annex">
    <vt:lpwstr>1</vt:lpwstr>
  </property>
  <property fmtid="{D5CDD505-2E9C-101B-9397-08002B2CF9AE}" pid="10" name="CPTemplateID">
    <vt:lpwstr>CP-039</vt:lpwstr>
  </property>
  <property fmtid="{D5CDD505-2E9C-101B-9397-08002B2CF9AE}" pid="11" name="Created using">
    <vt:lpwstr>DocuWrite 4.3.10, Build 20191129</vt:lpwstr>
  </property>
</Properties>
</file>