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0"/>
        <w:gridCol w:w="145"/>
        <w:gridCol w:w="892"/>
        <w:gridCol w:w="1350"/>
        <w:gridCol w:w="64"/>
        <w:gridCol w:w="417"/>
        <w:gridCol w:w="913"/>
        <w:gridCol w:w="683"/>
        <w:gridCol w:w="385"/>
        <w:gridCol w:w="161"/>
        <w:gridCol w:w="142"/>
        <w:gridCol w:w="2128"/>
      </w:tblGrid>
      <w:tr w:rsidR="00BC4D82" w:rsidRPr="00DF3833" w14:paraId="12B11E64" w14:textId="77777777" w:rsidTr="009532D5">
        <w:trPr>
          <w:gridAfter w:val="8"/>
          <w:wAfter w:w="4893" w:type="dxa"/>
          <w:trHeight w:val="186"/>
        </w:trPr>
        <w:tc>
          <w:tcPr>
            <w:tcW w:w="4207" w:type="dxa"/>
            <w:gridSpan w:val="4"/>
          </w:tcPr>
          <w:p w14:paraId="36F290FE" w14:textId="27E6F99C" w:rsidR="00BC4D82" w:rsidRPr="00DF3833" w:rsidRDefault="00BC4D82" w:rsidP="00CE3EDD">
            <w:pPr>
              <w:suppressAutoHyphens/>
              <w:spacing w:line="276" w:lineRule="auto"/>
              <w:jc w:val="both"/>
              <w:rPr>
                <w:rFonts w:cs="Arial"/>
                <w:color w:val="000000"/>
                <w:szCs w:val="20"/>
                <w:lang w:eastAsia="ar-SA"/>
              </w:rPr>
            </w:pPr>
            <w:r w:rsidRPr="00DF3833">
              <w:rPr>
                <w:rFonts w:cs="Arial"/>
                <w:szCs w:val="20"/>
                <w:lang w:eastAsia="ar-SA"/>
              </w:rPr>
              <w:t xml:space="preserve">Številka: </w:t>
            </w:r>
            <w:r w:rsidR="00C40039">
              <w:rPr>
                <w:rFonts w:cs="Arial"/>
                <w:szCs w:val="20"/>
                <w:lang w:eastAsia="ar-SA"/>
              </w:rPr>
              <w:t xml:space="preserve"> </w:t>
            </w:r>
            <w:r w:rsidR="00C40039">
              <w:rPr>
                <w:rFonts w:cs="Arial"/>
              </w:rPr>
              <w:t>012-15/2019/</w:t>
            </w:r>
            <w:r w:rsidR="00800B3F">
              <w:rPr>
                <w:rFonts w:cs="Arial"/>
              </w:rPr>
              <w:t>13</w:t>
            </w:r>
          </w:p>
        </w:tc>
      </w:tr>
      <w:tr w:rsidR="00BC4D82" w:rsidRPr="00DF3833" w14:paraId="65C08B19" w14:textId="77777777" w:rsidTr="009532D5">
        <w:trPr>
          <w:gridAfter w:val="8"/>
          <w:wAfter w:w="4893" w:type="dxa"/>
          <w:trHeight w:val="233"/>
        </w:trPr>
        <w:tc>
          <w:tcPr>
            <w:tcW w:w="4207" w:type="dxa"/>
            <w:gridSpan w:val="4"/>
          </w:tcPr>
          <w:p w14:paraId="2FE7AC0F" w14:textId="689A7420" w:rsidR="00BC4D82" w:rsidRPr="00DF3833" w:rsidRDefault="00BC4D82" w:rsidP="00CE3EDD">
            <w:pPr>
              <w:suppressAutoHyphens/>
              <w:spacing w:line="276" w:lineRule="auto"/>
              <w:jc w:val="both"/>
              <w:rPr>
                <w:rFonts w:cs="Arial"/>
                <w:szCs w:val="20"/>
                <w:lang w:eastAsia="ar-SA"/>
              </w:rPr>
            </w:pPr>
            <w:r w:rsidRPr="00DF3833">
              <w:rPr>
                <w:rFonts w:cs="Arial"/>
                <w:szCs w:val="20"/>
                <w:lang w:eastAsia="ar-SA"/>
              </w:rPr>
              <w:t xml:space="preserve">Ljubljana, </w:t>
            </w:r>
            <w:r w:rsidR="00CE3EDD">
              <w:rPr>
                <w:rFonts w:cs="Arial"/>
                <w:szCs w:val="20"/>
                <w:lang w:eastAsia="ar-SA"/>
              </w:rPr>
              <w:t>6</w:t>
            </w:r>
            <w:r>
              <w:rPr>
                <w:rFonts w:cs="Arial"/>
                <w:szCs w:val="20"/>
                <w:lang w:eastAsia="ar-SA"/>
              </w:rPr>
              <w:t>.1</w:t>
            </w:r>
            <w:r w:rsidR="00282E0D">
              <w:rPr>
                <w:rFonts w:cs="Arial"/>
                <w:szCs w:val="20"/>
                <w:lang w:eastAsia="ar-SA"/>
              </w:rPr>
              <w:t>1</w:t>
            </w:r>
            <w:r>
              <w:rPr>
                <w:rFonts w:cs="Arial"/>
                <w:szCs w:val="20"/>
                <w:lang w:eastAsia="ar-SA"/>
              </w:rPr>
              <w:t>.2019</w:t>
            </w:r>
          </w:p>
        </w:tc>
      </w:tr>
      <w:tr w:rsidR="00BC4D82" w:rsidRPr="00DF3833" w14:paraId="0B055A79" w14:textId="77777777" w:rsidTr="009532D5">
        <w:trPr>
          <w:gridAfter w:val="8"/>
          <w:wAfter w:w="4893" w:type="dxa"/>
          <w:trHeight w:val="1552"/>
        </w:trPr>
        <w:tc>
          <w:tcPr>
            <w:tcW w:w="4207" w:type="dxa"/>
            <w:gridSpan w:val="4"/>
          </w:tcPr>
          <w:p w14:paraId="26A51B25" w14:textId="77777777" w:rsidR="00BC4D82" w:rsidRPr="00DF3833" w:rsidRDefault="00BC4D82" w:rsidP="009532D5">
            <w:pPr>
              <w:suppressAutoHyphens/>
              <w:spacing w:line="276" w:lineRule="auto"/>
              <w:jc w:val="both"/>
              <w:rPr>
                <w:rFonts w:cs="Arial"/>
                <w:szCs w:val="20"/>
                <w:lang w:eastAsia="ar-SA"/>
              </w:rPr>
            </w:pPr>
            <w:r w:rsidRPr="00DF3833">
              <w:rPr>
                <w:rFonts w:cs="Arial"/>
                <w:szCs w:val="20"/>
                <w:lang w:eastAsia="ar-SA"/>
              </w:rPr>
              <w:t>GENERALNI SEKRETARIAT VLADE REPUBLIKE SLOVENIJE</w:t>
            </w:r>
          </w:p>
          <w:p w14:paraId="270F24D9" w14:textId="77777777" w:rsidR="00BC4D82" w:rsidRPr="00DF3833" w:rsidRDefault="00E8528D" w:rsidP="009532D5">
            <w:pPr>
              <w:suppressAutoHyphens/>
              <w:spacing w:line="276" w:lineRule="auto"/>
              <w:jc w:val="both"/>
              <w:rPr>
                <w:rFonts w:ascii="Times New Roman" w:hAnsi="Times New Roman" w:cs="Arial"/>
                <w:szCs w:val="20"/>
                <w:lang w:eastAsia="ar-SA"/>
              </w:rPr>
            </w:pPr>
            <w:hyperlink r:id="rId7" w:history="1">
              <w:r w:rsidR="00BC4D82" w:rsidRPr="00DF3833">
                <w:rPr>
                  <w:color w:val="000080"/>
                  <w:szCs w:val="20"/>
                  <w:u w:val="single"/>
                  <w:lang w:eastAsia="ar-SA"/>
                </w:rPr>
                <w:t>gp.gs@gov.si</w:t>
              </w:r>
            </w:hyperlink>
          </w:p>
        </w:tc>
      </w:tr>
      <w:tr w:rsidR="00BC4D82" w:rsidRPr="00DF3833" w14:paraId="4A40F73C" w14:textId="77777777" w:rsidTr="009532D5">
        <w:trPr>
          <w:trHeight w:val="145"/>
        </w:trPr>
        <w:tc>
          <w:tcPr>
            <w:tcW w:w="9100" w:type="dxa"/>
            <w:gridSpan w:val="12"/>
          </w:tcPr>
          <w:p w14:paraId="676C8BED" w14:textId="75DC68E0" w:rsidR="00BC4D82" w:rsidRPr="00DF3833" w:rsidRDefault="00BC4D82" w:rsidP="00CE3EDD">
            <w:pPr>
              <w:suppressAutoHyphens/>
              <w:spacing w:line="276" w:lineRule="auto"/>
              <w:ind w:left="1026" w:hanging="1026"/>
              <w:jc w:val="both"/>
              <w:rPr>
                <w:rFonts w:cs="Arial"/>
                <w:b/>
                <w:szCs w:val="20"/>
                <w:lang w:eastAsia="sl-SI"/>
              </w:rPr>
            </w:pPr>
            <w:r w:rsidRPr="00DF3833">
              <w:rPr>
                <w:rFonts w:cs="Arial"/>
                <w:b/>
                <w:szCs w:val="20"/>
                <w:lang w:eastAsia="sl-SI"/>
              </w:rPr>
              <w:t xml:space="preserve">ZADEVA: </w:t>
            </w:r>
            <w:r w:rsidR="00CE3EDD">
              <w:rPr>
                <w:rFonts w:cs="Arial"/>
                <w:b/>
                <w:szCs w:val="20"/>
                <w:lang w:eastAsia="sl-SI"/>
              </w:rPr>
              <w:t xml:space="preserve">Novo gradivo št. 1 - </w:t>
            </w:r>
            <w:r w:rsidRPr="00DF3833">
              <w:rPr>
                <w:rFonts w:cs="Arial"/>
                <w:b/>
                <w:szCs w:val="20"/>
                <w:lang w:eastAsia="sl-SI"/>
              </w:rPr>
              <w:t xml:space="preserve">Informacija o pripravi celovitega strateškega projekta razogljičenja Slovenije preko prehoda v krožno gospodarstvo s sodelovanjem </w:t>
            </w:r>
            <w:r w:rsidRPr="00DF3833">
              <w:rPr>
                <w:b/>
              </w:rPr>
              <w:t>Evropske komisije in Evropskega inštituta za inovacije in tehnologijo (EIT KIC Climate in EIT KIC Raw materials)</w:t>
            </w:r>
            <w:r w:rsidRPr="00DF3833">
              <w:t xml:space="preserve"> </w:t>
            </w:r>
          </w:p>
        </w:tc>
      </w:tr>
      <w:tr w:rsidR="00BC4D82" w:rsidRPr="00DF3833" w14:paraId="3F7A64EF" w14:textId="77777777" w:rsidTr="009532D5">
        <w:trPr>
          <w:trHeight w:val="145"/>
        </w:trPr>
        <w:tc>
          <w:tcPr>
            <w:tcW w:w="9100" w:type="dxa"/>
            <w:gridSpan w:val="12"/>
          </w:tcPr>
          <w:p w14:paraId="3959A777" w14:textId="77777777" w:rsidR="00BC4D82" w:rsidRPr="00DF3833" w:rsidRDefault="00BC4D82" w:rsidP="009532D5">
            <w:pPr>
              <w:suppressAutoHyphens/>
              <w:overflowPunct w:val="0"/>
              <w:autoSpaceDE w:val="0"/>
              <w:autoSpaceDN w:val="0"/>
              <w:adjustRightInd w:val="0"/>
              <w:spacing w:line="276" w:lineRule="auto"/>
              <w:jc w:val="both"/>
              <w:textAlignment w:val="baseline"/>
              <w:outlineLvl w:val="3"/>
              <w:rPr>
                <w:rFonts w:cs="Arial"/>
                <w:b/>
                <w:szCs w:val="20"/>
                <w:lang w:eastAsia="sl-SI"/>
              </w:rPr>
            </w:pPr>
            <w:r w:rsidRPr="00DF3833">
              <w:rPr>
                <w:rFonts w:cs="Arial"/>
                <w:b/>
                <w:szCs w:val="20"/>
                <w:lang w:eastAsia="sl-SI"/>
              </w:rPr>
              <w:t>1. Predlog sklepov vlade:</w:t>
            </w:r>
          </w:p>
        </w:tc>
      </w:tr>
      <w:tr w:rsidR="00BC4D82" w:rsidRPr="00DF3833" w14:paraId="056CB6F6" w14:textId="77777777" w:rsidTr="009532D5">
        <w:trPr>
          <w:trHeight w:val="145"/>
        </w:trPr>
        <w:tc>
          <w:tcPr>
            <w:tcW w:w="9100" w:type="dxa"/>
            <w:gridSpan w:val="12"/>
          </w:tcPr>
          <w:p w14:paraId="557F0375" w14:textId="77777777" w:rsidR="00BC4D82" w:rsidRPr="00BC4D82" w:rsidRDefault="00BC4D82" w:rsidP="009532D5">
            <w:pPr>
              <w:widowControl w:val="0"/>
              <w:suppressAutoHyphens/>
              <w:spacing w:line="276" w:lineRule="auto"/>
              <w:jc w:val="both"/>
              <w:rPr>
                <w:rFonts w:cs="Arial"/>
                <w:color w:val="000000"/>
                <w:szCs w:val="20"/>
                <w:lang w:eastAsia="ar-SA"/>
              </w:rPr>
            </w:pPr>
            <w:r w:rsidRPr="00BC4D82">
              <w:rPr>
                <w:rFonts w:cs="Arial"/>
                <w:color w:val="000000"/>
                <w:szCs w:val="20"/>
                <w:lang w:eastAsia="ar-SA"/>
              </w:rPr>
              <w:t>Na podlagi šestega odstavka 21. člena Zakona o Vladi Republike Slovenije (Uradni list RS, št. 24/05 – uradno prečiščeno besedilo, 109/08, 55/09, 38/10 – ZUKN, 8/12, 21/13, 47/13-ZDU-1G</w:t>
            </w:r>
            <w:r w:rsidR="00500C3B">
              <w:rPr>
                <w:rFonts w:cs="Arial"/>
                <w:color w:val="000000"/>
                <w:szCs w:val="20"/>
                <w:lang w:eastAsia="ar-SA"/>
              </w:rPr>
              <w:t>,</w:t>
            </w:r>
            <w:r w:rsidRPr="00BC4D82">
              <w:rPr>
                <w:rFonts w:cs="Arial"/>
                <w:color w:val="000000"/>
                <w:szCs w:val="20"/>
                <w:lang w:eastAsia="ar-SA"/>
              </w:rPr>
              <w:t xml:space="preserve"> 65/14</w:t>
            </w:r>
            <w:r w:rsidR="00500C3B">
              <w:rPr>
                <w:rFonts w:cs="Arial"/>
                <w:color w:val="000000"/>
                <w:szCs w:val="20"/>
                <w:lang w:eastAsia="ar-SA"/>
              </w:rPr>
              <w:t xml:space="preserve"> in 55/17</w:t>
            </w:r>
            <w:r w:rsidRPr="00BC4D82">
              <w:rPr>
                <w:rFonts w:cs="Arial"/>
                <w:color w:val="000000"/>
                <w:szCs w:val="20"/>
                <w:lang w:eastAsia="ar-SA"/>
              </w:rPr>
              <w:t xml:space="preserve">) </w:t>
            </w:r>
            <w:r w:rsidR="00E25A6E">
              <w:rPr>
                <w:rFonts w:cs="Arial"/>
                <w:color w:val="000000"/>
                <w:szCs w:val="20"/>
                <w:lang w:eastAsia="ar-SA"/>
              </w:rPr>
              <w:t>in 56. člena Zakona o državni upravi (</w:t>
            </w:r>
            <w:r w:rsidR="00E25A6E">
              <w:t>Uradni list RS, št. 113/05 – uradno prečiščeno besedilo, 89/07 – odl. US, 126/07 – ZUP-E, 48/09, 8/10 – ZUP-G, 8/12 – ZVRS-F, 21/12, 47/13, 12/14, 90/14 in 51/16)</w:t>
            </w:r>
            <w:r w:rsidR="00E25A6E">
              <w:rPr>
                <w:rFonts w:cs="Arial"/>
                <w:color w:val="000000"/>
                <w:szCs w:val="20"/>
                <w:lang w:eastAsia="ar-SA"/>
              </w:rPr>
              <w:t xml:space="preserve"> </w:t>
            </w:r>
            <w:r w:rsidRPr="00BC4D82">
              <w:rPr>
                <w:rFonts w:cs="Arial"/>
                <w:color w:val="000000"/>
                <w:szCs w:val="20"/>
                <w:lang w:eastAsia="ar-SA"/>
              </w:rPr>
              <w:t>je Vlada Republike Slovenije na seji dne ... pod točko ... sprejela naslednje sklepe:</w:t>
            </w:r>
          </w:p>
          <w:p w14:paraId="04B48928" w14:textId="77777777" w:rsidR="00BC4D82" w:rsidRPr="00BC4D82" w:rsidRDefault="00BC4D82" w:rsidP="009532D5">
            <w:pPr>
              <w:widowControl w:val="0"/>
              <w:suppressAutoHyphens/>
              <w:spacing w:line="276" w:lineRule="auto"/>
              <w:jc w:val="both"/>
              <w:rPr>
                <w:rFonts w:cs="Arial"/>
                <w:color w:val="000000"/>
                <w:szCs w:val="20"/>
                <w:lang w:eastAsia="ar-SA"/>
              </w:rPr>
            </w:pPr>
          </w:p>
          <w:p w14:paraId="1CFE7B5B" w14:textId="075F56CA" w:rsidR="00BC4D82" w:rsidRPr="00BC4D82" w:rsidRDefault="00BC4D82" w:rsidP="00390BFB">
            <w:pPr>
              <w:pStyle w:val="Neotevilenodstavek"/>
              <w:numPr>
                <w:ilvl w:val="0"/>
                <w:numId w:val="9"/>
              </w:numPr>
              <w:spacing w:before="0" w:after="0" w:line="276" w:lineRule="auto"/>
              <w:rPr>
                <w:color w:val="000000"/>
                <w:sz w:val="20"/>
                <w:szCs w:val="20"/>
                <w:lang w:eastAsia="ar-SA"/>
              </w:rPr>
            </w:pPr>
            <w:r w:rsidRPr="00BC4D82">
              <w:rPr>
                <w:color w:val="000000"/>
                <w:sz w:val="20"/>
                <w:szCs w:val="20"/>
                <w:lang w:eastAsia="ar-SA"/>
              </w:rPr>
              <w:t xml:space="preserve">Vlada Republike Slovenije se je seznanila z </w:t>
            </w:r>
            <w:r w:rsidR="0042121F" w:rsidRPr="0042121F">
              <w:rPr>
                <w:color w:val="000000"/>
                <w:sz w:val="20"/>
                <w:szCs w:val="20"/>
                <w:lang w:eastAsia="ar-SA"/>
              </w:rPr>
              <w:t>Informacijo o pripravi celovitega strateškega projekta razogljičenja Slovenije preko prehoda v krožno gospodarstvo</w:t>
            </w:r>
            <w:r w:rsidRPr="00BC4D82">
              <w:rPr>
                <w:color w:val="000000"/>
                <w:sz w:val="20"/>
                <w:szCs w:val="20"/>
                <w:lang w:eastAsia="ar-SA"/>
              </w:rPr>
              <w:t xml:space="preserve"> (angleško »A Deep Demonstration of a Circular, Regenerative and Low-Carbon Economy«), ki ga </w:t>
            </w:r>
            <w:r w:rsidR="008D711A">
              <w:rPr>
                <w:color w:val="000000"/>
                <w:sz w:val="20"/>
                <w:szCs w:val="20"/>
                <w:lang w:eastAsia="ar-SA"/>
              </w:rPr>
              <w:t>Ministrstvo</w:t>
            </w:r>
            <w:r w:rsidR="008D711A" w:rsidRPr="00BC4D82">
              <w:rPr>
                <w:color w:val="000000"/>
                <w:sz w:val="20"/>
                <w:szCs w:val="20"/>
                <w:lang w:eastAsia="ar-SA"/>
              </w:rPr>
              <w:t xml:space="preserve"> z</w:t>
            </w:r>
            <w:r w:rsidR="008D711A">
              <w:rPr>
                <w:color w:val="000000"/>
                <w:sz w:val="20"/>
                <w:szCs w:val="20"/>
                <w:lang w:eastAsia="ar-SA"/>
              </w:rPr>
              <w:t>a okolje in prostor, Ministrstvo</w:t>
            </w:r>
            <w:r w:rsidR="008D711A" w:rsidRPr="00BC4D82">
              <w:rPr>
                <w:color w:val="000000"/>
                <w:sz w:val="20"/>
                <w:szCs w:val="20"/>
                <w:lang w:eastAsia="ar-SA"/>
              </w:rPr>
              <w:t xml:space="preserve"> za gospodarski ra</w:t>
            </w:r>
            <w:r w:rsidR="008D711A">
              <w:rPr>
                <w:color w:val="000000"/>
                <w:sz w:val="20"/>
                <w:szCs w:val="20"/>
                <w:lang w:eastAsia="ar-SA"/>
              </w:rPr>
              <w:t>zvoj in tehnologijo, Ministrstvo</w:t>
            </w:r>
            <w:r w:rsidR="008D711A" w:rsidRPr="00BC4D82">
              <w:rPr>
                <w:color w:val="000000"/>
                <w:sz w:val="20"/>
                <w:szCs w:val="20"/>
                <w:lang w:eastAsia="ar-SA"/>
              </w:rPr>
              <w:t xml:space="preserve"> za izobraž</w:t>
            </w:r>
            <w:r w:rsidR="008D711A">
              <w:rPr>
                <w:color w:val="000000"/>
                <w:sz w:val="20"/>
                <w:szCs w:val="20"/>
                <w:lang w:eastAsia="ar-SA"/>
              </w:rPr>
              <w:t>evanje, znanost in šport, Služba Vlade</w:t>
            </w:r>
            <w:r w:rsidR="008D711A" w:rsidRPr="00BC4D82">
              <w:rPr>
                <w:color w:val="000000"/>
                <w:sz w:val="20"/>
                <w:szCs w:val="20"/>
                <w:lang w:eastAsia="ar-SA"/>
              </w:rPr>
              <w:t xml:space="preserve"> </w:t>
            </w:r>
            <w:r w:rsidR="008D711A">
              <w:rPr>
                <w:color w:val="000000"/>
                <w:sz w:val="20"/>
                <w:szCs w:val="20"/>
                <w:lang w:eastAsia="ar-SA"/>
              </w:rPr>
              <w:t xml:space="preserve">RS </w:t>
            </w:r>
            <w:r w:rsidR="008D711A" w:rsidRPr="00BC4D82">
              <w:rPr>
                <w:color w:val="000000"/>
                <w:sz w:val="20"/>
                <w:szCs w:val="20"/>
                <w:lang w:eastAsia="ar-SA"/>
              </w:rPr>
              <w:t xml:space="preserve">za razvoj in evropsko </w:t>
            </w:r>
            <w:r w:rsidR="008D711A">
              <w:rPr>
                <w:color w:val="000000"/>
                <w:sz w:val="20"/>
                <w:szCs w:val="20"/>
                <w:lang w:eastAsia="ar-SA"/>
              </w:rPr>
              <w:t>kohezijsko politiko, Ministrstvo</w:t>
            </w:r>
            <w:r w:rsidR="008D711A" w:rsidRPr="00BC4D82">
              <w:rPr>
                <w:color w:val="000000"/>
                <w:sz w:val="20"/>
                <w:szCs w:val="20"/>
                <w:lang w:eastAsia="ar-SA"/>
              </w:rPr>
              <w:t xml:space="preserve"> za infrast</w:t>
            </w:r>
            <w:r w:rsidR="008D711A">
              <w:rPr>
                <w:color w:val="000000"/>
                <w:sz w:val="20"/>
                <w:szCs w:val="20"/>
                <w:lang w:eastAsia="ar-SA"/>
              </w:rPr>
              <w:t>rukturo</w:t>
            </w:r>
            <w:r w:rsidR="008D711A" w:rsidRPr="00BC4D82">
              <w:rPr>
                <w:color w:val="000000"/>
                <w:sz w:val="20"/>
                <w:szCs w:val="20"/>
                <w:lang w:eastAsia="ar-SA"/>
              </w:rPr>
              <w:t xml:space="preserve"> </w:t>
            </w:r>
            <w:r w:rsidR="008D711A">
              <w:rPr>
                <w:color w:val="000000"/>
                <w:sz w:val="20"/>
                <w:szCs w:val="20"/>
                <w:lang w:eastAsia="ar-SA"/>
              </w:rPr>
              <w:t xml:space="preserve">in </w:t>
            </w:r>
            <w:r w:rsidR="008D711A" w:rsidRPr="00BC4D82">
              <w:rPr>
                <w:color w:val="000000"/>
                <w:sz w:val="20"/>
                <w:szCs w:val="20"/>
                <w:lang w:eastAsia="ar-SA"/>
              </w:rPr>
              <w:t>Ministrstv</w:t>
            </w:r>
            <w:r w:rsidR="008D711A">
              <w:rPr>
                <w:color w:val="000000"/>
                <w:sz w:val="20"/>
                <w:szCs w:val="20"/>
                <w:lang w:eastAsia="ar-SA"/>
              </w:rPr>
              <w:t>o</w:t>
            </w:r>
            <w:r w:rsidR="008D711A" w:rsidRPr="00BC4D82">
              <w:rPr>
                <w:color w:val="000000"/>
                <w:sz w:val="20"/>
                <w:szCs w:val="20"/>
                <w:lang w:eastAsia="ar-SA"/>
              </w:rPr>
              <w:t xml:space="preserve"> za kmetijstvo, gozdarstvo in prehrano</w:t>
            </w:r>
            <w:r w:rsidR="008D711A">
              <w:rPr>
                <w:color w:val="000000"/>
                <w:sz w:val="20"/>
                <w:szCs w:val="20"/>
                <w:lang w:eastAsia="ar-SA"/>
              </w:rPr>
              <w:t xml:space="preserve"> </w:t>
            </w:r>
            <w:r w:rsidRPr="00BC4D82">
              <w:rPr>
                <w:color w:val="000000"/>
                <w:sz w:val="20"/>
                <w:szCs w:val="20"/>
                <w:lang w:eastAsia="ar-SA"/>
              </w:rPr>
              <w:t>pripravljajo kot pilotno aktivnost na evropski ravni v sodelovanju z dvema evropskima javnima organoma – Evropskim inštitutom za inovacije in tehnologijo (EIT KIC Climate in EIT KIC Raw materials) in Skupnim raziskovalnim središčem (JRC) Evropske komisije.</w:t>
            </w:r>
          </w:p>
          <w:p w14:paraId="69CF11E5" w14:textId="77777777" w:rsidR="00BC4D82" w:rsidRPr="00BC4D82" w:rsidRDefault="00BC4D82" w:rsidP="009532D5">
            <w:pPr>
              <w:pStyle w:val="Neotevilenodstavek"/>
              <w:spacing w:before="0" w:after="0" w:line="276" w:lineRule="auto"/>
              <w:ind w:left="720"/>
              <w:rPr>
                <w:color w:val="000000"/>
                <w:sz w:val="20"/>
                <w:szCs w:val="20"/>
                <w:lang w:eastAsia="ar-SA"/>
              </w:rPr>
            </w:pPr>
          </w:p>
          <w:p w14:paraId="47EE751A" w14:textId="6CCC8BE3" w:rsidR="00BC4D82" w:rsidRPr="00BC4D82" w:rsidRDefault="00BC4D82" w:rsidP="00390BFB">
            <w:pPr>
              <w:pStyle w:val="Odstavekseznama"/>
              <w:numPr>
                <w:ilvl w:val="0"/>
                <w:numId w:val="9"/>
              </w:numPr>
              <w:spacing w:line="260" w:lineRule="atLeast"/>
              <w:jc w:val="both"/>
              <w:rPr>
                <w:rFonts w:ascii="Arial" w:hAnsi="Arial" w:cs="Arial"/>
                <w:color w:val="000000"/>
                <w:sz w:val="20"/>
                <w:szCs w:val="20"/>
                <w:lang w:eastAsia="ar-SA"/>
              </w:rPr>
            </w:pPr>
            <w:r w:rsidRPr="00BC4D82">
              <w:rPr>
                <w:rFonts w:ascii="Arial" w:hAnsi="Arial" w:cs="Arial"/>
                <w:color w:val="000000"/>
                <w:sz w:val="20"/>
                <w:szCs w:val="20"/>
                <w:lang w:eastAsia="ar-SA"/>
              </w:rPr>
              <w:t xml:space="preserve">Vlada Republike Slovenije </w:t>
            </w:r>
            <w:r w:rsidR="00DE2751">
              <w:rPr>
                <w:rFonts w:ascii="Arial" w:hAnsi="Arial" w:cs="Arial"/>
                <w:color w:val="000000"/>
                <w:sz w:val="20"/>
                <w:szCs w:val="20"/>
                <w:lang w:eastAsia="ar-SA"/>
              </w:rPr>
              <w:t>se seznani</w:t>
            </w:r>
            <w:r w:rsidRPr="00BC4D82">
              <w:rPr>
                <w:rFonts w:ascii="Arial" w:hAnsi="Arial" w:cs="Arial"/>
                <w:color w:val="000000"/>
                <w:sz w:val="20"/>
                <w:szCs w:val="20"/>
                <w:lang w:eastAsia="ar-SA"/>
              </w:rPr>
              <w:t xml:space="preserve">, da je celovit strateški projekt za nizkoogljično krožno gospodarstvo zasnovan kot dolgoročno sodelovanje, pri čemer sodelujoča evropska javna organa nastopata v funkciji podpore nacionalnemu sistemu v okviru njegovih ključnih izzivov. </w:t>
            </w:r>
          </w:p>
          <w:p w14:paraId="220F4A67" w14:textId="77777777" w:rsidR="00BC4D82" w:rsidRPr="00BC4D82" w:rsidRDefault="00BC4D82" w:rsidP="009532D5">
            <w:pPr>
              <w:pStyle w:val="Neotevilenodstavek"/>
              <w:spacing w:before="0" w:after="0" w:line="276" w:lineRule="auto"/>
              <w:rPr>
                <w:iCs/>
                <w:sz w:val="20"/>
                <w:szCs w:val="20"/>
              </w:rPr>
            </w:pPr>
          </w:p>
          <w:p w14:paraId="3FA610BC" w14:textId="4DA10B98" w:rsidR="00BC4D82" w:rsidRPr="00BC4D82" w:rsidRDefault="00BC4D82" w:rsidP="00790A61">
            <w:pPr>
              <w:pStyle w:val="Odstavekseznama"/>
              <w:numPr>
                <w:ilvl w:val="0"/>
                <w:numId w:val="9"/>
              </w:numPr>
              <w:spacing w:line="260" w:lineRule="atLeast"/>
              <w:jc w:val="both"/>
              <w:rPr>
                <w:rFonts w:ascii="Arial" w:hAnsi="Arial" w:cs="Arial"/>
                <w:color w:val="000000"/>
                <w:sz w:val="20"/>
                <w:szCs w:val="20"/>
                <w:lang w:eastAsia="ar-SA"/>
              </w:rPr>
            </w:pPr>
            <w:r w:rsidRPr="00BC4D82">
              <w:rPr>
                <w:rFonts w:ascii="Arial" w:hAnsi="Arial" w:cs="Arial"/>
                <w:color w:val="000000"/>
                <w:sz w:val="20"/>
                <w:szCs w:val="20"/>
                <w:lang w:eastAsia="ar-SA"/>
              </w:rPr>
              <w:t>Vlada Republike Slovenije nalaga</w:t>
            </w:r>
            <w:r w:rsidR="00790A61">
              <w:rPr>
                <w:rFonts w:ascii="Arial" w:hAnsi="Arial" w:cs="Arial"/>
                <w:color w:val="000000"/>
                <w:sz w:val="20"/>
                <w:szCs w:val="20"/>
                <w:lang w:eastAsia="ar-SA"/>
              </w:rPr>
              <w:t xml:space="preserve"> </w:t>
            </w:r>
            <w:r w:rsidR="00E25A6E">
              <w:rPr>
                <w:rFonts w:ascii="Arial" w:hAnsi="Arial" w:cs="Arial"/>
                <w:color w:val="000000"/>
                <w:sz w:val="20"/>
                <w:szCs w:val="20"/>
                <w:lang w:eastAsia="ar-SA"/>
              </w:rPr>
              <w:t xml:space="preserve">ministrstvom in vladni službi </w:t>
            </w:r>
            <w:r w:rsidR="00790A61">
              <w:rPr>
                <w:rFonts w:ascii="Arial" w:hAnsi="Arial" w:cs="Arial"/>
                <w:color w:val="000000"/>
                <w:sz w:val="20"/>
                <w:szCs w:val="20"/>
                <w:lang w:eastAsia="ar-SA"/>
              </w:rPr>
              <w:t xml:space="preserve">iz </w:t>
            </w:r>
            <w:r w:rsidR="00E25A6E">
              <w:rPr>
                <w:rFonts w:ascii="Arial" w:hAnsi="Arial" w:cs="Arial"/>
                <w:color w:val="000000"/>
                <w:sz w:val="20"/>
                <w:szCs w:val="20"/>
                <w:lang w:eastAsia="ar-SA"/>
              </w:rPr>
              <w:t xml:space="preserve">1. točke tega </w:t>
            </w:r>
            <w:r w:rsidR="00790A61">
              <w:rPr>
                <w:rFonts w:ascii="Arial" w:hAnsi="Arial" w:cs="Arial"/>
                <w:color w:val="000000"/>
                <w:sz w:val="20"/>
                <w:szCs w:val="20"/>
                <w:lang w:eastAsia="ar-SA"/>
              </w:rPr>
              <w:t xml:space="preserve">sklepa, </w:t>
            </w:r>
            <w:r w:rsidRPr="00BC4D82">
              <w:rPr>
                <w:rFonts w:ascii="Arial" w:hAnsi="Arial" w:cs="Arial"/>
                <w:color w:val="000000"/>
                <w:sz w:val="20"/>
                <w:szCs w:val="20"/>
                <w:lang w:eastAsia="ar-SA"/>
              </w:rPr>
              <w:t>da skupaj z Evropskim inštitutom za inovacije in tehnologijo (EIT KIC Climate in EIT KIC Raw materials) in Skupnim raziskovalnim središčem (JRC) Evropske komisije,</w:t>
            </w:r>
            <w:r w:rsidR="00790A61">
              <w:rPr>
                <w:rFonts w:ascii="Arial" w:hAnsi="Arial" w:cs="Arial"/>
                <w:color w:val="000000"/>
                <w:sz w:val="20"/>
                <w:szCs w:val="20"/>
                <w:lang w:eastAsia="ar-SA"/>
              </w:rPr>
              <w:t xml:space="preserve"> </w:t>
            </w:r>
            <w:r w:rsidR="0060619D">
              <w:rPr>
                <w:rFonts w:ascii="Arial" w:hAnsi="Arial" w:cs="Arial"/>
                <w:color w:val="000000"/>
                <w:sz w:val="20"/>
                <w:szCs w:val="20"/>
                <w:lang w:eastAsia="ar-SA"/>
              </w:rPr>
              <w:t xml:space="preserve">skladno s strateškimi cilji Republike Slovenije, </w:t>
            </w:r>
            <w:r w:rsidRPr="00BC4D82">
              <w:rPr>
                <w:rFonts w:ascii="Arial" w:hAnsi="Arial" w:cs="Arial"/>
                <w:color w:val="000000"/>
                <w:sz w:val="20"/>
                <w:szCs w:val="20"/>
                <w:lang w:eastAsia="ar-SA"/>
              </w:rPr>
              <w:t xml:space="preserve">dorečejo in uskladijo </w:t>
            </w:r>
            <w:r w:rsidR="0060619D">
              <w:rPr>
                <w:rFonts w:ascii="Arial" w:hAnsi="Arial" w:cs="Arial"/>
                <w:color w:val="000000"/>
                <w:sz w:val="20"/>
                <w:szCs w:val="20"/>
                <w:lang w:eastAsia="ar-SA"/>
              </w:rPr>
              <w:t xml:space="preserve">prednostne </w:t>
            </w:r>
            <w:r w:rsidRPr="00BC4D82">
              <w:rPr>
                <w:rFonts w:ascii="Arial" w:hAnsi="Arial" w:cs="Arial"/>
                <w:color w:val="000000"/>
                <w:sz w:val="20"/>
                <w:szCs w:val="20"/>
                <w:lang w:eastAsia="ar-SA"/>
              </w:rPr>
              <w:t>vsebin</w:t>
            </w:r>
            <w:r w:rsidR="0060619D">
              <w:rPr>
                <w:rFonts w:ascii="Arial" w:hAnsi="Arial" w:cs="Arial"/>
                <w:color w:val="000000"/>
                <w:sz w:val="20"/>
                <w:szCs w:val="20"/>
                <w:lang w:eastAsia="ar-SA"/>
              </w:rPr>
              <w:t>e</w:t>
            </w:r>
            <w:r w:rsidRPr="00BC4D82">
              <w:rPr>
                <w:rFonts w:ascii="Arial" w:hAnsi="Arial" w:cs="Arial"/>
                <w:color w:val="000000"/>
                <w:sz w:val="20"/>
                <w:szCs w:val="20"/>
                <w:lang w:eastAsia="ar-SA"/>
              </w:rPr>
              <w:t xml:space="preserve"> in aktivnosti celovitega strateškega projekta</w:t>
            </w:r>
            <w:r w:rsidR="0060619D">
              <w:rPr>
                <w:rFonts w:ascii="Arial" w:hAnsi="Arial" w:cs="Arial"/>
                <w:color w:val="000000"/>
                <w:sz w:val="20"/>
                <w:szCs w:val="20"/>
                <w:lang w:eastAsia="ar-SA"/>
              </w:rPr>
              <w:t xml:space="preserve"> in jih, skladno z razpoložljivimi finančnimi zmožnostmi, tudi začnejo izvajati</w:t>
            </w:r>
            <w:r w:rsidRPr="00BC4D82">
              <w:rPr>
                <w:rFonts w:ascii="Arial" w:hAnsi="Arial" w:cs="Arial"/>
                <w:color w:val="000000"/>
                <w:sz w:val="20"/>
                <w:szCs w:val="20"/>
                <w:lang w:eastAsia="ar-SA"/>
              </w:rPr>
              <w:t xml:space="preserve">. Proces </w:t>
            </w:r>
            <w:r w:rsidR="00DE2751">
              <w:rPr>
                <w:rFonts w:ascii="Arial" w:hAnsi="Arial" w:cs="Arial"/>
                <w:color w:val="000000"/>
                <w:sz w:val="20"/>
                <w:szCs w:val="20"/>
                <w:lang w:eastAsia="ar-SA"/>
              </w:rPr>
              <w:t xml:space="preserve">priprave tega </w:t>
            </w:r>
            <w:r w:rsidR="00085D11">
              <w:rPr>
                <w:rFonts w:ascii="Arial" w:hAnsi="Arial" w:cs="Arial"/>
                <w:color w:val="000000"/>
                <w:sz w:val="20"/>
                <w:szCs w:val="20"/>
                <w:lang w:eastAsia="ar-SA"/>
              </w:rPr>
              <w:t xml:space="preserve">projekta </w:t>
            </w:r>
            <w:r w:rsidR="00DE2751">
              <w:rPr>
                <w:rFonts w:ascii="Arial" w:hAnsi="Arial" w:cs="Arial"/>
                <w:color w:val="000000"/>
                <w:sz w:val="20"/>
                <w:szCs w:val="20"/>
                <w:lang w:eastAsia="ar-SA"/>
              </w:rPr>
              <w:t xml:space="preserve">usklajuje </w:t>
            </w:r>
            <w:r w:rsidR="008D711A">
              <w:rPr>
                <w:rFonts w:ascii="Arial" w:hAnsi="Arial" w:cs="Arial"/>
                <w:color w:val="000000"/>
                <w:sz w:val="20"/>
                <w:szCs w:val="20"/>
                <w:lang w:eastAsia="ar-SA"/>
              </w:rPr>
              <w:t>medresorska delovna skupina</w:t>
            </w:r>
            <w:r w:rsidR="00743A69">
              <w:rPr>
                <w:rFonts w:ascii="Arial" w:hAnsi="Arial" w:cs="Arial"/>
                <w:color w:val="000000"/>
                <w:sz w:val="20"/>
                <w:szCs w:val="20"/>
                <w:lang w:eastAsia="ar-SA"/>
              </w:rPr>
              <w:t xml:space="preserve"> na ravni generalnih direktorjev</w:t>
            </w:r>
            <w:r w:rsidR="008D711A">
              <w:rPr>
                <w:rFonts w:ascii="Arial" w:hAnsi="Arial" w:cs="Arial"/>
                <w:color w:val="000000"/>
                <w:sz w:val="20"/>
                <w:szCs w:val="20"/>
                <w:lang w:eastAsia="ar-SA"/>
              </w:rPr>
              <w:t xml:space="preserve">, ki jo </w:t>
            </w:r>
            <w:r w:rsidR="00743A69">
              <w:rPr>
                <w:rFonts w:ascii="Arial" w:hAnsi="Arial" w:cs="Arial"/>
                <w:color w:val="000000"/>
                <w:sz w:val="20"/>
                <w:szCs w:val="20"/>
                <w:lang w:eastAsia="ar-SA"/>
              </w:rPr>
              <w:t>imenuje</w:t>
            </w:r>
            <w:r w:rsidRPr="00BC4D82">
              <w:rPr>
                <w:rFonts w:ascii="Arial" w:hAnsi="Arial" w:cs="Arial"/>
                <w:color w:val="000000"/>
                <w:sz w:val="20"/>
                <w:szCs w:val="20"/>
                <w:lang w:eastAsia="ar-SA"/>
              </w:rPr>
              <w:t xml:space="preserve"> </w:t>
            </w:r>
            <w:r w:rsidR="00743A69">
              <w:rPr>
                <w:rFonts w:ascii="Arial" w:hAnsi="Arial" w:cs="Arial"/>
                <w:color w:val="000000"/>
                <w:sz w:val="20"/>
                <w:szCs w:val="20"/>
                <w:lang w:eastAsia="ar-SA"/>
              </w:rPr>
              <w:t>m</w:t>
            </w:r>
            <w:r w:rsidRPr="00BC4D82">
              <w:rPr>
                <w:rFonts w:ascii="Arial" w:hAnsi="Arial" w:cs="Arial"/>
                <w:color w:val="000000"/>
                <w:sz w:val="20"/>
                <w:szCs w:val="20"/>
                <w:lang w:eastAsia="ar-SA"/>
              </w:rPr>
              <w:t>inist</w:t>
            </w:r>
            <w:r w:rsidR="00743A69">
              <w:rPr>
                <w:rFonts w:ascii="Arial" w:hAnsi="Arial" w:cs="Arial"/>
                <w:color w:val="000000"/>
                <w:sz w:val="20"/>
                <w:szCs w:val="20"/>
                <w:lang w:eastAsia="ar-SA"/>
              </w:rPr>
              <w:t>er</w:t>
            </w:r>
            <w:r w:rsidR="001D376C">
              <w:rPr>
                <w:rFonts w:ascii="Arial" w:hAnsi="Arial" w:cs="Arial"/>
                <w:color w:val="000000"/>
                <w:sz w:val="20"/>
                <w:szCs w:val="20"/>
                <w:lang w:eastAsia="ar-SA"/>
              </w:rPr>
              <w:t>,</w:t>
            </w:r>
            <w:r w:rsidR="00743A69">
              <w:rPr>
                <w:rFonts w:ascii="Arial" w:hAnsi="Arial" w:cs="Arial"/>
                <w:color w:val="000000"/>
                <w:sz w:val="20"/>
                <w:szCs w:val="20"/>
                <w:lang w:eastAsia="ar-SA"/>
              </w:rPr>
              <w:t xml:space="preserve"> pristojen</w:t>
            </w:r>
            <w:r w:rsidRPr="00BC4D82">
              <w:rPr>
                <w:rFonts w:ascii="Arial" w:hAnsi="Arial" w:cs="Arial"/>
                <w:color w:val="000000"/>
                <w:sz w:val="20"/>
                <w:szCs w:val="20"/>
                <w:lang w:eastAsia="ar-SA"/>
              </w:rPr>
              <w:t xml:space="preserve"> za </w:t>
            </w:r>
            <w:r w:rsidR="001A0983" w:rsidRPr="001A0983">
              <w:rPr>
                <w:rFonts w:ascii="Arial" w:hAnsi="Arial" w:cs="Arial"/>
                <w:color w:val="000000"/>
                <w:sz w:val="20"/>
                <w:szCs w:val="20"/>
                <w:lang w:eastAsia="ar-SA"/>
              </w:rPr>
              <w:t>okolje in prostor</w:t>
            </w:r>
            <w:r w:rsidR="0060619D">
              <w:rPr>
                <w:rFonts w:ascii="Arial" w:hAnsi="Arial" w:cs="Arial"/>
                <w:color w:val="000000"/>
                <w:sz w:val="20"/>
                <w:szCs w:val="20"/>
                <w:lang w:eastAsia="ar-SA"/>
              </w:rPr>
              <w:t>,</w:t>
            </w:r>
            <w:r w:rsidR="00745355">
              <w:rPr>
                <w:rFonts w:ascii="Arial" w:hAnsi="Arial" w:cs="Arial"/>
                <w:color w:val="000000"/>
                <w:sz w:val="20"/>
                <w:szCs w:val="20"/>
                <w:lang w:eastAsia="ar-SA"/>
              </w:rPr>
              <w:t xml:space="preserve"> in</w:t>
            </w:r>
            <w:r w:rsidR="0060619D">
              <w:rPr>
                <w:rFonts w:ascii="Arial" w:hAnsi="Arial" w:cs="Arial"/>
                <w:color w:val="000000"/>
                <w:sz w:val="20"/>
                <w:szCs w:val="20"/>
                <w:lang w:eastAsia="ar-SA"/>
              </w:rPr>
              <w:t xml:space="preserve"> ki o izvajanju celovitega strateškega projekta redno poroča Vladi </w:t>
            </w:r>
            <w:r w:rsidR="00745355">
              <w:rPr>
                <w:rFonts w:ascii="Arial" w:hAnsi="Arial" w:cs="Arial"/>
                <w:color w:val="000000"/>
                <w:sz w:val="20"/>
                <w:szCs w:val="20"/>
                <w:lang w:eastAsia="ar-SA"/>
              </w:rPr>
              <w:t>Republike Slovenije</w:t>
            </w:r>
            <w:r w:rsidRPr="00BC4D82">
              <w:rPr>
                <w:rFonts w:ascii="Arial" w:hAnsi="Arial" w:cs="Arial"/>
                <w:color w:val="000000"/>
                <w:sz w:val="20"/>
                <w:szCs w:val="20"/>
                <w:lang w:eastAsia="ar-SA"/>
              </w:rPr>
              <w:t>.</w:t>
            </w:r>
          </w:p>
          <w:p w14:paraId="60DCC26E" w14:textId="77777777" w:rsidR="00BC4D82" w:rsidRPr="00BC4D82" w:rsidRDefault="00BC4D82" w:rsidP="009532D5">
            <w:pPr>
              <w:pStyle w:val="Neotevilenodstavek"/>
              <w:spacing w:before="0" w:after="0" w:line="276" w:lineRule="auto"/>
              <w:rPr>
                <w:color w:val="000000"/>
                <w:sz w:val="20"/>
                <w:szCs w:val="20"/>
                <w:lang w:eastAsia="ar-SA"/>
              </w:rPr>
            </w:pPr>
          </w:p>
          <w:p w14:paraId="101BD067" w14:textId="3F6DE4D8" w:rsidR="00BC4D82" w:rsidRPr="00BC4D82" w:rsidRDefault="00BC4D82" w:rsidP="00390BFB">
            <w:pPr>
              <w:pStyle w:val="Neotevilenodstavek"/>
              <w:numPr>
                <w:ilvl w:val="0"/>
                <w:numId w:val="9"/>
              </w:numPr>
              <w:spacing w:before="0" w:after="0" w:line="276" w:lineRule="auto"/>
              <w:ind w:right="-109"/>
              <w:rPr>
                <w:color w:val="000000"/>
                <w:sz w:val="20"/>
                <w:szCs w:val="20"/>
                <w:lang w:eastAsia="ar-SA"/>
              </w:rPr>
            </w:pPr>
            <w:r w:rsidRPr="00BC4D82">
              <w:rPr>
                <w:color w:val="000000"/>
                <w:sz w:val="20"/>
                <w:szCs w:val="20"/>
                <w:lang w:eastAsia="ar-SA"/>
              </w:rPr>
              <w:t>Vlada Republike Slovenije nalaga</w:t>
            </w:r>
            <w:r w:rsidR="00DE2751">
              <w:rPr>
                <w:color w:val="000000"/>
                <w:sz w:val="20"/>
                <w:szCs w:val="20"/>
                <w:lang w:eastAsia="ar-SA"/>
              </w:rPr>
              <w:t>, da se pri</w:t>
            </w:r>
            <w:r w:rsidRPr="00BC4D82">
              <w:rPr>
                <w:color w:val="000000"/>
                <w:sz w:val="20"/>
                <w:szCs w:val="20"/>
                <w:lang w:eastAsia="ar-SA"/>
              </w:rPr>
              <w:t xml:space="preserve"> pripravi vsebine in aktivnosti projekta upoštevajo načrtovane mednarodne aktivnosti Slovenije na področju krožnega gospodarstva.   </w:t>
            </w:r>
          </w:p>
          <w:p w14:paraId="1616BC1D" w14:textId="77777777" w:rsidR="00BC4D82" w:rsidRPr="00BC4D82" w:rsidRDefault="00BC4D82" w:rsidP="009532D5">
            <w:pPr>
              <w:pStyle w:val="Odstavekseznama"/>
              <w:rPr>
                <w:rFonts w:ascii="Arial" w:hAnsi="Arial" w:cs="Arial"/>
                <w:color w:val="000000"/>
                <w:sz w:val="20"/>
                <w:szCs w:val="20"/>
                <w:lang w:eastAsia="ar-SA"/>
              </w:rPr>
            </w:pPr>
            <w:r w:rsidRPr="00BC4D82">
              <w:rPr>
                <w:rFonts w:ascii="Arial" w:hAnsi="Arial" w:cs="Arial"/>
                <w:color w:val="000000"/>
                <w:sz w:val="20"/>
                <w:szCs w:val="20"/>
              </w:rPr>
              <w:tab/>
            </w:r>
          </w:p>
          <w:p w14:paraId="013B5CF6" w14:textId="3A9AC578" w:rsidR="001A0983" w:rsidRPr="001A0983" w:rsidRDefault="00BC4D82" w:rsidP="001A0983">
            <w:pPr>
              <w:pStyle w:val="Neotevilenodstavek"/>
              <w:numPr>
                <w:ilvl w:val="0"/>
                <w:numId w:val="9"/>
              </w:numPr>
              <w:spacing w:before="0" w:after="0" w:line="276" w:lineRule="auto"/>
              <w:ind w:right="-109"/>
              <w:rPr>
                <w:color w:val="000000"/>
                <w:sz w:val="20"/>
                <w:szCs w:val="20"/>
                <w:lang w:eastAsia="ar-SA"/>
              </w:rPr>
            </w:pPr>
            <w:r w:rsidRPr="001A0983">
              <w:rPr>
                <w:color w:val="000000"/>
                <w:sz w:val="20"/>
                <w:szCs w:val="20"/>
                <w:lang w:eastAsia="ar-SA"/>
              </w:rPr>
              <w:lastRenderedPageBreak/>
              <w:t>Vlada Republike Slovenije nalaga</w:t>
            </w:r>
            <w:r w:rsidR="00DE2751">
              <w:rPr>
                <w:color w:val="000000"/>
                <w:sz w:val="20"/>
                <w:szCs w:val="20"/>
                <w:lang w:eastAsia="ar-SA"/>
              </w:rPr>
              <w:t xml:space="preserve"> Ministrstvu za okolje in prostor</w:t>
            </w:r>
            <w:r w:rsidRPr="001A0983">
              <w:rPr>
                <w:color w:val="000000"/>
                <w:sz w:val="20"/>
                <w:szCs w:val="20"/>
                <w:lang w:eastAsia="ar-SA"/>
              </w:rPr>
              <w:t>, da</w:t>
            </w:r>
            <w:r w:rsidR="00DE2751">
              <w:rPr>
                <w:color w:val="000000"/>
                <w:sz w:val="20"/>
                <w:szCs w:val="20"/>
                <w:lang w:eastAsia="ar-SA"/>
              </w:rPr>
              <w:t xml:space="preserve"> ji</w:t>
            </w:r>
            <w:r w:rsidRPr="001A0983">
              <w:rPr>
                <w:color w:val="000000"/>
                <w:sz w:val="20"/>
                <w:szCs w:val="20"/>
                <w:lang w:eastAsia="ar-SA"/>
              </w:rPr>
              <w:t xml:space="preserve"> hkrati s predložitvijo </w:t>
            </w:r>
            <w:r w:rsidR="00DE2751">
              <w:rPr>
                <w:color w:val="000000"/>
                <w:sz w:val="20"/>
                <w:szCs w:val="20"/>
                <w:lang w:eastAsia="ar-SA"/>
              </w:rPr>
              <w:t>predloga</w:t>
            </w:r>
            <w:r w:rsidR="00DE2751" w:rsidRPr="001A0983">
              <w:rPr>
                <w:color w:val="000000"/>
                <w:sz w:val="20"/>
                <w:szCs w:val="20"/>
                <w:lang w:eastAsia="ar-SA"/>
              </w:rPr>
              <w:t xml:space="preserve"> </w:t>
            </w:r>
            <w:r w:rsidRPr="001A0983">
              <w:rPr>
                <w:color w:val="000000"/>
                <w:sz w:val="20"/>
                <w:szCs w:val="20"/>
                <w:lang w:eastAsia="ar-SA"/>
              </w:rPr>
              <w:t>za izvedbo projekta</w:t>
            </w:r>
            <w:r w:rsidR="00DE2751">
              <w:rPr>
                <w:color w:val="000000"/>
                <w:sz w:val="20"/>
                <w:szCs w:val="20"/>
                <w:lang w:eastAsia="ar-SA"/>
              </w:rPr>
              <w:t>,</w:t>
            </w:r>
            <w:r w:rsidRPr="001A0983">
              <w:rPr>
                <w:color w:val="000000"/>
                <w:sz w:val="20"/>
                <w:szCs w:val="20"/>
                <w:lang w:eastAsia="ar-SA"/>
              </w:rPr>
              <w:t xml:space="preserve"> predloži tudi predlog </w:t>
            </w:r>
            <w:r w:rsidR="001A0983" w:rsidRPr="001A0983">
              <w:rPr>
                <w:color w:val="000000"/>
                <w:sz w:val="20"/>
                <w:szCs w:val="20"/>
                <w:lang w:eastAsia="ar-SA"/>
              </w:rPr>
              <w:t xml:space="preserve">organizacijske </w:t>
            </w:r>
            <w:r w:rsidRPr="001A0983">
              <w:rPr>
                <w:color w:val="000000"/>
                <w:sz w:val="20"/>
                <w:szCs w:val="20"/>
                <w:lang w:eastAsia="ar-SA"/>
              </w:rPr>
              <w:t xml:space="preserve">rešitve glede oblikovanja centra, ki bo zagotavljal </w:t>
            </w:r>
            <w:r w:rsidR="001A0983">
              <w:rPr>
                <w:color w:val="000000"/>
                <w:sz w:val="20"/>
                <w:szCs w:val="20"/>
                <w:lang w:eastAsia="ar-SA"/>
              </w:rPr>
              <w:t xml:space="preserve">usklajene in celovite aktivnosti za prehod v </w:t>
            </w:r>
            <w:r w:rsidR="000F2B8B">
              <w:rPr>
                <w:color w:val="000000"/>
                <w:sz w:val="20"/>
                <w:szCs w:val="20"/>
                <w:lang w:eastAsia="ar-SA"/>
              </w:rPr>
              <w:t xml:space="preserve">nizkoogljično </w:t>
            </w:r>
            <w:r w:rsidR="001A0983">
              <w:rPr>
                <w:color w:val="000000"/>
                <w:sz w:val="20"/>
                <w:szCs w:val="20"/>
                <w:lang w:eastAsia="ar-SA"/>
              </w:rPr>
              <w:t>krožno družbo</w:t>
            </w:r>
            <w:r w:rsidR="001A0983" w:rsidRPr="001A0983">
              <w:rPr>
                <w:color w:val="000000"/>
                <w:sz w:val="20"/>
                <w:szCs w:val="20"/>
                <w:lang w:eastAsia="ar-SA"/>
              </w:rPr>
              <w:t xml:space="preserve"> </w:t>
            </w:r>
            <w:r w:rsidRPr="001A0983">
              <w:rPr>
                <w:color w:val="000000"/>
                <w:sz w:val="20"/>
                <w:szCs w:val="20"/>
                <w:lang w:eastAsia="ar-SA"/>
              </w:rPr>
              <w:t xml:space="preserve">tudi po zaključku obdobja trajanja projekta. </w:t>
            </w:r>
          </w:p>
          <w:p w14:paraId="5D69F43A" w14:textId="77777777" w:rsidR="00BC4D82" w:rsidRPr="00BC4D82" w:rsidRDefault="00BC4D82" w:rsidP="009532D5">
            <w:pPr>
              <w:pStyle w:val="Odstavekseznama"/>
              <w:rPr>
                <w:rFonts w:ascii="Arial" w:hAnsi="Arial" w:cs="Arial"/>
                <w:color w:val="000000"/>
                <w:sz w:val="20"/>
                <w:szCs w:val="20"/>
                <w:lang w:eastAsia="ar-SA"/>
              </w:rPr>
            </w:pPr>
          </w:p>
          <w:p w14:paraId="44CB2B04" w14:textId="77777777" w:rsidR="00BC4D82" w:rsidRPr="00BC4D82" w:rsidRDefault="00BC4D82" w:rsidP="009532D5">
            <w:pPr>
              <w:pStyle w:val="Neotevilenodstavek"/>
              <w:spacing w:before="0" w:after="0" w:line="276" w:lineRule="auto"/>
              <w:rPr>
                <w:color w:val="000000"/>
                <w:sz w:val="20"/>
                <w:szCs w:val="20"/>
              </w:rPr>
            </w:pPr>
          </w:p>
          <w:p w14:paraId="413E0481" w14:textId="77777777" w:rsidR="00BC4D82" w:rsidRPr="00BC4D82" w:rsidRDefault="00BC4D82" w:rsidP="009532D5">
            <w:pPr>
              <w:autoSpaceDE w:val="0"/>
              <w:autoSpaceDN w:val="0"/>
              <w:adjustRightInd w:val="0"/>
              <w:spacing w:line="276" w:lineRule="auto"/>
              <w:ind w:right="-251"/>
              <w:jc w:val="both"/>
              <w:rPr>
                <w:rFonts w:cs="Arial"/>
                <w:szCs w:val="20"/>
                <w:lang w:eastAsia="sl-SI"/>
              </w:rPr>
            </w:pPr>
          </w:p>
          <w:p w14:paraId="033FB0B8" w14:textId="77777777" w:rsidR="00BC4D82" w:rsidRPr="00BC4D82" w:rsidRDefault="00BC4D82" w:rsidP="009532D5">
            <w:pPr>
              <w:autoSpaceDE w:val="0"/>
              <w:autoSpaceDN w:val="0"/>
              <w:adjustRightInd w:val="0"/>
              <w:spacing w:line="276" w:lineRule="auto"/>
              <w:ind w:left="4320"/>
              <w:jc w:val="both"/>
              <w:rPr>
                <w:rFonts w:eastAsia="SimSun" w:cs="Arial"/>
                <w:bCs/>
                <w:szCs w:val="20"/>
                <w:lang w:eastAsia="zh-CN"/>
              </w:rPr>
            </w:pPr>
            <w:r w:rsidRPr="00BC4D82">
              <w:rPr>
                <w:rFonts w:eastAsia="SimSun" w:cs="Arial"/>
                <w:bCs/>
                <w:szCs w:val="20"/>
                <w:lang w:eastAsia="zh-CN"/>
              </w:rPr>
              <w:t>Stojan Tramte</w:t>
            </w:r>
          </w:p>
          <w:p w14:paraId="3D6B2CE1" w14:textId="77777777" w:rsidR="00BC4D82" w:rsidRPr="00BC4D82" w:rsidRDefault="00BC4D82" w:rsidP="009532D5">
            <w:pPr>
              <w:autoSpaceDE w:val="0"/>
              <w:autoSpaceDN w:val="0"/>
              <w:adjustRightInd w:val="0"/>
              <w:spacing w:line="276" w:lineRule="auto"/>
              <w:ind w:left="4320"/>
              <w:jc w:val="both"/>
              <w:rPr>
                <w:rFonts w:eastAsia="SimSun" w:cs="Arial"/>
                <w:bCs/>
                <w:szCs w:val="20"/>
                <w:lang w:eastAsia="zh-CN"/>
              </w:rPr>
            </w:pPr>
            <w:r w:rsidRPr="00BC4D82">
              <w:rPr>
                <w:rFonts w:eastAsia="SimSun" w:cs="Arial"/>
                <w:bCs/>
                <w:szCs w:val="20"/>
                <w:lang w:eastAsia="zh-CN"/>
              </w:rPr>
              <w:t>GENERALNI SEKRETAR</w:t>
            </w:r>
          </w:p>
          <w:p w14:paraId="53A589C2" w14:textId="77777777" w:rsidR="00BC4D82" w:rsidRPr="00BC4D82" w:rsidRDefault="00BC4D82" w:rsidP="009532D5">
            <w:pPr>
              <w:spacing w:line="276" w:lineRule="auto"/>
              <w:jc w:val="both"/>
              <w:rPr>
                <w:rFonts w:cs="Arial"/>
                <w:bCs/>
                <w:szCs w:val="20"/>
              </w:rPr>
            </w:pPr>
          </w:p>
          <w:p w14:paraId="10A2B60A" w14:textId="77777777" w:rsidR="00BC4D82" w:rsidRPr="00BC4D82" w:rsidRDefault="00BC4D82" w:rsidP="009532D5">
            <w:pPr>
              <w:spacing w:line="276" w:lineRule="auto"/>
              <w:jc w:val="both"/>
              <w:rPr>
                <w:rFonts w:cs="Arial"/>
                <w:bCs/>
                <w:szCs w:val="20"/>
              </w:rPr>
            </w:pPr>
            <w:r w:rsidRPr="00BC4D82">
              <w:rPr>
                <w:rFonts w:cs="Arial"/>
                <w:bCs/>
                <w:szCs w:val="20"/>
              </w:rPr>
              <w:t xml:space="preserve">Sklep prejmejo: </w:t>
            </w:r>
          </w:p>
          <w:p w14:paraId="4D2E59F3" w14:textId="77777777" w:rsidR="00BC4D82" w:rsidRPr="00BC4D82" w:rsidRDefault="00BC4D82" w:rsidP="009532D5">
            <w:pPr>
              <w:spacing w:line="276" w:lineRule="auto"/>
              <w:jc w:val="both"/>
              <w:rPr>
                <w:rFonts w:cs="Arial"/>
                <w:szCs w:val="20"/>
              </w:rPr>
            </w:pPr>
            <w:r w:rsidRPr="00BC4D82">
              <w:rPr>
                <w:rFonts w:cs="Arial"/>
                <w:bCs/>
                <w:szCs w:val="20"/>
              </w:rPr>
              <w:t xml:space="preserve">- </w:t>
            </w:r>
            <w:r w:rsidRPr="00BC4D82">
              <w:rPr>
                <w:rFonts w:cs="Arial"/>
                <w:szCs w:val="20"/>
              </w:rPr>
              <w:t>ministrstva in vladne službe</w:t>
            </w:r>
          </w:p>
          <w:p w14:paraId="063DA196" w14:textId="77777777" w:rsidR="00BC4D82" w:rsidRPr="00BC4D82" w:rsidRDefault="00BC4D82" w:rsidP="009532D5">
            <w:pPr>
              <w:spacing w:line="276" w:lineRule="auto"/>
              <w:jc w:val="both"/>
              <w:rPr>
                <w:rFonts w:cs="Arial"/>
                <w:szCs w:val="20"/>
              </w:rPr>
            </w:pPr>
          </w:p>
        </w:tc>
      </w:tr>
      <w:tr w:rsidR="00BC4D82" w:rsidRPr="00DF3833" w14:paraId="256A101A" w14:textId="77777777" w:rsidTr="009532D5">
        <w:trPr>
          <w:trHeight w:val="472"/>
        </w:trPr>
        <w:tc>
          <w:tcPr>
            <w:tcW w:w="9100" w:type="dxa"/>
            <w:gridSpan w:val="12"/>
          </w:tcPr>
          <w:p w14:paraId="36B3A913" w14:textId="77777777" w:rsidR="00BC4D82" w:rsidRPr="00DF3833" w:rsidRDefault="00BC4D82" w:rsidP="009532D5">
            <w:pPr>
              <w:suppressAutoHyphens/>
              <w:overflowPunct w:val="0"/>
              <w:autoSpaceDE w:val="0"/>
              <w:autoSpaceDN w:val="0"/>
              <w:adjustRightInd w:val="0"/>
              <w:spacing w:line="276" w:lineRule="auto"/>
              <w:jc w:val="both"/>
              <w:textAlignment w:val="baseline"/>
              <w:outlineLvl w:val="3"/>
              <w:rPr>
                <w:rFonts w:cs="Arial"/>
                <w:b/>
                <w:szCs w:val="20"/>
                <w:lang w:eastAsia="sl-SI"/>
              </w:rPr>
            </w:pPr>
            <w:r w:rsidRPr="00DF3833">
              <w:rPr>
                <w:rFonts w:cs="Arial"/>
                <w:b/>
                <w:szCs w:val="20"/>
                <w:lang w:eastAsia="sl-SI"/>
              </w:rPr>
              <w:lastRenderedPageBreak/>
              <w:t>2. Predlog za obravnavo predloga zakona po nujnem ali skrajšanem postopku v državnem zboru z obrazložitvijo razlogov:</w:t>
            </w:r>
          </w:p>
        </w:tc>
      </w:tr>
      <w:tr w:rsidR="00BC4D82" w:rsidRPr="00DF3833" w14:paraId="065C4636" w14:textId="77777777" w:rsidTr="009532D5">
        <w:trPr>
          <w:trHeight w:val="263"/>
        </w:trPr>
        <w:tc>
          <w:tcPr>
            <w:tcW w:w="9100" w:type="dxa"/>
            <w:gridSpan w:val="12"/>
          </w:tcPr>
          <w:p w14:paraId="70F872E2" w14:textId="77777777" w:rsidR="00BC4D82" w:rsidRPr="00DF3833" w:rsidRDefault="00BC4D82" w:rsidP="009532D5">
            <w:pPr>
              <w:suppressAutoHyphens/>
              <w:overflowPunct w:val="0"/>
              <w:autoSpaceDE w:val="0"/>
              <w:autoSpaceDN w:val="0"/>
              <w:adjustRightInd w:val="0"/>
              <w:spacing w:line="276" w:lineRule="auto"/>
              <w:jc w:val="both"/>
              <w:textAlignment w:val="baseline"/>
              <w:outlineLvl w:val="3"/>
              <w:rPr>
                <w:rFonts w:cs="Arial"/>
                <w:b/>
                <w:szCs w:val="20"/>
                <w:lang w:eastAsia="sl-SI"/>
              </w:rPr>
            </w:pPr>
            <w:r w:rsidRPr="00DF3833">
              <w:rPr>
                <w:rFonts w:cs="Arial"/>
                <w:b/>
                <w:szCs w:val="20"/>
                <w:lang w:eastAsia="sl-SI"/>
              </w:rPr>
              <w:t>/</w:t>
            </w:r>
          </w:p>
        </w:tc>
      </w:tr>
      <w:tr w:rsidR="00BC4D82" w:rsidRPr="00DF3833" w14:paraId="5E2C330C" w14:textId="77777777" w:rsidTr="009532D5">
        <w:trPr>
          <w:trHeight w:val="342"/>
        </w:trPr>
        <w:tc>
          <w:tcPr>
            <w:tcW w:w="9100" w:type="dxa"/>
            <w:gridSpan w:val="12"/>
          </w:tcPr>
          <w:p w14:paraId="1CFE2DB5" w14:textId="77777777" w:rsidR="00BC4D82" w:rsidRPr="00DF3833" w:rsidRDefault="00BC4D82" w:rsidP="009532D5">
            <w:pPr>
              <w:suppressAutoHyphens/>
              <w:overflowPunct w:val="0"/>
              <w:autoSpaceDE w:val="0"/>
              <w:autoSpaceDN w:val="0"/>
              <w:adjustRightInd w:val="0"/>
              <w:spacing w:line="276" w:lineRule="auto"/>
              <w:jc w:val="both"/>
              <w:textAlignment w:val="baseline"/>
              <w:outlineLvl w:val="3"/>
              <w:rPr>
                <w:rFonts w:cs="Arial"/>
                <w:b/>
                <w:szCs w:val="20"/>
                <w:lang w:eastAsia="sl-SI"/>
              </w:rPr>
            </w:pPr>
            <w:r w:rsidRPr="00DF3833">
              <w:rPr>
                <w:rFonts w:cs="Arial"/>
                <w:b/>
                <w:szCs w:val="20"/>
                <w:lang w:eastAsia="sl-SI"/>
              </w:rPr>
              <w:t>3.a Osebe, odgovorne za strokovno pripravo in usklajenost gradiva:</w:t>
            </w:r>
          </w:p>
        </w:tc>
      </w:tr>
      <w:tr w:rsidR="00BC4D82" w:rsidRPr="00DF3833" w14:paraId="1BAD0D23" w14:textId="77777777" w:rsidTr="009532D5">
        <w:trPr>
          <w:trHeight w:val="263"/>
        </w:trPr>
        <w:tc>
          <w:tcPr>
            <w:tcW w:w="9100" w:type="dxa"/>
            <w:gridSpan w:val="12"/>
          </w:tcPr>
          <w:p w14:paraId="60AF3956" w14:textId="77777777" w:rsidR="00BC4D82" w:rsidRDefault="00BC4D82" w:rsidP="00390BFB">
            <w:pPr>
              <w:numPr>
                <w:ilvl w:val="0"/>
                <w:numId w:val="5"/>
              </w:numPr>
              <w:spacing w:line="276" w:lineRule="auto"/>
              <w:ind w:left="714" w:hanging="357"/>
              <w:jc w:val="both"/>
              <w:outlineLvl w:val="2"/>
              <w:rPr>
                <w:rFonts w:cs="Arial"/>
                <w:bCs/>
                <w:szCs w:val="20"/>
                <w:lang w:eastAsia="sl-SI"/>
              </w:rPr>
            </w:pPr>
            <w:r w:rsidRPr="00DF3833">
              <w:rPr>
                <w:rFonts w:cs="Arial"/>
                <w:bCs/>
                <w:szCs w:val="20"/>
                <w:lang w:eastAsia="sl-SI"/>
              </w:rPr>
              <w:t>Zdravko Počivalšek, minister, MGRT</w:t>
            </w:r>
          </w:p>
          <w:p w14:paraId="3D377A40" w14:textId="77777777" w:rsidR="00AF5AD8" w:rsidRPr="00DF3833" w:rsidRDefault="00AF5AD8" w:rsidP="00390BFB">
            <w:pPr>
              <w:numPr>
                <w:ilvl w:val="0"/>
                <w:numId w:val="5"/>
              </w:numPr>
              <w:spacing w:line="276" w:lineRule="auto"/>
              <w:ind w:left="714" w:hanging="357"/>
              <w:jc w:val="both"/>
              <w:outlineLvl w:val="2"/>
              <w:rPr>
                <w:rFonts w:cs="Arial"/>
                <w:bCs/>
                <w:szCs w:val="20"/>
                <w:lang w:eastAsia="sl-SI"/>
              </w:rPr>
            </w:pPr>
            <w:r>
              <w:rPr>
                <w:rFonts w:cs="Arial"/>
                <w:bCs/>
                <w:szCs w:val="20"/>
                <w:lang w:eastAsia="sl-SI"/>
              </w:rPr>
              <w:t>Jernej Tovšak, generalni direktor, MGRT</w:t>
            </w:r>
          </w:p>
          <w:p w14:paraId="1459B335" w14:textId="77777777" w:rsidR="00BC4D82" w:rsidRPr="00DF3833" w:rsidRDefault="00BC4D82" w:rsidP="00390BFB">
            <w:pPr>
              <w:numPr>
                <w:ilvl w:val="0"/>
                <w:numId w:val="5"/>
              </w:numPr>
              <w:spacing w:line="276" w:lineRule="auto"/>
              <w:jc w:val="both"/>
              <w:outlineLvl w:val="2"/>
              <w:rPr>
                <w:rFonts w:cs="Arial"/>
                <w:bCs/>
                <w:szCs w:val="20"/>
                <w:lang w:eastAsia="sl-SI"/>
              </w:rPr>
            </w:pPr>
            <w:r w:rsidRPr="00DF3833">
              <w:rPr>
                <w:rFonts w:cs="Arial"/>
                <w:bCs/>
                <w:szCs w:val="20"/>
                <w:lang w:eastAsia="sl-SI"/>
              </w:rPr>
              <w:t>Simon Zajc, minister, MOP</w:t>
            </w:r>
          </w:p>
          <w:p w14:paraId="503CB672" w14:textId="77777777" w:rsidR="00BC4D82" w:rsidRPr="00DF3833" w:rsidRDefault="00500C3B" w:rsidP="00390BFB">
            <w:pPr>
              <w:numPr>
                <w:ilvl w:val="0"/>
                <w:numId w:val="5"/>
              </w:numPr>
              <w:spacing w:line="276" w:lineRule="auto"/>
              <w:jc w:val="both"/>
              <w:outlineLvl w:val="2"/>
              <w:rPr>
                <w:rFonts w:cs="Arial"/>
                <w:bCs/>
                <w:szCs w:val="20"/>
                <w:lang w:eastAsia="sl-SI"/>
              </w:rPr>
            </w:pPr>
            <w:r>
              <w:rPr>
                <w:rFonts w:cs="Arial"/>
                <w:bCs/>
                <w:szCs w:val="20"/>
                <w:lang w:eastAsia="sl-SI"/>
              </w:rPr>
              <w:t xml:space="preserve">dr. </w:t>
            </w:r>
            <w:r w:rsidR="00BC4D82" w:rsidRPr="00DF3833">
              <w:rPr>
                <w:rFonts w:cs="Arial"/>
                <w:bCs/>
                <w:szCs w:val="20"/>
                <w:lang w:eastAsia="sl-SI"/>
              </w:rPr>
              <w:t>Jernej Pikalo, minister, MIZŠ</w:t>
            </w:r>
          </w:p>
          <w:p w14:paraId="4430041D" w14:textId="77777777" w:rsidR="00BC4D82" w:rsidRPr="00DF3833" w:rsidRDefault="00500C3B" w:rsidP="00390BFB">
            <w:pPr>
              <w:numPr>
                <w:ilvl w:val="0"/>
                <w:numId w:val="5"/>
              </w:numPr>
              <w:spacing w:line="276" w:lineRule="auto"/>
              <w:jc w:val="both"/>
              <w:outlineLvl w:val="2"/>
              <w:rPr>
                <w:rFonts w:cs="Arial"/>
                <w:bCs/>
                <w:szCs w:val="20"/>
                <w:lang w:eastAsia="sl-SI"/>
              </w:rPr>
            </w:pPr>
            <w:r>
              <w:rPr>
                <w:rFonts w:cs="Arial"/>
                <w:bCs/>
                <w:szCs w:val="20"/>
                <w:lang w:eastAsia="sl-SI"/>
              </w:rPr>
              <w:t xml:space="preserve">dr. </w:t>
            </w:r>
            <w:r w:rsidR="00BC4D82" w:rsidRPr="00DF3833">
              <w:rPr>
                <w:rFonts w:cs="Arial"/>
                <w:bCs/>
                <w:szCs w:val="20"/>
                <w:lang w:eastAsia="sl-SI"/>
              </w:rPr>
              <w:t>Aleksandra Pivec,</w:t>
            </w:r>
            <w:r>
              <w:rPr>
                <w:rFonts w:cs="Arial"/>
                <w:bCs/>
                <w:szCs w:val="20"/>
                <w:lang w:eastAsia="sl-SI"/>
              </w:rPr>
              <w:t xml:space="preserve"> ministrica,</w:t>
            </w:r>
            <w:r w:rsidR="00BC4D82" w:rsidRPr="00DF3833">
              <w:rPr>
                <w:rFonts w:cs="Arial"/>
                <w:bCs/>
                <w:szCs w:val="20"/>
                <w:lang w:eastAsia="sl-SI"/>
              </w:rPr>
              <w:t xml:space="preserve"> MKGP </w:t>
            </w:r>
          </w:p>
          <w:p w14:paraId="217B8D06" w14:textId="77777777" w:rsidR="00701E75" w:rsidRDefault="00500C3B" w:rsidP="00390BFB">
            <w:pPr>
              <w:numPr>
                <w:ilvl w:val="0"/>
                <w:numId w:val="5"/>
              </w:numPr>
              <w:spacing w:line="276" w:lineRule="auto"/>
              <w:jc w:val="both"/>
              <w:outlineLvl w:val="2"/>
              <w:rPr>
                <w:rFonts w:cs="Arial"/>
                <w:bCs/>
                <w:szCs w:val="20"/>
                <w:lang w:eastAsia="sl-SI"/>
              </w:rPr>
            </w:pPr>
            <w:r>
              <w:rPr>
                <w:rFonts w:cs="Arial"/>
                <w:bCs/>
                <w:szCs w:val="20"/>
                <w:lang w:eastAsia="sl-SI"/>
              </w:rPr>
              <w:t xml:space="preserve">mag. </w:t>
            </w:r>
            <w:r w:rsidR="00701E75">
              <w:rPr>
                <w:rFonts w:cs="Arial"/>
                <w:bCs/>
                <w:szCs w:val="20"/>
                <w:lang w:eastAsia="sl-SI"/>
              </w:rPr>
              <w:t>Bojan Kumer</w:t>
            </w:r>
            <w:r w:rsidR="00BC4D82" w:rsidRPr="00DF3833">
              <w:rPr>
                <w:rFonts w:cs="Arial"/>
                <w:bCs/>
                <w:szCs w:val="20"/>
                <w:lang w:eastAsia="sl-SI"/>
              </w:rPr>
              <w:t>,</w:t>
            </w:r>
            <w:r>
              <w:rPr>
                <w:rFonts w:cs="Arial"/>
                <w:bCs/>
                <w:szCs w:val="20"/>
                <w:lang w:eastAsia="sl-SI"/>
              </w:rPr>
              <w:t xml:space="preserve"> </w:t>
            </w:r>
            <w:r w:rsidR="00701E75">
              <w:rPr>
                <w:rFonts w:cs="Arial"/>
                <w:bCs/>
                <w:szCs w:val="20"/>
                <w:lang w:eastAsia="sl-SI"/>
              </w:rPr>
              <w:t>državni sekretar</w:t>
            </w:r>
            <w:r w:rsidR="00320D5E">
              <w:rPr>
                <w:rFonts w:cs="Arial"/>
                <w:bCs/>
                <w:szCs w:val="20"/>
                <w:lang w:eastAsia="sl-SI"/>
              </w:rPr>
              <w:t>, MZ</w:t>
            </w:r>
            <w:r w:rsidR="00BC4D82" w:rsidRPr="00DF3833">
              <w:rPr>
                <w:rFonts w:cs="Arial"/>
                <w:bCs/>
                <w:szCs w:val="20"/>
                <w:lang w:eastAsia="sl-SI"/>
              </w:rPr>
              <w:t>I</w:t>
            </w:r>
          </w:p>
          <w:p w14:paraId="011A9811" w14:textId="6B1DB92C" w:rsidR="00BC4D82" w:rsidRPr="00DF3833" w:rsidRDefault="00701E75" w:rsidP="00390BFB">
            <w:pPr>
              <w:numPr>
                <w:ilvl w:val="0"/>
                <w:numId w:val="5"/>
              </w:numPr>
              <w:spacing w:line="276" w:lineRule="auto"/>
              <w:jc w:val="both"/>
              <w:outlineLvl w:val="2"/>
              <w:rPr>
                <w:rFonts w:cs="Arial"/>
                <w:bCs/>
                <w:szCs w:val="20"/>
                <w:lang w:eastAsia="sl-SI"/>
              </w:rPr>
            </w:pPr>
            <w:r>
              <w:rPr>
                <w:rFonts w:cs="Arial"/>
                <w:bCs/>
                <w:szCs w:val="20"/>
                <w:lang w:eastAsia="sl-SI"/>
              </w:rPr>
              <w:t xml:space="preserve">dr. Nevenka Ribič, državna sekretarka, </w:t>
            </w:r>
            <w:r w:rsidR="00320D5E">
              <w:rPr>
                <w:rFonts w:cs="Arial"/>
                <w:bCs/>
                <w:szCs w:val="20"/>
                <w:lang w:eastAsia="sl-SI"/>
              </w:rPr>
              <w:t xml:space="preserve">SVRK </w:t>
            </w:r>
          </w:p>
          <w:p w14:paraId="74487B3F" w14:textId="77777777" w:rsidR="00BC4D82" w:rsidRPr="00DF3833" w:rsidRDefault="00BC4D82" w:rsidP="009532D5">
            <w:pPr>
              <w:spacing w:line="276" w:lineRule="auto"/>
              <w:jc w:val="both"/>
              <w:outlineLvl w:val="2"/>
              <w:rPr>
                <w:rFonts w:cs="Arial"/>
                <w:bCs/>
                <w:szCs w:val="20"/>
                <w:lang w:eastAsia="sl-SI"/>
              </w:rPr>
            </w:pPr>
          </w:p>
        </w:tc>
      </w:tr>
      <w:tr w:rsidR="00BC4D82" w:rsidRPr="00DF3833" w14:paraId="4BC0BFAE" w14:textId="77777777" w:rsidTr="009532D5">
        <w:trPr>
          <w:trHeight w:val="273"/>
        </w:trPr>
        <w:tc>
          <w:tcPr>
            <w:tcW w:w="9100" w:type="dxa"/>
            <w:gridSpan w:val="12"/>
          </w:tcPr>
          <w:p w14:paraId="58DDB049" w14:textId="77777777" w:rsidR="00BC4D82" w:rsidRPr="00DF3833" w:rsidRDefault="00BC4D82" w:rsidP="009532D5">
            <w:pPr>
              <w:suppressAutoHyphens/>
              <w:overflowPunct w:val="0"/>
              <w:autoSpaceDE w:val="0"/>
              <w:autoSpaceDN w:val="0"/>
              <w:adjustRightInd w:val="0"/>
              <w:spacing w:line="276" w:lineRule="auto"/>
              <w:jc w:val="both"/>
              <w:textAlignment w:val="baseline"/>
              <w:outlineLvl w:val="3"/>
              <w:rPr>
                <w:rFonts w:cs="Arial"/>
                <w:b/>
                <w:szCs w:val="20"/>
                <w:lang w:eastAsia="sl-SI"/>
              </w:rPr>
            </w:pPr>
            <w:r w:rsidRPr="00DF3833">
              <w:rPr>
                <w:rFonts w:cs="Arial"/>
                <w:b/>
                <w:szCs w:val="20"/>
                <w:lang w:eastAsia="sl-SI"/>
              </w:rPr>
              <w:t>3.b Zunanji strokovnjaki, ki so sodelovali pri pripravi dela ali celotnega gradiva:</w:t>
            </w:r>
          </w:p>
        </w:tc>
      </w:tr>
      <w:tr w:rsidR="00BC4D82" w:rsidRPr="00DF3833" w14:paraId="05E82959" w14:textId="77777777" w:rsidTr="009532D5">
        <w:trPr>
          <w:trHeight w:val="277"/>
        </w:trPr>
        <w:tc>
          <w:tcPr>
            <w:tcW w:w="9100" w:type="dxa"/>
            <w:gridSpan w:val="12"/>
          </w:tcPr>
          <w:p w14:paraId="3C8643EA" w14:textId="77777777" w:rsidR="00BC4D82" w:rsidRPr="00DF3833" w:rsidRDefault="00BC4D82" w:rsidP="009532D5">
            <w:pPr>
              <w:suppressAutoHyphens/>
              <w:overflowPunct w:val="0"/>
              <w:autoSpaceDE w:val="0"/>
              <w:autoSpaceDN w:val="0"/>
              <w:adjustRightInd w:val="0"/>
              <w:spacing w:line="276" w:lineRule="auto"/>
              <w:jc w:val="both"/>
              <w:textAlignment w:val="baseline"/>
              <w:outlineLvl w:val="3"/>
              <w:rPr>
                <w:rFonts w:cs="Arial"/>
                <w:szCs w:val="20"/>
                <w:lang w:eastAsia="sl-SI"/>
              </w:rPr>
            </w:pPr>
            <w:r w:rsidRPr="00DF3833">
              <w:rPr>
                <w:rFonts w:cs="Arial"/>
                <w:szCs w:val="20"/>
                <w:lang w:eastAsia="sl-SI"/>
              </w:rPr>
              <w:t>/</w:t>
            </w:r>
          </w:p>
        </w:tc>
      </w:tr>
      <w:tr w:rsidR="00BC4D82" w:rsidRPr="00DF3833" w14:paraId="73C33301" w14:textId="77777777" w:rsidTr="009532D5">
        <w:trPr>
          <w:trHeight w:val="267"/>
        </w:trPr>
        <w:tc>
          <w:tcPr>
            <w:tcW w:w="9100" w:type="dxa"/>
            <w:gridSpan w:val="12"/>
          </w:tcPr>
          <w:p w14:paraId="3686FDCB" w14:textId="77777777" w:rsidR="00BC4D82" w:rsidRPr="00DF3833" w:rsidRDefault="00BC4D82" w:rsidP="009532D5">
            <w:pPr>
              <w:suppressAutoHyphens/>
              <w:overflowPunct w:val="0"/>
              <w:autoSpaceDE w:val="0"/>
              <w:autoSpaceDN w:val="0"/>
              <w:adjustRightInd w:val="0"/>
              <w:spacing w:line="276" w:lineRule="auto"/>
              <w:jc w:val="both"/>
              <w:textAlignment w:val="baseline"/>
              <w:outlineLvl w:val="3"/>
              <w:rPr>
                <w:rFonts w:cs="Arial"/>
                <w:b/>
                <w:szCs w:val="20"/>
                <w:lang w:eastAsia="sl-SI"/>
              </w:rPr>
            </w:pPr>
            <w:r w:rsidRPr="00DF3833">
              <w:rPr>
                <w:rFonts w:cs="Arial"/>
                <w:b/>
                <w:szCs w:val="20"/>
                <w:lang w:eastAsia="sl-SI"/>
              </w:rPr>
              <w:t>4. Predstavniki vlade, ki bodo sodelovali pri delu Državnega zbora:</w:t>
            </w:r>
          </w:p>
        </w:tc>
      </w:tr>
      <w:tr w:rsidR="00BC4D82" w:rsidRPr="00DF3833" w14:paraId="6D9D4645" w14:textId="77777777" w:rsidTr="009532D5">
        <w:trPr>
          <w:trHeight w:val="271"/>
        </w:trPr>
        <w:tc>
          <w:tcPr>
            <w:tcW w:w="9100" w:type="dxa"/>
            <w:gridSpan w:val="12"/>
          </w:tcPr>
          <w:p w14:paraId="22889A89" w14:textId="77777777" w:rsidR="00BC4D82" w:rsidRPr="00DF3833" w:rsidRDefault="00BC4D82" w:rsidP="009532D5">
            <w:pPr>
              <w:tabs>
                <w:tab w:val="num" w:pos="1080"/>
              </w:tabs>
              <w:suppressAutoHyphens/>
              <w:autoSpaceDE w:val="0"/>
              <w:autoSpaceDN w:val="0"/>
              <w:adjustRightInd w:val="0"/>
              <w:spacing w:line="276" w:lineRule="auto"/>
              <w:jc w:val="both"/>
              <w:rPr>
                <w:rFonts w:cs="Arial"/>
                <w:bCs/>
                <w:szCs w:val="20"/>
                <w:lang w:eastAsia="ar-SA"/>
              </w:rPr>
            </w:pPr>
            <w:r w:rsidRPr="00DF3833">
              <w:rPr>
                <w:rFonts w:cs="Arial"/>
                <w:bCs/>
                <w:szCs w:val="20"/>
                <w:lang w:eastAsia="ar-SA"/>
              </w:rPr>
              <w:t>/</w:t>
            </w:r>
          </w:p>
        </w:tc>
      </w:tr>
      <w:tr w:rsidR="00BC4D82" w:rsidRPr="00DF3833" w14:paraId="4D83BDD2" w14:textId="77777777" w:rsidTr="009532D5">
        <w:trPr>
          <w:trHeight w:val="289"/>
        </w:trPr>
        <w:tc>
          <w:tcPr>
            <w:tcW w:w="9100" w:type="dxa"/>
            <w:gridSpan w:val="12"/>
          </w:tcPr>
          <w:p w14:paraId="459DB05D" w14:textId="77777777" w:rsidR="00BC4D82" w:rsidRPr="00DF3833" w:rsidRDefault="00BC4D82" w:rsidP="009532D5">
            <w:pPr>
              <w:suppressAutoHyphens/>
              <w:overflowPunct w:val="0"/>
              <w:autoSpaceDE w:val="0"/>
              <w:autoSpaceDN w:val="0"/>
              <w:adjustRightInd w:val="0"/>
              <w:spacing w:line="276" w:lineRule="auto"/>
              <w:jc w:val="both"/>
              <w:textAlignment w:val="baseline"/>
              <w:outlineLvl w:val="3"/>
              <w:rPr>
                <w:rFonts w:cs="Arial"/>
                <w:b/>
                <w:szCs w:val="20"/>
                <w:lang w:eastAsia="sl-SI"/>
              </w:rPr>
            </w:pPr>
            <w:r w:rsidRPr="00DF3833">
              <w:rPr>
                <w:rFonts w:cs="Arial"/>
                <w:b/>
                <w:szCs w:val="20"/>
                <w:lang w:eastAsia="sl-SI"/>
              </w:rPr>
              <w:t>5. Kratek povzetek gradiva:</w:t>
            </w:r>
          </w:p>
        </w:tc>
      </w:tr>
      <w:tr w:rsidR="00BC4D82" w:rsidRPr="00BC4D82" w14:paraId="72FDEC24" w14:textId="77777777" w:rsidTr="009532D5">
        <w:trPr>
          <w:trHeight w:val="191"/>
        </w:trPr>
        <w:tc>
          <w:tcPr>
            <w:tcW w:w="9100" w:type="dxa"/>
            <w:gridSpan w:val="12"/>
          </w:tcPr>
          <w:p w14:paraId="740BB5ED" w14:textId="77777777" w:rsidR="00C7745F" w:rsidRDefault="00C7745F" w:rsidP="009532D5">
            <w:pPr>
              <w:spacing w:line="276" w:lineRule="auto"/>
              <w:jc w:val="both"/>
              <w:rPr>
                <w:rFonts w:cs="Arial"/>
                <w:szCs w:val="20"/>
                <w:lang w:eastAsia="sl-SI"/>
              </w:rPr>
            </w:pPr>
          </w:p>
          <w:p w14:paraId="78459934" w14:textId="3D349460" w:rsidR="00C7745F" w:rsidRPr="00085D11" w:rsidRDefault="00C7745F" w:rsidP="009532D5">
            <w:pPr>
              <w:spacing w:line="276" w:lineRule="auto"/>
              <w:jc w:val="both"/>
              <w:rPr>
                <w:rFonts w:cs="Arial"/>
                <w:i/>
                <w:szCs w:val="20"/>
                <w:lang w:eastAsia="sl-SI"/>
              </w:rPr>
            </w:pPr>
            <w:r w:rsidRPr="00085D11">
              <w:rPr>
                <w:rFonts w:cs="Arial"/>
                <w:i/>
                <w:szCs w:val="20"/>
                <w:lang w:eastAsia="sl-SI"/>
              </w:rPr>
              <w:t>V novem gradivu št. 1 je na podlagi dodatnega medresorskega usklajevanja in pripomb MZI</w:t>
            </w:r>
            <w:r w:rsidR="00957A57">
              <w:rPr>
                <w:rFonts w:cs="Arial"/>
                <w:i/>
                <w:szCs w:val="20"/>
                <w:lang w:eastAsia="sl-SI"/>
              </w:rPr>
              <w:t xml:space="preserve"> ter MF</w:t>
            </w:r>
            <w:r w:rsidRPr="00085D11">
              <w:rPr>
                <w:rFonts w:cs="Arial"/>
                <w:i/>
                <w:szCs w:val="20"/>
                <w:lang w:eastAsia="sl-SI"/>
              </w:rPr>
              <w:t xml:space="preserve"> spremenjen sklep št. 3 in sicer tako, </w:t>
            </w:r>
            <w:r w:rsidR="00957A57">
              <w:rPr>
                <w:rFonts w:cs="Arial"/>
                <w:i/>
                <w:szCs w:val="20"/>
                <w:lang w:eastAsia="sl-SI"/>
              </w:rPr>
              <w:t xml:space="preserve">da </w:t>
            </w:r>
            <w:r w:rsidR="00085D11">
              <w:rPr>
                <w:rFonts w:cs="Arial"/>
                <w:i/>
                <w:szCs w:val="20"/>
                <w:lang w:eastAsia="sl-SI"/>
              </w:rPr>
              <w:t>je navedeno, da ministrstva in vladna služba</w:t>
            </w:r>
            <w:r w:rsidR="00085D11">
              <w:t xml:space="preserve"> </w:t>
            </w:r>
            <w:r w:rsidR="00085D11" w:rsidRPr="00085D11">
              <w:rPr>
                <w:rFonts w:cs="Arial"/>
                <w:i/>
                <w:szCs w:val="20"/>
                <w:lang w:eastAsia="sl-SI"/>
              </w:rPr>
              <w:t>dorečejo in uskladijo prednostne vsebine in aktivnosti celovitega strateškega projekta in jih, skladno z razpoložljivimi finančnimi zmožnostmi, tudi začnejo izvajati.</w:t>
            </w:r>
            <w:r w:rsidR="00957A57">
              <w:t xml:space="preserve"> </w:t>
            </w:r>
            <w:r w:rsidR="00957A57" w:rsidRPr="00957A57">
              <w:rPr>
                <w:rFonts w:cs="Arial"/>
                <w:i/>
                <w:szCs w:val="20"/>
                <w:lang w:eastAsia="sl-SI"/>
              </w:rPr>
              <w:t>Proces priprave tega projekta usklajuje medresorska delovna skupina na ravni generalnih direktorjev, ki jo imenuje minister, pristojen za okolje in prostor, in ki o izvajanju celovitega strateškega projekta redno poroča Vladi Republike Slovenije</w:t>
            </w:r>
            <w:r w:rsidR="00957A57">
              <w:rPr>
                <w:rFonts w:cs="Arial"/>
                <w:i/>
                <w:szCs w:val="20"/>
                <w:lang w:eastAsia="sl-SI"/>
              </w:rPr>
              <w:t>.</w:t>
            </w:r>
            <w:r w:rsidR="00E8528D">
              <w:rPr>
                <w:rFonts w:cs="Arial"/>
                <w:i/>
                <w:szCs w:val="20"/>
                <w:lang w:eastAsia="sl-SI"/>
              </w:rPr>
              <w:t xml:space="preserve"> Finančni učinki in viri financiranja bodo navedeni v naslednji fazi projekta.</w:t>
            </w:r>
          </w:p>
          <w:p w14:paraId="000F70A2" w14:textId="77777777" w:rsidR="00C7745F" w:rsidRDefault="00C7745F" w:rsidP="009532D5">
            <w:pPr>
              <w:spacing w:line="276" w:lineRule="auto"/>
              <w:jc w:val="both"/>
              <w:rPr>
                <w:rFonts w:cs="Arial"/>
                <w:szCs w:val="20"/>
                <w:lang w:eastAsia="sl-SI"/>
              </w:rPr>
            </w:pPr>
          </w:p>
          <w:p w14:paraId="5215F98E" w14:textId="211364D1" w:rsidR="00BC4D82" w:rsidRPr="00BC4D82" w:rsidRDefault="00BC4D82" w:rsidP="009532D5">
            <w:pPr>
              <w:spacing w:line="276" w:lineRule="auto"/>
              <w:jc w:val="both"/>
              <w:rPr>
                <w:rFonts w:cs="Arial"/>
                <w:szCs w:val="20"/>
              </w:rPr>
            </w:pPr>
            <w:r w:rsidRPr="00BC4D82">
              <w:rPr>
                <w:rFonts w:cs="Arial"/>
                <w:szCs w:val="20"/>
                <w:lang w:eastAsia="sl-SI"/>
              </w:rPr>
              <w:t xml:space="preserve">Evropski inštitut za inovacije in tehnologijo (EIT), ki je vodilna institucija znanja v EU in </w:t>
            </w:r>
            <w:r w:rsidRPr="00BC4D82">
              <w:rPr>
                <w:rFonts w:cs="Arial"/>
                <w:szCs w:val="20"/>
              </w:rPr>
              <w:t>Skupno raziskovalno središče Evropske komisije (JRC)</w:t>
            </w:r>
            <w:r w:rsidRPr="00BC4D82">
              <w:rPr>
                <w:rFonts w:cs="Arial"/>
                <w:szCs w:val="20"/>
                <w:lang w:eastAsia="sl-SI"/>
              </w:rPr>
              <w:t xml:space="preserve"> sta Slovenijo povabila k sodelovanju pri pripravi in </w:t>
            </w:r>
            <w:r w:rsidRPr="00BC4D82">
              <w:rPr>
                <w:rFonts w:cs="Arial"/>
                <w:b/>
                <w:szCs w:val="20"/>
                <w:lang w:eastAsia="sl-SI"/>
              </w:rPr>
              <w:t>izvedbi celovitega strateškega projekta</w:t>
            </w:r>
            <w:r w:rsidRPr="00BC4D82">
              <w:rPr>
                <w:rFonts w:cs="Arial"/>
                <w:szCs w:val="20"/>
                <w:lang w:eastAsia="sl-SI"/>
              </w:rPr>
              <w:t xml:space="preserve"> za vzpostavitev sinergij med sredstvi in instrumenti na EU ter na nacionalni ravni. Vsebinsko se predlagani projekt osredotoča na enega od ključnih družbenih izzivov – </w:t>
            </w:r>
            <w:r w:rsidRPr="00BC4D82">
              <w:rPr>
                <w:rFonts w:cs="Arial"/>
                <w:b/>
                <w:szCs w:val="20"/>
                <w:lang w:eastAsia="sl-SI"/>
              </w:rPr>
              <w:t>prehod v nizkoogljično krožno gospodarstvo</w:t>
            </w:r>
            <w:r w:rsidRPr="00BC4D82">
              <w:rPr>
                <w:rFonts w:cs="Arial"/>
                <w:szCs w:val="20"/>
                <w:lang w:eastAsia="sl-SI"/>
              </w:rPr>
              <w:t xml:space="preserve">. Proces sodelovanja intenzivno teče že več kot leto dni, od maja 2018, ko se je EIT s Slovenijo dogovoril za skupno izvedbo strateškega predstavitvenega projekta, ki ga bo EIT uporabil kot študijo primera pri izvajanju istovrstnih sinergij v preostale evropske regije. Dogovor smo formalizirali septembra 2018 s podpisom Memoranduma o sporazumu med </w:t>
            </w:r>
            <w:r w:rsidRPr="00BC4D82">
              <w:rPr>
                <w:rFonts w:cs="Arial"/>
                <w:szCs w:val="20"/>
              </w:rPr>
              <w:t>Ministrstvom za gospodarski razvoj in tehnologijo, Ministrstvom za izobraževanje, znanost in šport ter Službo za razvoj in evropsko kohezijsko politiko ter med EIT Climate – KIC in EIT Raw Materials, ki sta izvajalski telesi Evropskega inštituta za inovacije in tehnologije. V proces priprave projekta so se naknadno vključili še Ministrstvo za okolje in prostor, Ministrstvo za kmetijstvo, gozdarstvo in prehrano ter Ministrstvo za infrastrukturo.</w:t>
            </w:r>
          </w:p>
          <w:p w14:paraId="30139561" w14:textId="77777777" w:rsidR="00BC4D82" w:rsidRPr="00BC4D82" w:rsidRDefault="00BC4D82" w:rsidP="009532D5">
            <w:pPr>
              <w:spacing w:line="276" w:lineRule="auto"/>
              <w:jc w:val="both"/>
              <w:rPr>
                <w:rFonts w:cs="Arial"/>
                <w:szCs w:val="20"/>
              </w:rPr>
            </w:pPr>
          </w:p>
          <w:p w14:paraId="7A566714" w14:textId="77777777" w:rsidR="00BC4D82" w:rsidRPr="00BC4D82" w:rsidRDefault="00BC4D82" w:rsidP="009532D5">
            <w:pPr>
              <w:spacing w:line="276" w:lineRule="auto"/>
              <w:jc w:val="both"/>
              <w:rPr>
                <w:rFonts w:cs="Arial"/>
                <w:szCs w:val="20"/>
              </w:rPr>
            </w:pPr>
            <w:r w:rsidRPr="00BC4D82">
              <w:rPr>
                <w:rFonts w:cs="Arial"/>
                <w:szCs w:val="20"/>
              </w:rPr>
              <w:lastRenderedPageBreak/>
              <w:t xml:space="preserve">Predlagani strateški predstavitveni projekt ilustrira </w:t>
            </w:r>
            <w:r w:rsidRPr="00BC4D82">
              <w:rPr>
                <w:rFonts w:cs="Arial"/>
                <w:b/>
                <w:szCs w:val="20"/>
              </w:rPr>
              <w:t>horizontalno naravo prehoda v nizkoogljično krožno gospodarstvo</w:t>
            </w:r>
            <w:r w:rsidRPr="00BC4D82">
              <w:rPr>
                <w:rFonts w:cs="Arial"/>
                <w:szCs w:val="20"/>
              </w:rPr>
              <w:t xml:space="preserve">, ki zahteva </w:t>
            </w:r>
            <w:r w:rsidRPr="00BC4D82">
              <w:rPr>
                <w:rFonts w:cs="Arial"/>
                <w:b/>
                <w:szCs w:val="20"/>
              </w:rPr>
              <w:t>orkestrirano delovanje celotne Vlade RS</w:t>
            </w:r>
            <w:r w:rsidRPr="00BC4D82">
              <w:rPr>
                <w:rFonts w:cs="Arial"/>
                <w:szCs w:val="20"/>
              </w:rPr>
              <w:t xml:space="preserve"> kot tudi številnih </w:t>
            </w:r>
            <w:r w:rsidRPr="00BC4D82">
              <w:rPr>
                <w:rFonts w:cs="Arial"/>
                <w:b/>
                <w:szCs w:val="20"/>
              </w:rPr>
              <w:t>deležnikov</w:t>
            </w:r>
            <w:r w:rsidRPr="00BC4D82">
              <w:rPr>
                <w:rFonts w:cs="Arial"/>
                <w:szCs w:val="20"/>
              </w:rPr>
              <w:t xml:space="preserve"> iz vseh sektorjev in z vseh ravni. Predlog projekta je oblikovan tako, da povezuje različna področja preko meja silosnega razmišljanja posameznih sektorjev in bo z izvajanjem ukrepov prispeval k doseganju konkretnih rezultatov, saj je v Sloveniji to praviloma ključna slabost izvajanja politik.</w:t>
            </w:r>
          </w:p>
          <w:p w14:paraId="5FBD56FC" w14:textId="77777777" w:rsidR="00BC4D82" w:rsidRPr="00BC4D82" w:rsidRDefault="00BC4D82" w:rsidP="009532D5">
            <w:pPr>
              <w:autoSpaceDE w:val="0"/>
              <w:autoSpaceDN w:val="0"/>
              <w:adjustRightInd w:val="0"/>
              <w:spacing w:line="276" w:lineRule="auto"/>
              <w:jc w:val="both"/>
              <w:rPr>
                <w:rFonts w:cs="Arial"/>
                <w:b/>
                <w:color w:val="000000"/>
                <w:szCs w:val="20"/>
                <w:lang w:eastAsia="sl-SI"/>
              </w:rPr>
            </w:pPr>
          </w:p>
          <w:p w14:paraId="7DBEF0F6" w14:textId="77777777" w:rsidR="00BC4D82" w:rsidRPr="00BC4D82" w:rsidRDefault="00BC4D82" w:rsidP="009532D5">
            <w:pPr>
              <w:autoSpaceDE w:val="0"/>
              <w:autoSpaceDN w:val="0"/>
              <w:adjustRightInd w:val="0"/>
              <w:spacing w:line="276" w:lineRule="auto"/>
              <w:jc w:val="both"/>
              <w:rPr>
                <w:rFonts w:cs="Arial"/>
                <w:b/>
                <w:color w:val="000000"/>
                <w:szCs w:val="20"/>
                <w:u w:val="single"/>
                <w:lang w:eastAsia="sl-SI"/>
              </w:rPr>
            </w:pPr>
            <w:r w:rsidRPr="00BC4D82">
              <w:rPr>
                <w:rFonts w:cs="Arial"/>
                <w:b/>
                <w:color w:val="000000"/>
                <w:szCs w:val="20"/>
                <w:lang w:eastAsia="sl-SI"/>
              </w:rPr>
              <w:t>Vsebina</w:t>
            </w:r>
            <w:r w:rsidRPr="00BC4D82">
              <w:rPr>
                <w:rFonts w:cs="Arial"/>
                <w:color w:val="000000"/>
                <w:szCs w:val="20"/>
                <w:lang w:eastAsia="sl-SI"/>
              </w:rPr>
              <w:t xml:space="preserve"> predlaganih rešitev tega celovitega strateškega projekta je </w:t>
            </w:r>
            <w:r w:rsidRPr="00BC4D82">
              <w:rPr>
                <w:rFonts w:cs="Arial"/>
                <w:b/>
                <w:color w:val="000000"/>
                <w:szCs w:val="20"/>
                <w:lang w:eastAsia="sl-SI"/>
              </w:rPr>
              <w:t>strukturirana v tri stebre</w:t>
            </w:r>
            <w:r w:rsidRPr="00BC4D82">
              <w:rPr>
                <w:rFonts w:cs="Arial"/>
                <w:color w:val="000000"/>
                <w:szCs w:val="20"/>
                <w:lang w:eastAsia="sl-SI"/>
              </w:rPr>
              <w:t>, vsak med njimi je sestavljen iz več programov, ki pa so medsebojno povezani in drug drugega krepijo in nadgrajujejo:</w:t>
            </w:r>
            <w:r w:rsidRPr="00BC4D82">
              <w:rPr>
                <w:rFonts w:cs="Arial"/>
                <w:b/>
                <w:color w:val="000000"/>
                <w:szCs w:val="20"/>
                <w:u w:val="single"/>
                <w:lang w:eastAsia="sl-SI"/>
              </w:rPr>
              <w:t xml:space="preserve"> </w:t>
            </w:r>
          </w:p>
          <w:p w14:paraId="212F1165" w14:textId="77777777" w:rsidR="00BC4D82" w:rsidRPr="00BC4D82" w:rsidRDefault="00BC4D82" w:rsidP="00390BFB">
            <w:pPr>
              <w:pStyle w:val="Odstavekseznama"/>
              <w:numPr>
                <w:ilvl w:val="0"/>
                <w:numId w:val="7"/>
              </w:numPr>
              <w:autoSpaceDE w:val="0"/>
              <w:autoSpaceDN w:val="0"/>
              <w:adjustRightInd w:val="0"/>
              <w:spacing w:line="276" w:lineRule="auto"/>
              <w:jc w:val="both"/>
              <w:rPr>
                <w:rFonts w:ascii="Arial" w:hAnsi="Arial" w:cs="Arial"/>
                <w:color w:val="000000"/>
                <w:sz w:val="20"/>
                <w:szCs w:val="20"/>
              </w:rPr>
            </w:pPr>
            <w:r w:rsidRPr="00BC4D82">
              <w:rPr>
                <w:rFonts w:ascii="Arial" w:hAnsi="Arial" w:cs="Arial"/>
                <w:b/>
                <w:color w:val="000000"/>
                <w:sz w:val="20"/>
                <w:szCs w:val="20"/>
              </w:rPr>
              <w:t xml:space="preserve">steber »Pametne in krožne skupnosti« </w:t>
            </w:r>
            <w:r w:rsidRPr="00BC4D82">
              <w:rPr>
                <w:rFonts w:ascii="Arial" w:hAnsi="Arial" w:cs="Arial"/>
                <w:color w:val="000000"/>
                <w:sz w:val="20"/>
                <w:szCs w:val="20"/>
              </w:rPr>
              <w:t>vključuje programe krožnih šol, krožnega učenja in virov in krožnih sinergij za vzpostavitev pametnih in krožnih regij.</w:t>
            </w:r>
          </w:p>
          <w:p w14:paraId="25BB0544" w14:textId="77777777" w:rsidR="00BC4D82" w:rsidRPr="00BC4D82" w:rsidRDefault="00BC4D82" w:rsidP="00390BFB">
            <w:pPr>
              <w:pStyle w:val="Odstavekseznama"/>
              <w:numPr>
                <w:ilvl w:val="0"/>
                <w:numId w:val="7"/>
              </w:numPr>
              <w:autoSpaceDE w:val="0"/>
              <w:autoSpaceDN w:val="0"/>
              <w:adjustRightInd w:val="0"/>
              <w:spacing w:line="276" w:lineRule="auto"/>
              <w:jc w:val="both"/>
              <w:rPr>
                <w:rFonts w:ascii="Arial" w:hAnsi="Arial" w:cs="Arial"/>
                <w:b/>
                <w:color w:val="000000"/>
                <w:sz w:val="20"/>
                <w:szCs w:val="20"/>
              </w:rPr>
            </w:pPr>
            <w:r w:rsidRPr="00BC4D82">
              <w:rPr>
                <w:rFonts w:ascii="Arial" w:hAnsi="Arial" w:cs="Arial"/>
                <w:b/>
                <w:color w:val="000000"/>
                <w:sz w:val="20"/>
                <w:szCs w:val="20"/>
              </w:rPr>
              <w:t xml:space="preserve">steber »Krožni razvoj« </w:t>
            </w:r>
            <w:r w:rsidRPr="00BC4D82">
              <w:rPr>
                <w:rFonts w:ascii="Arial" w:hAnsi="Arial" w:cs="Arial"/>
                <w:color w:val="000000"/>
                <w:sz w:val="20"/>
                <w:szCs w:val="20"/>
              </w:rPr>
              <w:t>vključuje programe s področja podjetništva (krožno odkrivanje in podpora krožnim inovacijam v malih in srednjih podjetjih ter program s področja spremljanja izvajanja.</w:t>
            </w:r>
          </w:p>
          <w:p w14:paraId="12C5D6AD" w14:textId="77777777" w:rsidR="00BC4D82" w:rsidRPr="00BC4D82" w:rsidRDefault="00BC4D82" w:rsidP="00390BFB">
            <w:pPr>
              <w:pStyle w:val="Odstavekseznama"/>
              <w:numPr>
                <w:ilvl w:val="0"/>
                <w:numId w:val="7"/>
              </w:numPr>
              <w:autoSpaceDE w:val="0"/>
              <w:autoSpaceDN w:val="0"/>
              <w:adjustRightInd w:val="0"/>
              <w:spacing w:line="276" w:lineRule="auto"/>
              <w:jc w:val="both"/>
              <w:rPr>
                <w:rFonts w:ascii="Arial" w:hAnsi="Arial" w:cs="Arial"/>
                <w:b/>
                <w:color w:val="000000"/>
                <w:sz w:val="20"/>
                <w:szCs w:val="20"/>
                <w:u w:val="single"/>
              </w:rPr>
            </w:pPr>
            <w:r w:rsidRPr="00BC4D82">
              <w:rPr>
                <w:rFonts w:ascii="Arial" w:hAnsi="Arial" w:cs="Arial"/>
                <w:b/>
                <w:color w:val="000000"/>
                <w:sz w:val="20"/>
                <w:szCs w:val="20"/>
              </w:rPr>
              <w:t xml:space="preserve">steber »Krožno oblikovanje politik in znanost« </w:t>
            </w:r>
            <w:r w:rsidRPr="00BC4D82">
              <w:rPr>
                <w:rFonts w:ascii="Arial" w:hAnsi="Arial" w:cs="Arial"/>
                <w:color w:val="000000"/>
                <w:sz w:val="20"/>
                <w:szCs w:val="20"/>
              </w:rPr>
              <w:t>vključuje programe na področju visokošolskega krožnega izobraževanja, oblikovanja politik za prehod v krožno gospodarstvo in na področju krožnega javnega naročanja.</w:t>
            </w:r>
            <w:r w:rsidRPr="00BC4D82">
              <w:rPr>
                <w:rFonts w:ascii="Arial" w:hAnsi="Arial" w:cs="Arial"/>
                <w:color w:val="000000"/>
                <w:sz w:val="20"/>
                <w:szCs w:val="20"/>
                <w:u w:val="single"/>
              </w:rPr>
              <w:t xml:space="preserve"> </w:t>
            </w:r>
          </w:p>
          <w:p w14:paraId="4AC95D93" w14:textId="77777777" w:rsidR="00BC4D82" w:rsidRPr="00BC4D82" w:rsidRDefault="00BC4D82" w:rsidP="009532D5">
            <w:pPr>
              <w:spacing w:line="276" w:lineRule="auto"/>
              <w:jc w:val="both"/>
              <w:rPr>
                <w:rFonts w:cs="Arial"/>
                <w:szCs w:val="20"/>
              </w:rPr>
            </w:pPr>
          </w:p>
          <w:p w14:paraId="2A17A91E" w14:textId="77777777" w:rsidR="00BC4D82" w:rsidRPr="00BC4D82" w:rsidRDefault="00BC4D82" w:rsidP="009532D5">
            <w:pPr>
              <w:spacing w:line="276" w:lineRule="auto"/>
              <w:jc w:val="both"/>
              <w:rPr>
                <w:rFonts w:cs="Arial"/>
                <w:szCs w:val="20"/>
              </w:rPr>
            </w:pPr>
            <w:r w:rsidRPr="00BC4D82">
              <w:rPr>
                <w:rFonts w:cs="Arial"/>
                <w:szCs w:val="20"/>
              </w:rPr>
              <w:t xml:space="preserve">Te tri stebre povezujejo </w:t>
            </w:r>
            <w:r w:rsidRPr="00BC4D82">
              <w:rPr>
                <w:rFonts w:cs="Arial"/>
                <w:b/>
                <w:szCs w:val="20"/>
              </w:rPr>
              <w:t>trije horizontalni programi</w:t>
            </w:r>
            <w:r w:rsidRPr="00BC4D82">
              <w:rPr>
                <w:rFonts w:cs="Arial"/>
                <w:szCs w:val="20"/>
              </w:rPr>
              <w:t>:</w:t>
            </w:r>
          </w:p>
          <w:p w14:paraId="68BFC022" w14:textId="77777777" w:rsidR="00BC4D82" w:rsidRPr="00BC4D82" w:rsidRDefault="00BC4D82" w:rsidP="00390BFB">
            <w:pPr>
              <w:pStyle w:val="Odstavekseznama"/>
              <w:numPr>
                <w:ilvl w:val="0"/>
                <w:numId w:val="8"/>
              </w:numPr>
              <w:spacing w:line="276" w:lineRule="auto"/>
              <w:jc w:val="both"/>
              <w:rPr>
                <w:rFonts w:ascii="Arial" w:hAnsi="Arial" w:cs="Arial"/>
                <w:sz w:val="20"/>
                <w:szCs w:val="20"/>
              </w:rPr>
            </w:pPr>
            <w:r w:rsidRPr="00BC4D82">
              <w:rPr>
                <w:rFonts w:ascii="Arial" w:hAnsi="Arial" w:cs="Arial"/>
                <w:sz w:val="20"/>
                <w:szCs w:val="20"/>
              </w:rPr>
              <w:t xml:space="preserve">Ustanovitev </w:t>
            </w:r>
            <w:r w:rsidRPr="00BC4D82">
              <w:rPr>
                <w:rFonts w:ascii="Arial" w:hAnsi="Arial" w:cs="Arial"/>
                <w:b/>
                <w:sz w:val="20"/>
                <w:szCs w:val="20"/>
              </w:rPr>
              <w:t>centra za prehod v pametno in krožno družbo</w:t>
            </w:r>
            <w:r w:rsidRPr="00BC4D82">
              <w:rPr>
                <w:rFonts w:ascii="Arial" w:hAnsi="Arial" w:cs="Arial"/>
                <w:sz w:val="20"/>
                <w:szCs w:val="20"/>
              </w:rPr>
              <w:t>, katerega naloga bo koordiniranje vsebin programa in povezovanje vseh relevantnih pobud in projektov s tega področja.</w:t>
            </w:r>
          </w:p>
          <w:p w14:paraId="1F3AC932" w14:textId="77777777" w:rsidR="00BC4D82" w:rsidRPr="00BC4D82" w:rsidRDefault="00BC4D82" w:rsidP="00390BFB">
            <w:pPr>
              <w:pStyle w:val="Odstavekseznama"/>
              <w:numPr>
                <w:ilvl w:val="0"/>
                <w:numId w:val="6"/>
              </w:numPr>
              <w:autoSpaceDE w:val="0"/>
              <w:autoSpaceDN w:val="0"/>
              <w:adjustRightInd w:val="0"/>
              <w:spacing w:line="276" w:lineRule="auto"/>
              <w:jc w:val="both"/>
              <w:rPr>
                <w:rFonts w:ascii="Arial" w:hAnsi="Arial" w:cs="Arial"/>
                <w:sz w:val="20"/>
                <w:szCs w:val="20"/>
              </w:rPr>
            </w:pPr>
            <w:r w:rsidRPr="00BC4D82">
              <w:rPr>
                <w:rFonts w:ascii="Arial" w:hAnsi="Arial" w:cs="Arial"/>
                <w:b/>
                <w:sz w:val="20"/>
                <w:szCs w:val="20"/>
              </w:rPr>
              <w:t>Transformacijski kapital</w:t>
            </w:r>
            <w:r w:rsidRPr="00BC4D82">
              <w:rPr>
                <w:rFonts w:ascii="Arial" w:hAnsi="Arial" w:cs="Arial"/>
                <w:sz w:val="20"/>
                <w:szCs w:val="20"/>
              </w:rPr>
              <w:t>, katerega namen je omogočiti strateško kombiniranje različnih virov financiranja in vzpostaviti novo naložbeno logiko, da bomo s porabljenimi sredstvi dosegli ustrezne transformativne učinke.</w:t>
            </w:r>
          </w:p>
          <w:p w14:paraId="2D454BC5" w14:textId="77777777" w:rsidR="00BC4D82" w:rsidRPr="00BC4D82" w:rsidRDefault="00BC4D82" w:rsidP="00390BFB">
            <w:pPr>
              <w:pStyle w:val="Odstavekseznama"/>
              <w:numPr>
                <w:ilvl w:val="0"/>
                <w:numId w:val="6"/>
              </w:numPr>
              <w:autoSpaceDE w:val="0"/>
              <w:autoSpaceDN w:val="0"/>
              <w:adjustRightInd w:val="0"/>
              <w:spacing w:line="276" w:lineRule="auto"/>
              <w:jc w:val="both"/>
              <w:rPr>
                <w:rFonts w:ascii="Arial" w:hAnsi="Arial" w:cs="Arial"/>
                <w:sz w:val="20"/>
                <w:szCs w:val="20"/>
              </w:rPr>
            </w:pPr>
            <w:r w:rsidRPr="00BC4D82">
              <w:rPr>
                <w:rFonts w:ascii="Arial" w:hAnsi="Arial" w:cs="Arial"/>
                <w:sz w:val="20"/>
                <w:szCs w:val="20"/>
              </w:rPr>
              <w:t xml:space="preserve">Progam </w:t>
            </w:r>
            <w:r w:rsidRPr="00BC4D82">
              <w:rPr>
                <w:rFonts w:ascii="Arial" w:hAnsi="Arial" w:cs="Arial"/>
                <w:b/>
                <w:sz w:val="20"/>
                <w:szCs w:val="20"/>
              </w:rPr>
              <w:t>Krožni piloti</w:t>
            </w:r>
            <w:r w:rsidRPr="00BC4D82">
              <w:rPr>
                <w:rFonts w:ascii="Arial" w:hAnsi="Arial" w:cs="Arial"/>
                <w:sz w:val="20"/>
                <w:szCs w:val="20"/>
              </w:rPr>
              <w:t xml:space="preserve"> temelji na Strategiji pametne specializacije in Kažipotu Slovenije za prehod v krožno gospodarstvo; z njegovim izvajanjem bomo prispevali k oblikovanju poti/temeljev za razogljičenje in prehod v krožne poslovne modele na relevantnih področjih industrije. </w:t>
            </w:r>
          </w:p>
          <w:p w14:paraId="56789EC7" w14:textId="77777777" w:rsidR="00BC4D82" w:rsidRPr="00BC4D82" w:rsidRDefault="00BC4D82" w:rsidP="009532D5">
            <w:pPr>
              <w:spacing w:line="276" w:lineRule="auto"/>
              <w:jc w:val="both"/>
              <w:rPr>
                <w:rFonts w:cs="Arial"/>
                <w:szCs w:val="20"/>
              </w:rPr>
            </w:pPr>
          </w:p>
          <w:p w14:paraId="6C702CCE" w14:textId="77777777" w:rsidR="00BC4D82" w:rsidRPr="00BC4D82" w:rsidRDefault="00BC4D82" w:rsidP="009532D5">
            <w:pPr>
              <w:spacing w:line="276" w:lineRule="auto"/>
              <w:jc w:val="both"/>
              <w:rPr>
                <w:rFonts w:cs="Arial"/>
                <w:szCs w:val="20"/>
              </w:rPr>
            </w:pPr>
            <w:r w:rsidRPr="00BC4D82">
              <w:rPr>
                <w:rFonts w:cs="Arial"/>
                <w:szCs w:val="20"/>
              </w:rPr>
              <w:t xml:space="preserve">Z izvajanjem tega strateškega predstavitvenega projekta bomo prispevali k doseganju več ciljev Strategije razvoja Slovenije 2030 in izvajanju priporočil iz Poročila o razvoju 2019, ki jih je pripravil UMAR. Na ta način bomo začeli sistematično delovati v smeri izboljševanja vseh treh produktivnosti gospodarstva, kjer Slovenija zaostaja za povprečjem EU-28 in s tem prispevali k izboljševanju konkurenčnosti, kar bo prispevalo tudi k povečevanju možnosti/verjetnosti za stabilno in dolgoročno poslovanje podjetij oziroma verig vrednosti na ključnih področjih, na katerih ima Slovenija primerjalno prednost. Poleg tega bomo z ukrepi, ki so predvideni v projektu, začeli lažje premoščati določene vrzeli, ki so jih identificirani ključni deležniki, ki sodelujejo v procesu prehoda v nizkoogljično krožno gospodarstvo (npr. podporno okolje, težave pri oblikovanju celovitih projektov na funkcionalnih območjih/regijah, parcialna in neosredotočena ponudba finančnih podpor za ta namen, pomanjkljivi pristopi za privabljanje zasebnih vlagateljev, itd.). </w:t>
            </w:r>
          </w:p>
          <w:p w14:paraId="2673C5FC" w14:textId="77777777" w:rsidR="00BC4D82" w:rsidRPr="00BC4D82" w:rsidRDefault="00BC4D82" w:rsidP="009532D5">
            <w:pPr>
              <w:spacing w:line="276" w:lineRule="auto"/>
              <w:jc w:val="both"/>
              <w:rPr>
                <w:rFonts w:cs="Arial"/>
                <w:szCs w:val="20"/>
              </w:rPr>
            </w:pPr>
          </w:p>
          <w:p w14:paraId="427F24CC" w14:textId="77777777" w:rsidR="00BC4D82" w:rsidRPr="00BC4D82" w:rsidRDefault="000F2B8B" w:rsidP="009532D5">
            <w:pPr>
              <w:spacing w:line="276" w:lineRule="auto"/>
              <w:jc w:val="both"/>
              <w:rPr>
                <w:rFonts w:cs="Arial"/>
                <w:szCs w:val="20"/>
              </w:rPr>
            </w:pPr>
            <w:r>
              <w:rPr>
                <w:rFonts w:cs="Arial"/>
                <w:szCs w:val="20"/>
              </w:rPr>
              <w:t>Programi</w:t>
            </w:r>
            <w:r w:rsidRPr="00BC4D82">
              <w:rPr>
                <w:rFonts w:cs="Arial"/>
                <w:szCs w:val="20"/>
              </w:rPr>
              <w:t xml:space="preserve"> </w:t>
            </w:r>
            <w:r w:rsidR="00BC4D82" w:rsidRPr="00BC4D82">
              <w:rPr>
                <w:rFonts w:cs="Arial"/>
                <w:szCs w:val="20"/>
              </w:rPr>
              <w:t xml:space="preserve">v okviru projekta bodo podprli tudi izvajanje ukrepov evropske kohezijske politike v obdobju 2014–2020, in sicer v segmentu, povezanim s podjetništvom, raziskavami, izobraževanjem in trgom dela, ter s področji, povezanimi s Slovensko strategijo pametne specializacije. Izvajanje projektnega programa Krožne sinergije – pametne in krožne </w:t>
            </w:r>
            <w:r w:rsidR="00AF5AD8">
              <w:rPr>
                <w:rFonts w:cs="Arial"/>
                <w:szCs w:val="20"/>
              </w:rPr>
              <w:t>skupnosti</w:t>
            </w:r>
            <w:r w:rsidR="00AF5AD8" w:rsidRPr="00BC4D82">
              <w:rPr>
                <w:rFonts w:cs="Arial"/>
                <w:szCs w:val="20"/>
              </w:rPr>
              <w:t xml:space="preserve"> </w:t>
            </w:r>
            <w:r w:rsidR="00BC4D82" w:rsidRPr="00BC4D82">
              <w:rPr>
                <w:rFonts w:cs="Arial"/>
                <w:szCs w:val="20"/>
              </w:rPr>
              <w:t>bo pripomoglo tudi k bolj kakovostni pripravi projektov lokalnih deležnikov za naslednjo finančno perspektivo.</w:t>
            </w:r>
          </w:p>
          <w:p w14:paraId="22B36E31" w14:textId="77777777" w:rsidR="00BC4D82" w:rsidRPr="00BC4D82" w:rsidRDefault="00BC4D82" w:rsidP="009532D5">
            <w:pPr>
              <w:spacing w:line="276" w:lineRule="auto"/>
              <w:jc w:val="both"/>
              <w:rPr>
                <w:rFonts w:cs="Arial"/>
                <w:szCs w:val="20"/>
              </w:rPr>
            </w:pPr>
          </w:p>
          <w:p w14:paraId="58971D99" w14:textId="77777777" w:rsidR="00BC4D82" w:rsidRPr="00BC4D82" w:rsidRDefault="00BC4D82" w:rsidP="009532D5">
            <w:pPr>
              <w:spacing w:line="276" w:lineRule="auto"/>
              <w:jc w:val="both"/>
              <w:rPr>
                <w:rFonts w:cs="Arial"/>
                <w:szCs w:val="20"/>
              </w:rPr>
            </w:pPr>
            <w:r w:rsidRPr="00BC4D82">
              <w:rPr>
                <w:rFonts w:cs="Arial"/>
                <w:szCs w:val="20"/>
              </w:rPr>
              <w:t>Izvajanje celovitega strateškega  projekta bo podprlo tudi pripravo dolgoročne podnebne strategije ter izvajanje nacionalnega energetsko-podnebnega načrta in nacionalnega programa varstva okolja do leta 2030.</w:t>
            </w:r>
          </w:p>
          <w:p w14:paraId="38576195" w14:textId="77777777" w:rsidR="00BC4D82" w:rsidRPr="00BC4D82" w:rsidRDefault="00BC4D82" w:rsidP="009532D5">
            <w:pPr>
              <w:spacing w:line="276" w:lineRule="auto"/>
              <w:jc w:val="both"/>
              <w:rPr>
                <w:rFonts w:cs="Arial"/>
                <w:szCs w:val="20"/>
              </w:rPr>
            </w:pPr>
          </w:p>
          <w:p w14:paraId="0B47534B" w14:textId="77777777" w:rsidR="00BC4D82" w:rsidRPr="00BC4D82" w:rsidRDefault="00BC4D82" w:rsidP="009532D5">
            <w:pPr>
              <w:spacing w:line="276" w:lineRule="auto"/>
              <w:jc w:val="both"/>
              <w:rPr>
                <w:rFonts w:cs="Arial"/>
                <w:szCs w:val="20"/>
              </w:rPr>
            </w:pPr>
            <w:r w:rsidRPr="00BC4D82">
              <w:rPr>
                <w:rFonts w:cs="Arial"/>
                <w:szCs w:val="20"/>
              </w:rPr>
              <w:lastRenderedPageBreak/>
              <w:t>Slovenija se bo z izvajanjem tega projekta bolje pozicionirala kot vzorčni primer na področju razogljičenja ter prehoda v krožno gospodarstvo, ki vključuje tudi razvoj biogospodarstva . Na ta način bo imela boljši/lažji dostop do ključnih odločevalcev na ravni EU, saj je oblikovanje Evropskega zelenega dogovora med ključnimi ambicijami nove Evropske komisije. Hkrati pa bo Slovenija z izvajanjem projekta tudi v času predsedovanja Svetu EU v drugem polletju 2021 pokazala doslednost pri prevajanju političnih zavez v ukrepe, ki prispevajo h konkretnim rezultatom, in na ta način pomagala tudi pri pozicioniranju slovenskih podjetij in drugih relevantnih deležnikov, ki delujejo v smeri razogljičenja in vzpostavljanja krožnih poslovnih modelov. Ne nazadnje bomo z izvajanjem ukrepov odgovorili na nekatera pričakovanja prebivalcev Slovenije, ki so jih izrazili v javnomnenjskih raziskavah in zahteve nevladnih organizacij, ki so Vlado RS pozvale k izvedbi ukrepov za podnebno nevtralnost Slovenije do leta 2040.</w:t>
            </w:r>
          </w:p>
          <w:p w14:paraId="4A5326A2" w14:textId="77777777" w:rsidR="00BC4D82" w:rsidRPr="00BC4D82" w:rsidRDefault="00BC4D82" w:rsidP="009532D5">
            <w:pPr>
              <w:spacing w:line="276" w:lineRule="auto"/>
              <w:jc w:val="both"/>
              <w:rPr>
                <w:rFonts w:cs="Arial"/>
                <w:noProof/>
                <w:szCs w:val="20"/>
                <w:lang w:eastAsia="x-none"/>
              </w:rPr>
            </w:pPr>
          </w:p>
        </w:tc>
      </w:tr>
      <w:tr w:rsidR="00BC4D82" w:rsidRPr="00BC4D82" w14:paraId="7E22928F" w14:textId="77777777" w:rsidTr="009532D5">
        <w:trPr>
          <w:trHeight w:val="209"/>
        </w:trPr>
        <w:tc>
          <w:tcPr>
            <w:tcW w:w="9100" w:type="dxa"/>
            <w:gridSpan w:val="12"/>
          </w:tcPr>
          <w:p w14:paraId="1259125F" w14:textId="77777777" w:rsidR="00BC4D82" w:rsidRPr="00BC4D82" w:rsidRDefault="00BC4D82" w:rsidP="009532D5">
            <w:pPr>
              <w:suppressAutoHyphens/>
              <w:overflowPunct w:val="0"/>
              <w:autoSpaceDE w:val="0"/>
              <w:autoSpaceDN w:val="0"/>
              <w:adjustRightInd w:val="0"/>
              <w:spacing w:line="276" w:lineRule="auto"/>
              <w:ind w:right="-141"/>
              <w:jc w:val="both"/>
              <w:textAlignment w:val="baseline"/>
              <w:outlineLvl w:val="3"/>
              <w:rPr>
                <w:rFonts w:cs="Arial"/>
                <w:b/>
                <w:szCs w:val="20"/>
                <w:lang w:eastAsia="sl-SI"/>
              </w:rPr>
            </w:pPr>
            <w:r w:rsidRPr="00BC4D82">
              <w:rPr>
                <w:rFonts w:cs="Arial"/>
                <w:b/>
                <w:szCs w:val="20"/>
                <w:lang w:eastAsia="sl-SI"/>
              </w:rPr>
              <w:lastRenderedPageBreak/>
              <w:t>6. Presoja posledic za:</w:t>
            </w:r>
          </w:p>
        </w:tc>
      </w:tr>
      <w:tr w:rsidR="00BC4D82" w:rsidRPr="00BC4D82" w14:paraId="4A4F760F" w14:textId="77777777" w:rsidTr="009532D5">
        <w:trPr>
          <w:trHeight w:val="585"/>
        </w:trPr>
        <w:tc>
          <w:tcPr>
            <w:tcW w:w="1820" w:type="dxa"/>
          </w:tcPr>
          <w:p w14:paraId="0F5D862B" w14:textId="77777777" w:rsidR="00BC4D82" w:rsidRPr="00BC4D82" w:rsidRDefault="00BC4D82" w:rsidP="009532D5">
            <w:pPr>
              <w:overflowPunct w:val="0"/>
              <w:autoSpaceDE w:val="0"/>
              <w:autoSpaceDN w:val="0"/>
              <w:adjustRightInd w:val="0"/>
              <w:spacing w:line="276" w:lineRule="auto"/>
              <w:ind w:left="360"/>
              <w:jc w:val="both"/>
              <w:textAlignment w:val="baseline"/>
              <w:rPr>
                <w:rFonts w:cs="Arial"/>
                <w:iCs/>
                <w:szCs w:val="20"/>
                <w:lang w:eastAsia="sl-SI"/>
              </w:rPr>
            </w:pPr>
            <w:r w:rsidRPr="00BC4D82">
              <w:rPr>
                <w:rFonts w:cs="Arial"/>
                <w:iCs/>
                <w:szCs w:val="20"/>
                <w:lang w:eastAsia="sl-SI"/>
              </w:rPr>
              <w:t>a)</w:t>
            </w:r>
          </w:p>
        </w:tc>
        <w:tc>
          <w:tcPr>
            <w:tcW w:w="5010" w:type="dxa"/>
            <w:gridSpan w:val="9"/>
          </w:tcPr>
          <w:p w14:paraId="11F0C9CF" w14:textId="77777777" w:rsidR="00BC4D82" w:rsidRPr="00BC4D82" w:rsidRDefault="00BC4D82" w:rsidP="009532D5">
            <w:pPr>
              <w:overflowPunct w:val="0"/>
              <w:autoSpaceDE w:val="0"/>
              <w:autoSpaceDN w:val="0"/>
              <w:adjustRightInd w:val="0"/>
              <w:spacing w:line="276" w:lineRule="auto"/>
              <w:jc w:val="both"/>
              <w:textAlignment w:val="baseline"/>
              <w:rPr>
                <w:rFonts w:cs="Arial"/>
                <w:szCs w:val="20"/>
                <w:lang w:eastAsia="sl-SI"/>
              </w:rPr>
            </w:pPr>
            <w:r w:rsidRPr="00BC4D82">
              <w:rPr>
                <w:rFonts w:cs="Arial"/>
                <w:szCs w:val="20"/>
              </w:rPr>
              <w:t>javnofinančna sredstva nad 40.000 EUR v tekočem in naslednjih treh letih</w:t>
            </w:r>
          </w:p>
        </w:tc>
        <w:tc>
          <w:tcPr>
            <w:tcW w:w="2270" w:type="dxa"/>
            <w:gridSpan w:val="2"/>
          </w:tcPr>
          <w:p w14:paraId="5D7AC7CA" w14:textId="5023730D" w:rsidR="00BC4D82" w:rsidRPr="00E8528D" w:rsidRDefault="00BC4D82" w:rsidP="00E8528D">
            <w:pPr>
              <w:spacing w:line="276" w:lineRule="auto"/>
              <w:jc w:val="both"/>
              <w:rPr>
                <w:rFonts w:cs="Arial"/>
                <w:i/>
                <w:szCs w:val="20"/>
                <w:lang w:eastAsia="sl-SI"/>
              </w:rPr>
            </w:pPr>
            <w:r w:rsidRPr="00BC4D82">
              <w:rPr>
                <w:rFonts w:cs="Arial"/>
                <w:szCs w:val="20"/>
                <w:lang w:eastAsia="sl-SI"/>
              </w:rPr>
              <w:t>NE</w:t>
            </w:r>
            <w:r w:rsidR="00E8528D">
              <w:rPr>
                <w:rFonts w:cs="Arial"/>
                <w:szCs w:val="20"/>
                <w:lang w:eastAsia="sl-SI"/>
              </w:rPr>
              <w:t xml:space="preserve"> -</w:t>
            </w:r>
            <w:r w:rsidR="00E8528D">
              <w:rPr>
                <w:rFonts w:cs="Arial"/>
                <w:i/>
                <w:szCs w:val="20"/>
                <w:lang w:eastAsia="sl-SI"/>
              </w:rPr>
              <w:t xml:space="preserve"> </w:t>
            </w:r>
            <w:r w:rsidR="00E8528D">
              <w:rPr>
                <w:rFonts w:cs="Arial"/>
                <w:i/>
                <w:szCs w:val="20"/>
                <w:lang w:eastAsia="sl-SI"/>
              </w:rPr>
              <w:t>Finančni učinki in viri financiranja bodo navedeni v naslednji fazi projekta.</w:t>
            </w:r>
          </w:p>
        </w:tc>
      </w:tr>
      <w:tr w:rsidR="00BC4D82" w:rsidRPr="00BC4D82" w14:paraId="11CBE28A" w14:textId="77777777" w:rsidTr="009532D5">
        <w:trPr>
          <w:trHeight w:val="570"/>
        </w:trPr>
        <w:tc>
          <w:tcPr>
            <w:tcW w:w="1820" w:type="dxa"/>
          </w:tcPr>
          <w:p w14:paraId="657109F2" w14:textId="77777777" w:rsidR="00BC4D82" w:rsidRPr="00BC4D82" w:rsidRDefault="00BC4D82" w:rsidP="009532D5">
            <w:pPr>
              <w:overflowPunct w:val="0"/>
              <w:autoSpaceDE w:val="0"/>
              <w:autoSpaceDN w:val="0"/>
              <w:adjustRightInd w:val="0"/>
              <w:spacing w:line="276" w:lineRule="auto"/>
              <w:ind w:left="360"/>
              <w:jc w:val="both"/>
              <w:textAlignment w:val="baseline"/>
              <w:rPr>
                <w:rFonts w:cs="Arial"/>
                <w:iCs/>
                <w:szCs w:val="20"/>
                <w:lang w:eastAsia="sl-SI"/>
              </w:rPr>
            </w:pPr>
            <w:r w:rsidRPr="00BC4D82">
              <w:rPr>
                <w:rFonts w:cs="Arial"/>
                <w:iCs/>
                <w:szCs w:val="20"/>
                <w:lang w:eastAsia="sl-SI"/>
              </w:rPr>
              <w:t>b)</w:t>
            </w:r>
          </w:p>
        </w:tc>
        <w:tc>
          <w:tcPr>
            <w:tcW w:w="5010" w:type="dxa"/>
            <w:gridSpan w:val="9"/>
          </w:tcPr>
          <w:p w14:paraId="3C97635A" w14:textId="77777777" w:rsidR="00BC4D82" w:rsidRPr="00BC4D82" w:rsidRDefault="00BC4D82" w:rsidP="009532D5">
            <w:pPr>
              <w:overflowPunct w:val="0"/>
              <w:autoSpaceDE w:val="0"/>
              <w:autoSpaceDN w:val="0"/>
              <w:adjustRightInd w:val="0"/>
              <w:spacing w:line="276" w:lineRule="auto"/>
              <w:jc w:val="both"/>
              <w:textAlignment w:val="baseline"/>
              <w:rPr>
                <w:rFonts w:cs="Arial"/>
                <w:iCs/>
                <w:szCs w:val="20"/>
                <w:lang w:eastAsia="sl-SI"/>
              </w:rPr>
            </w:pPr>
            <w:r w:rsidRPr="00BC4D82">
              <w:rPr>
                <w:rFonts w:cs="Arial"/>
                <w:bCs/>
                <w:szCs w:val="20"/>
              </w:rPr>
              <w:t>usklajenost slovenskega pravnega reda s pravnim redom Evropske unije</w:t>
            </w:r>
          </w:p>
        </w:tc>
        <w:tc>
          <w:tcPr>
            <w:tcW w:w="2270" w:type="dxa"/>
            <w:gridSpan w:val="2"/>
          </w:tcPr>
          <w:p w14:paraId="16CB56C1" w14:textId="77777777" w:rsidR="00BC4D82" w:rsidRPr="00BC4D82" w:rsidRDefault="00BC4D82" w:rsidP="009532D5">
            <w:pPr>
              <w:overflowPunct w:val="0"/>
              <w:autoSpaceDE w:val="0"/>
              <w:autoSpaceDN w:val="0"/>
              <w:adjustRightInd w:val="0"/>
              <w:spacing w:line="276" w:lineRule="auto"/>
              <w:jc w:val="both"/>
              <w:textAlignment w:val="baseline"/>
              <w:rPr>
                <w:rFonts w:cs="Arial"/>
                <w:iCs/>
                <w:szCs w:val="20"/>
                <w:lang w:eastAsia="sl-SI"/>
              </w:rPr>
            </w:pPr>
            <w:r w:rsidRPr="00BC4D82">
              <w:rPr>
                <w:rFonts w:cs="Arial"/>
                <w:szCs w:val="20"/>
                <w:lang w:eastAsia="sl-SI"/>
              </w:rPr>
              <w:t>NE</w:t>
            </w:r>
          </w:p>
        </w:tc>
      </w:tr>
      <w:tr w:rsidR="00BC4D82" w:rsidRPr="00BC4D82" w14:paraId="09C37E55" w14:textId="77777777" w:rsidTr="009532D5">
        <w:trPr>
          <w:trHeight w:val="354"/>
        </w:trPr>
        <w:tc>
          <w:tcPr>
            <w:tcW w:w="1820" w:type="dxa"/>
          </w:tcPr>
          <w:p w14:paraId="55BE72FE" w14:textId="77777777" w:rsidR="00BC4D82" w:rsidRPr="00BC4D82" w:rsidRDefault="00BC4D82" w:rsidP="009532D5">
            <w:pPr>
              <w:overflowPunct w:val="0"/>
              <w:autoSpaceDE w:val="0"/>
              <w:autoSpaceDN w:val="0"/>
              <w:adjustRightInd w:val="0"/>
              <w:spacing w:line="276" w:lineRule="auto"/>
              <w:ind w:left="360"/>
              <w:jc w:val="both"/>
              <w:textAlignment w:val="baseline"/>
              <w:rPr>
                <w:rFonts w:cs="Arial"/>
                <w:iCs/>
                <w:szCs w:val="20"/>
                <w:lang w:eastAsia="sl-SI"/>
              </w:rPr>
            </w:pPr>
            <w:r w:rsidRPr="00BC4D82">
              <w:rPr>
                <w:rFonts w:cs="Arial"/>
                <w:iCs/>
                <w:szCs w:val="20"/>
                <w:lang w:eastAsia="sl-SI"/>
              </w:rPr>
              <w:t xml:space="preserve">c) </w:t>
            </w:r>
          </w:p>
        </w:tc>
        <w:tc>
          <w:tcPr>
            <w:tcW w:w="5010" w:type="dxa"/>
            <w:gridSpan w:val="9"/>
          </w:tcPr>
          <w:p w14:paraId="064E5038" w14:textId="77777777" w:rsidR="00BC4D82" w:rsidRPr="00BC4D82" w:rsidRDefault="00BC4D82" w:rsidP="009532D5">
            <w:pPr>
              <w:overflowPunct w:val="0"/>
              <w:autoSpaceDE w:val="0"/>
              <w:autoSpaceDN w:val="0"/>
              <w:adjustRightInd w:val="0"/>
              <w:spacing w:line="276" w:lineRule="auto"/>
              <w:jc w:val="both"/>
              <w:textAlignment w:val="baseline"/>
              <w:rPr>
                <w:rFonts w:cs="Arial"/>
                <w:iCs/>
                <w:szCs w:val="20"/>
                <w:lang w:eastAsia="sl-SI"/>
              </w:rPr>
            </w:pPr>
            <w:r w:rsidRPr="00BC4D82">
              <w:rPr>
                <w:rFonts w:cs="Arial"/>
                <w:szCs w:val="20"/>
              </w:rPr>
              <w:t>administrativne posledice</w:t>
            </w:r>
          </w:p>
        </w:tc>
        <w:tc>
          <w:tcPr>
            <w:tcW w:w="2270" w:type="dxa"/>
            <w:gridSpan w:val="2"/>
          </w:tcPr>
          <w:p w14:paraId="056834F0" w14:textId="77777777" w:rsidR="00BC4D82" w:rsidRPr="00BC4D82" w:rsidRDefault="00BC4D82" w:rsidP="009532D5">
            <w:pPr>
              <w:overflowPunct w:val="0"/>
              <w:autoSpaceDE w:val="0"/>
              <w:autoSpaceDN w:val="0"/>
              <w:adjustRightInd w:val="0"/>
              <w:spacing w:line="276" w:lineRule="auto"/>
              <w:jc w:val="both"/>
              <w:textAlignment w:val="baseline"/>
              <w:rPr>
                <w:rFonts w:cs="Arial"/>
                <w:iCs/>
                <w:szCs w:val="20"/>
                <w:lang w:eastAsia="sl-SI"/>
              </w:rPr>
            </w:pPr>
            <w:r w:rsidRPr="00BC4D82">
              <w:rPr>
                <w:rFonts w:cs="Arial"/>
                <w:szCs w:val="20"/>
                <w:lang w:eastAsia="sl-SI"/>
              </w:rPr>
              <w:t>NE</w:t>
            </w:r>
          </w:p>
        </w:tc>
      </w:tr>
      <w:tr w:rsidR="00BC4D82" w:rsidRPr="00BC4D82" w14:paraId="3CAAC70C" w14:textId="77777777" w:rsidTr="009532D5">
        <w:trPr>
          <w:trHeight w:val="570"/>
        </w:trPr>
        <w:tc>
          <w:tcPr>
            <w:tcW w:w="1820" w:type="dxa"/>
          </w:tcPr>
          <w:p w14:paraId="2BD23DA0" w14:textId="77777777" w:rsidR="00BC4D82" w:rsidRPr="00BC4D82" w:rsidRDefault="00BC4D82" w:rsidP="009532D5">
            <w:pPr>
              <w:overflowPunct w:val="0"/>
              <w:autoSpaceDE w:val="0"/>
              <w:autoSpaceDN w:val="0"/>
              <w:adjustRightInd w:val="0"/>
              <w:spacing w:line="276" w:lineRule="auto"/>
              <w:ind w:left="360"/>
              <w:jc w:val="both"/>
              <w:textAlignment w:val="baseline"/>
              <w:rPr>
                <w:rFonts w:cs="Arial"/>
                <w:iCs/>
                <w:szCs w:val="20"/>
                <w:lang w:eastAsia="sl-SI"/>
              </w:rPr>
            </w:pPr>
            <w:r w:rsidRPr="00BC4D82">
              <w:rPr>
                <w:rFonts w:cs="Arial"/>
                <w:iCs/>
                <w:szCs w:val="20"/>
                <w:lang w:eastAsia="sl-SI"/>
              </w:rPr>
              <w:t>č)</w:t>
            </w:r>
          </w:p>
        </w:tc>
        <w:tc>
          <w:tcPr>
            <w:tcW w:w="5010" w:type="dxa"/>
            <w:gridSpan w:val="9"/>
          </w:tcPr>
          <w:p w14:paraId="3B92E630" w14:textId="77777777" w:rsidR="00BC4D82" w:rsidRPr="00BC4D82" w:rsidRDefault="00BC4D82" w:rsidP="009532D5">
            <w:pPr>
              <w:overflowPunct w:val="0"/>
              <w:autoSpaceDE w:val="0"/>
              <w:autoSpaceDN w:val="0"/>
              <w:adjustRightInd w:val="0"/>
              <w:spacing w:line="276" w:lineRule="auto"/>
              <w:jc w:val="both"/>
              <w:textAlignment w:val="baseline"/>
              <w:rPr>
                <w:rFonts w:cs="Arial"/>
                <w:bCs/>
                <w:szCs w:val="20"/>
                <w:lang w:eastAsia="sl-SI"/>
              </w:rPr>
            </w:pPr>
            <w:r w:rsidRPr="00BC4D82">
              <w:rPr>
                <w:rFonts w:cs="Arial"/>
                <w:szCs w:val="20"/>
              </w:rPr>
              <w:t>gospodarstvo, zlasti</w:t>
            </w:r>
            <w:r w:rsidRPr="00BC4D82">
              <w:rPr>
                <w:rFonts w:cs="Arial"/>
                <w:bCs/>
                <w:szCs w:val="20"/>
              </w:rPr>
              <w:t xml:space="preserve"> mala in srednja podjetja ter konkurenčnost podjetij</w:t>
            </w:r>
          </w:p>
        </w:tc>
        <w:tc>
          <w:tcPr>
            <w:tcW w:w="2270" w:type="dxa"/>
            <w:gridSpan w:val="2"/>
          </w:tcPr>
          <w:p w14:paraId="0D9588B9" w14:textId="77777777" w:rsidR="00BC4D82" w:rsidRPr="00BC4D82" w:rsidRDefault="00BC4D82" w:rsidP="009532D5">
            <w:pPr>
              <w:overflowPunct w:val="0"/>
              <w:autoSpaceDE w:val="0"/>
              <w:autoSpaceDN w:val="0"/>
              <w:adjustRightInd w:val="0"/>
              <w:spacing w:line="276" w:lineRule="auto"/>
              <w:jc w:val="both"/>
              <w:textAlignment w:val="baseline"/>
              <w:rPr>
                <w:rFonts w:cs="Arial"/>
                <w:iCs/>
                <w:szCs w:val="20"/>
                <w:lang w:eastAsia="sl-SI"/>
              </w:rPr>
            </w:pPr>
            <w:r w:rsidRPr="00BC4D82">
              <w:rPr>
                <w:rFonts w:cs="Arial"/>
                <w:szCs w:val="20"/>
                <w:lang w:eastAsia="sl-SI"/>
              </w:rPr>
              <w:t>NE</w:t>
            </w:r>
          </w:p>
        </w:tc>
      </w:tr>
      <w:tr w:rsidR="00BC4D82" w:rsidRPr="00BC4D82" w14:paraId="02681D49" w14:textId="77777777" w:rsidTr="009532D5">
        <w:trPr>
          <w:trHeight w:val="585"/>
        </w:trPr>
        <w:tc>
          <w:tcPr>
            <w:tcW w:w="1820" w:type="dxa"/>
          </w:tcPr>
          <w:p w14:paraId="7EA2E6C8" w14:textId="77777777" w:rsidR="00BC4D82" w:rsidRPr="00BC4D82" w:rsidRDefault="00BC4D82" w:rsidP="009532D5">
            <w:pPr>
              <w:overflowPunct w:val="0"/>
              <w:autoSpaceDE w:val="0"/>
              <w:autoSpaceDN w:val="0"/>
              <w:adjustRightInd w:val="0"/>
              <w:spacing w:line="276" w:lineRule="auto"/>
              <w:ind w:left="360"/>
              <w:jc w:val="both"/>
              <w:textAlignment w:val="baseline"/>
              <w:rPr>
                <w:rFonts w:cs="Arial"/>
                <w:iCs/>
                <w:szCs w:val="20"/>
                <w:lang w:eastAsia="sl-SI"/>
              </w:rPr>
            </w:pPr>
            <w:r w:rsidRPr="00BC4D82">
              <w:rPr>
                <w:rFonts w:cs="Arial"/>
                <w:iCs/>
                <w:szCs w:val="20"/>
                <w:lang w:eastAsia="sl-SI"/>
              </w:rPr>
              <w:t>d)</w:t>
            </w:r>
          </w:p>
        </w:tc>
        <w:tc>
          <w:tcPr>
            <w:tcW w:w="5010" w:type="dxa"/>
            <w:gridSpan w:val="9"/>
          </w:tcPr>
          <w:p w14:paraId="4A7C752D" w14:textId="77777777" w:rsidR="00BC4D82" w:rsidRPr="00BC4D82" w:rsidRDefault="00BC4D82" w:rsidP="009532D5">
            <w:pPr>
              <w:overflowPunct w:val="0"/>
              <w:autoSpaceDE w:val="0"/>
              <w:autoSpaceDN w:val="0"/>
              <w:adjustRightInd w:val="0"/>
              <w:spacing w:line="276" w:lineRule="auto"/>
              <w:jc w:val="both"/>
              <w:textAlignment w:val="baseline"/>
              <w:rPr>
                <w:rFonts w:cs="Arial"/>
                <w:bCs/>
                <w:szCs w:val="20"/>
                <w:lang w:eastAsia="sl-SI"/>
              </w:rPr>
            </w:pPr>
            <w:r w:rsidRPr="00BC4D82">
              <w:rPr>
                <w:rFonts w:cs="Arial"/>
                <w:bCs/>
                <w:szCs w:val="20"/>
              </w:rPr>
              <w:t>okolje, vključno s prostorskimi in varstvenimi vidiki</w:t>
            </w:r>
          </w:p>
        </w:tc>
        <w:tc>
          <w:tcPr>
            <w:tcW w:w="2270" w:type="dxa"/>
            <w:gridSpan w:val="2"/>
          </w:tcPr>
          <w:p w14:paraId="23A81631" w14:textId="77777777" w:rsidR="00BC4D82" w:rsidRPr="00BC4D82" w:rsidRDefault="00BC4D82" w:rsidP="009532D5">
            <w:pPr>
              <w:overflowPunct w:val="0"/>
              <w:autoSpaceDE w:val="0"/>
              <w:autoSpaceDN w:val="0"/>
              <w:adjustRightInd w:val="0"/>
              <w:spacing w:line="276" w:lineRule="auto"/>
              <w:jc w:val="both"/>
              <w:textAlignment w:val="baseline"/>
              <w:rPr>
                <w:rFonts w:cs="Arial"/>
                <w:iCs/>
                <w:szCs w:val="20"/>
                <w:lang w:eastAsia="sl-SI"/>
              </w:rPr>
            </w:pPr>
            <w:r w:rsidRPr="00BC4D82">
              <w:rPr>
                <w:rFonts w:cs="Arial"/>
                <w:szCs w:val="20"/>
                <w:lang w:eastAsia="sl-SI"/>
              </w:rPr>
              <w:t>NE</w:t>
            </w:r>
          </w:p>
        </w:tc>
      </w:tr>
      <w:tr w:rsidR="00BC4D82" w:rsidRPr="00BC4D82" w14:paraId="54956A5A" w14:textId="77777777" w:rsidTr="009532D5">
        <w:trPr>
          <w:trHeight w:val="339"/>
        </w:trPr>
        <w:tc>
          <w:tcPr>
            <w:tcW w:w="1820" w:type="dxa"/>
          </w:tcPr>
          <w:p w14:paraId="6F3837EF" w14:textId="77777777" w:rsidR="00BC4D82" w:rsidRPr="00BC4D82" w:rsidRDefault="00BC4D82" w:rsidP="009532D5">
            <w:pPr>
              <w:overflowPunct w:val="0"/>
              <w:autoSpaceDE w:val="0"/>
              <w:autoSpaceDN w:val="0"/>
              <w:adjustRightInd w:val="0"/>
              <w:spacing w:line="276" w:lineRule="auto"/>
              <w:ind w:left="360"/>
              <w:jc w:val="both"/>
              <w:textAlignment w:val="baseline"/>
              <w:rPr>
                <w:rFonts w:cs="Arial"/>
                <w:iCs/>
                <w:szCs w:val="20"/>
                <w:lang w:eastAsia="sl-SI"/>
              </w:rPr>
            </w:pPr>
            <w:r w:rsidRPr="00BC4D82">
              <w:rPr>
                <w:rFonts w:cs="Arial"/>
                <w:iCs/>
                <w:szCs w:val="20"/>
                <w:lang w:eastAsia="sl-SI"/>
              </w:rPr>
              <w:t>e)</w:t>
            </w:r>
          </w:p>
        </w:tc>
        <w:tc>
          <w:tcPr>
            <w:tcW w:w="5010" w:type="dxa"/>
            <w:gridSpan w:val="9"/>
          </w:tcPr>
          <w:p w14:paraId="5AC6B16E" w14:textId="77777777" w:rsidR="00BC4D82" w:rsidRPr="00BC4D82" w:rsidRDefault="00BC4D82" w:rsidP="009532D5">
            <w:pPr>
              <w:overflowPunct w:val="0"/>
              <w:autoSpaceDE w:val="0"/>
              <w:autoSpaceDN w:val="0"/>
              <w:adjustRightInd w:val="0"/>
              <w:spacing w:line="276" w:lineRule="auto"/>
              <w:jc w:val="both"/>
              <w:textAlignment w:val="baseline"/>
              <w:rPr>
                <w:rFonts w:cs="Arial"/>
                <w:bCs/>
                <w:szCs w:val="20"/>
                <w:lang w:eastAsia="sl-SI"/>
              </w:rPr>
            </w:pPr>
            <w:r w:rsidRPr="00BC4D82">
              <w:rPr>
                <w:rFonts w:cs="Arial"/>
                <w:bCs/>
                <w:szCs w:val="20"/>
              </w:rPr>
              <w:t>socialno področje</w:t>
            </w:r>
          </w:p>
        </w:tc>
        <w:tc>
          <w:tcPr>
            <w:tcW w:w="2270" w:type="dxa"/>
            <w:gridSpan w:val="2"/>
          </w:tcPr>
          <w:p w14:paraId="13919F35" w14:textId="77777777" w:rsidR="00BC4D82" w:rsidRPr="00BC4D82" w:rsidRDefault="00BC4D82" w:rsidP="009532D5">
            <w:pPr>
              <w:overflowPunct w:val="0"/>
              <w:autoSpaceDE w:val="0"/>
              <w:autoSpaceDN w:val="0"/>
              <w:adjustRightInd w:val="0"/>
              <w:spacing w:line="276" w:lineRule="auto"/>
              <w:jc w:val="both"/>
              <w:textAlignment w:val="baseline"/>
              <w:rPr>
                <w:rFonts w:cs="Arial"/>
                <w:iCs/>
                <w:szCs w:val="20"/>
                <w:lang w:eastAsia="sl-SI"/>
              </w:rPr>
            </w:pPr>
            <w:r w:rsidRPr="00BC4D82">
              <w:rPr>
                <w:rFonts w:cs="Arial"/>
                <w:szCs w:val="20"/>
                <w:lang w:eastAsia="sl-SI"/>
              </w:rPr>
              <w:t>NE</w:t>
            </w:r>
          </w:p>
        </w:tc>
      </w:tr>
      <w:tr w:rsidR="00BC4D82" w:rsidRPr="00BC4D82" w14:paraId="55420B45" w14:textId="77777777" w:rsidTr="009532D5">
        <w:trPr>
          <w:trHeight w:val="2060"/>
        </w:trPr>
        <w:tc>
          <w:tcPr>
            <w:tcW w:w="1820" w:type="dxa"/>
          </w:tcPr>
          <w:p w14:paraId="031DDE15" w14:textId="77777777" w:rsidR="00BC4D82" w:rsidRPr="00BC4D82" w:rsidRDefault="00BC4D82" w:rsidP="009532D5">
            <w:pPr>
              <w:overflowPunct w:val="0"/>
              <w:autoSpaceDE w:val="0"/>
              <w:autoSpaceDN w:val="0"/>
              <w:adjustRightInd w:val="0"/>
              <w:spacing w:line="276" w:lineRule="auto"/>
              <w:ind w:left="360"/>
              <w:jc w:val="both"/>
              <w:textAlignment w:val="baseline"/>
              <w:rPr>
                <w:rFonts w:cs="Arial"/>
                <w:iCs/>
                <w:szCs w:val="20"/>
                <w:lang w:eastAsia="sl-SI"/>
              </w:rPr>
            </w:pPr>
            <w:r w:rsidRPr="00BC4D82">
              <w:rPr>
                <w:rFonts w:cs="Arial"/>
                <w:iCs/>
                <w:szCs w:val="20"/>
                <w:lang w:eastAsia="sl-SI"/>
              </w:rPr>
              <w:t>f)</w:t>
            </w:r>
          </w:p>
        </w:tc>
        <w:tc>
          <w:tcPr>
            <w:tcW w:w="5010" w:type="dxa"/>
            <w:gridSpan w:val="9"/>
          </w:tcPr>
          <w:p w14:paraId="2BDD87DF" w14:textId="77777777" w:rsidR="00BC4D82" w:rsidRPr="00BC4D82" w:rsidRDefault="00BC4D82" w:rsidP="009532D5">
            <w:pPr>
              <w:pStyle w:val="Neotevilenodstavek"/>
              <w:spacing w:before="0" w:after="0" w:line="276" w:lineRule="auto"/>
              <w:rPr>
                <w:bCs/>
                <w:sz w:val="20"/>
                <w:szCs w:val="20"/>
              </w:rPr>
            </w:pPr>
            <w:r w:rsidRPr="00BC4D82">
              <w:rPr>
                <w:bCs/>
                <w:sz w:val="20"/>
                <w:szCs w:val="20"/>
              </w:rPr>
              <w:t>dokumente razvojnega načrtovanja:</w:t>
            </w:r>
          </w:p>
          <w:p w14:paraId="6CB25159" w14:textId="77777777" w:rsidR="00BC4D82" w:rsidRPr="00BC4D82" w:rsidRDefault="00BC4D82" w:rsidP="00390BFB">
            <w:pPr>
              <w:pStyle w:val="Neotevilenodstavek"/>
              <w:numPr>
                <w:ilvl w:val="0"/>
                <w:numId w:val="1"/>
              </w:numPr>
              <w:spacing w:before="0" w:after="0" w:line="276" w:lineRule="auto"/>
              <w:rPr>
                <w:bCs/>
                <w:sz w:val="20"/>
                <w:szCs w:val="20"/>
              </w:rPr>
            </w:pPr>
            <w:r w:rsidRPr="00BC4D82">
              <w:rPr>
                <w:bCs/>
                <w:sz w:val="20"/>
                <w:szCs w:val="20"/>
              </w:rPr>
              <w:t>nacionalne dokumente razvojnega načrtovanja</w:t>
            </w:r>
          </w:p>
          <w:p w14:paraId="0FE7C449" w14:textId="77777777" w:rsidR="00BC4D82" w:rsidRPr="00BC4D82" w:rsidRDefault="00BC4D82" w:rsidP="00390BFB">
            <w:pPr>
              <w:pStyle w:val="Neotevilenodstavek"/>
              <w:numPr>
                <w:ilvl w:val="0"/>
                <w:numId w:val="1"/>
              </w:numPr>
              <w:spacing w:before="0" w:after="0" w:line="276" w:lineRule="auto"/>
              <w:rPr>
                <w:bCs/>
                <w:sz w:val="20"/>
                <w:szCs w:val="20"/>
              </w:rPr>
            </w:pPr>
            <w:r w:rsidRPr="00BC4D82">
              <w:rPr>
                <w:bCs/>
                <w:sz w:val="20"/>
                <w:szCs w:val="20"/>
              </w:rPr>
              <w:t>razvojne politike na ravni programov po strukturi razvojne klasifikacije programskega proračuna</w:t>
            </w:r>
          </w:p>
        </w:tc>
        <w:tc>
          <w:tcPr>
            <w:tcW w:w="2270" w:type="dxa"/>
            <w:gridSpan w:val="2"/>
          </w:tcPr>
          <w:p w14:paraId="4961EF39" w14:textId="77777777" w:rsidR="00BC4D82" w:rsidRPr="00BC4D82" w:rsidRDefault="00BC4D82" w:rsidP="009532D5">
            <w:pPr>
              <w:overflowPunct w:val="0"/>
              <w:autoSpaceDE w:val="0"/>
              <w:autoSpaceDN w:val="0"/>
              <w:adjustRightInd w:val="0"/>
              <w:spacing w:line="276" w:lineRule="auto"/>
              <w:jc w:val="both"/>
              <w:textAlignment w:val="baseline"/>
              <w:rPr>
                <w:rFonts w:cs="Arial"/>
                <w:szCs w:val="20"/>
                <w:lang w:eastAsia="sl-SI"/>
              </w:rPr>
            </w:pPr>
            <w:r w:rsidRPr="00BC4D82">
              <w:rPr>
                <w:rFonts w:cs="Arial"/>
                <w:szCs w:val="20"/>
                <w:lang w:eastAsia="sl-SI"/>
              </w:rPr>
              <w:t>DA</w:t>
            </w:r>
          </w:p>
          <w:p w14:paraId="4D233B38" w14:textId="77777777" w:rsidR="00BC4D82" w:rsidRPr="00BC4D82" w:rsidRDefault="00BC4D82" w:rsidP="009532D5">
            <w:pPr>
              <w:overflowPunct w:val="0"/>
              <w:autoSpaceDE w:val="0"/>
              <w:autoSpaceDN w:val="0"/>
              <w:adjustRightInd w:val="0"/>
              <w:spacing w:line="276" w:lineRule="auto"/>
              <w:jc w:val="both"/>
              <w:textAlignment w:val="baseline"/>
              <w:rPr>
                <w:rFonts w:cs="Arial"/>
                <w:szCs w:val="20"/>
                <w:lang w:eastAsia="sl-SI"/>
              </w:rPr>
            </w:pPr>
          </w:p>
          <w:p w14:paraId="5BA3A131" w14:textId="77777777" w:rsidR="00BC4D82" w:rsidRPr="00BC4D82" w:rsidRDefault="00BC4D82" w:rsidP="009532D5">
            <w:pPr>
              <w:overflowPunct w:val="0"/>
              <w:autoSpaceDE w:val="0"/>
              <w:autoSpaceDN w:val="0"/>
              <w:adjustRightInd w:val="0"/>
              <w:spacing w:line="276" w:lineRule="auto"/>
              <w:jc w:val="both"/>
              <w:textAlignment w:val="baseline"/>
              <w:rPr>
                <w:rFonts w:cs="Arial"/>
                <w:szCs w:val="20"/>
                <w:lang w:eastAsia="sl-SI"/>
              </w:rPr>
            </w:pPr>
          </w:p>
          <w:p w14:paraId="2F6BCA71" w14:textId="77777777" w:rsidR="00BC4D82" w:rsidRPr="00BC4D82" w:rsidRDefault="00BC4D82" w:rsidP="009532D5">
            <w:pPr>
              <w:overflowPunct w:val="0"/>
              <w:autoSpaceDE w:val="0"/>
              <w:autoSpaceDN w:val="0"/>
              <w:adjustRightInd w:val="0"/>
              <w:spacing w:line="276" w:lineRule="auto"/>
              <w:jc w:val="both"/>
              <w:textAlignment w:val="baseline"/>
              <w:rPr>
                <w:rFonts w:cs="Arial"/>
                <w:iCs/>
                <w:szCs w:val="20"/>
                <w:lang w:eastAsia="sl-SI"/>
              </w:rPr>
            </w:pPr>
            <w:r w:rsidRPr="00BC4D82">
              <w:rPr>
                <w:rFonts w:cs="Arial"/>
                <w:color w:val="000000"/>
                <w:szCs w:val="20"/>
              </w:rPr>
              <w:t>.</w:t>
            </w:r>
          </w:p>
        </w:tc>
      </w:tr>
      <w:tr w:rsidR="00BC4D82" w:rsidRPr="00BC4D82" w14:paraId="4C19FC7C" w14:textId="77777777" w:rsidTr="009532D5">
        <w:trPr>
          <w:trHeight w:val="145"/>
        </w:trPr>
        <w:tc>
          <w:tcPr>
            <w:tcW w:w="9100" w:type="dxa"/>
            <w:gridSpan w:val="12"/>
            <w:tcBorders>
              <w:top w:val="single" w:sz="4" w:space="0" w:color="auto"/>
              <w:left w:val="single" w:sz="4" w:space="0" w:color="auto"/>
              <w:bottom w:val="single" w:sz="4" w:space="0" w:color="auto"/>
              <w:right w:val="single" w:sz="4" w:space="0" w:color="auto"/>
            </w:tcBorders>
          </w:tcPr>
          <w:p w14:paraId="61B73513" w14:textId="77777777" w:rsidR="00BC4D82" w:rsidRPr="00BC4D82" w:rsidRDefault="00BC4D82" w:rsidP="009532D5">
            <w:pPr>
              <w:widowControl w:val="0"/>
              <w:suppressAutoHyphens/>
              <w:overflowPunct w:val="0"/>
              <w:autoSpaceDE w:val="0"/>
              <w:autoSpaceDN w:val="0"/>
              <w:adjustRightInd w:val="0"/>
              <w:spacing w:line="276" w:lineRule="auto"/>
              <w:jc w:val="both"/>
              <w:textAlignment w:val="baseline"/>
              <w:outlineLvl w:val="3"/>
              <w:rPr>
                <w:rFonts w:cs="Arial"/>
                <w:b/>
                <w:szCs w:val="20"/>
                <w:lang w:eastAsia="sl-SI"/>
              </w:rPr>
            </w:pPr>
            <w:r w:rsidRPr="00BC4D82">
              <w:rPr>
                <w:rFonts w:cs="Arial"/>
                <w:b/>
                <w:szCs w:val="20"/>
                <w:lang w:eastAsia="sl-SI"/>
              </w:rPr>
              <w:t>7.a Predstavitev ocene finančnih posledic nad 40.000 EUR:</w:t>
            </w:r>
          </w:p>
          <w:p w14:paraId="084CF88E" w14:textId="77777777" w:rsidR="00BC4D82" w:rsidRDefault="00BC4D82" w:rsidP="009532D5">
            <w:pPr>
              <w:widowControl w:val="0"/>
              <w:suppressAutoHyphens/>
              <w:overflowPunct w:val="0"/>
              <w:autoSpaceDE w:val="0"/>
              <w:autoSpaceDN w:val="0"/>
              <w:adjustRightInd w:val="0"/>
              <w:spacing w:line="276" w:lineRule="auto"/>
              <w:jc w:val="both"/>
              <w:textAlignment w:val="baseline"/>
              <w:outlineLvl w:val="3"/>
              <w:rPr>
                <w:rFonts w:cs="Arial"/>
                <w:szCs w:val="20"/>
                <w:lang w:eastAsia="sl-SI"/>
              </w:rPr>
            </w:pPr>
            <w:r w:rsidRPr="00BC4D82">
              <w:rPr>
                <w:rFonts w:cs="Arial"/>
                <w:szCs w:val="20"/>
                <w:lang w:eastAsia="sl-SI"/>
              </w:rPr>
              <w:t>(Samo če izberete DA pod točko 6.a.)</w:t>
            </w:r>
          </w:p>
          <w:p w14:paraId="4C7C0007" w14:textId="0041A391" w:rsidR="00E8528D" w:rsidRPr="00E8528D" w:rsidRDefault="00E8528D" w:rsidP="00E8528D">
            <w:pPr>
              <w:spacing w:line="276" w:lineRule="auto"/>
              <w:jc w:val="both"/>
              <w:rPr>
                <w:rFonts w:cs="Arial"/>
                <w:i/>
                <w:szCs w:val="20"/>
                <w:lang w:eastAsia="sl-SI"/>
              </w:rPr>
            </w:pPr>
            <w:r>
              <w:rPr>
                <w:rFonts w:cs="Arial"/>
                <w:i/>
                <w:szCs w:val="20"/>
                <w:lang w:eastAsia="sl-SI"/>
              </w:rPr>
              <w:t>Finančni učinki in viri financiranja bodo navedeni v naslednji fazi projekta.</w:t>
            </w:r>
            <w:bookmarkStart w:id="0" w:name="_GoBack"/>
            <w:bookmarkEnd w:id="0"/>
          </w:p>
        </w:tc>
      </w:tr>
      <w:tr w:rsidR="00BC4D82" w:rsidRPr="00BC4D82" w14:paraId="1582CF91" w14:textId="77777777" w:rsidTr="009532D5">
        <w:trPr>
          <w:trHeight w:val="145"/>
        </w:trPr>
        <w:tc>
          <w:tcPr>
            <w:tcW w:w="9100" w:type="dxa"/>
            <w:gridSpan w:val="12"/>
            <w:tcBorders>
              <w:top w:val="single" w:sz="4" w:space="0" w:color="auto"/>
              <w:left w:val="single" w:sz="4" w:space="0" w:color="auto"/>
              <w:bottom w:val="single" w:sz="4" w:space="0" w:color="auto"/>
              <w:right w:val="single" w:sz="4" w:space="0" w:color="auto"/>
            </w:tcBorders>
            <w:shd w:val="clear" w:color="auto" w:fill="D9D9D9"/>
          </w:tcPr>
          <w:p w14:paraId="1BF80920" w14:textId="77777777" w:rsidR="00BC4D82" w:rsidRPr="00BC4D82" w:rsidRDefault="00BC4D82" w:rsidP="009532D5">
            <w:pPr>
              <w:widowControl w:val="0"/>
              <w:suppressAutoHyphens/>
              <w:overflowPunct w:val="0"/>
              <w:autoSpaceDE w:val="0"/>
              <w:autoSpaceDN w:val="0"/>
              <w:adjustRightInd w:val="0"/>
              <w:spacing w:line="276" w:lineRule="auto"/>
              <w:jc w:val="both"/>
              <w:textAlignment w:val="baseline"/>
              <w:outlineLvl w:val="3"/>
              <w:rPr>
                <w:rFonts w:cs="Arial"/>
                <w:b/>
                <w:szCs w:val="20"/>
                <w:lang w:eastAsia="sl-SI"/>
              </w:rPr>
            </w:pPr>
            <w:r w:rsidRPr="00BC4D82">
              <w:rPr>
                <w:rFonts w:cs="Arial"/>
                <w:b/>
                <w:szCs w:val="20"/>
                <w:lang w:eastAsia="sl-SI"/>
              </w:rPr>
              <w:t>I. Ocena finančnih posledic, ki niso načrtovane v sprejetem proračunu</w:t>
            </w:r>
          </w:p>
        </w:tc>
      </w:tr>
      <w:tr w:rsidR="00BC4D82" w:rsidRPr="00BC4D82" w14:paraId="1C1C904F" w14:textId="77777777" w:rsidTr="009532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57" w:type="dxa"/>
            <w:gridSpan w:val="3"/>
            <w:tcBorders>
              <w:top w:val="single" w:sz="4" w:space="0" w:color="auto"/>
              <w:left w:val="single" w:sz="4" w:space="0" w:color="auto"/>
              <w:bottom w:val="single" w:sz="4" w:space="0" w:color="auto"/>
              <w:right w:val="single" w:sz="4" w:space="0" w:color="auto"/>
            </w:tcBorders>
            <w:vAlign w:val="center"/>
          </w:tcPr>
          <w:p w14:paraId="5661B754" w14:textId="77777777" w:rsidR="00BC4D82" w:rsidRPr="00BC4D82" w:rsidRDefault="00BC4D82" w:rsidP="009532D5">
            <w:pPr>
              <w:widowControl w:val="0"/>
              <w:spacing w:line="276" w:lineRule="auto"/>
              <w:ind w:left="-122" w:right="-112"/>
              <w:jc w:val="both"/>
              <w:rPr>
                <w:rFonts w:eastAsia="Calibri" w:cs="Arial"/>
                <w:szCs w:val="20"/>
              </w:rPr>
            </w:pPr>
          </w:p>
        </w:tc>
        <w:tc>
          <w:tcPr>
            <w:tcW w:w="1831" w:type="dxa"/>
            <w:gridSpan w:val="3"/>
            <w:tcBorders>
              <w:top w:val="single" w:sz="4" w:space="0" w:color="auto"/>
              <w:left w:val="single" w:sz="4" w:space="0" w:color="auto"/>
              <w:bottom w:val="single" w:sz="4" w:space="0" w:color="auto"/>
              <w:right w:val="single" w:sz="4" w:space="0" w:color="auto"/>
            </w:tcBorders>
            <w:vAlign w:val="center"/>
          </w:tcPr>
          <w:p w14:paraId="7DC3008E" w14:textId="77777777" w:rsidR="00BC4D82" w:rsidRPr="00BC4D82" w:rsidRDefault="00BC4D82" w:rsidP="009532D5">
            <w:pPr>
              <w:widowControl w:val="0"/>
              <w:spacing w:line="276" w:lineRule="auto"/>
              <w:jc w:val="both"/>
              <w:rPr>
                <w:rFonts w:eastAsia="Calibri" w:cs="Arial"/>
                <w:szCs w:val="20"/>
              </w:rPr>
            </w:pPr>
            <w:r w:rsidRPr="00BC4D82">
              <w:rPr>
                <w:rFonts w:eastAsia="Calibri"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3CF94F22" w14:textId="77777777" w:rsidR="00BC4D82" w:rsidRPr="00BC4D82" w:rsidRDefault="00BC4D82" w:rsidP="009532D5">
            <w:pPr>
              <w:widowControl w:val="0"/>
              <w:spacing w:line="276" w:lineRule="auto"/>
              <w:jc w:val="both"/>
              <w:rPr>
                <w:rFonts w:eastAsia="Calibri" w:cs="Arial"/>
                <w:szCs w:val="20"/>
              </w:rPr>
            </w:pPr>
            <w:r w:rsidRPr="00BC4D82">
              <w:rPr>
                <w:rFonts w:eastAsia="Calibri" w:cs="Arial"/>
                <w:szCs w:val="20"/>
              </w:rPr>
              <w:t>t + 1</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435D9575" w14:textId="77777777" w:rsidR="00BC4D82" w:rsidRPr="00BC4D82" w:rsidRDefault="00BC4D82" w:rsidP="009532D5">
            <w:pPr>
              <w:widowControl w:val="0"/>
              <w:spacing w:line="276" w:lineRule="auto"/>
              <w:jc w:val="both"/>
              <w:rPr>
                <w:rFonts w:eastAsia="Calibri" w:cs="Arial"/>
                <w:szCs w:val="20"/>
              </w:rPr>
            </w:pPr>
            <w:r w:rsidRPr="00BC4D82">
              <w:rPr>
                <w:rFonts w:eastAsia="Calibri"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783B75A1" w14:textId="77777777" w:rsidR="00BC4D82" w:rsidRPr="00BC4D82" w:rsidRDefault="00BC4D82" w:rsidP="009532D5">
            <w:pPr>
              <w:widowControl w:val="0"/>
              <w:spacing w:line="276" w:lineRule="auto"/>
              <w:jc w:val="both"/>
              <w:rPr>
                <w:rFonts w:eastAsia="Calibri" w:cs="Arial"/>
                <w:szCs w:val="20"/>
              </w:rPr>
            </w:pPr>
            <w:r w:rsidRPr="00BC4D82">
              <w:rPr>
                <w:rFonts w:eastAsia="Calibri" w:cs="Arial"/>
                <w:szCs w:val="20"/>
              </w:rPr>
              <w:t>t + 3</w:t>
            </w:r>
          </w:p>
        </w:tc>
      </w:tr>
      <w:tr w:rsidR="00BC4D82" w:rsidRPr="00BC4D82" w14:paraId="788BC19A" w14:textId="77777777" w:rsidTr="009532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0ED8F30E" w14:textId="77777777" w:rsidR="00BC4D82" w:rsidRPr="00BC4D82" w:rsidRDefault="00BC4D82" w:rsidP="009532D5">
            <w:pPr>
              <w:widowControl w:val="0"/>
              <w:spacing w:line="276" w:lineRule="auto"/>
              <w:jc w:val="both"/>
              <w:rPr>
                <w:rFonts w:eastAsia="Calibri" w:cs="Arial"/>
                <w:bCs/>
                <w:szCs w:val="20"/>
              </w:rPr>
            </w:pPr>
            <w:r w:rsidRPr="00BC4D82">
              <w:rPr>
                <w:rFonts w:eastAsia="Calibri" w:cs="Arial"/>
                <w:bCs/>
                <w:szCs w:val="20"/>
              </w:rPr>
              <w:t>Predvideno povečanje (+) ali zmanjšanje (</w:t>
            </w:r>
            <w:r w:rsidRPr="00BC4D82">
              <w:rPr>
                <w:rFonts w:eastAsia="Calibri" w:cs="Arial"/>
                <w:b/>
                <w:szCs w:val="20"/>
              </w:rPr>
              <w:t>–</w:t>
            </w:r>
            <w:r w:rsidRPr="00BC4D82">
              <w:rPr>
                <w:rFonts w:eastAsia="Calibri" w:cs="Arial"/>
                <w:bCs/>
                <w:szCs w:val="20"/>
              </w:rPr>
              <w:t xml:space="preserve">) prihodkov državnega proračuna </w:t>
            </w:r>
          </w:p>
        </w:tc>
        <w:tc>
          <w:tcPr>
            <w:tcW w:w="1831" w:type="dxa"/>
            <w:gridSpan w:val="3"/>
            <w:tcBorders>
              <w:top w:val="single" w:sz="4" w:space="0" w:color="auto"/>
              <w:left w:val="single" w:sz="4" w:space="0" w:color="auto"/>
              <w:bottom w:val="single" w:sz="4" w:space="0" w:color="auto"/>
              <w:right w:val="single" w:sz="4" w:space="0" w:color="auto"/>
            </w:tcBorders>
            <w:vAlign w:val="center"/>
          </w:tcPr>
          <w:p w14:paraId="33F11716" w14:textId="77777777" w:rsidR="00BC4D82" w:rsidRPr="00BC4D82" w:rsidRDefault="00BC4D82" w:rsidP="009532D5">
            <w:pPr>
              <w:widowControl w:val="0"/>
              <w:tabs>
                <w:tab w:val="left" w:pos="360"/>
              </w:tabs>
              <w:spacing w:line="276" w:lineRule="auto"/>
              <w:jc w:val="both"/>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430F66E8" w14:textId="77777777" w:rsidR="00BC4D82" w:rsidRPr="00BC4D82" w:rsidRDefault="00BC4D82" w:rsidP="009532D5">
            <w:pPr>
              <w:widowControl w:val="0"/>
              <w:tabs>
                <w:tab w:val="left" w:pos="360"/>
              </w:tabs>
              <w:spacing w:line="276" w:lineRule="auto"/>
              <w:jc w:val="both"/>
              <w:outlineLvl w:val="0"/>
              <w:rPr>
                <w:rFonts w:cs="Arial"/>
                <w:bCs/>
                <w:kern w:val="32"/>
                <w:szCs w:val="20"/>
                <w:lang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40EBA9CC" w14:textId="77777777" w:rsidR="00BC4D82" w:rsidRPr="00BC4D82" w:rsidRDefault="00BC4D82" w:rsidP="009532D5">
            <w:pPr>
              <w:widowControl w:val="0"/>
              <w:tabs>
                <w:tab w:val="left" w:pos="360"/>
              </w:tabs>
              <w:spacing w:line="276" w:lineRule="auto"/>
              <w:jc w:val="both"/>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BDDD6F2" w14:textId="77777777" w:rsidR="00BC4D82" w:rsidRPr="00BC4D82" w:rsidRDefault="00BC4D82" w:rsidP="009532D5">
            <w:pPr>
              <w:widowControl w:val="0"/>
              <w:tabs>
                <w:tab w:val="left" w:pos="360"/>
              </w:tabs>
              <w:spacing w:line="276" w:lineRule="auto"/>
              <w:jc w:val="both"/>
              <w:outlineLvl w:val="0"/>
              <w:rPr>
                <w:rFonts w:cs="Arial"/>
                <w:kern w:val="32"/>
                <w:szCs w:val="20"/>
                <w:lang w:eastAsia="sl-SI"/>
              </w:rPr>
            </w:pPr>
          </w:p>
        </w:tc>
      </w:tr>
      <w:tr w:rsidR="00BC4D82" w:rsidRPr="00BC4D82" w14:paraId="46A42F8E" w14:textId="77777777" w:rsidTr="009532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248F19EC" w14:textId="77777777" w:rsidR="00BC4D82" w:rsidRPr="00BC4D82" w:rsidRDefault="00BC4D82" w:rsidP="009532D5">
            <w:pPr>
              <w:widowControl w:val="0"/>
              <w:spacing w:line="276" w:lineRule="auto"/>
              <w:jc w:val="both"/>
              <w:rPr>
                <w:rFonts w:eastAsia="Calibri" w:cs="Arial"/>
                <w:bCs/>
                <w:szCs w:val="20"/>
              </w:rPr>
            </w:pPr>
            <w:r w:rsidRPr="00BC4D82">
              <w:rPr>
                <w:rFonts w:eastAsia="Calibri" w:cs="Arial"/>
                <w:bCs/>
                <w:szCs w:val="20"/>
              </w:rPr>
              <w:t>Predvideno povečanje (+) ali zmanjšanje (</w:t>
            </w:r>
            <w:r w:rsidRPr="00BC4D82">
              <w:rPr>
                <w:rFonts w:eastAsia="Calibri" w:cs="Arial"/>
                <w:b/>
                <w:szCs w:val="20"/>
              </w:rPr>
              <w:t>–</w:t>
            </w:r>
            <w:r w:rsidRPr="00BC4D82">
              <w:rPr>
                <w:rFonts w:eastAsia="Calibri" w:cs="Arial"/>
                <w:bCs/>
                <w:szCs w:val="20"/>
              </w:rPr>
              <w:t xml:space="preserve">) prihodkov občinskih proračunov </w:t>
            </w:r>
          </w:p>
        </w:tc>
        <w:tc>
          <w:tcPr>
            <w:tcW w:w="1831" w:type="dxa"/>
            <w:gridSpan w:val="3"/>
            <w:tcBorders>
              <w:top w:val="single" w:sz="4" w:space="0" w:color="auto"/>
              <w:left w:val="single" w:sz="4" w:space="0" w:color="auto"/>
              <w:bottom w:val="single" w:sz="4" w:space="0" w:color="auto"/>
              <w:right w:val="single" w:sz="4" w:space="0" w:color="auto"/>
            </w:tcBorders>
            <w:vAlign w:val="center"/>
          </w:tcPr>
          <w:p w14:paraId="20E238A5" w14:textId="77777777" w:rsidR="00BC4D82" w:rsidRPr="00BC4D82" w:rsidRDefault="00BC4D82" w:rsidP="009532D5">
            <w:pPr>
              <w:widowControl w:val="0"/>
              <w:tabs>
                <w:tab w:val="left" w:pos="360"/>
              </w:tabs>
              <w:spacing w:line="276" w:lineRule="auto"/>
              <w:jc w:val="both"/>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21A3D77A" w14:textId="77777777" w:rsidR="00BC4D82" w:rsidRPr="00BC4D82" w:rsidRDefault="00BC4D82" w:rsidP="009532D5">
            <w:pPr>
              <w:widowControl w:val="0"/>
              <w:tabs>
                <w:tab w:val="left" w:pos="360"/>
              </w:tabs>
              <w:spacing w:line="276" w:lineRule="auto"/>
              <w:jc w:val="both"/>
              <w:outlineLvl w:val="0"/>
              <w:rPr>
                <w:rFonts w:cs="Arial"/>
                <w:bCs/>
                <w:kern w:val="32"/>
                <w:szCs w:val="20"/>
                <w:lang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258E2C61" w14:textId="77777777" w:rsidR="00BC4D82" w:rsidRPr="00BC4D82" w:rsidRDefault="00BC4D82" w:rsidP="009532D5">
            <w:pPr>
              <w:widowControl w:val="0"/>
              <w:tabs>
                <w:tab w:val="left" w:pos="360"/>
              </w:tabs>
              <w:spacing w:line="276" w:lineRule="auto"/>
              <w:jc w:val="both"/>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A493C89" w14:textId="77777777" w:rsidR="00BC4D82" w:rsidRPr="00BC4D82" w:rsidRDefault="00BC4D82" w:rsidP="009532D5">
            <w:pPr>
              <w:widowControl w:val="0"/>
              <w:tabs>
                <w:tab w:val="left" w:pos="360"/>
              </w:tabs>
              <w:spacing w:line="276" w:lineRule="auto"/>
              <w:jc w:val="both"/>
              <w:outlineLvl w:val="0"/>
              <w:rPr>
                <w:rFonts w:cs="Arial"/>
                <w:kern w:val="32"/>
                <w:szCs w:val="20"/>
                <w:lang w:eastAsia="sl-SI"/>
              </w:rPr>
            </w:pPr>
          </w:p>
        </w:tc>
      </w:tr>
      <w:tr w:rsidR="00BC4D82" w:rsidRPr="00BC4D82" w14:paraId="7911C07E" w14:textId="77777777" w:rsidTr="009532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23C147FC" w14:textId="77777777" w:rsidR="00BC4D82" w:rsidRPr="00BC4D82" w:rsidRDefault="00BC4D82" w:rsidP="009532D5">
            <w:pPr>
              <w:widowControl w:val="0"/>
              <w:spacing w:line="276" w:lineRule="auto"/>
              <w:jc w:val="both"/>
              <w:rPr>
                <w:rFonts w:eastAsia="Calibri" w:cs="Arial"/>
                <w:bCs/>
                <w:szCs w:val="20"/>
              </w:rPr>
            </w:pPr>
            <w:r w:rsidRPr="00BC4D82">
              <w:rPr>
                <w:rFonts w:eastAsia="Calibri" w:cs="Arial"/>
                <w:bCs/>
                <w:szCs w:val="20"/>
              </w:rPr>
              <w:t>Predvideno povečanje (+) ali zmanjšanje (</w:t>
            </w:r>
            <w:r w:rsidRPr="00BC4D82">
              <w:rPr>
                <w:rFonts w:eastAsia="Calibri" w:cs="Arial"/>
                <w:b/>
                <w:szCs w:val="20"/>
              </w:rPr>
              <w:t>–</w:t>
            </w:r>
            <w:r w:rsidRPr="00BC4D82">
              <w:rPr>
                <w:rFonts w:eastAsia="Calibri" w:cs="Arial"/>
                <w:bCs/>
                <w:szCs w:val="20"/>
              </w:rPr>
              <w:t xml:space="preserve">) odhodkov državnega proračuna </w:t>
            </w:r>
          </w:p>
        </w:tc>
        <w:tc>
          <w:tcPr>
            <w:tcW w:w="1831" w:type="dxa"/>
            <w:gridSpan w:val="3"/>
            <w:tcBorders>
              <w:top w:val="single" w:sz="4" w:space="0" w:color="auto"/>
              <w:left w:val="single" w:sz="4" w:space="0" w:color="auto"/>
              <w:bottom w:val="single" w:sz="4" w:space="0" w:color="auto"/>
              <w:right w:val="single" w:sz="4" w:space="0" w:color="auto"/>
            </w:tcBorders>
            <w:vAlign w:val="center"/>
          </w:tcPr>
          <w:p w14:paraId="48F34984" w14:textId="77777777" w:rsidR="00BC4D82" w:rsidRPr="00BC4D82" w:rsidRDefault="00BC4D82" w:rsidP="009532D5">
            <w:pPr>
              <w:widowControl w:val="0"/>
              <w:spacing w:line="276" w:lineRule="auto"/>
              <w:jc w:val="both"/>
              <w:rPr>
                <w:rFonts w:eastAsia="Calibri"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85824EB" w14:textId="77777777" w:rsidR="00BC4D82" w:rsidRPr="00BC4D82" w:rsidRDefault="00BC4D82" w:rsidP="009532D5">
            <w:pPr>
              <w:widowControl w:val="0"/>
              <w:spacing w:line="276" w:lineRule="auto"/>
              <w:jc w:val="both"/>
              <w:rPr>
                <w:rFonts w:eastAsia="Calibri" w:cs="Arial"/>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288D2EA7" w14:textId="77777777" w:rsidR="00BC4D82" w:rsidRPr="00BC4D82" w:rsidRDefault="00BC4D82" w:rsidP="009532D5">
            <w:pPr>
              <w:widowControl w:val="0"/>
              <w:spacing w:line="276" w:lineRule="auto"/>
              <w:jc w:val="both"/>
              <w:rPr>
                <w:rFonts w:eastAsia="Calibri"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B4389FE" w14:textId="77777777" w:rsidR="00BC4D82" w:rsidRPr="00BC4D82" w:rsidRDefault="00BC4D82" w:rsidP="009532D5">
            <w:pPr>
              <w:widowControl w:val="0"/>
              <w:spacing w:line="276" w:lineRule="auto"/>
              <w:jc w:val="both"/>
              <w:rPr>
                <w:rFonts w:eastAsia="Calibri" w:cs="Arial"/>
                <w:szCs w:val="20"/>
              </w:rPr>
            </w:pPr>
          </w:p>
        </w:tc>
      </w:tr>
      <w:tr w:rsidR="00BC4D82" w:rsidRPr="00BC4D82" w14:paraId="0AF584A7" w14:textId="77777777" w:rsidTr="009532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39129F34" w14:textId="77777777" w:rsidR="00BC4D82" w:rsidRPr="00BC4D82" w:rsidRDefault="00BC4D82" w:rsidP="009532D5">
            <w:pPr>
              <w:widowControl w:val="0"/>
              <w:spacing w:line="276" w:lineRule="auto"/>
              <w:jc w:val="both"/>
              <w:rPr>
                <w:rFonts w:eastAsia="Calibri" w:cs="Arial"/>
                <w:bCs/>
                <w:szCs w:val="20"/>
              </w:rPr>
            </w:pPr>
            <w:r w:rsidRPr="00BC4D82">
              <w:rPr>
                <w:rFonts w:eastAsia="Calibri" w:cs="Arial"/>
                <w:bCs/>
                <w:szCs w:val="20"/>
              </w:rPr>
              <w:t>Predvideno povečanje (+) ali zmanjšanje (</w:t>
            </w:r>
            <w:r w:rsidRPr="00BC4D82">
              <w:rPr>
                <w:rFonts w:eastAsia="Calibri" w:cs="Arial"/>
                <w:b/>
                <w:szCs w:val="20"/>
              </w:rPr>
              <w:t>–</w:t>
            </w:r>
            <w:r w:rsidRPr="00BC4D82">
              <w:rPr>
                <w:rFonts w:eastAsia="Calibri" w:cs="Arial"/>
                <w:bCs/>
                <w:szCs w:val="20"/>
              </w:rPr>
              <w:t>) odhodkov občinskih proračunov</w:t>
            </w:r>
          </w:p>
        </w:tc>
        <w:tc>
          <w:tcPr>
            <w:tcW w:w="1831" w:type="dxa"/>
            <w:gridSpan w:val="3"/>
            <w:tcBorders>
              <w:top w:val="single" w:sz="4" w:space="0" w:color="auto"/>
              <w:left w:val="single" w:sz="4" w:space="0" w:color="auto"/>
              <w:bottom w:val="single" w:sz="4" w:space="0" w:color="auto"/>
              <w:right w:val="single" w:sz="4" w:space="0" w:color="auto"/>
            </w:tcBorders>
            <w:vAlign w:val="center"/>
          </w:tcPr>
          <w:p w14:paraId="1A726A6E" w14:textId="77777777" w:rsidR="00BC4D82" w:rsidRPr="00BC4D82" w:rsidRDefault="00BC4D82" w:rsidP="009532D5">
            <w:pPr>
              <w:widowControl w:val="0"/>
              <w:spacing w:line="276" w:lineRule="auto"/>
              <w:jc w:val="both"/>
              <w:rPr>
                <w:rFonts w:eastAsia="Calibri"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269BDF3" w14:textId="77777777" w:rsidR="00BC4D82" w:rsidRPr="00BC4D82" w:rsidRDefault="00BC4D82" w:rsidP="009532D5">
            <w:pPr>
              <w:widowControl w:val="0"/>
              <w:spacing w:line="276" w:lineRule="auto"/>
              <w:jc w:val="both"/>
              <w:rPr>
                <w:rFonts w:eastAsia="Calibri" w:cs="Arial"/>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1DA8F1C4" w14:textId="77777777" w:rsidR="00BC4D82" w:rsidRPr="00BC4D82" w:rsidRDefault="00BC4D82" w:rsidP="009532D5">
            <w:pPr>
              <w:widowControl w:val="0"/>
              <w:spacing w:line="276" w:lineRule="auto"/>
              <w:jc w:val="both"/>
              <w:rPr>
                <w:rFonts w:eastAsia="Calibri"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54FA18D" w14:textId="77777777" w:rsidR="00BC4D82" w:rsidRPr="00BC4D82" w:rsidRDefault="00BC4D82" w:rsidP="009532D5">
            <w:pPr>
              <w:widowControl w:val="0"/>
              <w:spacing w:line="276" w:lineRule="auto"/>
              <w:jc w:val="both"/>
              <w:rPr>
                <w:rFonts w:eastAsia="Calibri" w:cs="Arial"/>
                <w:szCs w:val="20"/>
              </w:rPr>
            </w:pPr>
          </w:p>
        </w:tc>
      </w:tr>
      <w:tr w:rsidR="00BC4D82" w:rsidRPr="00BC4D82" w14:paraId="4BF3888E" w14:textId="77777777" w:rsidTr="009532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07EEB9D6" w14:textId="77777777" w:rsidR="00BC4D82" w:rsidRPr="00BC4D82" w:rsidRDefault="00BC4D82" w:rsidP="009532D5">
            <w:pPr>
              <w:widowControl w:val="0"/>
              <w:spacing w:line="276" w:lineRule="auto"/>
              <w:jc w:val="both"/>
              <w:rPr>
                <w:rFonts w:eastAsia="Calibri" w:cs="Arial"/>
                <w:bCs/>
                <w:szCs w:val="20"/>
              </w:rPr>
            </w:pPr>
            <w:r w:rsidRPr="00BC4D82">
              <w:rPr>
                <w:rFonts w:eastAsia="Calibri" w:cs="Arial"/>
                <w:bCs/>
                <w:szCs w:val="20"/>
              </w:rPr>
              <w:lastRenderedPageBreak/>
              <w:t>Predvideno povečanje (+) ali zmanjšanje (</w:t>
            </w:r>
            <w:r w:rsidRPr="00BC4D82">
              <w:rPr>
                <w:rFonts w:eastAsia="Calibri" w:cs="Arial"/>
                <w:b/>
                <w:szCs w:val="20"/>
              </w:rPr>
              <w:t>–</w:t>
            </w:r>
            <w:r w:rsidRPr="00BC4D82">
              <w:rPr>
                <w:rFonts w:eastAsia="Calibri" w:cs="Arial"/>
                <w:bCs/>
                <w:szCs w:val="20"/>
              </w:rPr>
              <w:t>) obveznosti za druga javnofinančna sredstva</w:t>
            </w:r>
          </w:p>
        </w:tc>
        <w:tc>
          <w:tcPr>
            <w:tcW w:w="1831" w:type="dxa"/>
            <w:gridSpan w:val="3"/>
            <w:tcBorders>
              <w:top w:val="single" w:sz="4" w:space="0" w:color="auto"/>
              <w:left w:val="single" w:sz="4" w:space="0" w:color="auto"/>
              <w:bottom w:val="single" w:sz="4" w:space="0" w:color="auto"/>
              <w:right w:val="single" w:sz="4" w:space="0" w:color="auto"/>
            </w:tcBorders>
            <w:vAlign w:val="center"/>
          </w:tcPr>
          <w:p w14:paraId="6C5BFEF0" w14:textId="77777777" w:rsidR="00BC4D82" w:rsidRPr="00BC4D82" w:rsidRDefault="00BC4D82" w:rsidP="009532D5">
            <w:pPr>
              <w:widowControl w:val="0"/>
              <w:tabs>
                <w:tab w:val="left" w:pos="360"/>
              </w:tabs>
              <w:spacing w:line="276" w:lineRule="auto"/>
              <w:jc w:val="both"/>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20501FDF" w14:textId="77777777" w:rsidR="00BC4D82" w:rsidRPr="00BC4D82" w:rsidRDefault="00BC4D82" w:rsidP="009532D5">
            <w:pPr>
              <w:widowControl w:val="0"/>
              <w:tabs>
                <w:tab w:val="left" w:pos="360"/>
              </w:tabs>
              <w:spacing w:line="276" w:lineRule="auto"/>
              <w:jc w:val="both"/>
              <w:outlineLvl w:val="0"/>
              <w:rPr>
                <w:rFonts w:cs="Arial"/>
                <w:bCs/>
                <w:kern w:val="32"/>
                <w:szCs w:val="20"/>
                <w:lang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3CE36A08" w14:textId="77777777" w:rsidR="00BC4D82" w:rsidRPr="00BC4D82" w:rsidRDefault="00BC4D82" w:rsidP="009532D5">
            <w:pPr>
              <w:widowControl w:val="0"/>
              <w:tabs>
                <w:tab w:val="left" w:pos="360"/>
              </w:tabs>
              <w:spacing w:line="276" w:lineRule="auto"/>
              <w:jc w:val="both"/>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B677B56" w14:textId="77777777" w:rsidR="00BC4D82" w:rsidRPr="00BC4D82" w:rsidRDefault="00BC4D82" w:rsidP="009532D5">
            <w:pPr>
              <w:widowControl w:val="0"/>
              <w:tabs>
                <w:tab w:val="left" w:pos="360"/>
              </w:tabs>
              <w:spacing w:line="276" w:lineRule="auto"/>
              <w:jc w:val="both"/>
              <w:outlineLvl w:val="0"/>
              <w:rPr>
                <w:rFonts w:cs="Arial"/>
                <w:kern w:val="32"/>
                <w:szCs w:val="20"/>
                <w:lang w:eastAsia="sl-SI"/>
              </w:rPr>
            </w:pPr>
          </w:p>
        </w:tc>
      </w:tr>
      <w:tr w:rsidR="00BC4D82" w:rsidRPr="00BC4D82" w14:paraId="6BF2F8AF" w14:textId="77777777" w:rsidTr="009532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8CA823B" w14:textId="77777777" w:rsidR="00BC4D82" w:rsidRPr="00BC4D82" w:rsidRDefault="00BC4D82" w:rsidP="009532D5">
            <w:pPr>
              <w:widowControl w:val="0"/>
              <w:tabs>
                <w:tab w:val="left" w:pos="2340"/>
              </w:tabs>
              <w:spacing w:line="276" w:lineRule="auto"/>
              <w:ind w:left="142" w:hanging="142"/>
              <w:jc w:val="both"/>
              <w:outlineLvl w:val="0"/>
              <w:rPr>
                <w:rFonts w:cs="Arial"/>
                <w:b/>
                <w:kern w:val="32"/>
                <w:szCs w:val="20"/>
                <w:lang w:eastAsia="sl-SI"/>
              </w:rPr>
            </w:pPr>
            <w:r w:rsidRPr="00BC4D82">
              <w:rPr>
                <w:rFonts w:cs="Arial"/>
                <w:b/>
                <w:kern w:val="32"/>
                <w:szCs w:val="20"/>
                <w:lang w:eastAsia="sl-SI"/>
              </w:rPr>
              <w:t>II. Finančne posledice za državni proračun</w:t>
            </w:r>
          </w:p>
        </w:tc>
      </w:tr>
      <w:tr w:rsidR="00BC4D82" w:rsidRPr="00BC4D82" w14:paraId="71B7FF56" w14:textId="77777777" w:rsidTr="009532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33B36F3" w14:textId="77777777" w:rsidR="00BC4D82" w:rsidRPr="00BC4D82" w:rsidRDefault="00BC4D82" w:rsidP="009532D5">
            <w:pPr>
              <w:widowControl w:val="0"/>
              <w:tabs>
                <w:tab w:val="left" w:pos="2340"/>
              </w:tabs>
              <w:spacing w:line="276" w:lineRule="auto"/>
              <w:ind w:left="142" w:hanging="142"/>
              <w:jc w:val="both"/>
              <w:outlineLvl w:val="0"/>
              <w:rPr>
                <w:rFonts w:cs="Arial"/>
                <w:b/>
                <w:kern w:val="32"/>
                <w:szCs w:val="20"/>
                <w:lang w:eastAsia="sl-SI"/>
              </w:rPr>
            </w:pPr>
            <w:r w:rsidRPr="00BC4D82">
              <w:rPr>
                <w:rFonts w:cs="Arial"/>
                <w:b/>
                <w:kern w:val="32"/>
                <w:szCs w:val="20"/>
                <w:lang w:eastAsia="sl-SI"/>
              </w:rPr>
              <w:t>II.a Pravice porabe za izvedbo predlaganih rešitev so zagotovljene:</w:t>
            </w:r>
          </w:p>
        </w:tc>
      </w:tr>
      <w:tr w:rsidR="00BC4D82" w:rsidRPr="00BC4D82" w14:paraId="11B3396B" w14:textId="77777777" w:rsidTr="009532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14:paraId="3ACB7822" w14:textId="77777777" w:rsidR="00BC4D82" w:rsidRPr="00BC4D82" w:rsidRDefault="00BC4D82" w:rsidP="009532D5">
            <w:pPr>
              <w:widowControl w:val="0"/>
              <w:spacing w:line="276" w:lineRule="auto"/>
              <w:jc w:val="both"/>
              <w:rPr>
                <w:rFonts w:eastAsia="Calibri" w:cs="Arial"/>
                <w:szCs w:val="20"/>
              </w:rPr>
            </w:pPr>
            <w:r w:rsidRPr="00BC4D82">
              <w:rPr>
                <w:rFonts w:eastAsia="Calibri" w:cs="Arial"/>
                <w:szCs w:val="20"/>
              </w:rPr>
              <w:t xml:space="preserve">Ime proračunskega uporabnika </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2ACC8DCA" w14:textId="77777777" w:rsidR="00BC4D82" w:rsidRPr="00BC4D82" w:rsidRDefault="00BC4D82" w:rsidP="009532D5">
            <w:pPr>
              <w:widowControl w:val="0"/>
              <w:spacing w:line="276" w:lineRule="auto"/>
              <w:jc w:val="both"/>
              <w:rPr>
                <w:rFonts w:eastAsia="Calibri" w:cs="Arial"/>
                <w:szCs w:val="20"/>
              </w:rPr>
            </w:pPr>
            <w:r w:rsidRPr="00BC4D82">
              <w:rPr>
                <w:rFonts w:eastAsia="Calibri"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4684545" w14:textId="77777777" w:rsidR="00BC4D82" w:rsidRPr="00BC4D82" w:rsidRDefault="00BC4D82" w:rsidP="009532D5">
            <w:pPr>
              <w:widowControl w:val="0"/>
              <w:spacing w:line="276" w:lineRule="auto"/>
              <w:jc w:val="both"/>
              <w:rPr>
                <w:rFonts w:eastAsia="Calibri" w:cs="Arial"/>
                <w:szCs w:val="20"/>
              </w:rPr>
            </w:pPr>
            <w:r w:rsidRPr="00BC4D82">
              <w:rPr>
                <w:rFonts w:eastAsia="Calibri" w:cs="Arial"/>
                <w:szCs w:val="20"/>
              </w:rPr>
              <w:t>Šifra in naziv proračunske postavke</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2F36151A" w14:textId="77777777" w:rsidR="00BC4D82" w:rsidRPr="00BC4D82" w:rsidRDefault="00BC4D82" w:rsidP="009532D5">
            <w:pPr>
              <w:widowControl w:val="0"/>
              <w:spacing w:line="276" w:lineRule="auto"/>
              <w:jc w:val="both"/>
              <w:rPr>
                <w:rFonts w:eastAsia="Calibri" w:cs="Arial"/>
                <w:szCs w:val="20"/>
              </w:rPr>
            </w:pPr>
            <w:r w:rsidRPr="00BC4D82">
              <w:rPr>
                <w:rFonts w:eastAsia="Calibri"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48D4404A" w14:textId="77777777" w:rsidR="00BC4D82" w:rsidRPr="00BC4D82" w:rsidRDefault="00BC4D82" w:rsidP="009532D5">
            <w:pPr>
              <w:widowControl w:val="0"/>
              <w:spacing w:line="276" w:lineRule="auto"/>
              <w:jc w:val="both"/>
              <w:rPr>
                <w:rFonts w:eastAsia="Calibri" w:cs="Arial"/>
                <w:szCs w:val="20"/>
              </w:rPr>
            </w:pPr>
            <w:r w:rsidRPr="00BC4D82">
              <w:rPr>
                <w:rFonts w:eastAsia="Calibri" w:cs="Arial"/>
                <w:szCs w:val="20"/>
              </w:rPr>
              <w:t>Znesek za t + 1</w:t>
            </w:r>
          </w:p>
        </w:tc>
      </w:tr>
      <w:tr w:rsidR="00BC4D82" w:rsidRPr="00BC4D82" w14:paraId="7F700C2C" w14:textId="77777777" w:rsidTr="009532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65" w:type="dxa"/>
            <w:gridSpan w:val="2"/>
            <w:tcBorders>
              <w:top w:val="single" w:sz="4" w:space="0" w:color="auto"/>
              <w:left w:val="single" w:sz="4" w:space="0" w:color="auto"/>
              <w:bottom w:val="single" w:sz="4" w:space="0" w:color="auto"/>
              <w:right w:val="single" w:sz="4" w:space="0" w:color="auto"/>
            </w:tcBorders>
            <w:vAlign w:val="center"/>
          </w:tcPr>
          <w:p w14:paraId="23AE6BE1" w14:textId="77777777" w:rsidR="00BC4D82" w:rsidRPr="00BC4D82" w:rsidRDefault="00BC4D82" w:rsidP="009532D5">
            <w:pPr>
              <w:widowControl w:val="0"/>
              <w:tabs>
                <w:tab w:val="left" w:pos="360"/>
              </w:tabs>
              <w:spacing w:line="276" w:lineRule="auto"/>
              <w:jc w:val="both"/>
              <w:outlineLvl w:val="0"/>
              <w:rPr>
                <w:rFonts w:cs="Arial"/>
                <w:bCs/>
                <w:kern w:val="32"/>
                <w:szCs w:val="20"/>
                <w:lang w:eastAsia="sl-SI"/>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756D5E71" w14:textId="77777777" w:rsidR="00BC4D82" w:rsidRPr="00BC4D82" w:rsidRDefault="00BC4D82" w:rsidP="009532D5">
            <w:pPr>
              <w:widowControl w:val="0"/>
              <w:tabs>
                <w:tab w:val="left" w:pos="360"/>
              </w:tabs>
              <w:spacing w:line="276" w:lineRule="auto"/>
              <w:jc w:val="both"/>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FCD0EBB" w14:textId="77777777" w:rsidR="00BC4D82" w:rsidRPr="00BC4D82" w:rsidRDefault="00BC4D82" w:rsidP="009532D5">
            <w:pPr>
              <w:widowControl w:val="0"/>
              <w:tabs>
                <w:tab w:val="left" w:pos="360"/>
              </w:tabs>
              <w:spacing w:line="276" w:lineRule="auto"/>
              <w:jc w:val="both"/>
              <w:outlineLvl w:val="0"/>
              <w:rPr>
                <w:rFonts w:cs="Arial"/>
                <w:bCs/>
                <w:kern w:val="32"/>
                <w:szCs w:val="20"/>
                <w:lang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78BB1B89" w14:textId="77777777" w:rsidR="00BC4D82" w:rsidRPr="00BC4D82" w:rsidRDefault="00BC4D82" w:rsidP="009532D5">
            <w:pPr>
              <w:widowControl w:val="0"/>
              <w:tabs>
                <w:tab w:val="left" w:pos="360"/>
              </w:tabs>
              <w:spacing w:line="276" w:lineRule="auto"/>
              <w:jc w:val="both"/>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D1C3D7F" w14:textId="77777777" w:rsidR="00BC4D82" w:rsidRPr="00BC4D82" w:rsidRDefault="00BC4D82" w:rsidP="009532D5">
            <w:pPr>
              <w:widowControl w:val="0"/>
              <w:tabs>
                <w:tab w:val="left" w:pos="360"/>
              </w:tabs>
              <w:spacing w:line="276" w:lineRule="auto"/>
              <w:jc w:val="both"/>
              <w:outlineLvl w:val="0"/>
              <w:rPr>
                <w:rFonts w:cs="Arial"/>
                <w:bCs/>
                <w:kern w:val="32"/>
                <w:szCs w:val="20"/>
                <w:lang w:eastAsia="sl-SI"/>
              </w:rPr>
            </w:pPr>
          </w:p>
        </w:tc>
      </w:tr>
      <w:tr w:rsidR="00BC4D82" w:rsidRPr="00BC4D82" w14:paraId="511EEBDE" w14:textId="77777777" w:rsidTr="009532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088FE86D" w14:textId="77777777" w:rsidR="00BC4D82" w:rsidRPr="00BC4D82" w:rsidRDefault="00BC4D82" w:rsidP="009532D5">
            <w:pPr>
              <w:widowControl w:val="0"/>
              <w:tabs>
                <w:tab w:val="left" w:pos="360"/>
              </w:tabs>
              <w:spacing w:line="276" w:lineRule="auto"/>
              <w:jc w:val="both"/>
              <w:outlineLvl w:val="0"/>
              <w:rPr>
                <w:rFonts w:cs="Arial"/>
                <w:bCs/>
                <w:kern w:val="32"/>
                <w:szCs w:val="20"/>
                <w:lang w:eastAsia="sl-SI"/>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13D45B91" w14:textId="77777777" w:rsidR="00BC4D82" w:rsidRPr="00BC4D82" w:rsidRDefault="00BC4D82" w:rsidP="009532D5">
            <w:pPr>
              <w:widowControl w:val="0"/>
              <w:tabs>
                <w:tab w:val="left" w:pos="360"/>
              </w:tabs>
              <w:spacing w:line="276" w:lineRule="auto"/>
              <w:jc w:val="both"/>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4C98578" w14:textId="77777777" w:rsidR="00BC4D82" w:rsidRPr="00BC4D82" w:rsidRDefault="00BC4D82" w:rsidP="009532D5">
            <w:pPr>
              <w:widowControl w:val="0"/>
              <w:tabs>
                <w:tab w:val="left" w:pos="360"/>
              </w:tabs>
              <w:spacing w:line="276" w:lineRule="auto"/>
              <w:jc w:val="both"/>
              <w:outlineLvl w:val="0"/>
              <w:rPr>
                <w:rFonts w:cs="Arial"/>
                <w:bCs/>
                <w:kern w:val="32"/>
                <w:szCs w:val="20"/>
                <w:lang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5212247C" w14:textId="77777777" w:rsidR="00BC4D82" w:rsidRPr="00BC4D82" w:rsidRDefault="00BC4D82" w:rsidP="009532D5">
            <w:pPr>
              <w:widowControl w:val="0"/>
              <w:tabs>
                <w:tab w:val="left" w:pos="360"/>
              </w:tabs>
              <w:spacing w:line="276" w:lineRule="auto"/>
              <w:jc w:val="both"/>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D0E855C" w14:textId="77777777" w:rsidR="00BC4D82" w:rsidRPr="00BC4D82" w:rsidRDefault="00BC4D82" w:rsidP="009532D5">
            <w:pPr>
              <w:widowControl w:val="0"/>
              <w:tabs>
                <w:tab w:val="left" w:pos="360"/>
              </w:tabs>
              <w:spacing w:line="276" w:lineRule="auto"/>
              <w:jc w:val="both"/>
              <w:outlineLvl w:val="0"/>
              <w:rPr>
                <w:rFonts w:cs="Arial"/>
                <w:bCs/>
                <w:kern w:val="32"/>
                <w:szCs w:val="20"/>
                <w:lang w:eastAsia="sl-SI"/>
              </w:rPr>
            </w:pPr>
          </w:p>
        </w:tc>
      </w:tr>
      <w:tr w:rsidR="00BC4D82" w:rsidRPr="00BC4D82" w14:paraId="5A627511" w14:textId="77777777" w:rsidTr="009532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7"/>
            <w:tcBorders>
              <w:top w:val="single" w:sz="4" w:space="0" w:color="auto"/>
              <w:left w:val="single" w:sz="4" w:space="0" w:color="auto"/>
              <w:bottom w:val="single" w:sz="4" w:space="0" w:color="auto"/>
              <w:right w:val="single" w:sz="4" w:space="0" w:color="auto"/>
            </w:tcBorders>
            <w:vAlign w:val="center"/>
          </w:tcPr>
          <w:p w14:paraId="2A4B8E7F" w14:textId="77777777" w:rsidR="00BC4D82" w:rsidRPr="00BC4D82" w:rsidRDefault="00BC4D82" w:rsidP="009532D5">
            <w:pPr>
              <w:widowControl w:val="0"/>
              <w:tabs>
                <w:tab w:val="left" w:pos="360"/>
              </w:tabs>
              <w:spacing w:line="276" w:lineRule="auto"/>
              <w:jc w:val="both"/>
              <w:outlineLvl w:val="0"/>
              <w:rPr>
                <w:rFonts w:cs="Arial"/>
                <w:b/>
                <w:kern w:val="32"/>
                <w:szCs w:val="20"/>
                <w:lang w:eastAsia="sl-SI"/>
              </w:rPr>
            </w:pPr>
            <w:r w:rsidRPr="00BC4D82">
              <w:rPr>
                <w:rFonts w:cs="Arial"/>
                <w:b/>
                <w:kern w:val="32"/>
                <w:szCs w:val="20"/>
                <w:lang w:eastAsia="sl-SI"/>
              </w:rPr>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2FA678BA" w14:textId="77777777" w:rsidR="00BC4D82" w:rsidRPr="00BC4D82" w:rsidRDefault="00BC4D82" w:rsidP="009532D5">
            <w:pPr>
              <w:widowControl w:val="0"/>
              <w:spacing w:line="276" w:lineRule="auto"/>
              <w:jc w:val="both"/>
              <w:rPr>
                <w:rFonts w:eastAsia="Calibri"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0724233" w14:textId="77777777" w:rsidR="00BC4D82" w:rsidRPr="00BC4D82" w:rsidRDefault="00BC4D82" w:rsidP="009532D5">
            <w:pPr>
              <w:widowControl w:val="0"/>
              <w:tabs>
                <w:tab w:val="left" w:pos="360"/>
              </w:tabs>
              <w:spacing w:line="276" w:lineRule="auto"/>
              <w:jc w:val="both"/>
              <w:outlineLvl w:val="0"/>
              <w:rPr>
                <w:rFonts w:cs="Arial"/>
                <w:b/>
                <w:kern w:val="32"/>
                <w:szCs w:val="20"/>
                <w:lang w:eastAsia="sl-SI"/>
              </w:rPr>
            </w:pPr>
          </w:p>
        </w:tc>
      </w:tr>
      <w:tr w:rsidR="00BC4D82" w:rsidRPr="00BC4D82" w14:paraId="300A417E" w14:textId="77777777" w:rsidTr="009532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E320584" w14:textId="77777777" w:rsidR="00BC4D82" w:rsidRPr="00BC4D82" w:rsidRDefault="00BC4D82" w:rsidP="009532D5">
            <w:pPr>
              <w:widowControl w:val="0"/>
              <w:tabs>
                <w:tab w:val="left" w:pos="2340"/>
              </w:tabs>
              <w:spacing w:line="276" w:lineRule="auto"/>
              <w:jc w:val="both"/>
              <w:outlineLvl w:val="0"/>
              <w:rPr>
                <w:rFonts w:cs="Arial"/>
                <w:b/>
                <w:kern w:val="32"/>
                <w:szCs w:val="20"/>
                <w:lang w:eastAsia="sl-SI"/>
              </w:rPr>
            </w:pPr>
            <w:r w:rsidRPr="00BC4D82">
              <w:rPr>
                <w:rFonts w:cs="Arial"/>
                <w:b/>
                <w:kern w:val="32"/>
                <w:szCs w:val="20"/>
                <w:lang w:eastAsia="sl-SI"/>
              </w:rPr>
              <w:t>II.b Manjkajoče pravice porabe bodo zagotovljene s prerazporeditvijo:</w:t>
            </w:r>
          </w:p>
        </w:tc>
      </w:tr>
      <w:tr w:rsidR="00BC4D82" w:rsidRPr="00BC4D82" w14:paraId="42CB1C38" w14:textId="77777777" w:rsidTr="009532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14:paraId="147F3C84" w14:textId="77777777" w:rsidR="00BC4D82" w:rsidRPr="00BC4D82" w:rsidRDefault="00BC4D82" w:rsidP="009532D5">
            <w:pPr>
              <w:widowControl w:val="0"/>
              <w:spacing w:line="276" w:lineRule="auto"/>
              <w:jc w:val="both"/>
              <w:rPr>
                <w:rFonts w:eastAsia="Calibri" w:cs="Arial"/>
                <w:szCs w:val="20"/>
              </w:rPr>
            </w:pPr>
            <w:r w:rsidRPr="00BC4D82">
              <w:rPr>
                <w:rFonts w:eastAsia="Calibri" w:cs="Arial"/>
                <w:szCs w:val="20"/>
              </w:rPr>
              <w:t xml:space="preserve">Ime proračunskega uporabnika </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70416134" w14:textId="77777777" w:rsidR="00BC4D82" w:rsidRPr="00BC4D82" w:rsidRDefault="00BC4D82" w:rsidP="009532D5">
            <w:pPr>
              <w:widowControl w:val="0"/>
              <w:spacing w:line="276" w:lineRule="auto"/>
              <w:jc w:val="both"/>
              <w:rPr>
                <w:rFonts w:eastAsia="Calibri" w:cs="Arial"/>
                <w:szCs w:val="20"/>
              </w:rPr>
            </w:pPr>
            <w:r w:rsidRPr="00BC4D82">
              <w:rPr>
                <w:rFonts w:eastAsia="Calibri"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73AEC26" w14:textId="77777777" w:rsidR="00BC4D82" w:rsidRPr="00BC4D82" w:rsidRDefault="00BC4D82" w:rsidP="009532D5">
            <w:pPr>
              <w:widowControl w:val="0"/>
              <w:spacing w:line="276" w:lineRule="auto"/>
              <w:jc w:val="both"/>
              <w:rPr>
                <w:rFonts w:eastAsia="Calibri" w:cs="Arial"/>
                <w:szCs w:val="20"/>
              </w:rPr>
            </w:pPr>
            <w:r w:rsidRPr="00BC4D82">
              <w:rPr>
                <w:rFonts w:eastAsia="Calibri" w:cs="Arial"/>
                <w:szCs w:val="20"/>
              </w:rPr>
              <w:t xml:space="preserve">Šifra in naziv proračunske postavke </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4A8222C7" w14:textId="77777777" w:rsidR="00BC4D82" w:rsidRPr="00BC4D82" w:rsidRDefault="00BC4D82" w:rsidP="009532D5">
            <w:pPr>
              <w:widowControl w:val="0"/>
              <w:spacing w:line="276" w:lineRule="auto"/>
              <w:jc w:val="both"/>
              <w:rPr>
                <w:rFonts w:eastAsia="Calibri" w:cs="Arial"/>
                <w:szCs w:val="20"/>
              </w:rPr>
            </w:pPr>
            <w:r w:rsidRPr="00BC4D82">
              <w:rPr>
                <w:rFonts w:eastAsia="Calibri"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7D7D163D" w14:textId="77777777" w:rsidR="00BC4D82" w:rsidRPr="00BC4D82" w:rsidRDefault="00BC4D82" w:rsidP="009532D5">
            <w:pPr>
              <w:widowControl w:val="0"/>
              <w:spacing w:line="276" w:lineRule="auto"/>
              <w:jc w:val="both"/>
              <w:rPr>
                <w:rFonts w:eastAsia="Calibri" w:cs="Arial"/>
                <w:szCs w:val="20"/>
              </w:rPr>
            </w:pPr>
            <w:r w:rsidRPr="00BC4D82">
              <w:rPr>
                <w:rFonts w:eastAsia="Calibri" w:cs="Arial"/>
                <w:szCs w:val="20"/>
              </w:rPr>
              <w:t xml:space="preserve">Znesek za t + 1 </w:t>
            </w:r>
          </w:p>
        </w:tc>
      </w:tr>
      <w:tr w:rsidR="00BC4D82" w:rsidRPr="00BC4D82" w14:paraId="0FA6A9A6" w14:textId="77777777" w:rsidTr="009532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05066624" w14:textId="77777777" w:rsidR="00BC4D82" w:rsidRPr="00BC4D82" w:rsidRDefault="00BC4D82" w:rsidP="009532D5">
            <w:pPr>
              <w:widowControl w:val="0"/>
              <w:tabs>
                <w:tab w:val="left" w:pos="360"/>
              </w:tabs>
              <w:spacing w:line="276" w:lineRule="auto"/>
              <w:jc w:val="both"/>
              <w:outlineLvl w:val="0"/>
              <w:rPr>
                <w:rFonts w:cs="Arial"/>
                <w:bCs/>
                <w:kern w:val="32"/>
                <w:szCs w:val="20"/>
                <w:lang w:eastAsia="sl-SI"/>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618925BA" w14:textId="77777777" w:rsidR="00BC4D82" w:rsidRPr="00BC4D82" w:rsidRDefault="00BC4D82" w:rsidP="009532D5">
            <w:pPr>
              <w:widowControl w:val="0"/>
              <w:tabs>
                <w:tab w:val="left" w:pos="360"/>
              </w:tabs>
              <w:spacing w:line="276" w:lineRule="auto"/>
              <w:jc w:val="both"/>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57948AE" w14:textId="77777777" w:rsidR="00BC4D82" w:rsidRPr="00BC4D82" w:rsidRDefault="00BC4D82" w:rsidP="009532D5">
            <w:pPr>
              <w:widowControl w:val="0"/>
              <w:tabs>
                <w:tab w:val="left" w:pos="360"/>
              </w:tabs>
              <w:spacing w:line="276" w:lineRule="auto"/>
              <w:jc w:val="both"/>
              <w:outlineLvl w:val="0"/>
              <w:rPr>
                <w:rFonts w:cs="Arial"/>
                <w:bCs/>
                <w:kern w:val="32"/>
                <w:szCs w:val="20"/>
                <w:lang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78E61B91" w14:textId="77777777" w:rsidR="00BC4D82" w:rsidRPr="00BC4D82" w:rsidRDefault="00BC4D82" w:rsidP="009532D5">
            <w:pPr>
              <w:widowControl w:val="0"/>
              <w:tabs>
                <w:tab w:val="left" w:pos="360"/>
              </w:tabs>
              <w:spacing w:line="276" w:lineRule="auto"/>
              <w:jc w:val="both"/>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EBC7A25" w14:textId="77777777" w:rsidR="00BC4D82" w:rsidRPr="00BC4D82" w:rsidRDefault="00BC4D82" w:rsidP="009532D5">
            <w:pPr>
              <w:widowControl w:val="0"/>
              <w:tabs>
                <w:tab w:val="left" w:pos="360"/>
              </w:tabs>
              <w:spacing w:line="276" w:lineRule="auto"/>
              <w:jc w:val="both"/>
              <w:outlineLvl w:val="0"/>
              <w:rPr>
                <w:rFonts w:cs="Arial"/>
                <w:bCs/>
                <w:kern w:val="32"/>
                <w:szCs w:val="20"/>
                <w:lang w:eastAsia="sl-SI"/>
              </w:rPr>
            </w:pPr>
          </w:p>
        </w:tc>
      </w:tr>
      <w:tr w:rsidR="00BC4D82" w:rsidRPr="00BC4D82" w14:paraId="1C3C85D2" w14:textId="77777777" w:rsidTr="009532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07C6EE5F" w14:textId="77777777" w:rsidR="00BC4D82" w:rsidRPr="00BC4D82" w:rsidRDefault="00BC4D82" w:rsidP="009532D5">
            <w:pPr>
              <w:widowControl w:val="0"/>
              <w:tabs>
                <w:tab w:val="left" w:pos="360"/>
              </w:tabs>
              <w:spacing w:line="276" w:lineRule="auto"/>
              <w:jc w:val="both"/>
              <w:outlineLvl w:val="0"/>
              <w:rPr>
                <w:rFonts w:cs="Arial"/>
                <w:bCs/>
                <w:kern w:val="32"/>
                <w:szCs w:val="20"/>
                <w:lang w:eastAsia="sl-SI"/>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75B3544D" w14:textId="77777777" w:rsidR="00BC4D82" w:rsidRPr="00BC4D82" w:rsidRDefault="00BC4D82" w:rsidP="009532D5">
            <w:pPr>
              <w:widowControl w:val="0"/>
              <w:tabs>
                <w:tab w:val="left" w:pos="360"/>
              </w:tabs>
              <w:spacing w:line="276" w:lineRule="auto"/>
              <w:jc w:val="both"/>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BB60B19" w14:textId="77777777" w:rsidR="00BC4D82" w:rsidRPr="00BC4D82" w:rsidRDefault="00BC4D82" w:rsidP="009532D5">
            <w:pPr>
              <w:widowControl w:val="0"/>
              <w:tabs>
                <w:tab w:val="left" w:pos="360"/>
              </w:tabs>
              <w:spacing w:line="276" w:lineRule="auto"/>
              <w:jc w:val="both"/>
              <w:outlineLvl w:val="0"/>
              <w:rPr>
                <w:rFonts w:cs="Arial"/>
                <w:bCs/>
                <w:kern w:val="32"/>
                <w:szCs w:val="20"/>
                <w:lang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11D4CB7A" w14:textId="77777777" w:rsidR="00BC4D82" w:rsidRPr="00BC4D82" w:rsidRDefault="00BC4D82" w:rsidP="009532D5">
            <w:pPr>
              <w:widowControl w:val="0"/>
              <w:tabs>
                <w:tab w:val="left" w:pos="360"/>
              </w:tabs>
              <w:spacing w:line="276" w:lineRule="auto"/>
              <w:jc w:val="both"/>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B8EB182" w14:textId="77777777" w:rsidR="00BC4D82" w:rsidRPr="00BC4D82" w:rsidRDefault="00BC4D82" w:rsidP="009532D5">
            <w:pPr>
              <w:widowControl w:val="0"/>
              <w:tabs>
                <w:tab w:val="left" w:pos="360"/>
              </w:tabs>
              <w:spacing w:line="276" w:lineRule="auto"/>
              <w:jc w:val="both"/>
              <w:outlineLvl w:val="0"/>
              <w:rPr>
                <w:rFonts w:cs="Arial"/>
                <w:bCs/>
                <w:kern w:val="32"/>
                <w:szCs w:val="20"/>
                <w:lang w:eastAsia="sl-SI"/>
              </w:rPr>
            </w:pPr>
          </w:p>
        </w:tc>
      </w:tr>
      <w:tr w:rsidR="00BC4D82" w:rsidRPr="00BC4D82" w14:paraId="32CC4B77" w14:textId="77777777" w:rsidTr="009532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7"/>
            <w:tcBorders>
              <w:top w:val="single" w:sz="4" w:space="0" w:color="auto"/>
              <w:left w:val="single" w:sz="4" w:space="0" w:color="auto"/>
              <w:bottom w:val="single" w:sz="4" w:space="0" w:color="auto"/>
              <w:right w:val="single" w:sz="4" w:space="0" w:color="auto"/>
            </w:tcBorders>
            <w:vAlign w:val="center"/>
          </w:tcPr>
          <w:p w14:paraId="58E6889A" w14:textId="77777777" w:rsidR="00BC4D82" w:rsidRPr="00BC4D82" w:rsidRDefault="00BC4D82" w:rsidP="009532D5">
            <w:pPr>
              <w:widowControl w:val="0"/>
              <w:tabs>
                <w:tab w:val="left" w:pos="360"/>
              </w:tabs>
              <w:spacing w:line="276" w:lineRule="auto"/>
              <w:jc w:val="both"/>
              <w:outlineLvl w:val="0"/>
              <w:rPr>
                <w:rFonts w:cs="Arial"/>
                <w:b/>
                <w:kern w:val="32"/>
                <w:szCs w:val="20"/>
                <w:lang w:eastAsia="sl-SI"/>
              </w:rPr>
            </w:pPr>
            <w:r w:rsidRPr="00BC4D82">
              <w:rPr>
                <w:rFonts w:cs="Arial"/>
                <w:b/>
                <w:kern w:val="32"/>
                <w:szCs w:val="20"/>
                <w:lang w:eastAsia="sl-SI"/>
              </w:rPr>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1F136872" w14:textId="77777777" w:rsidR="00BC4D82" w:rsidRPr="00BC4D82" w:rsidRDefault="00BC4D82" w:rsidP="009532D5">
            <w:pPr>
              <w:widowControl w:val="0"/>
              <w:tabs>
                <w:tab w:val="left" w:pos="360"/>
              </w:tabs>
              <w:spacing w:line="276" w:lineRule="auto"/>
              <w:jc w:val="both"/>
              <w:outlineLvl w:val="0"/>
              <w:rPr>
                <w:rFonts w:cs="Arial"/>
                <w:b/>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69A917D" w14:textId="77777777" w:rsidR="00BC4D82" w:rsidRPr="00BC4D82" w:rsidRDefault="00BC4D82" w:rsidP="009532D5">
            <w:pPr>
              <w:widowControl w:val="0"/>
              <w:tabs>
                <w:tab w:val="left" w:pos="360"/>
              </w:tabs>
              <w:spacing w:line="276" w:lineRule="auto"/>
              <w:jc w:val="both"/>
              <w:outlineLvl w:val="0"/>
              <w:rPr>
                <w:rFonts w:cs="Arial"/>
                <w:b/>
                <w:kern w:val="32"/>
                <w:szCs w:val="20"/>
                <w:lang w:eastAsia="sl-SI"/>
              </w:rPr>
            </w:pPr>
          </w:p>
        </w:tc>
      </w:tr>
      <w:tr w:rsidR="00BC4D82" w:rsidRPr="00BC4D82" w14:paraId="2EB2B1AD" w14:textId="77777777" w:rsidTr="009532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277F303" w14:textId="77777777" w:rsidR="00BC4D82" w:rsidRPr="00BC4D82" w:rsidRDefault="00BC4D82" w:rsidP="009532D5">
            <w:pPr>
              <w:widowControl w:val="0"/>
              <w:tabs>
                <w:tab w:val="left" w:pos="2340"/>
              </w:tabs>
              <w:spacing w:line="276" w:lineRule="auto"/>
              <w:jc w:val="both"/>
              <w:outlineLvl w:val="0"/>
              <w:rPr>
                <w:rFonts w:cs="Arial"/>
                <w:b/>
                <w:kern w:val="32"/>
                <w:szCs w:val="20"/>
                <w:lang w:eastAsia="sl-SI"/>
              </w:rPr>
            </w:pPr>
            <w:r w:rsidRPr="00BC4D82">
              <w:rPr>
                <w:rFonts w:cs="Arial"/>
                <w:b/>
                <w:kern w:val="32"/>
                <w:szCs w:val="20"/>
                <w:lang w:eastAsia="sl-SI"/>
              </w:rPr>
              <w:t>II.c Načrtovana nadomestitev zmanjšanih prihodkov in povečanih odhodkov proračuna:</w:t>
            </w:r>
          </w:p>
        </w:tc>
      </w:tr>
      <w:tr w:rsidR="00BC4D82" w:rsidRPr="00BC4D82" w14:paraId="25D1D37F" w14:textId="77777777" w:rsidTr="009532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71" w:type="dxa"/>
            <w:gridSpan w:val="5"/>
            <w:tcBorders>
              <w:top w:val="single" w:sz="4" w:space="0" w:color="auto"/>
              <w:left w:val="single" w:sz="4" w:space="0" w:color="auto"/>
              <w:bottom w:val="single" w:sz="4" w:space="0" w:color="auto"/>
              <w:right w:val="single" w:sz="4" w:space="0" w:color="auto"/>
            </w:tcBorders>
            <w:vAlign w:val="center"/>
          </w:tcPr>
          <w:p w14:paraId="18570FCB" w14:textId="77777777" w:rsidR="00BC4D82" w:rsidRPr="00BC4D82" w:rsidRDefault="00BC4D82" w:rsidP="009532D5">
            <w:pPr>
              <w:widowControl w:val="0"/>
              <w:spacing w:line="276" w:lineRule="auto"/>
              <w:ind w:left="-122" w:right="-112"/>
              <w:jc w:val="both"/>
              <w:rPr>
                <w:rFonts w:eastAsia="Calibri" w:cs="Arial"/>
                <w:szCs w:val="20"/>
              </w:rPr>
            </w:pPr>
            <w:r w:rsidRPr="00BC4D82">
              <w:rPr>
                <w:rFonts w:eastAsia="Calibri"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F059F55" w14:textId="77777777" w:rsidR="00BC4D82" w:rsidRPr="00BC4D82" w:rsidRDefault="00BC4D82" w:rsidP="009532D5">
            <w:pPr>
              <w:widowControl w:val="0"/>
              <w:spacing w:line="276" w:lineRule="auto"/>
              <w:ind w:left="-122" w:right="-112"/>
              <w:jc w:val="both"/>
              <w:rPr>
                <w:rFonts w:eastAsia="Calibri" w:cs="Arial"/>
                <w:szCs w:val="20"/>
              </w:rPr>
            </w:pPr>
            <w:r w:rsidRPr="00BC4D82">
              <w:rPr>
                <w:rFonts w:eastAsia="Calibri" w:cs="Arial"/>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75BE6FBE" w14:textId="77777777" w:rsidR="00BC4D82" w:rsidRPr="00BC4D82" w:rsidRDefault="00BC4D82" w:rsidP="009532D5">
            <w:pPr>
              <w:widowControl w:val="0"/>
              <w:spacing w:line="276" w:lineRule="auto"/>
              <w:ind w:left="-122" w:right="-112"/>
              <w:jc w:val="both"/>
              <w:rPr>
                <w:rFonts w:eastAsia="Calibri" w:cs="Arial"/>
                <w:szCs w:val="20"/>
              </w:rPr>
            </w:pPr>
            <w:r w:rsidRPr="00BC4D82">
              <w:rPr>
                <w:rFonts w:eastAsia="Calibri" w:cs="Arial"/>
                <w:szCs w:val="20"/>
              </w:rPr>
              <w:t>Znesek za t + 1</w:t>
            </w:r>
          </w:p>
        </w:tc>
      </w:tr>
      <w:tr w:rsidR="00BC4D82" w:rsidRPr="00BC4D82" w14:paraId="00FEBA96" w14:textId="77777777" w:rsidTr="009532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5"/>
            <w:tcBorders>
              <w:top w:val="single" w:sz="4" w:space="0" w:color="auto"/>
              <w:left w:val="single" w:sz="4" w:space="0" w:color="auto"/>
              <w:bottom w:val="single" w:sz="4" w:space="0" w:color="auto"/>
              <w:right w:val="single" w:sz="4" w:space="0" w:color="auto"/>
            </w:tcBorders>
            <w:vAlign w:val="center"/>
          </w:tcPr>
          <w:p w14:paraId="7DAB7232" w14:textId="77777777" w:rsidR="00BC4D82" w:rsidRPr="00BC4D82" w:rsidRDefault="00BC4D82" w:rsidP="009532D5">
            <w:pPr>
              <w:widowControl w:val="0"/>
              <w:tabs>
                <w:tab w:val="left" w:pos="360"/>
              </w:tabs>
              <w:spacing w:line="276" w:lineRule="auto"/>
              <w:jc w:val="both"/>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548D7CF" w14:textId="77777777" w:rsidR="00BC4D82" w:rsidRPr="00BC4D82" w:rsidRDefault="00BC4D82" w:rsidP="009532D5">
            <w:pPr>
              <w:widowControl w:val="0"/>
              <w:tabs>
                <w:tab w:val="left" w:pos="360"/>
              </w:tabs>
              <w:spacing w:line="276" w:lineRule="auto"/>
              <w:jc w:val="both"/>
              <w:outlineLvl w:val="0"/>
              <w:rPr>
                <w:rFonts w:cs="Arial"/>
                <w:bCs/>
                <w:kern w:val="32"/>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468BEC8D" w14:textId="77777777" w:rsidR="00BC4D82" w:rsidRPr="00BC4D82" w:rsidRDefault="00BC4D82" w:rsidP="009532D5">
            <w:pPr>
              <w:widowControl w:val="0"/>
              <w:tabs>
                <w:tab w:val="left" w:pos="360"/>
              </w:tabs>
              <w:spacing w:line="276" w:lineRule="auto"/>
              <w:jc w:val="both"/>
              <w:outlineLvl w:val="0"/>
              <w:rPr>
                <w:rFonts w:cs="Arial"/>
                <w:bCs/>
                <w:kern w:val="32"/>
                <w:szCs w:val="20"/>
                <w:lang w:eastAsia="sl-SI"/>
              </w:rPr>
            </w:pPr>
          </w:p>
        </w:tc>
      </w:tr>
      <w:tr w:rsidR="00BC4D82" w:rsidRPr="00BC4D82" w14:paraId="0F2E8952" w14:textId="77777777" w:rsidTr="009532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5"/>
            <w:tcBorders>
              <w:top w:val="single" w:sz="4" w:space="0" w:color="auto"/>
              <w:left w:val="single" w:sz="4" w:space="0" w:color="auto"/>
              <w:bottom w:val="single" w:sz="4" w:space="0" w:color="auto"/>
              <w:right w:val="single" w:sz="4" w:space="0" w:color="auto"/>
            </w:tcBorders>
            <w:vAlign w:val="center"/>
          </w:tcPr>
          <w:p w14:paraId="4748CC68" w14:textId="77777777" w:rsidR="00BC4D82" w:rsidRPr="00BC4D82" w:rsidRDefault="00BC4D82" w:rsidP="009532D5">
            <w:pPr>
              <w:widowControl w:val="0"/>
              <w:tabs>
                <w:tab w:val="left" w:pos="360"/>
              </w:tabs>
              <w:spacing w:line="276" w:lineRule="auto"/>
              <w:jc w:val="both"/>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ED6894C" w14:textId="77777777" w:rsidR="00BC4D82" w:rsidRPr="00BC4D82" w:rsidRDefault="00BC4D82" w:rsidP="009532D5">
            <w:pPr>
              <w:widowControl w:val="0"/>
              <w:tabs>
                <w:tab w:val="left" w:pos="360"/>
              </w:tabs>
              <w:spacing w:line="276" w:lineRule="auto"/>
              <w:jc w:val="both"/>
              <w:outlineLvl w:val="0"/>
              <w:rPr>
                <w:rFonts w:cs="Arial"/>
                <w:bCs/>
                <w:kern w:val="32"/>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175E13E9" w14:textId="77777777" w:rsidR="00BC4D82" w:rsidRPr="00BC4D82" w:rsidRDefault="00BC4D82" w:rsidP="009532D5">
            <w:pPr>
              <w:widowControl w:val="0"/>
              <w:tabs>
                <w:tab w:val="left" w:pos="360"/>
              </w:tabs>
              <w:spacing w:line="276" w:lineRule="auto"/>
              <w:jc w:val="both"/>
              <w:outlineLvl w:val="0"/>
              <w:rPr>
                <w:rFonts w:cs="Arial"/>
                <w:bCs/>
                <w:kern w:val="32"/>
                <w:szCs w:val="20"/>
                <w:lang w:eastAsia="sl-SI"/>
              </w:rPr>
            </w:pPr>
          </w:p>
        </w:tc>
      </w:tr>
      <w:tr w:rsidR="00BC4D82" w:rsidRPr="00BC4D82" w14:paraId="4B6D92AB" w14:textId="77777777" w:rsidTr="009532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5"/>
            <w:tcBorders>
              <w:top w:val="single" w:sz="4" w:space="0" w:color="auto"/>
              <w:left w:val="single" w:sz="4" w:space="0" w:color="auto"/>
              <w:bottom w:val="single" w:sz="4" w:space="0" w:color="auto"/>
              <w:right w:val="single" w:sz="4" w:space="0" w:color="auto"/>
            </w:tcBorders>
            <w:vAlign w:val="center"/>
          </w:tcPr>
          <w:p w14:paraId="0756C0B2" w14:textId="77777777" w:rsidR="00BC4D82" w:rsidRPr="00BC4D82" w:rsidRDefault="00BC4D82" w:rsidP="009532D5">
            <w:pPr>
              <w:widowControl w:val="0"/>
              <w:tabs>
                <w:tab w:val="left" w:pos="360"/>
              </w:tabs>
              <w:spacing w:line="276" w:lineRule="auto"/>
              <w:jc w:val="both"/>
              <w:outlineLvl w:val="0"/>
              <w:rPr>
                <w:rFonts w:cs="Arial"/>
                <w:b/>
                <w:kern w:val="32"/>
                <w:szCs w:val="20"/>
                <w:lang w:eastAsia="sl-SI"/>
              </w:rPr>
            </w:pPr>
            <w:r w:rsidRPr="00BC4D82">
              <w:rPr>
                <w:rFonts w:cs="Arial"/>
                <w:b/>
                <w:kern w:val="32"/>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62B1F18" w14:textId="77777777" w:rsidR="00BC4D82" w:rsidRPr="00BC4D82" w:rsidRDefault="00BC4D82" w:rsidP="009532D5">
            <w:pPr>
              <w:widowControl w:val="0"/>
              <w:tabs>
                <w:tab w:val="left" w:pos="360"/>
              </w:tabs>
              <w:spacing w:line="276" w:lineRule="auto"/>
              <w:jc w:val="both"/>
              <w:outlineLvl w:val="0"/>
              <w:rPr>
                <w:rFonts w:cs="Arial"/>
                <w:b/>
                <w:kern w:val="32"/>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5F54988F" w14:textId="77777777" w:rsidR="00BC4D82" w:rsidRPr="00BC4D82" w:rsidRDefault="00BC4D82" w:rsidP="009532D5">
            <w:pPr>
              <w:widowControl w:val="0"/>
              <w:tabs>
                <w:tab w:val="left" w:pos="360"/>
              </w:tabs>
              <w:spacing w:line="276" w:lineRule="auto"/>
              <w:jc w:val="both"/>
              <w:outlineLvl w:val="0"/>
              <w:rPr>
                <w:rFonts w:cs="Arial"/>
                <w:b/>
                <w:kern w:val="32"/>
                <w:szCs w:val="20"/>
                <w:lang w:eastAsia="sl-SI"/>
              </w:rPr>
            </w:pPr>
          </w:p>
        </w:tc>
      </w:tr>
      <w:tr w:rsidR="00BC4D82" w:rsidRPr="00BC4D82" w14:paraId="3D2C40EC" w14:textId="77777777" w:rsidTr="009532D5">
        <w:trPr>
          <w:trHeight w:val="1258"/>
        </w:trPr>
        <w:tc>
          <w:tcPr>
            <w:tcW w:w="9100" w:type="dxa"/>
            <w:gridSpan w:val="12"/>
          </w:tcPr>
          <w:p w14:paraId="45A09977" w14:textId="77777777" w:rsidR="00BC4D82" w:rsidRPr="00BC4D82" w:rsidRDefault="00BC4D82" w:rsidP="009532D5">
            <w:pPr>
              <w:widowControl w:val="0"/>
              <w:spacing w:line="276" w:lineRule="auto"/>
              <w:ind w:left="284"/>
              <w:jc w:val="both"/>
              <w:rPr>
                <w:rFonts w:eastAsia="Calibri" w:cs="Arial"/>
                <w:szCs w:val="20"/>
                <w:lang w:eastAsia="sl-SI"/>
              </w:rPr>
            </w:pPr>
          </w:p>
        </w:tc>
      </w:tr>
      <w:tr w:rsidR="00BC4D82" w:rsidRPr="00BC4D82" w14:paraId="05897770" w14:textId="77777777" w:rsidTr="009532D5">
        <w:tc>
          <w:tcPr>
            <w:tcW w:w="9100" w:type="dxa"/>
            <w:gridSpan w:val="12"/>
          </w:tcPr>
          <w:p w14:paraId="65C37DA4" w14:textId="77777777" w:rsidR="00BC4D82" w:rsidRPr="00BC4D82" w:rsidRDefault="00BC4D82" w:rsidP="009532D5">
            <w:pPr>
              <w:widowControl w:val="0"/>
              <w:suppressAutoHyphens/>
              <w:overflowPunct w:val="0"/>
              <w:autoSpaceDE w:val="0"/>
              <w:autoSpaceDN w:val="0"/>
              <w:adjustRightInd w:val="0"/>
              <w:spacing w:line="276" w:lineRule="auto"/>
              <w:jc w:val="both"/>
              <w:textAlignment w:val="baseline"/>
              <w:outlineLvl w:val="3"/>
              <w:rPr>
                <w:rFonts w:cs="Arial"/>
                <w:b/>
                <w:szCs w:val="20"/>
                <w:lang w:eastAsia="sl-SI"/>
              </w:rPr>
            </w:pPr>
            <w:r w:rsidRPr="00BC4D82">
              <w:rPr>
                <w:rFonts w:cs="Arial"/>
                <w:b/>
                <w:szCs w:val="20"/>
                <w:lang w:eastAsia="sl-SI"/>
              </w:rPr>
              <w:t>7.b Predstavitev ocene finančnih posledic pod 40.000 EUR:</w:t>
            </w:r>
          </w:p>
          <w:p w14:paraId="17B7E99A" w14:textId="77777777" w:rsidR="00BC4D82" w:rsidRPr="00BC4D82" w:rsidRDefault="00BC4D82" w:rsidP="009532D5">
            <w:pPr>
              <w:widowControl w:val="0"/>
              <w:suppressAutoHyphens/>
              <w:overflowPunct w:val="0"/>
              <w:autoSpaceDE w:val="0"/>
              <w:autoSpaceDN w:val="0"/>
              <w:adjustRightInd w:val="0"/>
              <w:spacing w:line="276" w:lineRule="auto"/>
              <w:jc w:val="both"/>
              <w:textAlignment w:val="baseline"/>
              <w:outlineLvl w:val="3"/>
              <w:rPr>
                <w:rFonts w:cs="Arial"/>
                <w:szCs w:val="20"/>
                <w:lang w:eastAsia="sl-SI"/>
              </w:rPr>
            </w:pPr>
          </w:p>
        </w:tc>
      </w:tr>
      <w:tr w:rsidR="00BC4D82" w:rsidRPr="00BC4D82" w14:paraId="76C93798" w14:textId="77777777" w:rsidTr="009532D5">
        <w:trPr>
          <w:trHeight w:val="371"/>
        </w:trPr>
        <w:tc>
          <w:tcPr>
            <w:tcW w:w="9100" w:type="dxa"/>
            <w:gridSpan w:val="12"/>
            <w:tcBorders>
              <w:top w:val="single" w:sz="4" w:space="0" w:color="000000"/>
              <w:left w:val="single" w:sz="4" w:space="0" w:color="000000"/>
              <w:bottom w:val="single" w:sz="4" w:space="0" w:color="000000"/>
              <w:right w:val="single" w:sz="4" w:space="0" w:color="000000"/>
            </w:tcBorders>
          </w:tcPr>
          <w:p w14:paraId="05B7C9E6" w14:textId="77777777" w:rsidR="00BC4D82" w:rsidRPr="00BC4D82" w:rsidRDefault="00BC4D82" w:rsidP="009532D5">
            <w:pPr>
              <w:spacing w:line="276" w:lineRule="auto"/>
              <w:jc w:val="both"/>
              <w:rPr>
                <w:rFonts w:cs="Arial"/>
                <w:b/>
                <w:szCs w:val="20"/>
              </w:rPr>
            </w:pPr>
            <w:r w:rsidRPr="00BC4D82">
              <w:rPr>
                <w:rFonts w:cs="Arial"/>
                <w:b/>
                <w:szCs w:val="20"/>
              </w:rPr>
              <w:t>8. Predstavitev sodelovanja z združenji občin:</w:t>
            </w:r>
          </w:p>
        </w:tc>
      </w:tr>
      <w:tr w:rsidR="00BC4D82" w:rsidRPr="00BC4D82" w14:paraId="2677DFFF" w14:textId="77777777" w:rsidTr="009532D5">
        <w:tc>
          <w:tcPr>
            <w:tcW w:w="6669" w:type="dxa"/>
            <w:gridSpan w:val="9"/>
          </w:tcPr>
          <w:p w14:paraId="2066C785" w14:textId="77777777" w:rsidR="00BC4D82" w:rsidRPr="00BC4D82" w:rsidRDefault="00BC4D82" w:rsidP="009532D5">
            <w:pPr>
              <w:pStyle w:val="Neotevilenodstavek"/>
              <w:widowControl w:val="0"/>
              <w:spacing w:before="0" w:after="0" w:line="276" w:lineRule="auto"/>
              <w:rPr>
                <w:iCs/>
                <w:sz w:val="20"/>
                <w:szCs w:val="20"/>
              </w:rPr>
            </w:pPr>
            <w:r w:rsidRPr="00BC4D82">
              <w:rPr>
                <w:iCs/>
                <w:sz w:val="20"/>
                <w:szCs w:val="20"/>
              </w:rPr>
              <w:t>Vsebina predloženega gradiva (predpisa) vpliva na:</w:t>
            </w:r>
          </w:p>
          <w:p w14:paraId="2200F230" w14:textId="77777777" w:rsidR="00BC4D82" w:rsidRPr="00BC4D82" w:rsidRDefault="00BC4D82" w:rsidP="00390BFB">
            <w:pPr>
              <w:pStyle w:val="Neotevilenodstavek"/>
              <w:widowControl w:val="0"/>
              <w:numPr>
                <w:ilvl w:val="1"/>
                <w:numId w:val="2"/>
              </w:numPr>
              <w:spacing w:before="0" w:after="0" w:line="276" w:lineRule="auto"/>
              <w:rPr>
                <w:iCs/>
                <w:sz w:val="20"/>
                <w:szCs w:val="20"/>
              </w:rPr>
            </w:pPr>
            <w:r w:rsidRPr="00BC4D82">
              <w:rPr>
                <w:iCs/>
                <w:sz w:val="20"/>
                <w:szCs w:val="20"/>
              </w:rPr>
              <w:t>pristojnosti občin,</w:t>
            </w:r>
          </w:p>
          <w:p w14:paraId="1957F01C" w14:textId="77777777" w:rsidR="00BC4D82" w:rsidRPr="00BC4D82" w:rsidRDefault="00BC4D82" w:rsidP="00390BFB">
            <w:pPr>
              <w:pStyle w:val="Neotevilenodstavek"/>
              <w:widowControl w:val="0"/>
              <w:numPr>
                <w:ilvl w:val="1"/>
                <w:numId w:val="2"/>
              </w:numPr>
              <w:spacing w:before="0" w:after="0" w:line="276" w:lineRule="auto"/>
              <w:rPr>
                <w:iCs/>
                <w:sz w:val="20"/>
                <w:szCs w:val="20"/>
              </w:rPr>
            </w:pPr>
            <w:r w:rsidRPr="00BC4D82">
              <w:rPr>
                <w:iCs/>
                <w:sz w:val="20"/>
                <w:szCs w:val="20"/>
              </w:rPr>
              <w:t>delovanje občin,</w:t>
            </w:r>
          </w:p>
          <w:p w14:paraId="5DA31F63" w14:textId="77777777" w:rsidR="00BC4D82" w:rsidRPr="00BC4D82" w:rsidRDefault="00BC4D82" w:rsidP="00390BFB">
            <w:pPr>
              <w:pStyle w:val="Neotevilenodstavek"/>
              <w:widowControl w:val="0"/>
              <w:numPr>
                <w:ilvl w:val="1"/>
                <w:numId w:val="2"/>
              </w:numPr>
              <w:spacing w:before="0" w:after="0" w:line="276" w:lineRule="auto"/>
              <w:rPr>
                <w:iCs/>
                <w:sz w:val="20"/>
                <w:szCs w:val="20"/>
              </w:rPr>
            </w:pPr>
            <w:r w:rsidRPr="00BC4D82">
              <w:rPr>
                <w:iCs/>
                <w:sz w:val="20"/>
                <w:szCs w:val="20"/>
              </w:rPr>
              <w:t>financiranje občin.</w:t>
            </w:r>
          </w:p>
        </w:tc>
        <w:tc>
          <w:tcPr>
            <w:tcW w:w="2431" w:type="dxa"/>
            <w:gridSpan w:val="3"/>
          </w:tcPr>
          <w:p w14:paraId="55F8022A" w14:textId="77777777" w:rsidR="00BC4D82" w:rsidRPr="00BC4D82" w:rsidRDefault="00BC4D82" w:rsidP="009532D5">
            <w:pPr>
              <w:pStyle w:val="Neotevilenodstavek"/>
              <w:widowControl w:val="0"/>
              <w:spacing w:before="0" w:after="0" w:line="276" w:lineRule="auto"/>
              <w:rPr>
                <w:sz w:val="20"/>
                <w:szCs w:val="20"/>
              </w:rPr>
            </w:pPr>
            <w:r w:rsidRPr="00BC4D82">
              <w:rPr>
                <w:sz w:val="20"/>
                <w:szCs w:val="20"/>
              </w:rPr>
              <w:t>NE</w:t>
            </w:r>
          </w:p>
        </w:tc>
      </w:tr>
      <w:tr w:rsidR="00BC4D82" w:rsidRPr="00BC4D82" w14:paraId="56760167" w14:textId="77777777" w:rsidTr="009532D5">
        <w:trPr>
          <w:trHeight w:val="274"/>
        </w:trPr>
        <w:tc>
          <w:tcPr>
            <w:tcW w:w="9100" w:type="dxa"/>
            <w:gridSpan w:val="12"/>
          </w:tcPr>
          <w:p w14:paraId="5FD91233" w14:textId="77777777" w:rsidR="00BC4D82" w:rsidRPr="00BC4D82" w:rsidRDefault="00BC4D82" w:rsidP="009532D5">
            <w:pPr>
              <w:pStyle w:val="Neotevilenodstavek"/>
              <w:widowControl w:val="0"/>
              <w:spacing w:before="0" w:after="0" w:line="276" w:lineRule="auto"/>
              <w:rPr>
                <w:iCs/>
                <w:sz w:val="20"/>
                <w:szCs w:val="20"/>
              </w:rPr>
            </w:pPr>
            <w:r w:rsidRPr="00BC4D82">
              <w:rPr>
                <w:iCs/>
                <w:sz w:val="20"/>
                <w:szCs w:val="20"/>
              </w:rPr>
              <w:t xml:space="preserve">Gradivo (predpis) je bilo poslano v mnenje: </w:t>
            </w:r>
          </w:p>
          <w:p w14:paraId="259C2331" w14:textId="77777777" w:rsidR="00BC4D82" w:rsidRPr="00BC4D82" w:rsidRDefault="00BC4D82" w:rsidP="00390BFB">
            <w:pPr>
              <w:pStyle w:val="Neotevilenodstavek"/>
              <w:widowControl w:val="0"/>
              <w:numPr>
                <w:ilvl w:val="0"/>
                <w:numId w:val="3"/>
              </w:numPr>
              <w:spacing w:before="0" w:after="0" w:line="276" w:lineRule="auto"/>
              <w:rPr>
                <w:iCs/>
                <w:sz w:val="20"/>
                <w:szCs w:val="20"/>
              </w:rPr>
            </w:pPr>
            <w:r w:rsidRPr="00BC4D82">
              <w:rPr>
                <w:iCs/>
                <w:sz w:val="20"/>
                <w:szCs w:val="20"/>
              </w:rPr>
              <w:t xml:space="preserve">Skupnosti občin Slovenije SOS: </w:t>
            </w:r>
            <w:r w:rsidRPr="00BC4D82">
              <w:rPr>
                <w:b/>
                <w:iCs/>
                <w:sz w:val="20"/>
                <w:szCs w:val="20"/>
              </w:rPr>
              <w:t>NE</w:t>
            </w:r>
          </w:p>
          <w:p w14:paraId="71FEE185" w14:textId="77777777" w:rsidR="00BC4D82" w:rsidRPr="00BC4D82" w:rsidRDefault="00BC4D82" w:rsidP="00390BFB">
            <w:pPr>
              <w:pStyle w:val="Neotevilenodstavek"/>
              <w:widowControl w:val="0"/>
              <w:numPr>
                <w:ilvl w:val="0"/>
                <w:numId w:val="3"/>
              </w:numPr>
              <w:spacing w:before="0" w:after="0" w:line="276" w:lineRule="auto"/>
              <w:rPr>
                <w:iCs/>
                <w:sz w:val="20"/>
                <w:szCs w:val="20"/>
              </w:rPr>
            </w:pPr>
            <w:r w:rsidRPr="00BC4D82">
              <w:rPr>
                <w:iCs/>
                <w:sz w:val="20"/>
                <w:szCs w:val="20"/>
              </w:rPr>
              <w:t xml:space="preserve">Združenju občin Slovenije ZOS: </w:t>
            </w:r>
            <w:r w:rsidRPr="00BC4D82">
              <w:rPr>
                <w:b/>
                <w:iCs/>
                <w:sz w:val="20"/>
                <w:szCs w:val="20"/>
              </w:rPr>
              <w:t>NE</w:t>
            </w:r>
          </w:p>
          <w:p w14:paraId="5A1E9989" w14:textId="77777777" w:rsidR="00BC4D82" w:rsidRPr="00BC4D82" w:rsidRDefault="00BC4D82" w:rsidP="00390BFB">
            <w:pPr>
              <w:pStyle w:val="Neotevilenodstavek"/>
              <w:widowControl w:val="0"/>
              <w:numPr>
                <w:ilvl w:val="0"/>
                <w:numId w:val="3"/>
              </w:numPr>
              <w:spacing w:before="0" w:after="0" w:line="276" w:lineRule="auto"/>
              <w:rPr>
                <w:b/>
                <w:iCs/>
                <w:sz w:val="20"/>
                <w:szCs w:val="20"/>
              </w:rPr>
            </w:pPr>
            <w:r w:rsidRPr="00BC4D82">
              <w:rPr>
                <w:iCs/>
                <w:sz w:val="20"/>
                <w:szCs w:val="20"/>
              </w:rPr>
              <w:t xml:space="preserve">Združenju mestnih občin Slovenije ZMOS: </w:t>
            </w:r>
            <w:r w:rsidRPr="00BC4D82">
              <w:rPr>
                <w:b/>
                <w:iCs/>
                <w:sz w:val="20"/>
                <w:szCs w:val="20"/>
              </w:rPr>
              <w:t>NE</w:t>
            </w:r>
          </w:p>
          <w:p w14:paraId="62F4FE19" w14:textId="77777777" w:rsidR="00BC4D82" w:rsidRPr="00BC4D82" w:rsidRDefault="00BC4D82" w:rsidP="009532D5">
            <w:pPr>
              <w:pStyle w:val="Neotevilenodstavek"/>
              <w:widowControl w:val="0"/>
              <w:spacing w:before="0" w:after="0" w:line="276" w:lineRule="auto"/>
              <w:rPr>
                <w:iCs/>
                <w:sz w:val="20"/>
                <w:szCs w:val="20"/>
              </w:rPr>
            </w:pPr>
          </w:p>
          <w:p w14:paraId="6BC50369" w14:textId="77777777" w:rsidR="00BC4D82" w:rsidRPr="00BC4D82" w:rsidRDefault="00BC4D82" w:rsidP="009532D5">
            <w:pPr>
              <w:pStyle w:val="Neotevilenodstavek"/>
              <w:widowControl w:val="0"/>
              <w:spacing w:before="0" w:after="0" w:line="276" w:lineRule="auto"/>
              <w:rPr>
                <w:iCs/>
                <w:sz w:val="20"/>
                <w:szCs w:val="20"/>
              </w:rPr>
            </w:pPr>
            <w:r w:rsidRPr="00BC4D82">
              <w:rPr>
                <w:iCs/>
                <w:sz w:val="20"/>
                <w:szCs w:val="20"/>
              </w:rPr>
              <w:t>Predlogi in pripombe združenj so bili upoštevani:</w:t>
            </w:r>
          </w:p>
          <w:p w14:paraId="0020B66E" w14:textId="77777777" w:rsidR="00BC4D82" w:rsidRPr="00BC4D82" w:rsidRDefault="00BC4D82" w:rsidP="00390BFB">
            <w:pPr>
              <w:pStyle w:val="Neotevilenodstavek"/>
              <w:widowControl w:val="0"/>
              <w:numPr>
                <w:ilvl w:val="0"/>
                <w:numId w:val="4"/>
              </w:numPr>
              <w:spacing w:before="0" w:after="0" w:line="276" w:lineRule="auto"/>
              <w:rPr>
                <w:iCs/>
                <w:sz w:val="20"/>
                <w:szCs w:val="20"/>
              </w:rPr>
            </w:pPr>
            <w:r w:rsidRPr="00BC4D82">
              <w:rPr>
                <w:iCs/>
                <w:sz w:val="20"/>
                <w:szCs w:val="20"/>
              </w:rPr>
              <w:t>v celoti,</w:t>
            </w:r>
          </w:p>
          <w:p w14:paraId="02034101" w14:textId="77777777" w:rsidR="00BC4D82" w:rsidRPr="00BC4D82" w:rsidRDefault="00BC4D82" w:rsidP="00390BFB">
            <w:pPr>
              <w:pStyle w:val="Neotevilenodstavek"/>
              <w:widowControl w:val="0"/>
              <w:numPr>
                <w:ilvl w:val="0"/>
                <w:numId w:val="4"/>
              </w:numPr>
              <w:spacing w:before="0" w:after="0" w:line="276" w:lineRule="auto"/>
              <w:rPr>
                <w:iCs/>
                <w:sz w:val="20"/>
                <w:szCs w:val="20"/>
              </w:rPr>
            </w:pPr>
            <w:r w:rsidRPr="00BC4D82">
              <w:rPr>
                <w:iCs/>
                <w:sz w:val="20"/>
                <w:szCs w:val="20"/>
              </w:rPr>
              <w:t>večinoma,</w:t>
            </w:r>
          </w:p>
          <w:p w14:paraId="51E168D4" w14:textId="77777777" w:rsidR="00BC4D82" w:rsidRPr="00BC4D82" w:rsidRDefault="00BC4D82" w:rsidP="00390BFB">
            <w:pPr>
              <w:pStyle w:val="Neotevilenodstavek"/>
              <w:widowControl w:val="0"/>
              <w:numPr>
                <w:ilvl w:val="0"/>
                <w:numId w:val="4"/>
              </w:numPr>
              <w:spacing w:before="0" w:after="0" w:line="276" w:lineRule="auto"/>
              <w:rPr>
                <w:iCs/>
                <w:sz w:val="20"/>
                <w:szCs w:val="20"/>
              </w:rPr>
            </w:pPr>
            <w:r w:rsidRPr="00BC4D82">
              <w:rPr>
                <w:iCs/>
                <w:sz w:val="20"/>
                <w:szCs w:val="20"/>
              </w:rPr>
              <w:t>delno,</w:t>
            </w:r>
          </w:p>
          <w:p w14:paraId="4F7F6E56" w14:textId="77777777" w:rsidR="00BC4D82" w:rsidRPr="00BC4D82" w:rsidRDefault="00BC4D82" w:rsidP="00390BFB">
            <w:pPr>
              <w:pStyle w:val="Neotevilenodstavek"/>
              <w:widowControl w:val="0"/>
              <w:numPr>
                <w:ilvl w:val="0"/>
                <w:numId w:val="4"/>
              </w:numPr>
              <w:spacing w:before="0" w:after="0" w:line="276" w:lineRule="auto"/>
              <w:rPr>
                <w:iCs/>
                <w:sz w:val="20"/>
                <w:szCs w:val="20"/>
              </w:rPr>
            </w:pPr>
            <w:r w:rsidRPr="00BC4D82">
              <w:rPr>
                <w:iCs/>
                <w:sz w:val="20"/>
                <w:szCs w:val="20"/>
              </w:rPr>
              <w:t>niso bili upoštevani.</w:t>
            </w:r>
          </w:p>
          <w:p w14:paraId="66B8B148" w14:textId="77777777" w:rsidR="00BC4D82" w:rsidRPr="00BC4D82" w:rsidRDefault="00BC4D82" w:rsidP="009532D5">
            <w:pPr>
              <w:pStyle w:val="Neotevilenodstavek"/>
              <w:widowControl w:val="0"/>
              <w:spacing w:before="0" w:after="0" w:line="276" w:lineRule="auto"/>
              <w:rPr>
                <w:iCs/>
                <w:sz w:val="20"/>
                <w:szCs w:val="20"/>
              </w:rPr>
            </w:pPr>
            <w:r w:rsidRPr="00BC4D82">
              <w:rPr>
                <w:iCs/>
                <w:sz w:val="20"/>
                <w:szCs w:val="20"/>
              </w:rPr>
              <w:t>Bistveni predlogi in pripombe, ki niso bili upoštevani.</w:t>
            </w:r>
          </w:p>
        </w:tc>
      </w:tr>
      <w:tr w:rsidR="00BC4D82" w:rsidRPr="00BC4D82" w14:paraId="6AD89E24" w14:textId="77777777" w:rsidTr="009532D5">
        <w:tc>
          <w:tcPr>
            <w:tcW w:w="9100" w:type="dxa"/>
            <w:gridSpan w:val="12"/>
          </w:tcPr>
          <w:p w14:paraId="0820BBFD" w14:textId="77777777" w:rsidR="00BC4D82" w:rsidRPr="00BC4D82" w:rsidRDefault="00BC4D82" w:rsidP="009532D5">
            <w:pPr>
              <w:widowControl w:val="0"/>
              <w:suppressAutoHyphens/>
              <w:overflowPunct w:val="0"/>
              <w:autoSpaceDE w:val="0"/>
              <w:autoSpaceDN w:val="0"/>
              <w:adjustRightInd w:val="0"/>
              <w:spacing w:line="276" w:lineRule="auto"/>
              <w:jc w:val="both"/>
              <w:textAlignment w:val="baseline"/>
              <w:outlineLvl w:val="3"/>
              <w:rPr>
                <w:rFonts w:cs="Arial"/>
                <w:b/>
                <w:szCs w:val="20"/>
                <w:lang w:eastAsia="sl-SI"/>
              </w:rPr>
            </w:pPr>
            <w:r w:rsidRPr="00BC4D82">
              <w:rPr>
                <w:rFonts w:cs="Arial"/>
                <w:b/>
                <w:szCs w:val="20"/>
                <w:lang w:eastAsia="sl-SI"/>
              </w:rPr>
              <w:t>9. Predstavitev sodelovanja javnosti:</w:t>
            </w:r>
          </w:p>
        </w:tc>
      </w:tr>
      <w:tr w:rsidR="00BC4D82" w:rsidRPr="00BC4D82" w14:paraId="01577177" w14:textId="77777777" w:rsidTr="009532D5">
        <w:tc>
          <w:tcPr>
            <w:tcW w:w="6669" w:type="dxa"/>
            <w:gridSpan w:val="9"/>
          </w:tcPr>
          <w:p w14:paraId="1337C4FD" w14:textId="77777777" w:rsidR="00BC4D82" w:rsidRPr="00BC4D82" w:rsidRDefault="00BC4D82" w:rsidP="009532D5">
            <w:pPr>
              <w:widowControl w:val="0"/>
              <w:overflowPunct w:val="0"/>
              <w:autoSpaceDE w:val="0"/>
              <w:autoSpaceDN w:val="0"/>
              <w:adjustRightInd w:val="0"/>
              <w:spacing w:line="276" w:lineRule="auto"/>
              <w:jc w:val="both"/>
              <w:textAlignment w:val="baseline"/>
              <w:rPr>
                <w:rFonts w:cs="Arial"/>
                <w:szCs w:val="20"/>
                <w:lang w:eastAsia="sl-SI"/>
              </w:rPr>
            </w:pPr>
            <w:r w:rsidRPr="00BC4D82">
              <w:rPr>
                <w:rFonts w:cs="Arial"/>
                <w:iCs/>
                <w:szCs w:val="20"/>
                <w:lang w:eastAsia="sl-SI"/>
              </w:rPr>
              <w:lastRenderedPageBreak/>
              <w:t>Gradivo je bilo predhodno objavljeno na spletni strani predlagatelja:</w:t>
            </w:r>
          </w:p>
        </w:tc>
        <w:tc>
          <w:tcPr>
            <w:tcW w:w="2431" w:type="dxa"/>
            <w:gridSpan w:val="3"/>
          </w:tcPr>
          <w:p w14:paraId="5D8CE5C4" w14:textId="77777777" w:rsidR="00BC4D82" w:rsidRPr="00BC4D82" w:rsidRDefault="00BC4D82" w:rsidP="009532D5">
            <w:pPr>
              <w:widowControl w:val="0"/>
              <w:overflowPunct w:val="0"/>
              <w:autoSpaceDE w:val="0"/>
              <w:autoSpaceDN w:val="0"/>
              <w:adjustRightInd w:val="0"/>
              <w:spacing w:line="276" w:lineRule="auto"/>
              <w:jc w:val="both"/>
              <w:textAlignment w:val="baseline"/>
              <w:rPr>
                <w:rFonts w:cs="Arial"/>
                <w:iCs/>
                <w:szCs w:val="20"/>
                <w:lang w:eastAsia="sl-SI"/>
              </w:rPr>
            </w:pPr>
            <w:r w:rsidRPr="00BC4D82">
              <w:rPr>
                <w:rFonts w:cs="Arial"/>
                <w:szCs w:val="20"/>
                <w:lang w:eastAsia="sl-SI"/>
              </w:rPr>
              <w:t>NE</w:t>
            </w:r>
          </w:p>
        </w:tc>
      </w:tr>
      <w:tr w:rsidR="00BC4D82" w:rsidRPr="00BC4D82" w14:paraId="6730E1AF" w14:textId="77777777" w:rsidTr="009532D5">
        <w:trPr>
          <w:trHeight w:val="274"/>
        </w:trPr>
        <w:tc>
          <w:tcPr>
            <w:tcW w:w="9100" w:type="dxa"/>
            <w:gridSpan w:val="12"/>
          </w:tcPr>
          <w:p w14:paraId="12A88CDE" w14:textId="77777777" w:rsidR="00BC4D82" w:rsidRPr="00BC4D82" w:rsidRDefault="00BC4D82" w:rsidP="009532D5">
            <w:pPr>
              <w:widowControl w:val="0"/>
              <w:overflowPunct w:val="0"/>
              <w:autoSpaceDE w:val="0"/>
              <w:autoSpaceDN w:val="0"/>
              <w:adjustRightInd w:val="0"/>
              <w:spacing w:line="276" w:lineRule="auto"/>
              <w:jc w:val="both"/>
              <w:textAlignment w:val="baseline"/>
              <w:rPr>
                <w:rFonts w:cs="Arial"/>
                <w:iCs/>
                <w:szCs w:val="20"/>
                <w:lang w:eastAsia="sl-SI"/>
              </w:rPr>
            </w:pPr>
            <w:r w:rsidRPr="00BC4D82">
              <w:rPr>
                <w:rFonts w:cs="Arial"/>
                <w:iCs/>
                <w:szCs w:val="20"/>
                <w:lang w:eastAsia="sl-SI"/>
              </w:rPr>
              <w:t>xxxxxxx</w:t>
            </w:r>
          </w:p>
        </w:tc>
      </w:tr>
      <w:tr w:rsidR="00BC4D82" w:rsidRPr="00BC4D82" w14:paraId="4A690314" w14:textId="77777777" w:rsidTr="009532D5">
        <w:tc>
          <w:tcPr>
            <w:tcW w:w="6669" w:type="dxa"/>
            <w:gridSpan w:val="9"/>
            <w:vAlign w:val="center"/>
          </w:tcPr>
          <w:p w14:paraId="594EF564" w14:textId="77777777" w:rsidR="00BC4D82" w:rsidRPr="00BC4D82" w:rsidRDefault="00BC4D82" w:rsidP="009532D5">
            <w:pPr>
              <w:widowControl w:val="0"/>
              <w:overflowPunct w:val="0"/>
              <w:autoSpaceDE w:val="0"/>
              <w:autoSpaceDN w:val="0"/>
              <w:adjustRightInd w:val="0"/>
              <w:spacing w:line="276" w:lineRule="auto"/>
              <w:jc w:val="both"/>
              <w:textAlignment w:val="baseline"/>
              <w:rPr>
                <w:rFonts w:cs="Arial"/>
                <w:szCs w:val="20"/>
                <w:lang w:eastAsia="sl-SI"/>
              </w:rPr>
            </w:pPr>
            <w:r w:rsidRPr="00BC4D82">
              <w:rPr>
                <w:rFonts w:cs="Arial"/>
                <w:b/>
                <w:szCs w:val="20"/>
                <w:lang w:eastAsia="sl-SI"/>
              </w:rPr>
              <w:t>10. Pri pripravi gradiva so bile upoštevane zahteve iz Resolucije o normativni dejavnosti:</w:t>
            </w:r>
          </w:p>
        </w:tc>
        <w:tc>
          <w:tcPr>
            <w:tcW w:w="2431" w:type="dxa"/>
            <w:gridSpan w:val="3"/>
            <w:vAlign w:val="center"/>
          </w:tcPr>
          <w:p w14:paraId="4528D465" w14:textId="77777777" w:rsidR="00BC4D82" w:rsidRPr="00BC4D82" w:rsidRDefault="00BC4D82" w:rsidP="009532D5">
            <w:pPr>
              <w:widowControl w:val="0"/>
              <w:overflowPunct w:val="0"/>
              <w:autoSpaceDE w:val="0"/>
              <w:autoSpaceDN w:val="0"/>
              <w:adjustRightInd w:val="0"/>
              <w:spacing w:line="276" w:lineRule="auto"/>
              <w:jc w:val="both"/>
              <w:textAlignment w:val="baseline"/>
              <w:rPr>
                <w:rFonts w:cs="Arial"/>
                <w:iCs/>
                <w:szCs w:val="20"/>
                <w:lang w:eastAsia="sl-SI"/>
              </w:rPr>
            </w:pPr>
            <w:r w:rsidRPr="00BC4D82">
              <w:rPr>
                <w:rFonts w:cs="Arial"/>
                <w:szCs w:val="20"/>
                <w:lang w:eastAsia="sl-SI"/>
              </w:rPr>
              <w:t>NE</w:t>
            </w:r>
          </w:p>
        </w:tc>
      </w:tr>
      <w:tr w:rsidR="00BC4D82" w:rsidRPr="00BC4D82" w14:paraId="12DF2527" w14:textId="77777777" w:rsidTr="009532D5">
        <w:tc>
          <w:tcPr>
            <w:tcW w:w="6669" w:type="dxa"/>
            <w:gridSpan w:val="9"/>
            <w:vAlign w:val="center"/>
          </w:tcPr>
          <w:p w14:paraId="39A7EEAF" w14:textId="77777777" w:rsidR="00BC4D82" w:rsidRPr="00BC4D82" w:rsidRDefault="00BC4D82" w:rsidP="009532D5">
            <w:pPr>
              <w:widowControl w:val="0"/>
              <w:overflowPunct w:val="0"/>
              <w:autoSpaceDE w:val="0"/>
              <w:autoSpaceDN w:val="0"/>
              <w:adjustRightInd w:val="0"/>
              <w:spacing w:line="276" w:lineRule="auto"/>
              <w:jc w:val="both"/>
              <w:textAlignment w:val="baseline"/>
              <w:rPr>
                <w:rFonts w:cs="Arial"/>
                <w:b/>
                <w:szCs w:val="20"/>
                <w:lang w:eastAsia="sl-SI"/>
              </w:rPr>
            </w:pPr>
            <w:r w:rsidRPr="00BC4D82">
              <w:rPr>
                <w:rFonts w:cs="Arial"/>
                <w:b/>
                <w:szCs w:val="20"/>
                <w:lang w:eastAsia="sl-SI"/>
              </w:rPr>
              <w:t>11. Gradivo je uvrščeno v delovni program vlade:</w:t>
            </w:r>
          </w:p>
        </w:tc>
        <w:tc>
          <w:tcPr>
            <w:tcW w:w="2431" w:type="dxa"/>
            <w:gridSpan w:val="3"/>
            <w:vAlign w:val="center"/>
          </w:tcPr>
          <w:p w14:paraId="7A7C6FEF" w14:textId="77777777" w:rsidR="00BC4D82" w:rsidRPr="00BC4D82" w:rsidRDefault="00BC4D82" w:rsidP="009532D5">
            <w:pPr>
              <w:widowControl w:val="0"/>
              <w:overflowPunct w:val="0"/>
              <w:autoSpaceDE w:val="0"/>
              <w:autoSpaceDN w:val="0"/>
              <w:adjustRightInd w:val="0"/>
              <w:spacing w:line="276" w:lineRule="auto"/>
              <w:jc w:val="both"/>
              <w:textAlignment w:val="baseline"/>
              <w:rPr>
                <w:rFonts w:cs="Arial"/>
                <w:szCs w:val="20"/>
                <w:lang w:eastAsia="sl-SI"/>
              </w:rPr>
            </w:pPr>
            <w:r w:rsidRPr="00BC4D82">
              <w:rPr>
                <w:rFonts w:cs="Arial"/>
                <w:szCs w:val="20"/>
                <w:lang w:eastAsia="sl-SI"/>
              </w:rPr>
              <w:t>NE</w:t>
            </w:r>
          </w:p>
        </w:tc>
      </w:tr>
      <w:tr w:rsidR="00BC4D82" w:rsidRPr="00BC4D82" w14:paraId="422648CF" w14:textId="77777777" w:rsidTr="009532D5">
        <w:tc>
          <w:tcPr>
            <w:tcW w:w="9100" w:type="dxa"/>
            <w:gridSpan w:val="12"/>
            <w:tcBorders>
              <w:top w:val="single" w:sz="4" w:space="0" w:color="000000"/>
              <w:left w:val="single" w:sz="4" w:space="0" w:color="000000"/>
              <w:bottom w:val="single" w:sz="4" w:space="0" w:color="000000"/>
              <w:right w:val="single" w:sz="4" w:space="0" w:color="000000"/>
            </w:tcBorders>
          </w:tcPr>
          <w:p w14:paraId="15A1106D" w14:textId="77777777" w:rsidR="00BC4D82" w:rsidRPr="00BC4D82" w:rsidRDefault="00BC4D82" w:rsidP="009532D5">
            <w:pPr>
              <w:widowControl w:val="0"/>
              <w:suppressAutoHyphens/>
              <w:overflowPunct w:val="0"/>
              <w:autoSpaceDE w:val="0"/>
              <w:autoSpaceDN w:val="0"/>
              <w:adjustRightInd w:val="0"/>
              <w:spacing w:line="276" w:lineRule="auto"/>
              <w:jc w:val="both"/>
              <w:textAlignment w:val="baseline"/>
              <w:outlineLvl w:val="3"/>
              <w:rPr>
                <w:rFonts w:cs="Arial"/>
                <w:b/>
                <w:szCs w:val="20"/>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3"/>
              <w:gridCol w:w="1653"/>
              <w:gridCol w:w="1137"/>
              <w:gridCol w:w="1137"/>
              <w:gridCol w:w="2842"/>
              <w:gridCol w:w="462"/>
            </w:tblGrid>
            <w:tr w:rsidR="00BC4D82" w:rsidRPr="00BC4D82" w14:paraId="4D9EDAD2" w14:textId="77777777" w:rsidTr="009532D5">
              <w:tc>
                <w:tcPr>
                  <w:tcW w:w="1653" w:type="dxa"/>
                </w:tcPr>
                <w:p w14:paraId="5EFFF578" w14:textId="77777777" w:rsidR="00BC4D82" w:rsidRPr="00BC4D82" w:rsidRDefault="00BC4D82" w:rsidP="009532D5">
                  <w:pPr>
                    <w:widowControl w:val="0"/>
                    <w:suppressAutoHyphens/>
                    <w:overflowPunct w:val="0"/>
                    <w:autoSpaceDE w:val="0"/>
                    <w:autoSpaceDN w:val="0"/>
                    <w:adjustRightInd w:val="0"/>
                    <w:spacing w:line="276" w:lineRule="auto"/>
                    <w:jc w:val="both"/>
                    <w:textAlignment w:val="baseline"/>
                    <w:outlineLvl w:val="3"/>
                    <w:rPr>
                      <w:rFonts w:cs="Arial"/>
                      <w:szCs w:val="20"/>
                      <w:lang w:eastAsia="sl-SI"/>
                    </w:rPr>
                  </w:pPr>
                </w:p>
              </w:tc>
              <w:tc>
                <w:tcPr>
                  <w:tcW w:w="1653" w:type="dxa"/>
                </w:tcPr>
                <w:p w14:paraId="1C78EE90" w14:textId="77777777" w:rsidR="00BC4D82" w:rsidRPr="00BC4D82" w:rsidRDefault="00BC4D82" w:rsidP="009532D5">
                  <w:pPr>
                    <w:widowControl w:val="0"/>
                    <w:suppressAutoHyphens/>
                    <w:overflowPunct w:val="0"/>
                    <w:autoSpaceDE w:val="0"/>
                    <w:autoSpaceDN w:val="0"/>
                    <w:adjustRightInd w:val="0"/>
                    <w:spacing w:line="276" w:lineRule="auto"/>
                    <w:jc w:val="both"/>
                    <w:textAlignment w:val="baseline"/>
                    <w:outlineLvl w:val="3"/>
                    <w:rPr>
                      <w:rFonts w:cs="Arial"/>
                      <w:szCs w:val="20"/>
                      <w:lang w:eastAsia="sl-SI"/>
                    </w:rPr>
                  </w:pPr>
                </w:p>
              </w:tc>
              <w:tc>
                <w:tcPr>
                  <w:tcW w:w="1137" w:type="dxa"/>
                </w:tcPr>
                <w:p w14:paraId="6664C85A" w14:textId="77777777" w:rsidR="00BC4D82" w:rsidRPr="00BC4D82" w:rsidRDefault="00BC4D82" w:rsidP="009532D5">
                  <w:pPr>
                    <w:widowControl w:val="0"/>
                    <w:suppressAutoHyphens/>
                    <w:overflowPunct w:val="0"/>
                    <w:autoSpaceDE w:val="0"/>
                    <w:autoSpaceDN w:val="0"/>
                    <w:adjustRightInd w:val="0"/>
                    <w:spacing w:line="276" w:lineRule="auto"/>
                    <w:jc w:val="both"/>
                    <w:textAlignment w:val="baseline"/>
                    <w:outlineLvl w:val="3"/>
                    <w:rPr>
                      <w:rFonts w:cs="Arial"/>
                      <w:szCs w:val="20"/>
                      <w:lang w:eastAsia="sl-SI"/>
                    </w:rPr>
                  </w:pPr>
                </w:p>
              </w:tc>
              <w:tc>
                <w:tcPr>
                  <w:tcW w:w="1137" w:type="dxa"/>
                </w:tcPr>
                <w:p w14:paraId="43670DD2" w14:textId="77777777" w:rsidR="00BC4D82" w:rsidRPr="00BC4D82" w:rsidRDefault="00BC4D82" w:rsidP="009532D5">
                  <w:pPr>
                    <w:widowControl w:val="0"/>
                    <w:suppressAutoHyphens/>
                    <w:overflowPunct w:val="0"/>
                    <w:autoSpaceDE w:val="0"/>
                    <w:autoSpaceDN w:val="0"/>
                    <w:adjustRightInd w:val="0"/>
                    <w:spacing w:line="276" w:lineRule="auto"/>
                    <w:jc w:val="both"/>
                    <w:textAlignment w:val="baseline"/>
                    <w:outlineLvl w:val="3"/>
                    <w:rPr>
                      <w:rFonts w:cs="Arial"/>
                      <w:szCs w:val="20"/>
                      <w:lang w:eastAsia="sl-SI"/>
                    </w:rPr>
                  </w:pPr>
                </w:p>
              </w:tc>
              <w:tc>
                <w:tcPr>
                  <w:tcW w:w="2842" w:type="dxa"/>
                </w:tcPr>
                <w:p w14:paraId="638A050F" w14:textId="77777777" w:rsidR="00BC4D82" w:rsidRPr="00BC4D82" w:rsidRDefault="00BC4D82" w:rsidP="009532D5">
                  <w:pPr>
                    <w:widowControl w:val="0"/>
                    <w:suppressAutoHyphens/>
                    <w:overflowPunct w:val="0"/>
                    <w:autoSpaceDE w:val="0"/>
                    <w:autoSpaceDN w:val="0"/>
                    <w:adjustRightInd w:val="0"/>
                    <w:spacing w:line="276" w:lineRule="auto"/>
                    <w:jc w:val="both"/>
                    <w:textAlignment w:val="baseline"/>
                    <w:outlineLvl w:val="3"/>
                    <w:rPr>
                      <w:rFonts w:cs="Arial"/>
                      <w:szCs w:val="20"/>
                      <w:lang w:eastAsia="sl-SI"/>
                    </w:rPr>
                  </w:pPr>
                  <w:r w:rsidRPr="00BC4D82">
                    <w:rPr>
                      <w:rFonts w:cs="Arial"/>
                      <w:szCs w:val="20"/>
                      <w:lang w:eastAsia="sl-SI"/>
                    </w:rPr>
                    <w:t>Zdravko Počivalšek</w:t>
                  </w:r>
                </w:p>
                <w:p w14:paraId="40F0ED23" w14:textId="77777777" w:rsidR="00BC4D82" w:rsidRPr="00BC4D82" w:rsidRDefault="00BC4D82" w:rsidP="009532D5">
                  <w:pPr>
                    <w:widowControl w:val="0"/>
                    <w:suppressAutoHyphens/>
                    <w:overflowPunct w:val="0"/>
                    <w:autoSpaceDE w:val="0"/>
                    <w:autoSpaceDN w:val="0"/>
                    <w:adjustRightInd w:val="0"/>
                    <w:spacing w:line="276" w:lineRule="auto"/>
                    <w:jc w:val="both"/>
                    <w:textAlignment w:val="baseline"/>
                    <w:outlineLvl w:val="3"/>
                    <w:rPr>
                      <w:rFonts w:cs="Arial"/>
                      <w:szCs w:val="20"/>
                      <w:lang w:eastAsia="sl-SI"/>
                    </w:rPr>
                  </w:pPr>
                  <w:r w:rsidRPr="00BC4D82">
                    <w:rPr>
                      <w:rFonts w:cs="Arial"/>
                      <w:szCs w:val="20"/>
                      <w:lang w:eastAsia="sl-SI"/>
                    </w:rPr>
                    <w:t>MINISTER</w:t>
                  </w:r>
                </w:p>
              </w:tc>
              <w:tc>
                <w:tcPr>
                  <w:tcW w:w="462" w:type="dxa"/>
                </w:tcPr>
                <w:p w14:paraId="75C625A3" w14:textId="77777777" w:rsidR="00BC4D82" w:rsidRPr="00BC4D82" w:rsidRDefault="00BC4D82" w:rsidP="009532D5">
                  <w:pPr>
                    <w:widowControl w:val="0"/>
                    <w:suppressAutoHyphens/>
                    <w:overflowPunct w:val="0"/>
                    <w:autoSpaceDE w:val="0"/>
                    <w:autoSpaceDN w:val="0"/>
                    <w:adjustRightInd w:val="0"/>
                    <w:spacing w:line="276" w:lineRule="auto"/>
                    <w:jc w:val="both"/>
                    <w:textAlignment w:val="baseline"/>
                    <w:outlineLvl w:val="3"/>
                    <w:rPr>
                      <w:rFonts w:cs="Arial"/>
                      <w:szCs w:val="20"/>
                      <w:lang w:eastAsia="sl-SI"/>
                    </w:rPr>
                  </w:pPr>
                </w:p>
              </w:tc>
            </w:tr>
            <w:tr w:rsidR="00BC4D82" w:rsidRPr="00BC4D82" w14:paraId="028C153C" w14:textId="77777777" w:rsidTr="009532D5">
              <w:trPr>
                <w:trHeight w:val="74"/>
              </w:trPr>
              <w:tc>
                <w:tcPr>
                  <w:tcW w:w="1653" w:type="dxa"/>
                </w:tcPr>
                <w:p w14:paraId="623D86D3" w14:textId="77777777" w:rsidR="00BC4D82" w:rsidRPr="00BC4D82" w:rsidRDefault="00BC4D82" w:rsidP="009532D5">
                  <w:pPr>
                    <w:widowControl w:val="0"/>
                    <w:suppressAutoHyphens/>
                    <w:overflowPunct w:val="0"/>
                    <w:autoSpaceDE w:val="0"/>
                    <w:autoSpaceDN w:val="0"/>
                    <w:adjustRightInd w:val="0"/>
                    <w:spacing w:line="276" w:lineRule="auto"/>
                    <w:jc w:val="both"/>
                    <w:textAlignment w:val="baseline"/>
                    <w:outlineLvl w:val="3"/>
                    <w:rPr>
                      <w:rFonts w:cs="Arial"/>
                      <w:b/>
                      <w:szCs w:val="20"/>
                      <w:lang w:eastAsia="sl-SI"/>
                    </w:rPr>
                  </w:pPr>
                </w:p>
              </w:tc>
              <w:tc>
                <w:tcPr>
                  <w:tcW w:w="1653" w:type="dxa"/>
                </w:tcPr>
                <w:p w14:paraId="6D6A3300" w14:textId="77777777" w:rsidR="00BC4D82" w:rsidRPr="00BC4D82" w:rsidRDefault="00BC4D82" w:rsidP="009532D5">
                  <w:pPr>
                    <w:widowControl w:val="0"/>
                    <w:suppressAutoHyphens/>
                    <w:overflowPunct w:val="0"/>
                    <w:autoSpaceDE w:val="0"/>
                    <w:autoSpaceDN w:val="0"/>
                    <w:adjustRightInd w:val="0"/>
                    <w:spacing w:line="276" w:lineRule="auto"/>
                    <w:jc w:val="both"/>
                    <w:textAlignment w:val="baseline"/>
                    <w:outlineLvl w:val="3"/>
                    <w:rPr>
                      <w:rFonts w:cs="Arial"/>
                      <w:b/>
                      <w:szCs w:val="20"/>
                      <w:lang w:eastAsia="sl-SI"/>
                    </w:rPr>
                  </w:pPr>
                </w:p>
              </w:tc>
              <w:tc>
                <w:tcPr>
                  <w:tcW w:w="1137" w:type="dxa"/>
                </w:tcPr>
                <w:p w14:paraId="1E338BDA" w14:textId="77777777" w:rsidR="00BC4D82" w:rsidRPr="00BC4D82" w:rsidRDefault="00BC4D82" w:rsidP="009532D5">
                  <w:pPr>
                    <w:widowControl w:val="0"/>
                    <w:suppressAutoHyphens/>
                    <w:overflowPunct w:val="0"/>
                    <w:autoSpaceDE w:val="0"/>
                    <w:autoSpaceDN w:val="0"/>
                    <w:adjustRightInd w:val="0"/>
                    <w:spacing w:line="276" w:lineRule="auto"/>
                    <w:jc w:val="both"/>
                    <w:textAlignment w:val="baseline"/>
                    <w:outlineLvl w:val="3"/>
                    <w:rPr>
                      <w:rFonts w:cs="Arial"/>
                      <w:b/>
                      <w:szCs w:val="20"/>
                      <w:lang w:eastAsia="sl-SI"/>
                    </w:rPr>
                  </w:pPr>
                </w:p>
              </w:tc>
              <w:tc>
                <w:tcPr>
                  <w:tcW w:w="1137" w:type="dxa"/>
                </w:tcPr>
                <w:p w14:paraId="3A88DF9F" w14:textId="77777777" w:rsidR="00BC4D82" w:rsidRPr="00BC4D82" w:rsidRDefault="00BC4D82" w:rsidP="009532D5">
                  <w:pPr>
                    <w:widowControl w:val="0"/>
                    <w:suppressAutoHyphens/>
                    <w:overflowPunct w:val="0"/>
                    <w:autoSpaceDE w:val="0"/>
                    <w:autoSpaceDN w:val="0"/>
                    <w:adjustRightInd w:val="0"/>
                    <w:spacing w:line="276" w:lineRule="auto"/>
                    <w:jc w:val="both"/>
                    <w:textAlignment w:val="baseline"/>
                    <w:outlineLvl w:val="3"/>
                    <w:rPr>
                      <w:rFonts w:cs="Arial"/>
                      <w:b/>
                      <w:szCs w:val="20"/>
                      <w:lang w:eastAsia="sl-SI"/>
                    </w:rPr>
                  </w:pPr>
                </w:p>
              </w:tc>
              <w:tc>
                <w:tcPr>
                  <w:tcW w:w="2842" w:type="dxa"/>
                </w:tcPr>
                <w:p w14:paraId="2FF79DCC" w14:textId="77777777" w:rsidR="00BC4D82" w:rsidRPr="00BC4D82" w:rsidRDefault="00BC4D82" w:rsidP="009532D5">
                  <w:pPr>
                    <w:widowControl w:val="0"/>
                    <w:suppressAutoHyphens/>
                    <w:overflowPunct w:val="0"/>
                    <w:autoSpaceDE w:val="0"/>
                    <w:autoSpaceDN w:val="0"/>
                    <w:adjustRightInd w:val="0"/>
                    <w:spacing w:line="276" w:lineRule="auto"/>
                    <w:jc w:val="both"/>
                    <w:textAlignment w:val="baseline"/>
                    <w:outlineLvl w:val="3"/>
                    <w:rPr>
                      <w:rFonts w:cs="Arial"/>
                      <w:b/>
                      <w:szCs w:val="20"/>
                      <w:lang w:eastAsia="sl-SI"/>
                    </w:rPr>
                  </w:pPr>
                </w:p>
              </w:tc>
              <w:tc>
                <w:tcPr>
                  <w:tcW w:w="462" w:type="dxa"/>
                </w:tcPr>
                <w:p w14:paraId="496D5614" w14:textId="77777777" w:rsidR="00BC4D82" w:rsidRPr="00BC4D82" w:rsidRDefault="00BC4D82" w:rsidP="009532D5">
                  <w:pPr>
                    <w:widowControl w:val="0"/>
                    <w:suppressAutoHyphens/>
                    <w:overflowPunct w:val="0"/>
                    <w:autoSpaceDE w:val="0"/>
                    <w:autoSpaceDN w:val="0"/>
                    <w:adjustRightInd w:val="0"/>
                    <w:spacing w:line="276" w:lineRule="auto"/>
                    <w:jc w:val="both"/>
                    <w:textAlignment w:val="baseline"/>
                    <w:outlineLvl w:val="3"/>
                    <w:rPr>
                      <w:rFonts w:cs="Arial"/>
                      <w:b/>
                      <w:szCs w:val="20"/>
                      <w:lang w:eastAsia="sl-SI"/>
                    </w:rPr>
                  </w:pPr>
                </w:p>
              </w:tc>
            </w:tr>
          </w:tbl>
          <w:p w14:paraId="53175BB6" w14:textId="77777777" w:rsidR="00BC4D82" w:rsidRPr="00BC4D82" w:rsidRDefault="00BC4D82" w:rsidP="009532D5">
            <w:pPr>
              <w:widowControl w:val="0"/>
              <w:suppressAutoHyphens/>
              <w:overflowPunct w:val="0"/>
              <w:autoSpaceDE w:val="0"/>
              <w:autoSpaceDN w:val="0"/>
              <w:adjustRightInd w:val="0"/>
              <w:spacing w:line="276" w:lineRule="auto"/>
              <w:jc w:val="both"/>
              <w:textAlignment w:val="baseline"/>
              <w:outlineLvl w:val="3"/>
              <w:rPr>
                <w:rFonts w:cs="Arial"/>
                <w:b/>
                <w:szCs w:val="20"/>
                <w:lang w:eastAsia="sl-SI"/>
              </w:rPr>
            </w:pPr>
          </w:p>
        </w:tc>
      </w:tr>
    </w:tbl>
    <w:p w14:paraId="51C4090F" w14:textId="77777777" w:rsidR="00126581" w:rsidRPr="00BC4D82" w:rsidRDefault="00126581" w:rsidP="00126581">
      <w:pPr>
        <w:spacing w:after="160" w:line="259" w:lineRule="auto"/>
        <w:rPr>
          <w:rFonts w:eastAsia="Calibri" w:cs="Arial"/>
          <w:szCs w:val="20"/>
        </w:rPr>
      </w:pPr>
    </w:p>
    <w:p w14:paraId="689C78D0" w14:textId="77777777" w:rsidR="003223C5" w:rsidRDefault="003223C5" w:rsidP="00126581">
      <w:pPr>
        <w:spacing w:after="160" w:line="259" w:lineRule="auto"/>
        <w:rPr>
          <w:rFonts w:ascii="Calibri" w:eastAsia="Calibri" w:hAnsi="Calibri"/>
          <w:sz w:val="22"/>
          <w:szCs w:val="22"/>
        </w:rPr>
      </w:pPr>
    </w:p>
    <w:p w14:paraId="32CBA445" w14:textId="2FF4EB2C" w:rsidR="00390BFB" w:rsidRDefault="00A24846" w:rsidP="00BD31D1">
      <w:pPr>
        <w:widowControl w:val="0"/>
        <w:suppressAutoHyphens/>
        <w:spacing w:line="276" w:lineRule="auto"/>
        <w:jc w:val="both"/>
        <w:rPr>
          <w:rFonts w:cs="Arial"/>
          <w:b/>
          <w:szCs w:val="20"/>
          <w:lang w:eastAsia="sl-SI"/>
        </w:rPr>
      </w:pPr>
      <w:r>
        <w:rPr>
          <w:rFonts w:ascii="Calibri" w:eastAsia="Calibri" w:hAnsi="Calibri"/>
          <w:sz w:val="22"/>
          <w:szCs w:val="22"/>
        </w:rPr>
        <w:br w:type="page"/>
      </w:r>
      <w:r w:rsidR="00BD31D1" w:rsidRPr="00BD31D1">
        <w:rPr>
          <w:rFonts w:cs="Arial"/>
          <w:b/>
          <w:szCs w:val="20"/>
          <w:lang w:eastAsia="sl-SI"/>
        </w:rPr>
        <w:lastRenderedPageBreak/>
        <w:t>Informacija o pripravi celovitega strateškega projekta razogljičenja Slovenije preko prehoda v krožno gospodarstvo s sodelovanjem Evropske komisije in Evropskega inštituta za inovacije in tehnologijo (EIT KIC Climate in EIT KIC Raw materials)</w:t>
      </w:r>
    </w:p>
    <w:p w14:paraId="61EEBB8B" w14:textId="77777777" w:rsidR="00BD31D1" w:rsidRPr="00BD31D1" w:rsidRDefault="00BD31D1" w:rsidP="00BD31D1">
      <w:pPr>
        <w:widowControl w:val="0"/>
        <w:suppressAutoHyphens/>
        <w:spacing w:line="276" w:lineRule="auto"/>
        <w:jc w:val="both"/>
        <w:rPr>
          <w:rFonts w:cs="Arial"/>
          <w:b/>
          <w:szCs w:val="20"/>
          <w:lang w:eastAsia="sl-SI"/>
        </w:rPr>
      </w:pPr>
    </w:p>
    <w:p w14:paraId="4969CAD3" w14:textId="77777777" w:rsidR="00390BFB" w:rsidRPr="00390BFB" w:rsidRDefault="00390BFB" w:rsidP="00390BFB">
      <w:pPr>
        <w:widowControl w:val="0"/>
        <w:numPr>
          <w:ilvl w:val="3"/>
          <w:numId w:val="11"/>
        </w:numPr>
        <w:suppressAutoHyphens/>
        <w:spacing w:line="276" w:lineRule="auto"/>
        <w:ind w:left="426" w:hanging="426"/>
        <w:contextualSpacing/>
        <w:jc w:val="both"/>
        <w:rPr>
          <w:rFonts w:cs="Arial"/>
          <w:b/>
          <w:color w:val="000000"/>
          <w:szCs w:val="20"/>
          <w:lang w:eastAsia="ar-SA"/>
        </w:rPr>
      </w:pPr>
      <w:r w:rsidRPr="00390BFB">
        <w:rPr>
          <w:rFonts w:cs="Arial"/>
          <w:b/>
          <w:color w:val="000000"/>
          <w:szCs w:val="20"/>
          <w:lang w:eastAsia="ar-SA"/>
        </w:rPr>
        <w:t xml:space="preserve">Izhodišča za pripravo </w:t>
      </w:r>
      <w:r w:rsidRPr="00390BFB">
        <w:t>celovitega strateškega projekta</w:t>
      </w:r>
      <w:r w:rsidRPr="00390BFB">
        <w:rPr>
          <w:rFonts w:cs="Arial"/>
          <w:b/>
          <w:color w:val="000000"/>
          <w:szCs w:val="20"/>
          <w:lang w:eastAsia="ar-SA"/>
        </w:rPr>
        <w:t xml:space="preserve">: </w:t>
      </w:r>
    </w:p>
    <w:p w14:paraId="7A96DFBC" w14:textId="77777777" w:rsidR="00390BFB" w:rsidRPr="00390BFB" w:rsidRDefault="00390BFB" w:rsidP="00390BFB">
      <w:pPr>
        <w:widowControl w:val="0"/>
        <w:suppressAutoHyphens/>
        <w:spacing w:line="276" w:lineRule="auto"/>
        <w:jc w:val="both"/>
        <w:rPr>
          <w:rFonts w:cs="Arial"/>
          <w:b/>
          <w:color w:val="000000"/>
          <w:szCs w:val="20"/>
          <w:lang w:eastAsia="ar-SA"/>
        </w:rPr>
      </w:pPr>
    </w:p>
    <w:p w14:paraId="09121C65" w14:textId="77777777" w:rsidR="00390BFB" w:rsidRPr="00390BFB" w:rsidRDefault="00390BFB" w:rsidP="00390BFB">
      <w:pPr>
        <w:spacing w:line="276" w:lineRule="auto"/>
        <w:jc w:val="both"/>
        <w:rPr>
          <w:rFonts w:cs="Arial"/>
          <w:b/>
          <w:color w:val="000000"/>
          <w:szCs w:val="20"/>
          <w:lang w:eastAsia="ar-SA"/>
        </w:rPr>
      </w:pPr>
      <w:r w:rsidRPr="00390BFB">
        <w:rPr>
          <w:rFonts w:cs="Arial"/>
          <w:b/>
          <w:color w:val="000000"/>
          <w:szCs w:val="20"/>
          <w:lang w:eastAsia="ar-SA"/>
        </w:rPr>
        <w:t>Izhodišča na ravni EU:</w:t>
      </w:r>
    </w:p>
    <w:p w14:paraId="16D81427" w14:textId="77777777" w:rsidR="00390BFB" w:rsidRPr="00390BFB" w:rsidRDefault="00390BFB" w:rsidP="00390BFB">
      <w:pPr>
        <w:spacing w:line="276" w:lineRule="auto"/>
        <w:jc w:val="both"/>
        <w:rPr>
          <w:rFonts w:cs="Arial"/>
          <w:b/>
          <w:szCs w:val="20"/>
        </w:rPr>
      </w:pPr>
    </w:p>
    <w:p w14:paraId="7A89DE40" w14:textId="77777777" w:rsidR="00390BFB" w:rsidRPr="00390BFB" w:rsidRDefault="00390BFB" w:rsidP="00390BFB">
      <w:pPr>
        <w:numPr>
          <w:ilvl w:val="0"/>
          <w:numId w:val="14"/>
        </w:numPr>
        <w:spacing w:line="276" w:lineRule="auto"/>
        <w:contextualSpacing/>
        <w:jc w:val="both"/>
      </w:pPr>
      <w:r w:rsidRPr="00390BFB">
        <w:t xml:space="preserve">V okviru 8. okvirnega programa EU za raziskave in inovacije Obzorje 2020 je bila kot ena od prioritet inovacijsko-raziskovalne in gospodarske politike na ravni EU prepoznana potreba po vedno večjih sinergijah med sredstvi </w:t>
      </w:r>
      <w:r w:rsidRPr="00390BFB">
        <w:rPr>
          <w:rFonts w:cs="Arial"/>
          <w:color w:val="000000"/>
          <w:szCs w:val="20"/>
          <w:lang w:eastAsia="sl-SI"/>
        </w:rPr>
        <w:t>in instrumenti na ravni EU ter na nacionalni ravni, saj oboji obravnavajo iste cilje in izzive na skupnem območju.</w:t>
      </w:r>
      <w:r w:rsidRPr="00390BFB">
        <w:t xml:space="preserve"> Evropska komisija tak pristop podpira tudi sistemsko – z ustanavljanjem novih služb in sektorjev, ki se ukvarjajo izključno s sinergijami med programi in med instrumenti, začenši s programom Obzorje 2020 ter evropskimi strukturnimi in investicijskimi skladi (ESIF, kohezija). Vedno pomembnejši vidik je tudi povezovanje različnih ciljev politik (npr. DG Digital z Obzorjem 2020).</w:t>
      </w:r>
    </w:p>
    <w:p w14:paraId="16204566" w14:textId="77777777" w:rsidR="00390BFB" w:rsidRPr="00390BFB" w:rsidRDefault="00390BFB" w:rsidP="00390BFB">
      <w:pPr>
        <w:spacing w:line="276" w:lineRule="auto"/>
        <w:ind w:left="720"/>
        <w:contextualSpacing/>
        <w:jc w:val="both"/>
      </w:pPr>
    </w:p>
    <w:p w14:paraId="6F130F2D" w14:textId="77777777" w:rsidR="00390BFB" w:rsidRPr="00390BFB" w:rsidRDefault="00390BFB" w:rsidP="00390BFB">
      <w:pPr>
        <w:numPr>
          <w:ilvl w:val="0"/>
          <w:numId w:val="14"/>
        </w:numPr>
        <w:spacing w:line="276" w:lineRule="auto"/>
        <w:contextualSpacing/>
        <w:jc w:val="both"/>
      </w:pPr>
      <w:r w:rsidRPr="00390BFB">
        <w:t xml:space="preserve">V naslednji finančni perspektivi bo Evropska komisija namenila še večjo pozornost doseganju sinergij med posameznimi programi in med posameznimi politikami, saj postaja jasno, da brez sistemskih sinergij med sredstvi ne bo ustreznega razvojnega preboja v želeni smeri. To se že kaže pri načrtovanju novih okvirnih programov (npr. 9. okvirni program za raziskave in inovacije Obzorje Evropa, digitalna Evropa in drugih). </w:t>
      </w:r>
    </w:p>
    <w:p w14:paraId="493A293C" w14:textId="77777777" w:rsidR="00390BFB" w:rsidRPr="00390BFB" w:rsidRDefault="00390BFB" w:rsidP="00390BFB">
      <w:pPr>
        <w:spacing w:line="276" w:lineRule="auto"/>
        <w:ind w:left="720"/>
        <w:contextualSpacing/>
        <w:rPr>
          <w:rFonts w:cs="Arial"/>
          <w:color w:val="000000"/>
          <w:szCs w:val="20"/>
          <w:lang w:eastAsia="sl-SI"/>
        </w:rPr>
      </w:pPr>
    </w:p>
    <w:p w14:paraId="574CAE40" w14:textId="77777777" w:rsidR="00390BFB" w:rsidRPr="00390BFB" w:rsidRDefault="00390BFB" w:rsidP="00390BFB">
      <w:pPr>
        <w:numPr>
          <w:ilvl w:val="0"/>
          <w:numId w:val="14"/>
        </w:numPr>
        <w:spacing w:line="276" w:lineRule="auto"/>
        <w:contextualSpacing/>
        <w:jc w:val="both"/>
      </w:pPr>
      <w:r w:rsidRPr="00390BFB">
        <w:rPr>
          <w:rFonts w:cs="Arial"/>
          <w:color w:val="000000"/>
          <w:szCs w:val="20"/>
          <w:lang w:eastAsia="sl-SI"/>
        </w:rPr>
        <w:t>V okviru programa Obzorje Evropa, iz katerega se financira tudi Evropski inštitut za inovacije in tehnologijo (EIT), ter ostalih finančnih programov EU se kot najpomembnejše kažejo potencialne sinergije s strukturnimi skladi, česar ne bo mogoče doseči brez strateškega pristopa k načrtovanju. Koordinirana vlaganja na skupnih prioritetah bi lahko močno povečali, vlaganja na ravni držav članic EU pa bi dosegala večje učinke in kakovost.</w:t>
      </w:r>
    </w:p>
    <w:p w14:paraId="33C5A3B8" w14:textId="77777777" w:rsidR="00390BFB" w:rsidRPr="00390BFB" w:rsidRDefault="00390BFB" w:rsidP="00390BFB">
      <w:pPr>
        <w:spacing w:line="276" w:lineRule="auto"/>
        <w:ind w:left="720"/>
        <w:contextualSpacing/>
        <w:rPr>
          <w:rFonts w:cs="Arial"/>
          <w:color w:val="000000"/>
          <w:szCs w:val="20"/>
          <w:lang w:eastAsia="sl-SI"/>
        </w:rPr>
      </w:pPr>
    </w:p>
    <w:p w14:paraId="402694D9" w14:textId="77777777" w:rsidR="00390BFB" w:rsidRPr="00390BFB" w:rsidRDefault="00390BFB" w:rsidP="00390BFB">
      <w:pPr>
        <w:numPr>
          <w:ilvl w:val="0"/>
          <w:numId w:val="14"/>
        </w:numPr>
        <w:spacing w:line="276" w:lineRule="auto"/>
        <w:contextualSpacing/>
        <w:jc w:val="both"/>
      </w:pPr>
      <w:r w:rsidRPr="00390BFB">
        <w:rPr>
          <w:rFonts w:cs="Arial"/>
          <w:color w:val="000000"/>
          <w:szCs w:val="20"/>
          <w:lang w:eastAsia="sl-SI"/>
        </w:rPr>
        <w:t>Na nedavnem zasedanju Sveta za raziskave, industrijo in notranji trg (dne 27. 9. 2019) so pristojni ministri držav članic razpravljali:</w:t>
      </w:r>
    </w:p>
    <w:p w14:paraId="23291BDB" w14:textId="77777777" w:rsidR="00390BFB" w:rsidRPr="00390BFB" w:rsidRDefault="00390BFB" w:rsidP="00390BFB">
      <w:pPr>
        <w:numPr>
          <w:ilvl w:val="1"/>
          <w:numId w:val="12"/>
        </w:numPr>
        <w:autoSpaceDE w:val="0"/>
        <w:autoSpaceDN w:val="0"/>
        <w:adjustRightInd w:val="0"/>
        <w:spacing w:line="276" w:lineRule="auto"/>
        <w:contextualSpacing/>
        <w:jc w:val="both"/>
        <w:rPr>
          <w:rFonts w:cs="Arial"/>
          <w:color w:val="000000"/>
          <w:szCs w:val="20"/>
          <w:lang w:eastAsia="sl-SI"/>
        </w:rPr>
      </w:pPr>
      <w:r w:rsidRPr="00390BFB">
        <w:rPr>
          <w:rFonts w:cs="Arial"/>
          <w:color w:val="000000"/>
          <w:szCs w:val="20"/>
          <w:lang w:eastAsia="sl-SI"/>
        </w:rPr>
        <w:t xml:space="preserve">O oblikovanju kombinacije politik za nov evropski model razvoja, česar ne bo mogoče doseči z delnimi oz. posamičnimi rešitvami, temveč edino celostno in sistemsko. </w:t>
      </w:r>
      <w:r w:rsidRPr="00390BFB">
        <w:t>Tako usmeritev med drugim potrjuje program dela nove Evropske komisije.</w:t>
      </w:r>
    </w:p>
    <w:p w14:paraId="7B1E5DEC" w14:textId="77777777" w:rsidR="00390BFB" w:rsidRPr="00390BFB" w:rsidRDefault="00390BFB" w:rsidP="00390BFB">
      <w:pPr>
        <w:numPr>
          <w:ilvl w:val="1"/>
          <w:numId w:val="12"/>
        </w:numPr>
        <w:autoSpaceDE w:val="0"/>
        <w:autoSpaceDN w:val="0"/>
        <w:adjustRightInd w:val="0"/>
        <w:spacing w:line="276" w:lineRule="auto"/>
        <w:contextualSpacing/>
        <w:jc w:val="both"/>
        <w:rPr>
          <w:rFonts w:cs="Arial"/>
          <w:color w:val="000000"/>
          <w:szCs w:val="20"/>
          <w:lang w:eastAsia="sl-SI"/>
        </w:rPr>
      </w:pPr>
      <w:r w:rsidRPr="00390BFB">
        <w:rPr>
          <w:rFonts w:cs="Arial"/>
          <w:color w:val="000000"/>
          <w:szCs w:val="20"/>
          <w:lang w:eastAsia="sl-SI"/>
        </w:rPr>
        <w:t>O tem, da bo morala EU, če želi (p)ostati vodilna na tehnološkem področju, za raziskave in inovacije pritegniti več (zasebnih in javnih) sredstev za vrhunske tehnologije, za ogljično nevtralne raziskave in inovacije pa tudi za nadgradnjo kompetenc in znanj.</w:t>
      </w:r>
      <w:r w:rsidRPr="00390BFB">
        <w:rPr>
          <w:rFonts w:cs="Arial"/>
          <w:color w:val="000000"/>
          <w:szCs w:val="20"/>
          <w:vertAlign w:val="superscript"/>
          <w:lang w:eastAsia="sl-SI"/>
        </w:rPr>
        <w:footnoteReference w:id="1"/>
      </w:r>
      <w:r w:rsidRPr="00390BFB">
        <w:rPr>
          <w:rFonts w:cs="Arial"/>
          <w:color w:val="000000"/>
          <w:szCs w:val="20"/>
          <w:lang w:eastAsia="sl-SI"/>
        </w:rPr>
        <w:t xml:space="preserve"> </w:t>
      </w:r>
    </w:p>
    <w:p w14:paraId="57061DDF" w14:textId="77777777" w:rsidR="00390BFB" w:rsidRPr="00390BFB" w:rsidRDefault="00390BFB" w:rsidP="00390BFB">
      <w:pPr>
        <w:numPr>
          <w:ilvl w:val="1"/>
          <w:numId w:val="12"/>
        </w:numPr>
        <w:autoSpaceDE w:val="0"/>
        <w:autoSpaceDN w:val="0"/>
        <w:adjustRightInd w:val="0"/>
        <w:spacing w:line="276" w:lineRule="auto"/>
        <w:contextualSpacing/>
        <w:jc w:val="both"/>
        <w:rPr>
          <w:rFonts w:cs="Arial"/>
          <w:color w:val="000000"/>
          <w:szCs w:val="20"/>
          <w:lang w:eastAsia="sl-SI"/>
        </w:rPr>
      </w:pPr>
      <w:r w:rsidRPr="00390BFB">
        <w:rPr>
          <w:rFonts w:cs="Arial"/>
          <w:color w:val="000000"/>
          <w:szCs w:val="20"/>
          <w:lang w:eastAsia="sl-SI"/>
        </w:rPr>
        <w:t>O vlogi raziskav in inovacij pri doseganju podnebnih ciljev. Kot primer z vidika vsebinskih prioritet trenutna interna analiza Evropske komisije kaže, da program Obzorje 2020 k podnebnim ciljem prispeva okoli 30 %, kar na ravni Večletnega finančnega okvira (VFO) znaša le okoli 19 % (zaradi česar EU v sedanjem VFO-ju ne bo dosegla svojega cilja o 20-odstotnem prispevku k podnebnim ciljem). V tem kontekstu bo ustrezna zasnova programa Obzorja Evropa pa tudi njegov položaj v VFO-ju 2021–2027 zelo pomembna in ponuja priložnost za dvig zavedanja o pomenu raziskav v družbi. Slovenija evropska partnerstva vidi kot mehanizem za privabljanje več zasebnih vlaganj na skupnih prioritetah.</w:t>
      </w:r>
    </w:p>
    <w:p w14:paraId="20B4C6A9" w14:textId="77777777" w:rsidR="00390BFB" w:rsidRPr="00390BFB" w:rsidRDefault="00390BFB" w:rsidP="00390BFB">
      <w:pPr>
        <w:autoSpaceDE w:val="0"/>
        <w:autoSpaceDN w:val="0"/>
        <w:adjustRightInd w:val="0"/>
        <w:spacing w:line="276" w:lineRule="auto"/>
        <w:ind w:left="720"/>
        <w:contextualSpacing/>
        <w:jc w:val="both"/>
        <w:rPr>
          <w:rFonts w:cs="Arial"/>
          <w:color w:val="000000"/>
          <w:szCs w:val="20"/>
          <w:lang w:eastAsia="sl-SI"/>
        </w:rPr>
      </w:pPr>
    </w:p>
    <w:p w14:paraId="52360248" w14:textId="77777777" w:rsidR="00390BFB" w:rsidRPr="00390BFB" w:rsidRDefault="00390BFB" w:rsidP="00390BFB">
      <w:pPr>
        <w:numPr>
          <w:ilvl w:val="0"/>
          <w:numId w:val="12"/>
        </w:numPr>
        <w:autoSpaceDE w:val="0"/>
        <w:autoSpaceDN w:val="0"/>
        <w:adjustRightInd w:val="0"/>
        <w:spacing w:line="276" w:lineRule="auto"/>
        <w:contextualSpacing/>
        <w:jc w:val="both"/>
        <w:rPr>
          <w:rFonts w:cs="Arial"/>
          <w:color w:val="000000"/>
          <w:szCs w:val="20"/>
          <w:lang w:eastAsia="sl-SI"/>
        </w:rPr>
      </w:pPr>
      <w:r w:rsidRPr="00390BFB">
        <w:rPr>
          <w:rFonts w:cs="Arial"/>
          <w:color w:val="000000"/>
          <w:szCs w:val="20"/>
          <w:lang w:eastAsia="sl-SI"/>
        </w:rPr>
        <w:t xml:space="preserve">Nova Evropska komisija v prvih 100 dnevih namerava predstaviti Evropski zeleni dogovor, ki bo vključeval tudi zakonsko določen cilj glede podnebne nevtralnosti do leta 2050. V načrtu je širitev sistema trgovanja s toplogrednimi izpusti in uvedba ogljičnih </w:t>
      </w:r>
      <w:r w:rsidR="008E6D16">
        <w:rPr>
          <w:rFonts w:cs="Arial"/>
          <w:color w:val="000000"/>
          <w:szCs w:val="20"/>
          <w:lang w:eastAsia="sl-SI"/>
        </w:rPr>
        <w:t>čezmejnih</w:t>
      </w:r>
      <w:r w:rsidR="008E6D16" w:rsidRPr="00390BFB">
        <w:rPr>
          <w:rFonts w:cs="Arial"/>
          <w:color w:val="000000"/>
          <w:szCs w:val="20"/>
          <w:lang w:eastAsia="sl-SI"/>
        </w:rPr>
        <w:t xml:space="preserve"> </w:t>
      </w:r>
      <w:r w:rsidRPr="00390BFB">
        <w:rPr>
          <w:rFonts w:cs="Arial"/>
          <w:color w:val="000000"/>
          <w:szCs w:val="20"/>
          <w:lang w:eastAsia="sl-SI"/>
        </w:rPr>
        <w:t>dajatev. Ambicija EU je, da bo vodilna v mednarodnih podnebnih pogajanjih, napovedan je tudi načrt za dvig prizadevanj glede zmanjševanja emisij CO</w:t>
      </w:r>
      <w:r w:rsidRPr="00390BFB">
        <w:rPr>
          <w:rFonts w:cs="Arial"/>
          <w:color w:val="000000"/>
          <w:szCs w:val="20"/>
          <w:vertAlign w:val="subscript"/>
          <w:lang w:eastAsia="sl-SI"/>
        </w:rPr>
        <w:t>2</w:t>
      </w:r>
      <w:r w:rsidRPr="00390BFB">
        <w:rPr>
          <w:rFonts w:cs="Arial"/>
          <w:color w:val="000000"/>
          <w:szCs w:val="20"/>
          <w:lang w:eastAsia="sl-SI"/>
        </w:rPr>
        <w:t xml:space="preserve"> za 55 % do leta 2030. S tem bo EU nadgradila zastavljeno delo na </w:t>
      </w:r>
      <w:r w:rsidRPr="00390BFB">
        <w:rPr>
          <w:rFonts w:cs="Arial"/>
          <w:color w:val="000000"/>
          <w:szCs w:val="20"/>
          <w:lang w:eastAsia="sl-SI"/>
        </w:rPr>
        <w:lastRenderedPageBreak/>
        <w:t>področju blaženja podnebnih sprememb, ki so ga sprejeli v iztekajočem se mandatu Evropske komisije.</w:t>
      </w:r>
    </w:p>
    <w:p w14:paraId="7D026988" w14:textId="77777777" w:rsidR="00390BFB" w:rsidRPr="00390BFB" w:rsidRDefault="00390BFB" w:rsidP="00390BFB">
      <w:pPr>
        <w:autoSpaceDE w:val="0"/>
        <w:autoSpaceDN w:val="0"/>
        <w:adjustRightInd w:val="0"/>
        <w:spacing w:line="276" w:lineRule="auto"/>
        <w:ind w:left="720"/>
        <w:contextualSpacing/>
        <w:jc w:val="both"/>
        <w:rPr>
          <w:rFonts w:cs="Arial"/>
          <w:color w:val="000000"/>
          <w:szCs w:val="20"/>
          <w:lang w:eastAsia="sl-SI"/>
        </w:rPr>
      </w:pPr>
    </w:p>
    <w:p w14:paraId="60977D64" w14:textId="77777777" w:rsidR="00390BFB" w:rsidRPr="00390BFB" w:rsidRDefault="00390BFB" w:rsidP="00390BFB">
      <w:pPr>
        <w:numPr>
          <w:ilvl w:val="0"/>
          <w:numId w:val="12"/>
        </w:numPr>
        <w:autoSpaceDE w:val="0"/>
        <w:autoSpaceDN w:val="0"/>
        <w:adjustRightInd w:val="0"/>
        <w:spacing w:line="276" w:lineRule="auto"/>
        <w:contextualSpacing/>
        <w:jc w:val="both"/>
        <w:rPr>
          <w:rFonts w:cs="Arial"/>
          <w:color w:val="000000"/>
          <w:szCs w:val="20"/>
          <w:lang w:eastAsia="sl-SI"/>
        </w:rPr>
      </w:pPr>
      <w:r w:rsidRPr="00390BFB">
        <w:rPr>
          <w:rFonts w:cs="Arial"/>
          <w:color w:val="000000"/>
          <w:szCs w:val="20"/>
          <w:lang w:eastAsia="sl-SI"/>
        </w:rPr>
        <w:t>Po načrtih nove Evropske komisije bo Evropa postala vodilna na področju krožnega gospodarstva in čistih tehnologij. Pripravljen bo nov akcijski načrt za krožno gospodarstvo, ki se bo osredotočal na trajnostno rabo virov, predvsem v sektorjih z velikim okoljskim vplivom (npr. tekstil, gradbeništvo). Poudarek bo namenjen razogljičenju energetsko intenzivnih industrij, najbolj ranljive regije pa bodo deležne podpore Sklada za pravični prehod. V načrtu je tudi oblikovanje Pakta za podnebje, v katerem se bodo povezale regije, lokalne skupnosti, civilna družba, industrija in šole ter oblikovali zaveze za spremembo navad – tako na ravni posameznika kot tudi na ravni velikih podjetij. Velik poudarek bo namenjen oblikovanju strategije za zeleno financiranje in za oblikovanje evropskega načrta za trajnostna vlaganja. V tem okviru bo nova Evropska komisija predlagala preoblikovanje dela Evropske investicijske banke v Evropsko podnebno banko.</w:t>
      </w:r>
    </w:p>
    <w:p w14:paraId="2EB25041" w14:textId="77777777" w:rsidR="00390BFB" w:rsidRPr="00390BFB" w:rsidRDefault="00390BFB" w:rsidP="00390BFB">
      <w:pPr>
        <w:spacing w:line="276" w:lineRule="auto"/>
        <w:ind w:left="720"/>
        <w:contextualSpacing/>
        <w:jc w:val="both"/>
      </w:pPr>
    </w:p>
    <w:p w14:paraId="09BD88CF" w14:textId="77777777" w:rsidR="00390BFB" w:rsidRPr="00390BFB" w:rsidRDefault="00390BFB" w:rsidP="00390BFB">
      <w:pPr>
        <w:spacing w:line="276" w:lineRule="auto"/>
        <w:jc w:val="both"/>
        <w:rPr>
          <w:rFonts w:cs="Arial"/>
          <w:b/>
          <w:color w:val="000000"/>
          <w:szCs w:val="20"/>
          <w:lang w:eastAsia="ar-SA"/>
        </w:rPr>
      </w:pPr>
      <w:r w:rsidRPr="00390BFB">
        <w:rPr>
          <w:rFonts w:cs="Arial"/>
          <w:b/>
          <w:color w:val="000000"/>
          <w:szCs w:val="20"/>
          <w:lang w:eastAsia="ar-SA"/>
        </w:rPr>
        <w:t>Izhodišča na ravni Slovenije:</w:t>
      </w:r>
    </w:p>
    <w:p w14:paraId="473633B5" w14:textId="77777777" w:rsidR="00390BFB" w:rsidRPr="00390BFB" w:rsidRDefault="00390BFB" w:rsidP="00390BFB">
      <w:pPr>
        <w:spacing w:line="276" w:lineRule="auto"/>
        <w:jc w:val="both"/>
        <w:rPr>
          <w:rFonts w:cs="Arial"/>
          <w:b/>
          <w:color w:val="000000"/>
          <w:szCs w:val="20"/>
          <w:lang w:eastAsia="ar-SA"/>
        </w:rPr>
      </w:pPr>
    </w:p>
    <w:p w14:paraId="056A7DAD" w14:textId="77777777" w:rsidR="00390BFB" w:rsidRPr="00390BFB" w:rsidRDefault="00390BFB" w:rsidP="00390BFB">
      <w:pPr>
        <w:numPr>
          <w:ilvl w:val="0"/>
          <w:numId w:val="15"/>
        </w:numPr>
        <w:spacing w:line="276" w:lineRule="auto"/>
        <w:contextualSpacing/>
        <w:jc w:val="both"/>
      </w:pPr>
      <w:r w:rsidRPr="00390BFB">
        <w:rPr>
          <w:b/>
        </w:rPr>
        <w:t xml:space="preserve">Strategija razvoja Slovenije 2030 </w:t>
      </w:r>
      <w:r w:rsidRPr="00390BFB">
        <w:t xml:space="preserve">z osrednjim ciljem »Slovenija, država kakovostnega življenja za vse« in dvanajstimi razvojnimi cilji je krovni okvir razvoja države. V okviru vsakega razvojnega cilja je opredeljena pot njegovega doseganja in ciljne vrednosti na posameznih področjih za spremljanje uspešnosti izvajanja. Med dvanajstimi cilji si je Slovenija izbrala tudi </w:t>
      </w:r>
      <w:r w:rsidRPr="00390BFB">
        <w:rPr>
          <w:b/>
        </w:rPr>
        <w:t>cilj prehoda v nizkoogljično krožno gospodarstvo</w:t>
      </w:r>
      <w:r w:rsidRPr="00390BFB">
        <w:t xml:space="preserve">, ki ga bo mogoče doseči le s celovitim pristopom, preseganjem sektorskega delovanja in usklajenim ukrepanjem številnih drugih področjih. </w:t>
      </w:r>
    </w:p>
    <w:p w14:paraId="6163FDEF" w14:textId="77777777" w:rsidR="00390BFB" w:rsidRPr="00390BFB" w:rsidRDefault="00390BFB" w:rsidP="00390BFB">
      <w:pPr>
        <w:spacing w:line="276" w:lineRule="auto"/>
        <w:ind w:left="720"/>
        <w:contextualSpacing/>
        <w:jc w:val="both"/>
      </w:pPr>
    </w:p>
    <w:p w14:paraId="54119A7B" w14:textId="77777777" w:rsidR="00390BFB" w:rsidRPr="00390BFB" w:rsidRDefault="00390BFB" w:rsidP="00390BFB">
      <w:pPr>
        <w:numPr>
          <w:ilvl w:val="0"/>
          <w:numId w:val="15"/>
        </w:numPr>
        <w:spacing w:line="276" w:lineRule="auto"/>
        <w:contextualSpacing/>
        <w:jc w:val="both"/>
      </w:pPr>
      <w:r w:rsidRPr="00390BFB">
        <w:t xml:space="preserve">Tudi </w:t>
      </w:r>
      <w:r w:rsidRPr="00390BFB">
        <w:rPr>
          <w:b/>
        </w:rPr>
        <w:t>Slovenska strategija pametne specializacije (S4)</w:t>
      </w:r>
      <w:r w:rsidRPr="00390BFB">
        <w:t xml:space="preserve"> med drugim spodbuja k prehodu v krožno gospodarstvo in povezovanju vseh relevantnih deležnikov v verige vrednosti po načelu ekonomije zaključenih snovnih tokov. Poleg tega S4 obravnava tudi druga področja, pri katerih je treba pri oblikovanju instrumentov za podporo njihovemu razvoju zagotoviti integracijo vidikov in vsebin za prehod v nizkoogljično krožno gospodarstvo (npr. pametna mesta in skupnosti, pametne zgradbe in dom z lesno verigo, mobilnost, tovarne prihodnosti).</w:t>
      </w:r>
    </w:p>
    <w:p w14:paraId="426046A9" w14:textId="77777777" w:rsidR="00390BFB" w:rsidRPr="00390BFB" w:rsidRDefault="00390BFB" w:rsidP="00390BFB">
      <w:pPr>
        <w:ind w:left="720"/>
        <w:contextualSpacing/>
      </w:pPr>
    </w:p>
    <w:p w14:paraId="0283A368" w14:textId="77777777" w:rsidR="00390BFB" w:rsidRPr="00390BFB" w:rsidRDefault="00390BFB" w:rsidP="00390BFB">
      <w:pPr>
        <w:numPr>
          <w:ilvl w:val="0"/>
          <w:numId w:val="15"/>
        </w:numPr>
        <w:spacing w:line="276" w:lineRule="auto"/>
        <w:contextualSpacing/>
        <w:jc w:val="both"/>
      </w:pPr>
      <w:r w:rsidRPr="00390BFB">
        <w:t xml:space="preserve">Trenutno veljavni Operativni program zmanjševanja izpustov toplogrednih plinov do leta 2020, ki se nanaša na politike s področja </w:t>
      </w:r>
      <w:r w:rsidRPr="00390BFB">
        <w:rPr>
          <w:b/>
        </w:rPr>
        <w:t>energetike, industrije, kmetijska in mobilnosti ter vključuje tudi večsektorske ukrepe</w:t>
      </w:r>
      <w:r w:rsidRPr="00390BFB">
        <w:t xml:space="preserve">, bosta nadomestila dolgoročna podnebna strategija do leta 2050, ki bo temeljila na strokovnih podlagah, za kar bo pripravljenih več scenarijev, in z njo povezani celovit nacionalni energetski in podnebni načrt 2030 (NEPN). Slednji bo opredelil cilje in ukrepe na petih razsežnostih energetske unije: razogljičenje, energetska učinkovitost in varnost, notranji trg ter raziskave, inovacije in konkurenčnost. </w:t>
      </w:r>
    </w:p>
    <w:p w14:paraId="0F207060" w14:textId="77777777" w:rsidR="00390BFB" w:rsidRPr="00390BFB" w:rsidRDefault="00390BFB" w:rsidP="00390BFB">
      <w:pPr>
        <w:ind w:left="720"/>
        <w:contextualSpacing/>
      </w:pPr>
    </w:p>
    <w:p w14:paraId="6A83D111" w14:textId="77777777" w:rsidR="00390BFB" w:rsidRPr="00390BFB" w:rsidRDefault="00390BFB" w:rsidP="00390BFB">
      <w:pPr>
        <w:numPr>
          <w:ilvl w:val="0"/>
          <w:numId w:val="15"/>
        </w:numPr>
        <w:autoSpaceDE w:val="0"/>
        <w:autoSpaceDN w:val="0"/>
        <w:adjustRightInd w:val="0"/>
        <w:contextualSpacing/>
        <w:jc w:val="both"/>
      </w:pPr>
      <w:r w:rsidRPr="00390BFB">
        <w:t xml:space="preserve">Veljavna </w:t>
      </w:r>
      <w:r w:rsidRPr="00390BFB">
        <w:rPr>
          <w:b/>
        </w:rPr>
        <w:t>Slovenska industrijska politika</w:t>
      </w:r>
      <w:r w:rsidRPr="00390BFB">
        <w:t xml:space="preserve"> je namenjena oblikovanju pogojev za stalno prestrukturiranje obstoječe industrije v energetsko, materialno, okoljsko in družbeno učinkovito industrijo znanja in inovativnosti za nova, trajnejša in kakovostnejša delovna mesta ter večjo vpetost v mednarodne tokove poslovanja. V dokumentu so prepoznani družbeni izzivi: okoljsko-energetski, trajnostna mobilnost, hrana in zdravje ljudi ter potencial ključnih spodbujevalnih tehnologij. Na podlagi teh izzivov so v dokumentu opredeljena prednostna tehnološka področja: okoljske tehnologije, tehnologije za trajnostno mobilnost, biotehnologija, nanotehnologija, napredni materialni, mikro- in nanoelektronika ter napredne proizvodne in procesne tehnologije, ter ključni industrijski sektorji.  </w:t>
      </w:r>
    </w:p>
    <w:p w14:paraId="5DF860E0" w14:textId="77777777" w:rsidR="00390BFB" w:rsidRPr="00390BFB" w:rsidRDefault="00390BFB" w:rsidP="00390BFB">
      <w:pPr>
        <w:ind w:left="720"/>
        <w:contextualSpacing/>
      </w:pPr>
    </w:p>
    <w:p w14:paraId="1CA95A34" w14:textId="77777777" w:rsidR="00390BFB" w:rsidRPr="00390BFB" w:rsidRDefault="00390BFB" w:rsidP="00390BFB">
      <w:pPr>
        <w:numPr>
          <w:ilvl w:val="0"/>
          <w:numId w:val="15"/>
        </w:numPr>
        <w:spacing w:line="276" w:lineRule="auto"/>
        <w:contextualSpacing/>
        <w:jc w:val="both"/>
      </w:pPr>
      <w:r w:rsidRPr="00390BFB">
        <w:t xml:space="preserve">Tudi nastajajoči strateški okvir na področju </w:t>
      </w:r>
      <w:r w:rsidRPr="00390BFB">
        <w:rPr>
          <w:b/>
        </w:rPr>
        <w:t>kmetijstva</w:t>
      </w:r>
      <w:r w:rsidRPr="00390BFB">
        <w:t>, ki opredeljuje štiri skupine specifičnih ciljev, med drugim prepoznava izjemno občutljivost družbe na vse bolj prisotne podnebne spremembe in dejstvo, da sta kmetijstvo z gozdarstvom tako del problema kot tudi del rešitve. Zato sta blaženje in prilagajanje kmetijstva na podnebne spremembe med osrednjimi izzivi, na katere se bomo morali odzvati z novimi rešitvami in spremembami.</w:t>
      </w:r>
    </w:p>
    <w:p w14:paraId="27F634CA" w14:textId="77777777" w:rsidR="00390BFB" w:rsidRPr="00390BFB" w:rsidRDefault="00390BFB" w:rsidP="00390BFB">
      <w:pPr>
        <w:ind w:left="720"/>
        <w:contextualSpacing/>
      </w:pPr>
    </w:p>
    <w:p w14:paraId="2B53F031" w14:textId="77777777" w:rsidR="00390BFB" w:rsidRPr="00390BFB" w:rsidRDefault="00390BFB" w:rsidP="00390BFB">
      <w:pPr>
        <w:numPr>
          <w:ilvl w:val="0"/>
          <w:numId w:val="15"/>
        </w:numPr>
        <w:contextualSpacing/>
        <w:jc w:val="both"/>
        <w:rPr>
          <w:szCs w:val="20"/>
        </w:rPr>
      </w:pPr>
      <w:r w:rsidRPr="00390BFB">
        <w:rPr>
          <w:szCs w:val="20"/>
        </w:rPr>
        <w:t xml:space="preserve">Strateške usmeritve s področja </w:t>
      </w:r>
      <w:r w:rsidRPr="00390BFB">
        <w:rPr>
          <w:b/>
          <w:szCs w:val="20"/>
        </w:rPr>
        <w:t>znanosti in izobraževanja</w:t>
      </w:r>
      <w:r w:rsidRPr="00390BFB">
        <w:rPr>
          <w:szCs w:val="20"/>
        </w:rPr>
        <w:t xml:space="preserve"> prepoznavajo potrebo po večji integraciji in sinergijah tako na področju politik kot tudi izvedbenih instrumentov, saj </w:t>
      </w:r>
      <w:r w:rsidRPr="00390BFB">
        <w:rPr>
          <w:rFonts w:cs="Arial"/>
          <w:color w:val="000000"/>
          <w:szCs w:val="20"/>
          <w:shd w:val="clear" w:color="auto" w:fill="FFFFFF"/>
        </w:rPr>
        <w:t xml:space="preserve">slednje vpliva na splošno kakovost, konkurenčnost in pomen področja za družbo. Poseben poudarek za uspeh je tudi na vključevanju in povezovanju izobraževalne in znanstvene sfere z gospodarskim (zasebnim) sistemom ter integracija znanosti in izobraževanja v podporni sistem reševanja ključnih družbenih izzivov ter s tem podpiranja učinkovitega trajnostnega razvoja družbe.  </w:t>
      </w:r>
    </w:p>
    <w:p w14:paraId="4E32543A" w14:textId="77777777" w:rsidR="00390BFB" w:rsidRPr="00390BFB" w:rsidRDefault="00390BFB" w:rsidP="00390BFB">
      <w:pPr>
        <w:ind w:left="720"/>
        <w:contextualSpacing/>
      </w:pPr>
    </w:p>
    <w:p w14:paraId="7BD61965" w14:textId="77777777" w:rsidR="00390BFB" w:rsidRPr="00390BFB" w:rsidRDefault="00390BFB" w:rsidP="00390BFB">
      <w:pPr>
        <w:numPr>
          <w:ilvl w:val="0"/>
          <w:numId w:val="15"/>
        </w:numPr>
        <w:spacing w:line="276" w:lineRule="auto"/>
        <w:contextualSpacing/>
        <w:jc w:val="both"/>
      </w:pPr>
      <w:r w:rsidRPr="00390BFB">
        <w:t>Nezadostno izvajanje strateških dokumentov v Sloveniji kaže, da so potrebne spremembe vodenja in usklajevanja notranjih politik ter spremljanja izvajanja in doseganja zastavljenih ciljev. Potrebni sta celovitost politik na nacionalni ravni ter usklajena vzpostavitev finančnih in vsebinskih okvirov. Za večjo skladnost razvojnih politik bo treba v prihodnje vzpostaviti boljše mehanizme horizontalnega in večnivojskega sodelovanja, povezovanja vsebin, razumevanja presečnih tematik ter centralnega načrtovanja, izvajanja in spremljanja teh politik. Prav tako je pomembno usklajevanje domačih in mednarodnih razvojnih ciljev.</w:t>
      </w:r>
    </w:p>
    <w:p w14:paraId="5F994036" w14:textId="77777777" w:rsidR="00390BFB" w:rsidRPr="00390BFB" w:rsidRDefault="00390BFB" w:rsidP="00390BFB">
      <w:pPr>
        <w:spacing w:line="276" w:lineRule="auto"/>
        <w:ind w:left="720"/>
        <w:contextualSpacing/>
        <w:jc w:val="both"/>
        <w:rPr>
          <w:color w:val="808080"/>
        </w:rPr>
      </w:pPr>
    </w:p>
    <w:p w14:paraId="15412FA9" w14:textId="77777777" w:rsidR="00390BFB" w:rsidRPr="00390BFB" w:rsidRDefault="00390BFB" w:rsidP="00390BFB">
      <w:pPr>
        <w:numPr>
          <w:ilvl w:val="0"/>
          <w:numId w:val="11"/>
        </w:numPr>
        <w:spacing w:line="276" w:lineRule="auto"/>
        <w:contextualSpacing/>
        <w:rPr>
          <w:b/>
        </w:rPr>
      </w:pPr>
      <w:r w:rsidRPr="00390BFB">
        <w:rPr>
          <w:b/>
        </w:rPr>
        <w:t xml:space="preserve">Proces sodelovanja med resornimi ministrstvi in evropskimi institucijami pri pripravi celovitega strateškega projekta: </w:t>
      </w:r>
    </w:p>
    <w:p w14:paraId="00CE2A49" w14:textId="77777777" w:rsidR="00390BFB" w:rsidRPr="00390BFB" w:rsidRDefault="00390BFB" w:rsidP="00390BFB">
      <w:pPr>
        <w:spacing w:line="276" w:lineRule="auto"/>
        <w:ind w:left="720"/>
        <w:contextualSpacing/>
        <w:jc w:val="both"/>
        <w:rPr>
          <w:color w:val="808080"/>
        </w:rPr>
      </w:pPr>
    </w:p>
    <w:p w14:paraId="0038D55E" w14:textId="77777777" w:rsidR="00390BFB" w:rsidRPr="00390BFB" w:rsidRDefault="00390BFB" w:rsidP="00390BFB">
      <w:pPr>
        <w:numPr>
          <w:ilvl w:val="0"/>
          <w:numId w:val="14"/>
        </w:numPr>
        <w:spacing w:line="276" w:lineRule="auto"/>
        <w:contextualSpacing/>
        <w:jc w:val="both"/>
      </w:pPr>
      <w:r w:rsidRPr="00390BFB">
        <w:t xml:space="preserve">Zavedajoč se vsega navedenega ter krepitve trenda pri oblikovanju sinergij so MIZŠ, MGRT ter SVRK zaradi povezanosti delovanja na področju razvojno-inovacijske politike pred približno 18 meseci na ravni ministrov pristopili v pogajanja z dvema javnima organoma na ravni EU, z Evropskim inštitutom za inovacije in tehnologijo (EIT) ter Skupnim raziskovalnim središčem Evropske komisije (JRC). Namen tega procesa je bil pristopiti k izvedbi skupnega strateškega predstavitvenega projekta uvedbe sistemske sinergije na vertikalni ravni EU – nacionalni sistem. Skupna ideja je bila sistemsko povezati naš nacionalni inovacijski ekosistem (začenši s področji pametne specializacije S4) z različnimi KIC-i. Na pogajanjih z direktorjem EIT-ja (g. Martin Kern) je bila sprejeta odločitev, da se projekt zaradi velikosti in ambicioznosti začne z eno Skupnostjo znanja in inovacij (KIC), to je s KIC Climate, ter slovenskim ekosistemom na področju krožnega gospodarstva ter prehoda v nizkoogljično družbo. Interes za vstop v projekt je izkazal tudi KIC Raw Materials, ki se je takoj neposredno vključil. </w:t>
      </w:r>
    </w:p>
    <w:p w14:paraId="1F5E1606" w14:textId="77777777" w:rsidR="00390BFB" w:rsidRPr="00390BFB" w:rsidRDefault="00390BFB" w:rsidP="00390BFB">
      <w:pPr>
        <w:spacing w:line="276" w:lineRule="auto"/>
        <w:ind w:left="720"/>
        <w:contextualSpacing/>
        <w:rPr>
          <w:rFonts w:cs="Arial"/>
          <w:color w:val="000000"/>
          <w:szCs w:val="20"/>
          <w:lang w:eastAsia="sl-SI"/>
        </w:rPr>
      </w:pPr>
    </w:p>
    <w:p w14:paraId="777F9CDC" w14:textId="77777777" w:rsidR="00390BFB" w:rsidRPr="00390BFB" w:rsidRDefault="00390BFB" w:rsidP="00390BFB">
      <w:pPr>
        <w:numPr>
          <w:ilvl w:val="0"/>
          <w:numId w:val="14"/>
        </w:numPr>
        <w:spacing w:line="276" w:lineRule="auto"/>
        <w:contextualSpacing/>
        <w:jc w:val="both"/>
      </w:pPr>
      <w:r w:rsidRPr="00390BFB">
        <w:rPr>
          <w:rFonts w:cs="Arial"/>
          <w:color w:val="000000"/>
          <w:szCs w:val="20"/>
          <w:lang w:eastAsia="sl-SI"/>
        </w:rPr>
        <w:t>V tej luči sta EIT, ki je največji porabnik sredstev programa Obzorje 2020, in JRC</w:t>
      </w:r>
      <w:r w:rsidRPr="00390BFB">
        <w:t>, ki deluje kot podporni mehanizem in strateški center za celotno Evropsko komisijo,</w:t>
      </w:r>
      <w:r w:rsidRPr="00390BFB">
        <w:rPr>
          <w:rFonts w:cs="Arial"/>
          <w:color w:val="000000"/>
          <w:szCs w:val="20"/>
          <w:lang w:eastAsia="sl-SI"/>
        </w:rPr>
        <w:t xml:space="preserve"> sprejela odločitev, da se na področju razogljičenja in prehoda v krožno gospodarstvo za oblikovanje sinergij med obema sistemoma izvede predstavitveni projekt. </w:t>
      </w:r>
    </w:p>
    <w:p w14:paraId="75B18C98" w14:textId="77777777" w:rsidR="00390BFB" w:rsidRPr="00390BFB" w:rsidRDefault="00390BFB" w:rsidP="00390BFB">
      <w:pPr>
        <w:spacing w:line="276" w:lineRule="auto"/>
        <w:jc w:val="both"/>
      </w:pPr>
    </w:p>
    <w:p w14:paraId="376B99FB" w14:textId="77777777" w:rsidR="00390BFB" w:rsidRPr="00390BFB" w:rsidRDefault="00390BFB" w:rsidP="00390BFB">
      <w:pPr>
        <w:numPr>
          <w:ilvl w:val="0"/>
          <w:numId w:val="6"/>
        </w:numPr>
        <w:spacing w:line="276" w:lineRule="auto"/>
        <w:contextualSpacing/>
        <w:jc w:val="both"/>
        <w:rPr>
          <w:rFonts w:cs="Arial"/>
          <w:color w:val="000000"/>
          <w:szCs w:val="20"/>
        </w:rPr>
      </w:pPr>
      <w:r w:rsidRPr="00390BFB">
        <w:rPr>
          <w:rFonts w:cs="Arial"/>
          <w:color w:val="000000"/>
          <w:szCs w:val="20"/>
          <w:lang w:eastAsia="sl-SI"/>
        </w:rPr>
        <w:t xml:space="preserve">S Slovenijo so se dogovorili za tovrstno sodelovanje, saj je naša država po velikosti, okretnosti, zrelosti sistema in strateškem položaju za ta namen idealni partner. </w:t>
      </w:r>
    </w:p>
    <w:p w14:paraId="35FF0847" w14:textId="77777777" w:rsidR="00390BFB" w:rsidRPr="00390BFB" w:rsidRDefault="00390BFB" w:rsidP="00390BFB">
      <w:pPr>
        <w:spacing w:line="276" w:lineRule="auto"/>
        <w:ind w:left="720"/>
        <w:contextualSpacing/>
        <w:jc w:val="both"/>
        <w:rPr>
          <w:rFonts w:cs="Arial"/>
          <w:color w:val="000000"/>
          <w:szCs w:val="20"/>
        </w:rPr>
      </w:pPr>
    </w:p>
    <w:p w14:paraId="13ED5A52" w14:textId="77777777" w:rsidR="00390BFB" w:rsidRPr="00390BFB" w:rsidRDefault="00390BFB" w:rsidP="00390BFB">
      <w:pPr>
        <w:numPr>
          <w:ilvl w:val="0"/>
          <w:numId w:val="6"/>
        </w:numPr>
        <w:spacing w:line="276" w:lineRule="auto"/>
        <w:contextualSpacing/>
        <w:jc w:val="both"/>
        <w:rPr>
          <w:rFonts w:cs="Arial"/>
          <w:color w:val="000000"/>
          <w:szCs w:val="20"/>
        </w:rPr>
      </w:pPr>
      <w:r w:rsidRPr="00390BFB">
        <w:rPr>
          <w:rFonts w:cs="Arial"/>
          <w:color w:val="000000"/>
          <w:szCs w:val="20"/>
          <w:lang w:eastAsia="sl-SI"/>
        </w:rPr>
        <w:t xml:space="preserve">EIT oziroma njegove skupnosti znanja in inovacij (Knowledge and Innovation Communities – KIC) so bile vzpostavljene po vzoru inštituta MIT iz ZDA z namenom, da hitro in okretno izvajajo raznovrstne projekte in dejavnosti s katerimi prispevajo k reševanju ključnih družbenih izzivov. Med njimi sta tudi področji podnebnih sprememb (EIT KIC Climate) in krožnega gospodarstva (EIT KIC Raw Materials), ki ju je tudi Slovenija prepoznala med ključnimi razvojnimi izzivi/cilji.  </w:t>
      </w:r>
    </w:p>
    <w:p w14:paraId="13AEBD0E" w14:textId="77777777" w:rsidR="00390BFB" w:rsidRPr="00390BFB" w:rsidRDefault="00390BFB" w:rsidP="00390BFB">
      <w:pPr>
        <w:spacing w:line="276" w:lineRule="auto"/>
        <w:jc w:val="both"/>
        <w:rPr>
          <w:rFonts w:cs="Arial"/>
          <w:color w:val="000000"/>
          <w:szCs w:val="20"/>
        </w:rPr>
      </w:pPr>
    </w:p>
    <w:p w14:paraId="31977D95" w14:textId="77777777" w:rsidR="00390BFB" w:rsidRPr="00390BFB" w:rsidRDefault="00390BFB" w:rsidP="00390BFB">
      <w:pPr>
        <w:numPr>
          <w:ilvl w:val="0"/>
          <w:numId w:val="6"/>
        </w:numPr>
        <w:spacing w:line="276" w:lineRule="auto"/>
        <w:ind w:left="714" w:hanging="357"/>
        <w:contextualSpacing/>
        <w:jc w:val="both"/>
        <w:rPr>
          <w:rFonts w:cs="Arial"/>
          <w:color w:val="000000"/>
          <w:szCs w:val="20"/>
        </w:rPr>
      </w:pPr>
      <w:r w:rsidRPr="00390BFB">
        <w:rPr>
          <w:rFonts w:cs="Arial"/>
          <w:color w:val="000000"/>
          <w:szCs w:val="20"/>
          <w:lang w:eastAsia="sl-SI"/>
        </w:rPr>
        <w:t xml:space="preserve">V Sloveniji so bila v začetne pogovore o sodelovanju vključena Ministrstvo za gospodarski razvoj in tehnologijo (MGRT), Ministrstvo za izobraževanje, znanost in šport (MIZŠ) ter Služba za razvoj in evropsko kohezijsko politiko (SVRK), ki so septembra 2018 </w:t>
      </w:r>
      <w:r w:rsidRPr="00390BFB">
        <w:rPr>
          <w:rFonts w:cs="Arial"/>
          <w:color w:val="000000"/>
          <w:szCs w:val="20"/>
        </w:rPr>
        <w:t>podpisala Memorandum o soglasju (Memorandum of Understanding) z EIT KIC Climate in  EIT KIC Raw Materials.</w:t>
      </w:r>
      <w:r w:rsidRPr="00390BFB">
        <w:rPr>
          <w:rFonts w:cs="Arial"/>
          <w:color w:val="000000"/>
          <w:szCs w:val="20"/>
          <w:lang w:eastAsia="sl-SI"/>
        </w:rPr>
        <w:t xml:space="preserve"> Naknadno so se v pripravo projekta vključila še tri ministrstva: </w:t>
      </w:r>
      <w:r w:rsidRPr="00390BFB">
        <w:rPr>
          <w:rFonts w:cs="Arial"/>
          <w:color w:val="000000"/>
          <w:szCs w:val="20"/>
        </w:rPr>
        <w:t xml:space="preserve">Ministrstvo za okolje in prostor (MOP), Ministrstvo za infrastrukturo (MzI) in Ministrstvo za kmetijstvo, gozdarstvo in prehrano (MKGP), ki memoranduma niso podpisala. </w:t>
      </w:r>
      <w:r w:rsidRPr="00390BFB">
        <w:rPr>
          <w:rFonts w:cs="Arial"/>
          <w:color w:val="000000"/>
          <w:szCs w:val="20"/>
          <w:lang w:eastAsia="sl-SI"/>
        </w:rPr>
        <w:t xml:space="preserve"> </w:t>
      </w:r>
    </w:p>
    <w:p w14:paraId="1BB97926" w14:textId="77777777" w:rsidR="00390BFB" w:rsidRPr="00390BFB" w:rsidRDefault="00390BFB" w:rsidP="00390BFB">
      <w:pPr>
        <w:spacing w:line="276" w:lineRule="auto"/>
        <w:jc w:val="both"/>
        <w:rPr>
          <w:rFonts w:cs="Arial"/>
          <w:color w:val="000000"/>
          <w:szCs w:val="20"/>
        </w:rPr>
      </w:pPr>
    </w:p>
    <w:p w14:paraId="35696D3D" w14:textId="77777777" w:rsidR="00390BFB" w:rsidRPr="00390BFB" w:rsidRDefault="00390BFB" w:rsidP="00390BFB">
      <w:pPr>
        <w:numPr>
          <w:ilvl w:val="0"/>
          <w:numId w:val="6"/>
        </w:numPr>
        <w:spacing w:line="276" w:lineRule="auto"/>
        <w:contextualSpacing/>
        <w:jc w:val="both"/>
        <w:rPr>
          <w:rFonts w:cs="Arial"/>
          <w:color w:val="000000"/>
          <w:szCs w:val="20"/>
        </w:rPr>
      </w:pPr>
      <w:r w:rsidRPr="00390BFB">
        <w:rPr>
          <w:rFonts w:cs="Arial"/>
          <w:color w:val="000000"/>
          <w:szCs w:val="20"/>
          <w:lang w:eastAsia="sl-SI"/>
        </w:rPr>
        <w:t xml:space="preserve">Slovenija tako preko šestih vključenih ministrstev že več kot leto dni skupaj z EIT KIC Climate in EIT KIC Raw Materials intenzivno pripravlja celovit strateški predstavitveni projekt na področju razogljičenja in prehoda v krožno gospodarstvo, s katerim želimo povezati evropske instrumente KIC z nacionalnimi instrumenti in tako predstaviti možnosti za izvedbo sistemske sinergije in preobrazbe ter študijo primera (case study) za preostale regije in države. EIT KIC-a kot tudi Slovenija sta do sedaj v projekt vložila precej svoje energije in zmogljivosti.  </w:t>
      </w:r>
    </w:p>
    <w:p w14:paraId="28908D1C" w14:textId="77777777" w:rsidR="00390BFB" w:rsidRPr="00390BFB" w:rsidRDefault="00390BFB" w:rsidP="00390BFB">
      <w:pPr>
        <w:spacing w:line="276" w:lineRule="auto"/>
        <w:ind w:left="720"/>
        <w:contextualSpacing/>
        <w:jc w:val="both"/>
        <w:rPr>
          <w:rFonts w:cs="Arial"/>
          <w:szCs w:val="20"/>
        </w:rPr>
      </w:pPr>
    </w:p>
    <w:p w14:paraId="4C823DBE" w14:textId="77777777" w:rsidR="00390BFB" w:rsidRPr="00390BFB" w:rsidRDefault="00390BFB" w:rsidP="00390BFB">
      <w:pPr>
        <w:numPr>
          <w:ilvl w:val="0"/>
          <w:numId w:val="6"/>
        </w:numPr>
        <w:spacing w:line="276" w:lineRule="auto"/>
        <w:contextualSpacing/>
        <w:jc w:val="both"/>
        <w:rPr>
          <w:rFonts w:cs="Arial"/>
          <w:szCs w:val="20"/>
        </w:rPr>
      </w:pPr>
      <w:r w:rsidRPr="00390BFB">
        <w:rPr>
          <w:rFonts w:cs="Arial"/>
          <w:szCs w:val="20"/>
        </w:rPr>
        <w:t>Predstavniki vključenih resorjev so na skupnem srečanju januarja 2019 prepoznali potrebo po tem, da v Sloveniji oblikujemo in izvedemo celovit strateški projekt prehoda v nizkoogljično, z viri učinkovito družbo in gospodarstvo. Strinjali so se, da mora ta strateški projekt vključevati ukrepe, ki bodo vzporedno omogočili doseganje hitrih rezultatov/rešitev in takšne, ki bodo podprle sistemsko spremembo preko celovitih in ciljanih intervencij na področju znanosti in inovacij, podjetništva, politik, izobraževanja, usposabljanja, sprememb navad in izgradnji partnerstev. Dosežen je bil dogovor, da se strateški projekt strukturira po treh vertikalnih stebrih:</w:t>
      </w:r>
    </w:p>
    <w:p w14:paraId="3B87824F" w14:textId="77777777" w:rsidR="00390BFB" w:rsidRPr="00390BFB" w:rsidRDefault="00390BFB" w:rsidP="00390BFB">
      <w:pPr>
        <w:numPr>
          <w:ilvl w:val="1"/>
          <w:numId w:val="6"/>
        </w:numPr>
        <w:spacing w:line="276" w:lineRule="auto"/>
        <w:contextualSpacing/>
        <w:jc w:val="both"/>
        <w:rPr>
          <w:rFonts w:cs="Arial"/>
          <w:szCs w:val="20"/>
        </w:rPr>
      </w:pPr>
      <w:r w:rsidRPr="00390BFB">
        <w:rPr>
          <w:rFonts w:cs="Arial"/>
          <w:szCs w:val="20"/>
        </w:rPr>
        <w:t>krožne in pametne skupnosti;</w:t>
      </w:r>
    </w:p>
    <w:p w14:paraId="589ED3D5" w14:textId="77777777" w:rsidR="00390BFB" w:rsidRPr="00390BFB" w:rsidRDefault="00390BFB" w:rsidP="00390BFB">
      <w:pPr>
        <w:numPr>
          <w:ilvl w:val="1"/>
          <w:numId w:val="6"/>
        </w:numPr>
        <w:spacing w:line="276" w:lineRule="auto"/>
        <w:contextualSpacing/>
        <w:jc w:val="both"/>
        <w:rPr>
          <w:rFonts w:cs="Arial"/>
          <w:szCs w:val="20"/>
        </w:rPr>
      </w:pPr>
      <w:r w:rsidRPr="00390BFB">
        <w:rPr>
          <w:rFonts w:cs="Arial"/>
          <w:szCs w:val="20"/>
        </w:rPr>
        <w:t>podpora prehodu podjetij v nizkoogljično krožno poslovanje;</w:t>
      </w:r>
    </w:p>
    <w:p w14:paraId="603188FD" w14:textId="77777777" w:rsidR="00390BFB" w:rsidRPr="00390BFB" w:rsidRDefault="00390BFB" w:rsidP="00390BFB">
      <w:pPr>
        <w:numPr>
          <w:ilvl w:val="1"/>
          <w:numId w:val="6"/>
        </w:numPr>
        <w:spacing w:line="276" w:lineRule="auto"/>
        <w:contextualSpacing/>
        <w:jc w:val="both"/>
        <w:rPr>
          <w:rFonts w:cs="Arial"/>
          <w:szCs w:val="20"/>
        </w:rPr>
      </w:pPr>
      <w:r w:rsidRPr="00390BFB">
        <w:rPr>
          <w:rFonts w:cs="Arial"/>
          <w:szCs w:val="20"/>
        </w:rPr>
        <w:t>oblikovanje politik in gradnja kapacitet.</w:t>
      </w:r>
    </w:p>
    <w:p w14:paraId="6761405A" w14:textId="77777777" w:rsidR="00390BFB" w:rsidRPr="00390BFB" w:rsidRDefault="00390BFB" w:rsidP="00390BFB">
      <w:pPr>
        <w:spacing w:line="276" w:lineRule="auto"/>
        <w:jc w:val="both"/>
        <w:rPr>
          <w:rFonts w:cs="Arial"/>
          <w:szCs w:val="20"/>
        </w:rPr>
      </w:pPr>
    </w:p>
    <w:p w14:paraId="18EEB2DC" w14:textId="77777777" w:rsidR="00390BFB" w:rsidRPr="00390BFB" w:rsidRDefault="00390BFB" w:rsidP="00390BFB">
      <w:pPr>
        <w:numPr>
          <w:ilvl w:val="0"/>
          <w:numId w:val="6"/>
        </w:numPr>
        <w:spacing w:line="276" w:lineRule="auto"/>
        <w:contextualSpacing/>
        <w:jc w:val="both"/>
        <w:rPr>
          <w:rFonts w:cs="Arial"/>
          <w:szCs w:val="20"/>
        </w:rPr>
      </w:pPr>
      <w:r w:rsidRPr="00390BFB">
        <w:rPr>
          <w:rFonts w:cs="Arial"/>
          <w:szCs w:val="20"/>
        </w:rPr>
        <w:t xml:space="preserve">Slovenijo je EIT KIC Climate izbral kot eno od treh fokusnih območij za delovanje v naslednjem obdobju. V ta namen smo bili junija 2019 povabljeni na letno srečanja njihovih članov, na katerem smo predstavili izhodišče na področju stanja in ciljev, ki se nanašajo na prehod v nizkoogljično krožno gospodarstvo. Sledilo je fokusirano delo v obliki delavnic, pri čemer so rezultati idej in predlogov sodelujočih vključeni v idejni predlog strateškega predstavitvenega projekta, ki ga povzemamo v nadaljevanju. </w:t>
      </w:r>
    </w:p>
    <w:p w14:paraId="1850668F" w14:textId="77777777" w:rsidR="00390BFB" w:rsidRPr="00390BFB" w:rsidRDefault="00390BFB" w:rsidP="00390BFB">
      <w:pPr>
        <w:spacing w:line="276" w:lineRule="auto"/>
        <w:ind w:left="720"/>
        <w:contextualSpacing/>
        <w:jc w:val="both"/>
        <w:rPr>
          <w:rFonts w:cs="Arial"/>
          <w:szCs w:val="20"/>
        </w:rPr>
      </w:pPr>
    </w:p>
    <w:p w14:paraId="5F7B3E1C" w14:textId="77777777" w:rsidR="00390BFB" w:rsidRPr="00390BFB" w:rsidRDefault="00390BFB" w:rsidP="00390BFB">
      <w:pPr>
        <w:numPr>
          <w:ilvl w:val="0"/>
          <w:numId w:val="14"/>
        </w:numPr>
        <w:spacing w:line="276" w:lineRule="auto"/>
        <w:contextualSpacing/>
        <w:jc w:val="both"/>
      </w:pPr>
      <w:r w:rsidRPr="00390BFB">
        <w:rPr>
          <w:rFonts w:cs="Arial"/>
          <w:szCs w:val="20"/>
        </w:rPr>
        <w:t xml:space="preserve">Slovenija bo z izvajanjem tega strateškega projekta pridobila status </w:t>
      </w:r>
      <w:r w:rsidRPr="00390BFB">
        <w:rPr>
          <w:rFonts w:cs="Arial"/>
          <w:b/>
          <w:szCs w:val="20"/>
        </w:rPr>
        <w:t xml:space="preserve">vodilne države </w:t>
      </w:r>
      <w:r w:rsidRPr="00390BFB">
        <w:rPr>
          <w:rFonts w:cs="Arial"/>
          <w:b/>
          <w:color w:val="000000"/>
          <w:szCs w:val="20"/>
          <w:lang w:eastAsia="sl-SI"/>
        </w:rPr>
        <w:t>v regiji in širše v EU</w:t>
      </w:r>
      <w:r w:rsidRPr="00390BFB">
        <w:rPr>
          <w:rFonts w:cs="Arial"/>
          <w:color w:val="000000"/>
          <w:szCs w:val="20"/>
          <w:lang w:eastAsia="sl-SI"/>
        </w:rPr>
        <w:t xml:space="preserve"> </w:t>
      </w:r>
      <w:r w:rsidRPr="00390BFB">
        <w:rPr>
          <w:rFonts w:cs="Arial"/>
          <w:szCs w:val="20"/>
        </w:rPr>
        <w:t xml:space="preserve">pri vzpostavitvi sistemskega pristopa za prehod v nizkoogljično krožno gospodarstvo in bo pri tem izkoristila znanje in izkušnje obstoječih vodilnih institucij na področju blaženja podnebnih sprememb in krožnega gospodarstva ter iskala navdih in ideje za oblikovanje ustreznih ukrepov in rešitev v tujih primerih dobrih praks z relevantnih področij. </w:t>
      </w:r>
    </w:p>
    <w:p w14:paraId="160AA0ED" w14:textId="77777777" w:rsidR="00390BFB" w:rsidRPr="00390BFB" w:rsidRDefault="00390BFB" w:rsidP="00390BFB">
      <w:pPr>
        <w:spacing w:line="276" w:lineRule="auto"/>
        <w:ind w:left="720"/>
        <w:contextualSpacing/>
        <w:jc w:val="both"/>
        <w:rPr>
          <w:rFonts w:cs="Arial"/>
          <w:szCs w:val="20"/>
        </w:rPr>
      </w:pPr>
    </w:p>
    <w:p w14:paraId="30CC5507" w14:textId="77777777" w:rsidR="00390BFB" w:rsidRPr="00390BFB" w:rsidRDefault="00390BFB" w:rsidP="00390BFB">
      <w:pPr>
        <w:numPr>
          <w:ilvl w:val="0"/>
          <w:numId w:val="6"/>
        </w:numPr>
        <w:spacing w:line="276" w:lineRule="auto"/>
        <w:contextualSpacing/>
        <w:jc w:val="both"/>
        <w:rPr>
          <w:rFonts w:cs="Arial"/>
          <w:color w:val="000000"/>
          <w:szCs w:val="20"/>
        </w:rPr>
      </w:pPr>
      <w:r w:rsidRPr="00390BFB">
        <w:rPr>
          <w:rFonts w:cs="Arial"/>
          <w:color w:val="000000"/>
          <w:szCs w:val="20"/>
        </w:rPr>
        <w:t xml:space="preserve">EIT KIC Climate in EIT KIC Raw Materials sta vsak na svojem področju konzorcija vrhunskega znanja in zmogljivosti, ki sta bila pod okriljem javnega evropskega organa Evropski inštitut za inovacije in tehnologijo ustanovljena z namenom, da vsak na svojem področju prispevata k prehodu v nizkoogljično krožno gospodarstvo. Obe entiteti sta v času svojega delovanja razvili vrhunsko znanje na področjih, ki jih tak prehod zahteva, in ga v bosta v procesu izvajanja tega strateškega projekta prenesla v Slovenijo. </w:t>
      </w:r>
    </w:p>
    <w:p w14:paraId="29E6B879" w14:textId="77777777" w:rsidR="00390BFB" w:rsidRPr="00390BFB" w:rsidRDefault="00390BFB" w:rsidP="00390BFB">
      <w:pPr>
        <w:spacing w:line="276" w:lineRule="auto"/>
        <w:ind w:left="720"/>
        <w:contextualSpacing/>
        <w:jc w:val="both"/>
        <w:rPr>
          <w:rFonts w:cs="Arial"/>
          <w:color w:val="000000"/>
          <w:szCs w:val="20"/>
        </w:rPr>
      </w:pPr>
    </w:p>
    <w:p w14:paraId="133FC603" w14:textId="77777777" w:rsidR="00390BFB" w:rsidRPr="00390BFB" w:rsidRDefault="00390BFB" w:rsidP="00390BFB">
      <w:pPr>
        <w:numPr>
          <w:ilvl w:val="0"/>
          <w:numId w:val="6"/>
        </w:numPr>
        <w:spacing w:line="276" w:lineRule="auto"/>
        <w:contextualSpacing/>
        <w:jc w:val="both"/>
        <w:rPr>
          <w:rFonts w:cs="Arial"/>
          <w:color w:val="000000"/>
          <w:szCs w:val="20"/>
        </w:rPr>
      </w:pPr>
      <w:r w:rsidRPr="00390BFB">
        <w:rPr>
          <w:rFonts w:cs="Arial"/>
          <w:color w:val="000000"/>
          <w:szCs w:val="20"/>
        </w:rPr>
        <w:t xml:space="preserve">Podpora EIT KIC-ev se s tem predlogom pomika od oblike tradicionalne tehnične pomoči k tehničnemu sodelovanju s tem, da je ključen poudarek sodelovanja na prenosu znanja in kompetenc s končnim ciljem prispevati k razvoju zmogljivosti za opolnomočenje in krepitev sistemskih zmogljivosti, ki bodo podpirale in omogočale prehod v nizkoogljično krožno gospodarstvo. </w:t>
      </w:r>
    </w:p>
    <w:p w14:paraId="109C2295" w14:textId="77777777" w:rsidR="00390BFB" w:rsidRPr="00390BFB" w:rsidRDefault="00390BFB" w:rsidP="00390BFB">
      <w:pPr>
        <w:spacing w:line="276" w:lineRule="auto"/>
        <w:ind w:left="720"/>
        <w:contextualSpacing/>
        <w:rPr>
          <w:rFonts w:cs="Arial"/>
          <w:b/>
          <w:color w:val="000000"/>
          <w:szCs w:val="20"/>
          <w:lang w:eastAsia="ar-SA"/>
        </w:rPr>
      </w:pPr>
    </w:p>
    <w:p w14:paraId="50E7582A" w14:textId="77777777" w:rsidR="00390BFB" w:rsidRPr="00390BFB" w:rsidRDefault="00390BFB" w:rsidP="00390BFB">
      <w:pPr>
        <w:numPr>
          <w:ilvl w:val="0"/>
          <w:numId w:val="11"/>
        </w:numPr>
        <w:spacing w:line="276" w:lineRule="auto"/>
        <w:contextualSpacing/>
        <w:jc w:val="both"/>
        <w:rPr>
          <w:b/>
        </w:rPr>
      </w:pPr>
      <w:r w:rsidRPr="00390BFB">
        <w:rPr>
          <w:rFonts w:cs="Arial"/>
          <w:b/>
          <w:color w:val="000000"/>
          <w:szCs w:val="20"/>
          <w:lang w:eastAsia="ar-SA"/>
        </w:rPr>
        <w:t>Vsebinski povzetek ter posledice za doseganje nacionalnih ciljev</w:t>
      </w:r>
    </w:p>
    <w:p w14:paraId="562E1946" w14:textId="77777777" w:rsidR="00390BFB" w:rsidRPr="00390BFB" w:rsidRDefault="00390BFB" w:rsidP="00390BFB">
      <w:pPr>
        <w:spacing w:line="276" w:lineRule="auto"/>
        <w:ind w:left="720"/>
        <w:contextualSpacing/>
        <w:jc w:val="both"/>
        <w:rPr>
          <w:rFonts w:cs="Arial"/>
          <w:szCs w:val="20"/>
        </w:rPr>
      </w:pPr>
    </w:p>
    <w:p w14:paraId="418C805A" w14:textId="77777777" w:rsidR="00390BFB" w:rsidRPr="00390BFB" w:rsidRDefault="00390BFB" w:rsidP="00390BFB">
      <w:pPr>
        <w:numPr>
          <w:ilvl w:val="0"/>
          <w:numId w:val="6"/>
        </w:numPr>
        <w:spacing w:line="276" w:lineRule="auto"/>
        <w:contextualSpacing/>
        <w:jc w:val="both"/>
        <w:rPr>
          <w:rFonts w:cs="Arial"/>
          <w:szCs w:val="20"/>
        </w:rPr>
      </w:pPr>
      <w:r w:rsidRPr="00390BFB">
        <w:rPr>
          <w:rFonts w:cs="Arial"/>
          <w:szCs w:val="20"/>
        </w:rPr>
        <w:t xml:space="preserve">Predlagana podpora za sistemsko inovacijo deluje na različna gonila sprememb, ki omogočajo različne poti prehoda, ki pa temeljijo na soustvarjanju in sooblikovanju. V tem kontekstu predlagatelji vidijo ključne </w:t>
      </w:r>
      <w:r w:rsidRPr="00390BFB">
        <w:rPr>
          <w:rFonts w:cs="Arial"/>
          <w:b/>
          <w:szCs w:val="20"/>
        </w:rPr>
        <w:t>strateške dokumente države, kot denimo Strategijo razvoja Slovenije 2030, Strategijo pametne specializacije S4 in kohezijsko politiko EU,</w:t>
      </w:r>
      <w:r w:rsidRPr="00390BFB">
        <w:rPr>
          <w:rFonts w:cs="Arial"/>
          <w:szCs w:val="20"/>
        </w:rPr>
        <w:t xml:space="preserve"> kot novo območje za eksperimentiranje na področjih, na katerih se povezave med različnimi akterji še vzpostavljajo.</w:t>
      </w:r>
    </w:p>
    <w:p w14:paraId="4624C214" w14:textId="77777777" w:rsidR="00390BFB" w:rsidRPr="00390BFB" w:rsidRDefault="00390BFB" w:rsidP="00390BFB">
      <w:pPr>
        <w:spacing w:line="276" w:lineRule="auto"/>
        <w:ind w:left="720"/>
        <w:contextualSpacing/>
        <w:jc w:val="both"/>
        <w:rPr>
          <w:rFonts w:cs="Arial"/>
          <w:szCs w:val="20"/>
        </w:rPr>
      </w:pPr>
    </w:p>
    <w:p w14:paraId="0B365AC0" w14:textId="77777777" w:rsidR="00390BFB" w:rsidRPr="00390BFB" w:rsidRDefault="00390BFB" w:rsidP="00390BFB">
      <w:pPr>
        <w:numPr>
          <w:ilvl w:val="0"/>
          <w:numId w:val="6"/>
        </w:numPr>
        <w:spacing w:line="276" w:lineRule="auto"/>
        <w:contextualSpacing/>
        <w:jc w:val="both"/>
        <w:rPr>
          <w:rFonts w:cs="Arial"/>
          <w:szCs w:val="20"/>
        </w:rPr>
      </w:pPr>
      <w:r w:rsidRPr="00390BFB">
        <w:rPr>
          <w:rFonts w:cs="Arial"/>
          <w:szCs w:val="20"/>
        </w:rPr>
        <w:t>Namen izvajanja celovitega strateškega predstavitvenega projekta »</w:t>
      </w:r>
      <w:r w:rsidRPr="00390BFB">
        <w:rPr>
          <w:rFonts w:cs="Arial"/>
          <w:b/>
          <w:color w:val="000000"/>
          <w:szCs w:val="20"/>
          <w:lang w:eastAsia="ar-SA"/>
        </w:rPr>
        <w:t>A Deep Demonstration of a Circular, Regenerative and Low-Carbon Economy«</w:t>
      </w:r>
      <w:r w:rsidRPr="00390BFB">
        <w:rPr>
          <w:rFonts w:cs="Arial"/>
          <w:szCs w:val="20"/>
        </w:rPr>
        <w:t xml:space="preserve"> je torej dvojni:</w:t>
      </w:r>
    </w:p>
    <w:p w14:paraId="3F44374A" w14:textId="77777777" w:rsidR="00390BFB" w:rsidRPr="00390BFB" w:rsidRDefault="00390BFB" w:rsidP="00390BFB">
      <w:pPr>
        <w:numPr>
          <w:ilvl w:val="1"/>
          <w:numId w:val="6"/>
        </w:numPr>
        <w:spacing w:line="276" w:lineRule="auto"/>
        <w:contextualSpacing/>
        <w:jc w:val="both"/>
        <w:rPr>
          <w:rFonts w:cs="Arial"/>
          <w:szCs w:val="20"/>
        </w:rPr>
      </w:pPr>
      <w:r w:rsidRPr="00390BFB">
        <w:rPr>
          <w:rFonts w:cs="Arial"/>
          <w:szCs w:val="20"/>
        </w:rPr>
        <w:t>Okrepiti in sistemsko povezati prizadevanja in pobude, ki se v Sloveniji na področju prehoda v nizkoogljično krožno gospodarstvo že izvajajo.</w:t>
      </w:r>
    </w:p>
    <w:p w14:paraId="3709ECEC" w14:textId="77777777" w:rsidR="00390BFB" w:rsidRPr="00390BFB" w:rsidRDefault="00390BFB" w:rsidP="00390BFB">
      <w:pPr>
        <w:numPr>
          <w:ilvl w:val="1"/>
          <w:numId w:val="6"/>
        </w:numPr>
        <w:spacing w:line="276" w:lineRule="auto"/>
        <w:contextualSpacing/>
        <w:jc w:val="both"/>
        <w:rPr>
          <w:rFonts w:cs="Arial"/>
          <w:szCs w:val="20"/>
        </w:rPr>
      </w:pPr>
      <w:r w:rsidRPr="00390BFB">
        <w:rPr>
          <w:rFonts w:cs="Arial"/>
          <w:szCs w:val="20"/>
        </w:rPr>
        <w:t>V Slovenijo pripeljati nove inovativne pristope in rešitve, s katerimi bomo izzive tega prehoda lažje spremenili v priložnosti in jih vzpostavili razvojni model, ki bo skladen z ambicioznimi podnebnimi cilji do leta 2050.</w:t>
      </w:r>
    </w:p>
    <w:p w14:paraId="12D2E7D0" w14:textId="77777777" w:rsidR="00390BFB" w:rsidRPr="00390BFB" w:rsidRDefault="00390BFB" w:rsidP="00390BFB">
      <w:pPr>
        <w:spacing w:line="276" w:lineRule="auto"/>
        <w:ind w:left="1440"/>
        <w:contextualSpacing/>
        <w:jc w:val="both"/>
        <w:rPr>
          <w:rFonts w:cs="Arial"/>
          <w:szCs w:val="20"/>
        </w:rPr>
      </w:pPr>
    </w:p>
    <w:p w14:paraId="4013D461" w14:textId="77777777" w:rsidR="00390BFB" w:rsidRPr="00390BFB" w:rsidRDefault="00390BFB" w:rsidP="00390BFB">
      <w:pPr>
        <w:numPr>
          <w:ilvl w:val="0"/>
          <w:numId w:val="6"/>
        </w:numPr>
        <w:spacing w:line="276" w:lineRule="auto"/>
        <w:contextualSpacing/>
        <w:jc w:val="both"/>
        <w:rPr>
          <w:rFonts w:cs="Arial"/>
          <w:szCs w:val="20"/>
        </w:rPr>
      </w:pPr>
      <w:r w:rsidRPr="00390BFB">
        <w:rPr>
          <w:rFonts w:cs="Arial"/>
          <w:szCs w:val="20"/>
        </w:rPr>
        <w:t xml:space="preserve">Predlagani strateški projekt ilustrira </w:t>
      </w:r>
      <w:r w:rsidRPr="00390BFB">
        <w:rPr>
          <w:rFonts w:cs="Arial"/>
          <w:b/>
          <w:szCs w:val="20"/>
        </w:rPr>
        <w:t>horizontalno naravo prehoda v nizkoogljično krožno gospodarstvo</w:t>
      </w:r>
      <w:r w:rsidRPr="00390BFB">
        <w:rPr>
          <w:rFonts w:cs="Arial"/>
          <w:szCs w:val="20"/>
        </w:rPr>
        <w:t xml:space="preserve">, ki zahteva </w:t>
      </w:r>
      <w:r w:rsidRPr="00390BFB">
        <w:rPr>
          <w:rFonts w:cs="Arial"/>
          <w:b/>
          <w:szCs w:val="20"/>
        </w:rPr>
        <w:t>orkestrirano delovanje celotne Vlade RS</w:t>
      </w:r>
      <w:r w:rsidRPr="00390BFB">
        <w:rPr>
          <w:rFonts w:cs="Arial"/>
          <w:szCs w:val="20"/>
        </w:rPr>
        <w:t xml:space="preserve">, kot tudi številnih </w:t>
      </w:r>
      <w:r w:rsidRPr="00390BFB">
        <w:rPr>
          <w:rFonts w:cs="Arial"/>
          <w:b/>
          <w:szCs w:val="20"/>
        </w:rPr>
        <w:t>deležnikov</w:t>
      </w:r>
      <w:r w:rsidRPr="00390BFB">
        <w:rPr>
          <w:rFonts w:cs="Arial"/>
          <w:szCs w:val="20"/>
        </w:rPr>
        <w:t xml:space="preserve"> iz vseh sektorjev in z vseh ravni. Predlog projekta je oblikovan tako, da povezuje različna področja preko meja silosnega razmišljanja posameznih sektorjev, kar je v Sloveniji praviloma ključna slabost izvajanja politik. To se med drugim odraža tudi v slabšem doseganju rezultatov/ciljev in posledično podoptimalno izkoriščenostjo razpoložljivih javnih sredstev. Kot odgovor na ta nevralgični problem se v okviru tega strateškega projekta predvideva tudi oblikovanje laboratorija politik, ki bo začel z uvajanjem informiranega in odgovornega oblikovanja politik. </w:t>
      </w:r>
    </w:p>
    <w:p w14:paraId="53C76175" w14:textId="77777777" w:rsidR="00390BFB" w:rsidRPr="00390BFB" w:rsidRDefault="00390BFB" w:rsidP="00390BFB">
      <w:pPr>
        <w:spacing w:line="276" w:lineRule="auto"/>
        <w:ind w:left="720"/>
        <w:contextualSpacing/>
        <w:jc w:val="both"/>
        <w:rPr>
          <w:rFonts w:cs="Arial"/>
          <w:szCs w:val="20"/>
        </w:rPr>
      </w:pPr>
    </w:p>
    <w:p w14:paraId="22F2A5A4" w14:textId="77777777" w:rsidR="00390BFB" w:rsidRPr="00390BFB" w:rsidRDefault="00390BFB" w:rsidP="00390BFB">
      <w:pPr>
        <w:numPr>
          <w:ilvl w:val="0"/>
          <w:numId w:val="6"/>
        </w:numPr>
        <w:spacing w:line="276" w:lineRule="auto"/>
        <w:contextualSpacing/>
        <w:jc w:val="both"/>
        <w:rPr>
          <w:rFonts w:cs="Arial"/>
          <w:szCs w:val="20"/>
        </w:rPr>
      </w:pPr>
      <w:r w:rsidRPr="00390BFB">
        <w:rPr>
          <w:rFonts w:cs="Arial"/>
          <w:szCs w:val="20"/>
        </w:rPr>
        <w:t xml:space="preserve">Z izvajanjem tega celovitega strateškega predstavitvenega projekta se bo Slovenija lahko od deklarativne podpore prehodu v nizkoogljično krožno gospodarstvo premaknila h konkretnim in sistemskim ukrepom. Tako se bo lahko resnično pozicionirala kot vodilna država v Evropi, ki izkorišča krožno gospodarstvo za razogljičenje gospodarstva in družbe ter s tem hkrati krepi konkurenčnost gospodarstva in spodbuja razvoj krožnih in pametnih lokalnih skupnosti. </w:t>
      </w:r>
      <w:r w:rsidRPr="00390BFB">
        <w:rPr>
          <w:rFonts w:cs="Arial"/>
          <w:b/>
          <w:szCs w:val="20"/>
        </w:rPr>
        <w:t>Ključna dodana vrednost predlaganega projekta je sistemski pristop, saj je vsak od predlaganih programov oblikovan tako, da se povezuje vsaj z enim drugim programom preko stalnih povratnih zank.</w:t>
      </w:r>
      <w:r w:rsidRPr="00390BFB">
        <w:rPr>
          <w:rFonts w:cs="Arial"/>
          <w:szCs w:val="20"/>
        </w:rPr>
        <w:t xml:space="preserve"> </w:t>
      </w:r>
    </w:p>
    <w:p w14:paraId="51C939C7" w14:textId="77777777" w:rsidR="00390BFB" w:rsidRPr="00390BFB" w:rsidRDefault="00390BFB" w:rsidP="00390BFB">
      <w:pPr>
        <w:spacing w:line="276" w:lineRule="auto"/>
        <w:ind w:left="720"/>
        <w:contextualSpacing/>
        <w:jc w:val="both"/>
        <w:rPr>
          <w:rFonts w:cs="Arial"/>
          <w:szCs w:val="20"/>
        </w:rPr>
      </w:pPr>
    </w:p>
    <w:p w14:paraId="2FBA5FC9" w14:textId="77777777" w:rsidR="00390BFB" w:rsidRPr="00390BFB" w:rsidRDefault="00390BFB" w:rsidP="00390BFB">
      <w:pPr>
        <w:numPr>
          <w:ilvl w:val="0"/>
          <w:numId w:val="6"/>
        </w:numPr>
        <w:autoSpaceDE w:val="0"/>
        <w:autoSpaceDN w:val="0"/>
        <w:adjustRightInd w:val="0"/>
        <w:spacing w:line="276" w:lineRule="auto"/>
        <w:contextualSpacing/>
        <w:jc w:val="both"/>
        <w:rPr>
          <w:rFonts w:cs="Arial"/>
          <w:color w:val="000000"/>
          <w:szCs w:val="20"/>
          <w:lang w:eastAsia="sl-SI"/>
        </w:rPr>
      </w:pPr>
      <w:r w:rsidRPr="00390BFB">
        <w:rPr>
          <w:rFonts w:cs="Arial"/>
          <w:b/>
          <w:color w:val="000000"/>
          <w:szCs w:val="20"/>
          <w:lang w:eastAsia="sl-SI"/>
        </w:rPr>
        <w:t>Vsebina</w:t>
      </w:r>
      <w:r w:rsidRPr="00390BFB">
        <w:rPr>
          <w:rFonts w:cs="Arial"/>
          <w:color w:val="000000"/>
          <w:szCs w:val="20"/>
          <w:lang w:eastAsia="sl-SI"/>
        </w:rPr>
        <w:t xml:space="preserve"> predlaganih rešitev tega celovitega strateškega predstavitvenega projekta je </w:t>
      </w:r>
      <w:r w:rsidRPr="00390BFB">
        <w:rPr>
          <w:rFonts w:cs="Arial"/>
          <w:b/>
          <w:color w:val="000000"/>
          <w:szCs w:val="20"/>
          <w:lang w:eastAsia="sl-SI"/>
        </w:rPr>
        <w:t>strukturirana v tri stebre</w:t>
      </w:r>
      <w:r w:rsidRPr="00390BFB">
        <w:rPr>
          <w:rFonts w:cs="Arial"/>
          <w:color w:val="000000"/>
          <w:szCs w:val="20"/>
          <w:lang w:eastAsia="sl-SI"/>
        </w:rPr>
        <w:t>, vsak med njimi je sestavljen iz več programov, ki pa so medsebojno povezani in drug drugega krepijo in nadgrajujejo:</w:t>
      </w:r>
    </w:p>
    <w:p w14:paraId="1BF9695B" w14:textId="77777777" w:rsidR="00390BFB" w:rsidRPr="00390BFB" w:rsidRDefault="00390BFB" w:rsidP="00390BFB">
      <w:pPr>
        <w:autoSpaceDE w:val="0"/>
        <w:autoSpaceDN w:val="0"/>
        <w:adjustRightInd w:val="0"/>
        <w:spacing w:line="276" w:lineRule="auto"/>
        <w:ind w:left="360"/>
        <w:jc w:val="both"/>
        <w:rPr>
          <w:rFonts w:cs="Arial"/>
          <w:color w:val="000000"/>
          <w:szCs w:val="20"/>
          <w:lang w:eastAsia="sl-SI"/>
        </w:rPr>
      </w:pPr>
    </w:p>
    <w:p w14:paraId="4A4B7889" w14:textId="77777777" w:rsidR="00390BFB" w:rsidRPr="00390BFB" w:rsidRDefault="00390BFB" w:rsidP="00390BFB">
      <w:pPr>
        <w:numPr>
          <w:ilvl w:val="1"/>
          <w:numId w:val="6"/>
        </w:numPr>
        <w:autoSpaceDE w:val="0"/>
        <w:autoSpaceDN w:val="0"/>
        <w:adjustRightInd w:val="0"/>
        <w:spacing w:line="276" w:lineRule="auto"/>
        <w:contextualSpacing/>
        <w:jc w:val="both"/>
        <w:rPr>
          <w:rFonts w:cs="Arial"/>
          <w:b/>
          <w:color w:val="000000"/>
          <w:szCs w:val="20"/>
          <w:u w:val="single"/>
          <w:lang w:eastAsia="sl-SI"/>
        </w:rPr>
      </w:pPr>
      <w:r w:rsidRPr="00390BFB">
        <w:rPr>
          <w:rFonts w:cs="Arial"/>
          <w:b/>
          <w:color w:val="000000"/>
          <w:szCs w:val="20"/>
          <w:u w:val="single"/>
          <w:lang w:eastAsia="sl-SI"/>
        </w:rPr>
        <w:t>Pametne in krožne skupnosti</w:t>
      </w:r>
    </w:p>
    <w:p w14:paraId="4C5C0D9D" w14:textId="77777777" w:rsidR="00390BFB" w:rsidRPr="00390BFB" w:rsidRDefault="00390BFB" w:rsidP="00390BFB">
      <w:pPr>
        <w:autoSpaceDE w:val="0"/>
        <w:autoSpaceDN w:val="0"/>
        <w:adjustRightInd w:val="0"/>
        <w:spacing w:line="276" w:lineRule="auto"/>
        <w:ind w:left="1440"/>
        <w:contextualSpacing/>
        <w:jc w:val="both"/>
        <w:rPr>
          <w:rFonts w:cs="Arial"/>
          <w:b/>
          <w:color w:val="000000"/>
          <w:szCs w:val="20"/>
          <w:u w:val="single"/>
          <w:lang w:eastAsia="sl-SI"/>
        </w:rPr>
      </w:pPr>
    </w:p>
    <w:p w14:paraId="028324D1" w14:textId="77777777" w:rsidR="00390BFB" w:rsidRPr="00390BFB" w:rsidRDefault="00390BFB" w:rsidP="00390BFB">
      <w:pPr>
        <w:numPr>
          <w:ilvl w:val="2"/>
          <w:numId w:val="6"/>
        </w:numPr>
        <w:spacing w:line="276" w:lineRule="auto"/>
        <w:ind w:left="1800"/>
        <w:contextualSpacing/>
        <w:jc w:val="both"/>
        <w:rPr>
          <w:rFonts w:cs="Arial"/>
          <w:szCs w:val="20"/>
        </w:rPr>
      </w:pPr>
      <w:r w:rsidRPr="00390BFB">
        <w:rPr>
          <w:rFonts w:cs="Arial"/>
          <w:i/>
          <w:szCs w:val="20"/>
        </w:rPr>
        <w:t>Krožne šole</w:t>
      </w:r>
      <w:r w:rsidRPr="00390BFB">
        <w:rPr>
          <w:rFonts w:cs="Arial"/>
          <w:szCs w:val="20"/>
        </w:rPr>
        <w:t xml:space="preserve"> (»Circular Schools«) – ciljna skupina so dijaki; cilj: vključiti več kot 65 srednjih šol, več kot 500 dijakov, več kot 60 učiteljev. Mladi bodo v prihodnosti voditelji, zato so v okviru tega programa v središču pozornosti z namenom, da se jih z izvajanjem tega programa opolnomoči, da postanejo nosilci sprememb. Dijaki bodo v sklopu tega programa spoznavali koncepte krožnega gospodarstva in biogospodarstva ter dobili možnost, da v tej smeri razvijajo tudi svoje podjetniške ambicije ter da pridobijo praktične izkušnje pri delu v podjetjih/institucijah. Usposabljanje je predvideno tudi za učitelje v izbranih šolah. </w:t>
      </w:r>
    </w:p>
    <w:p w14:paraId="7C282529" w14:textId="77777777" w:rsidR="00390BFB" w:rsidRPr="00390BFB" w:rsidRDefault="00390BFB" w:rsidP="00390BFB">
      <w:pPr>
        <w:spacing w:line="276" w:lineRule="auto"/>
        <w:ind w:left="1800"/>
        <w:contextualSpacing/>
        <w:jc w:val="both"/>
        <w:rPr>
          <w:rFonts w:cs="Arial"/>
          <w:szCs w:val="20"/>
        </w:rPr>
      </w:pPr>
    </w:p>
    <w:p w14:paraId="2B26A1CA" w14:textId="77777777" w:rsidR="00390BFB" w:rsidRPr="00390BFB" w:rsidRDefault="00390BFB" w:rsidP="00390BFB">
      <w:pPr>
        <w:numPr>
          <w:ilvl w:val="2"/>
          <w:numId w:val="6"/>
        </w:numPr>
        <w:spacing w:line="276" w:lineRule="auto"/>
        <w:ind w:left="1800"/>
        <w:contextualSpacing/>
        <w:jc w:val="both"/>
        <w:rPr>
          <w:rFonts w:cs="Arial"/>
          <w:szCs w:val="20"/>
        </w:rPr>
      </w:pPr>
      <w:r w:rsidRPr="00390BFB">
        <w:rPr>
          <w:rFonts w:cs="Arial"/>
          <w:i/>
          <w:szCs w:val="20"/>
        </w:rPr>
        <w:t>Krožno učenje in viri</w:t>
      </w:r>
      <w:r w:rsidRPr="00390BFB">
        <w:rPr>
          <w:rFonts w:cs="Arial"/>
          <w:b/>
          <w:szCs w:val="20"/>
        </w:rPr>
        <w:t xml:space="preserve"> </w:t>
      </w:r>
      <w:r w:rsidRPr="00390BFB">
        <w:rPr>
          <w:rFonts w:cs="Arial"/>
          <w:szCs w:val="20"/>
        </w:rPr>
        <w:t>(»Circular Learning and Resources«) – platforma za e-učenje, webinarji, knjižnica, prilagojeni izobraževalni programi. Namen tega programa je ponuditi enotno točko za pridobivanje in nadgradnjo znanja v času trajanja celotnega programa, hkrati pa bo ta program predstavljal tudi “laboratorij” za učenje, pridobivanje kompetenc in izboljševanja usposobljenosti. V sklopu tega programa bo med drugim mogoče sodelovati v študijskih obiskih, programih mobilnosti za zaposlene v podjetjih in drugih institucijah. V okviru tega programa se bodo zbirale tudi informacije in dognanja drugih programov v sklopu tega projekta. Program bo zasnovan tako, da bo lahko ponudil storitev različnim skupinam deležnikov: predstavnikom lokalnih skupnosti, podjetjem, malim in srednjim podjetjem (MSP), odločevalcem, raziskovalcem, študentom, zainteresiranim posameznikom.</w:t>
      </w:r>
    </w:p>
    <w:p w14:paraId="04199196" w14:textId="77777777" w:rsidR="00390BFB" w:rsidRPr="00390BFB" w:rsidRDefault="00390BFB" w:rsidP="00390BFB">
      <w:pPr>
        <w:spacing w:line="276" w:lineRule="auto"/>
        <w:jc w:val="both"/>
        <w:rPr>
          <w:rFonts w:cs="Arial"/>
          <w:szCs w:val="20"/>
        </w:rPr>
      </w:pPr>
    </w:p>
    <w:p w14:paraId="63F2DABE" w14:textId="77777777" w:rsidR="00390BFB" w:rsidRPr="00390BFB" w:rsidRDefault="00390BFB" w:rsidP="00390BFB">
      <w:pPr>
        <w:numPr>
          <w:ilvl w:val="2"/>
          <w:numId w:val="6"/>
        </w:numPr>
        <w:spacing w:line="276" w:lineRule="auto"/>
        <w:ind w:left="1800"/>
        <w:contextualSpacing/>
        <w:jc w:val="both"/>
        <w:rPr>
          <w:rFonts w:cs="Arial"/>
          <w:szCs w:val="20"/>
        </w:rPr>
      </w:pPr>
      <w:r w:rsidRPr="00390BFB">
        <w:rPr>
          <w:rFonts w:cs="Arial"/>
          <w:i/>
          <w:szCs w:val="20"/>
        </w:rPr>
        <w:t xml:space="preserve">Krožne sinergije: Pametne in krožne </w:t>
      </w:r>
      <w:r w:rsidR="00AF5AD8">
        <w:rPr>
          <w:rFonts w:cs="Arial"/>
          <w:i/>
          <w:szCs w:val="20"/>
        </w:rPr>
        <w:t>skupnosti</w:t>
      </w:r>
      <w:r w:rsidR="00AF5AD8" w:rsidRPr="00390BFB">
        <w:rPr>
          <w:rFonts w:cs="Arial"/>
          <w:b/>
          <w:szCs w:val="20"/>
        </w:rPr>
        <w:t xml:space="preserve"> </w:t>
      </w:r>
      <w:r w:rsidRPr="00390BFB">
        <w:rPr>
          <w:rFonts w:cs="Arial"/>
          <w:szCs w:val="20"/>
        </w:rPr>
        <w:t>(»Circular Synergies: Smart &amp; Circular Regions«) – cilj je vključiti 12 regij, 11 mest, 212 občin. Pospešenega prehoda v nizkoogljično krožno gospodarstvo na nacionalni ravni ne bo mogoče doseči brez podpore na lokalni/regijski ravni. V okviru programa bomo spodbudili sistemsko vključitev krožnega gospodarstva na sistemsko na regionalni/lokalni ravni. V sklopu tega programa bo podpora namenjena akterjem v vseh 12 statističnih regijah z namenom, da se s pomočjo krepitve kapacitet za identifikacijo in pripravo projektov spodbudi inovacije in učenje in tako opolnomoči izvajanje novih prelomnih inovacij na tem področju. Vključeni bodo deležniki na lokalni ravni, vključno s predstavniki občin, regionalnih razvojnih agencij, lokalnih energetskih agencij, gospodarstva.</w:t>
      </w:r>
    </w:p>
    <w:p w14:paraId="76BE8E27" w14:textId="77777777" w:rsidR="00390BFB" w:rsidRPr="00390BFB" w:rsidRDefault="00390BFB" w:rsidP="00390BFB">
      <w:pPr>
        <w:spacing w:line="276" w:lineRule="auto"/>
        <w:ind w:left="2160"/>
        <w:contextualSpacing/>
        <w:jc w:val="both"/>
        <w:rPr>
          <w:rFonts w:cs="Arial"/>
          <w:szCs w:val="20"/>
        </w:rPr>
      </w:pPr>
    </w:p>
    <w:p w14:paraId="076053ED" w14:textId="77777777" w:rsidR="00390BFB" w:rsidRPr="00390BFB" w:rsidRDefault="00390BFB" w:rsidP="00390BFB">
      <w:pPr>
        <w:numPr>
          <w:ilvl w:val="1"/>
          <w:numId w:val="6"/>
        </w:numPr>
        <w:autoSpaceDE w:val="0"/>
        <w:autoSpaceDN w:val="0"/>
        <w:adjustRightInd w:val="0"/>
        <w:spacing w:line="276" w:lineRule="auto"/>
        <w:contextualSpacing/>
        <w:jc w:val="both"/>
        <w:rPr>
          <w:rFonts w:cs="Arial"/>
          <w:b/>
          <w:color w:val="000000"/>
          <w:szCs w:val="20"/>
          <w:u w:val="single"/>
          <w:lang w:eastAsia="sl-SI"/>
        </w:rPr>
      </w:pPr>
      <w:r w:rsidRPr="00390BFB">
        <w:rPr>
          <w:rFonts w:cs="Arial"/>
          <w:b/>
          <w:color w:val="000000"/>
          <w:szCs w:val="20"/>
          <w:u w:val="single"/>
          <w:lang w:eastAsia="sl-SI"/>
        </w:rPr>
        <w:t>Krožni razvoj</w:t>
      </w:r>
    </w:p>
    <w:p w14:paraId="158051FD" w14:textId="77777777" w:rsidR="00390BFB" w:rsidRPr="00390BFB" w:rsidRDefault="00390BFB" w:rsidP="00390BFB">
      <w:pPr>
        <w:autoSpaceDE w:val="0"/>
        <w:autoSpaceDN w:val="0"/>
        <w:adjustRightInd w:val="0"/>
        <w:spacing w:line="276" w:lineRule="auto"/>
        <w:ind w:left="1440"/>
        <w:contextualSpacing/>
        <w:jc w:val="both"/>
        <w:rPr>
          <w:rFonts w:cs="Arial"/>
          <w:b/>
          <w:color w:val="000000"/>
          <w:szCs w:val="20"/>
          <w:u w:val="single"/>
          <w:lang w:eastAsia="sl-SI"/>
        </w:rPr>
      </w:pPr>
    </w:p>
    <w:p w14:paraId="76D614CC" w14:textId="77777777" w:rsidR="00390BFB" w:rsidRPr="00390BFB" w:rsidRDefault="00390BFB" w:rsidP="00390BFB">
      <w:pPr>
        <w:numPr>
          <w:ilvl w:val="2"/>
          <w:numId w:val="6"/>
        </w:numPr>
        <w:spacing w:line="276" w:lineRule="auto"/>
        <w:ind w:left="1800"/>
        <w:contextualSpacing/>
        <w:jc w:val="both"/>
        <w:rPr>
          <w:rFonts w:cs="Arial"/>
          <w:szCs w:val="20"/>
        </w:rPr>
      </w:pPr>
      <w:r w:rsidRPr="00390BFB">
        <w:rPr>
          <w:rFonts w:cs="Arial"/>
          <w:i/>
          <w:szCs w:val="20"/>
        </w:rPr>
        <w:t>Krožno odkrivanje</w:t>
      </w:r>
      <w:r w:rsidRPr="00390BFB">
        <w:rPr>
          <w:rFonts w:cs="Arial"/>
          <w:b/>
          <w:szCs w:val="20"/>
        </w:rPr>
        <w:t xml:space="preserve"> </w:t>
      </w:r>
      <w:r w:rsidRPr="00390BFB">
        <w:rPr>
          <w:rFonts w:cs="Arial"/>
          <w:szCs w:val="20"/>
        </w:rPr>
        <w:t>(»Circular Discovery«) – komercialna in poslovna podpora podjetnikom in start-upom; cilji: identificirati več kot 150 inovacijskih priložnosti, več kot 90 novih produktov in procesov na trgu, več kot 140 ustanovljenih/usposobljenih start-upov, več kot 25 mio EUR investicij, zbranih preko start-upov. Program obravnava prepoznane vrzeli in slabosti v našem prostoru, saj v Sloveniji še nimamo ustreznih znanj in usposobljenih akterjev/deležnikov, ki bi podpirali ustanavljanje novonastalih podjetij, ki bi lahko ponudili odgovore na določene izzive razogljičenja in krožnega gospodarstva.</w:t>
      </w:r>
    </w:p>
    <w:p w14:paraId="0DE8D7AA" w14:textId="77777777" w:rsidR="00390BFB" w:rsidRPr="00390BFB" w:rsidRDefault="00390BFB" w:rsidP="00390BFB">
      <w:pPr>
        <w:spacing w:line="276" w:lineRule="auto"/>
        <w:ind w:left="2160"/>
        <w:contextualSpacing/>
        <w:jc w:val="both"/>
        <w:rPr>
          <w:rFonts w:cs="Arial"/>
          <w:szCs w:val="20"/>
        </w:rPr>
      </w:pPr>
    </w:p>
    <w:p w14:paraId="38A64A7B" w14:textId="77777777" w:rsidR="00390BFB" w:rsidRPr="00390BFB" w:rsidRDefault="00390BFB" w:rsidP="00390BFB">
      <w:pPr>
        <w:numPr>
          <w:ilvl w:val="2"/>
          <w:numId w:val="6"/>
        </w:numPr>
        <w:spacing w:line="276" w:lineRule="auto"/>
        <w:ind w:left="1800"/>
        <w:contextualSpacing/>
        <w:jc w:val="both"/>
        <w:rPr>
          <w:rFonts w:cs="Arial"/>
          <w:szCs w:val="20"/>
        </w:rPr>
      </w:pPr>
      <w:r w:rsidRPr="00390BFB">
        <w:rPr>
          <w:rFonts w:cs="Arial"/>
          <w:i/>
          <w:szCs w:val="20"/>
        </w:rPr>
        <w:t>Spremljanje izvajanja</w:t>
      </w:r>
      <w:r w:rsidRPr="00390BFB">
        <w:rPr>
          <w:rFonts w:cs="Arial"/>
          <w:b/>
          <w:szCs w:val="20"/>
        </w:rPr>
        <w:t xml:space="preserve"> </w:t>
      </w:r>
      <w:r w:rsidRPr="00390BFB">
        <w:rPr>
          <w:rFonts w:cs="Arial"/>
          <w:szCs w:val="20"/>
        </w:rPr>
        <w:t>(»Circular Performance«) – razvoj indikatorjev za spremljanje prehoda v krožno gospodarstvo in biogospodarstvo. Na ta način bomo lažje zagotovili čezsektorsko integracijo vidikov razogljičenja in uvajanja krožnega gospodarstva v strateške politike, pa tudi spremljanje uspešnosti prehoda na ravni podjetij.</w:t>
      </w:r>
    </w:p>
    <w:p w14:paraId="5E843396" w14:textId="77777777" w:rsidR="00390BFB" w:rsidRPr="00390BFB" w:rsidRDefault="00390BFB" w:rsidP="00390BFB">
      <w:pPr>
        <w:spacing w:line="276" w:lineRule="auto"/>
        <w:jc w:val="both"/>
        <w:rPr>
          <w:rFonts w:cs="Arial"/>
          <w:szCs w:val="20"/>
        </w:rPr>
      </w:pPr>
    </w:p>
    <w:p w14:paraId="10BBF8B5" w14:textId="77777777" w:rsidR="00390BFB" w:rsidRPr="00390BFB" w:rsidRDefault="00390BFB" w:rsidP="00390BFB">
      <w:pPr>
        <w:numPr>
          <w:ilvl w:val="2"/>
          <w:numId w:val="6"/>
        </w:numPr>
        <w:spacing w:line="276" w:lineRule="auto"/>
        <w:ind w:left="1800"/>
        <w:contextualSpacing/>
        <w:jc w:val="both"/>
        <w:rPr>
          <w:rFonts w:cs="Arial"/>
          <w:szCs w:val="20"/>
        </w:rPr>
      </w:pPr>
      <w:r w:rsidRPr="00390BFB">
        <w:rPr>
          <w:rFonts w:cs="Arial"/>
          <w:i/>
          <w:szCs w:val="20"/>
        </w:rPr>
        <w:t>Podpora krožnim inovacijam v MSP-jih</w:t>
      </w:r>
      <w:r w:rsidRPr="00390BFB">
        <w:rPr>
          <w:rFonts w:cs="Arial"/>
          <w:b/>
          <w:szCs w:val="20"/>
        </w:rPr>
        <w:t xml:space="preserve"> </w:t>
      </w:r>
      <w:r w:rsidRPr="00390BFB">
        <w:rPr>
          <w:rFonts w:cs="Arial"/>
          <w:szCs w:val="20"/>
        </w:rPr>
        <w:t>(»SME Circular Innovation Support«) – ukrepi za identifikacijo in implementacijo krožnih poslovnih modelov v MSP-jih; cilji: več kot 1000 vključenih MSP-jev, več kot 380 usposobljenih in podprtih MSP-jev. V Sloveniji imamo velik izziv na področju relativno nizke snovne in energetske produktivnosti podjetij, kar ogroža/slabi njihovo konkurenčnost. Inovacije na področju energetske in snovne učinkovitosti prispevajo k dvigu konkurenčnosti poslovanja podjetij, hkrati pa na ta način zmanjšajo pritiske na okolje.</w:t>
      </w:r>
    </w:p>
    <w:p w14:paraId="1640EADC" w14:textId="77777777" w:rsidR="00390BFB" w:rsidRPr="00390BFB" w:rsidRDefault="00390BFB" w:rsidP="00390BFB">
      <w:pPr>
        <w:spacing w:line="276" w:lineRule="auto"/>
        <w:jc w:val="both"/>
        <w:rPr>
          <w:rFonts w:cs="Arial"/>
          <w:szCs w:val="20"/>
        </w:rPr>
      </w:pPr>
    </w:p>
    <w:p w14:paraId="537EA8C0" w14:textId="77777777" w:rsidR="00390BFB" w:rsidRPr="00390BFB" w:rsidRDefault="00390BFB" w:rsidP="00390BFB">
      <w:pPr>
        <w:numPr>
          <w:ilvl w:val="1"/>
          <w:numId w:val="6"/>
        </w:numPr>
        <w:autoSpaceDE w:val="0"/>
        <w:autoSpaceDN w:val="0"/>
        <w:adjustRightInd w:val="0"/>
        <w:spacing w:line="276" w:lineRule="auto"/>
        <w:contextualSpacing/>
        <w:jc w:val="both"/>
        <w:rPr>
          <w:rFonts w:cs="Arial"/>
          <w:b/>
          <w:szCs w:val="20"/>
          <w:u w:val="single"/>
        </w:rPr>
      </w:pPr>
      <w:r w:rsidRPr="00390BFB">
        <w:rPr>
          <w:rFonts w:cs="Arial"/>
          <w:b/>
          <w:color w:val="000000"/>
          <w:szCs w:val="20"/>
          <w:u w:val="single"/>
          <w:lang w:eastAsia="sl-SI"/>
        </w:rPr>
        <w:t>Krožno oblikovanje politik in znanost</w:t>
      </w:r>
    </w:p>
    <w:p w14:paraId="3D1CBBBF" w14:textId="77777777" w:rsidR="00390BFB" w:rsidRPr="00390BFB" w:rsidRDefault="00390BFB" w:rsidP="00390BFB">
      <w:pPr>
        <w:autoSpaceDE w:val="0"/>
        <w:autoSpaceDN w:val="0"/>
        <w:adjustRightInd w:val="0"/>
        <w:spacing w:line="276" w:lineRule="auto"/>
        <w:ind w:left="1440"/>
        <w:contextualSpacing/>
        <w:jc w:val="both"/>
        <w:rPr>
          <w:rFonts w:cs="Arial"/>
          <w:b/>
          <w:szCs w:val="20"/>
          <w:u w:val="single"/>
        </w:rPr>
      </w:pPr>
    </w:p>
    <w:p w14:paraId="125B5ABE" w14:textId="77777777" w:rsidR="00390BFB" w:rsidRPr="00390BFB" w:rsidRDefault="00390BFB" w:rsidP="00390BFB">
      <w:pPr>
        <w:numPr>
          <w:ilvl w:val="2"/>
          <w:numId w:val="6"/>
        </w:numPr>
        <w:spacing w:line="276" w:lineRule="auto"/>
        <w:ind w:left="1800"/>
        <w:contextualSpacing/>
        <w:jc w:val="both"/>
        <w:rPr>
          <w:rFonts w:cs="Arial"/>
          <w:szCs w:val="20"/>
        </w:rPr>
      </w:pPr>
      <w:r w:rsidRPr="00390BFB">
        <w:rPr>
          <w:rFonts w:cs="Arial"/>
          <w:i/>
          <w:szCs w:val="20"/>
        </w:rPr>
        <w:t>Pionirsko krožno visokošolsko izobraževanje</w:t>
      </w:r>
      <w:r w:rsidRPr="00390BFB">
        <w:rPr>
          <w:rFonts w:cs="Arial"/>
          <w:b/>
          <w:szCs w:val="20"/>
        </w:rPr>
        <w:t xml:space="preserve"> </w:t>
      </w:r>
      <w:r w:rsidRPr="00390BFB">
        <w:rPr>
          <w:rFonts w:cs="Arial"/>
          <w:szCs w:val="20"/>
        </w:rPr>
        <w:t>(»Pioneering Circular Higher Education«) – integracija pilotov krožnega gospodarstva v kurikule univerz, cilj: vključitev več kot 250 študentov in 10 visokošolskih zavodov. V Sloveniji je na ravni visokošolskega izobraževanja ponudba programov s področja prehoda v nizkoogljično krožno gospodarstvo in biogospodarstvo izjemno skromna, zato je za hitrejši prehod ključnega pomena, da se na tej ravni začne z vključevanjem znanj in vzpostavljanjem raziskovanja, saj bomo lahko tako najhitreje začeli s spreminjanjem delovanja/poslovanja institucij in podjetij. Med drugim bi v sklopu tega programa oblikovali sinergične učinke z izvajanjem projekta LIFE IP CARE4CLIMATE.</w:t>
      </w:r>
    </w:p>
    <w:p w14:paraId="55B4E205" w14:textId="77777777" w:rsidR="00390BFB" w:rsidRPr="00390BFB" w:rsidRDefault="00390BFB" w:rsidP="00390BFB">
      <w:pPr>
        <w:spacing w:line="276" w:lineRule="auto"/>
        <w:ind w:left="2160"/>
        <w:contextualSpacing/>
        <w:jc w:val="both"/>
        <w:rPr>
          <w:rFonts w:cs="Arial"/>
          <w:szCs w:val="20"/>
        </w:rPr>
      </w:pPr>
    </w:p>
    <w:p w14:paraId="174FC019" w14:textId="77777777" w:rsidR="00390BFB" w:rsidRPr="00390BFB" w:rsidRDefault="00390BFB" w:rsidP="00390BFB">
      <w:pPr>
        <w:numPr>
          <w:ilvl w:val="2"/>
          <w:numId w:val="6"/>
        </w:numPr>
        <w:spacing w:line="276" w:lineRule="auto"/>
        <w:ind w:left="1800"/>
        <w:contextualSpacing/>
        <w:jc w:val="both"/>
        <w:rPr>
          <w:rFonts w:cs="Arial"/>
          <w:szCs w:val="20"/>
        </w:rPr>
      </w:pPr>
      <w:r w:rsidRPr="00390BFB">
        <w:rPr>
          <w:rFonts w:cs="Arial"/>
          <w:i/>
          <w:szCs w:val="20"/>
        </w:rPr>
        <w:t>Laboratorij za oblikovanje politik prehoda</w:t>
      </w:r>
      <w:r w:rsidRPr="00390BFB">
        <w:rPr>
          <w:rFonts w:cs="Arial"/>
          <w:b/>
          <w:szCs w:val="20"/>
        </w:rPr>
        <w:t xml:space="preserve"> </w:t>
      </w:r>
      <w:r w:rsidRPr="00390BFB">
        <w:rPr>
          <w:rFonts w:cs="Arial"/>
          <w:szCs w:val="20"/>
        </w:rPr>
        <w:t xml:space="preserve">(»Transition Policy Lab«) – je namenjen vključevanju javnih institucij v dialog z akterji na področju inovacij, da na ta način identificiramo sklop ukrepov za odpravo ovir (pravnih, na ravni politik), ki preprečujejo hitrejši prehod v nizkoogljično krožno gospodarstvo in biogospodarstvo. Poudarek bo na sooblikovanju transverzalnih elementov, ki podpirajo proces izvajanja politik (za prehod) in hkrati omogočajo/podpirajo proces izpopolnjevanja odločevalcev, s </w:t>
      </w:r>
      <w:r w:rsidRPr="00390BFB">
        <w:rPr>
          <w:rFonts w:cs="Arial"/>
          <w:szCs w:val="20"/>
        </w:rPr>
        <w:lastRenderedPageBreak/>
        <w:t>pomočjo katerega se lažje oblikujejo ustrezni cilji in rešitve v relevantnih (dolgoročnih) programih. Vsebinski poudarek bo na podpori pripravi in izvajanju dolgoročne podnebne strategije do leta 2050.</w:t>
      </w:r>
    </w:p>
    <w:p w14:paraId="6989303C" w14:textId="77777777" w:rsidR="00390BFB" w:rsidRPr="00390BFB" w:rsidRDefault="00390BFB" w:rsidP="00390BFB">
      <w:pPr>
        <w:spacing w:line="276" w:lineRule="auto"/>
        <w:jc w:val="both"/>
        <w:rPr>
          <w:rFonts w:cs="Arial"/>
          <w:szCs w:val="20"/>
        </w:rPr>
      </w:pPr>
    </w:p>
    <w:p w14:paraId="4F0C4DA1" w14:textId="77777777" w:rsidR="00390BFB" w:rsidRPr="00390BFB" w:rsidRDefault="00390BFB" w:rsidP="00390BFB">
      <w:pPr>
        <w:numPr>
          <w:ilvl w:val="2"/>
          <w:numId w:val="6"/>
        </w:numPr>
        <w:spacing w:line="276" w:lineRule="auto"/>
        <w:ind w:left="1800"/>
        <w:contextualSpacing/>
        <w:jc w:val="both"/>
        <w:rPr>
          <w:rFonts w:cs="Arial"/>
          <w:szCs w:val="20"/>
        </w:rPr>
      </w:pPr>
      <w:r w:rsidRPr="00390BFB">
        <w:rPr>
          <w:rFonts w:cs="Arial"/>
          <w:i/>
          <w:szCs w:val="20"/>
        </w:rPr>
        <w:t>Krožna javna naročila</w:t>
      </w:r>
      <w:r w:rsidRPr="00390BFB">
        <w:rPr>
          <w:rFonts w:cs="Arial"/>
          <w:b/>
          <w:szCs w:val="20"/>
        </w:rPr>
        <w:t xml:space="preserve"> </w:t>
      </w:r>
      <w:r w:rsidRPr="00390BFB">
        <w:rPr>
          <w:rFonts w:cs="Arial"/>
          <w:szCs w:val="20"/>
        </w:rPr>
        <w:t>(»Circular Procurement«) – vzpostavitev mreže slovenskih mest za izboljšanje praks javnega naročanja, pri čemer je ključni poudarek na tem, da se okrepi usposobljenost naročnikov ter vzpostavi ustrezen dialog s ponudniki izdelkov in storitev. Z izvajanjem tega programa bi nadgradili pristop zelenega javnega naročanja, ki ga v Sloveniji že izvajamo, in bi ustvarili sinergije z izvajanjem projekta LIFE IP CARE4CLIMATE.</w:t>
      </w:r>
    </w:p>
    <w:p w14:paraId="260AFF8B" w14:textId="77777777" w:rsidR="00390BFB" w:rsidRPr="00390BFB" w:rsidRDefault="00390BFB" w:rsidP="00390BFB">
      <w:pPr>
        <w:spacing w:line="276" w:lineRule="auto"/>
        <w:ind w:left="720"/>
        <w:contextualSpacing/>
        <w:jc w:val="both"/>
        <w:rPr>
          <w:rFonts w:cs="Arial"/>
          <w:szCs w:val="20"/>
        </w:rPr>
      </w:pPr>
    </w:p>
    <w:p w14:paraId="0EFA3A1C" w14:textId="77777777" w:rsidR="00390BFB" w:rsidRPr="00390BFB" w:rsidRDefault="00390BFB" w:rsidP="00390BFB">
      <w:pPr>
        <w:spacing w:line="276" w:lineRule="auto"/>
        <w:ind w:left="720"/>
        <w:contextualSpacing/>
        <w:jc w:val="both"/>
        <w:rPr>
          <w:rFonts w:cs="Arial"/>
          <w:szCs w:val="20"/>
        </w:rPr>
      </w:pPr>
      <w:r w:rsidRPr="00390BFB">
        <w:rPr>
          <w:rFonts w:cs="Arial"/>
          <w:b/>
          <w:szCs w:val="20"/>
        </w:rPr>
        <w:t>Stebre povezujejo trije horizontalni programi</w:t>
      </w:r>
      <w:r w:rsidRPr="00390BFB">
        <w:rPr>
          <w:rFonts w:cs="Arial"/>
          <w:szCs w:val="20"/>
        </w:rPr>
        <w:t>:</w:t>
      </w:r>
    </w:p>
    <w:p w14:paraId="30940A02" w14:textId="77777777" w:rsidR="00390BFB" w:rsidRPr="00390BFB" w:rsidRDefault="00390BFB" w:rsidP="00390BFB">
      <w:pPr>
        <w:spacing w:line="276" w:lineRule="auto"/>
        <w:ind w:left="720"/>
        <w:contextualSpacing/>
        <w:jc w:val="both"/>
        <w:rPr>
          <w:rFonts w:cs="Arial"/>
          <w:szCs w:val="20"/>
        </w:rPr>
      </w:pPr>
    </w:p>
    <w:p w14:paraId="3A50AD4B" w14:textId="77777777" w:rsidR="00390BFB" w:rsidRPr="00390BFB" w:rsidRDefault="00390BFB" w:rsidP="00390BFB">
      <w:pPr>
        <w:numPr>
          <w:ilvl w:val="2"/>
          <w:numId w:val="6"/>
        </w:numPr>
        <w:spacing w:line="276" w:lineRule="auto"/>
        <w:ind w:left="1800"/>
        <w:contextualSpacing/>
        <w:jc w:val="both"/>
        <w:rPr>
          <w:rFonts w:cs="Arial"/>
          <w:szCs w:val="20"/>
        </w:rPr>
      </w:pPr>
      <w:r w:rsidRPr="00390BFB">
        <w:rPr>
          <w:rFonts w:cs="Arial"/>
          <w:color w:val="000000"/>
          <w:szCs w:val="20"/>
          <w:lang w:eastAsia="sl-SI"/>
        </w:rPr>
        <w:t xml:space="preserve">Ustanovitev slovenskega </w:t>
      </w:r>
      <w:r w:rsidRPr="00390BFB">
        <w:rPr>
          <w:rFonts w:cs="Arial"/>
          <w:b/>
          <w:color w:val="000000"/>
          <w:szCs w:val="20"/>
          <w:u w:val="single"/>
          <w:lang w:eastAsia="sl-SI"/>
        </w:rPr>
        <w:t>centra za prehod v pametno in krožno družbo</w:t>
      </w:r>
      <w:r w:rsidRPr="00390BFB">
        <w:rPr>
          <w:rFonts w:cs="Arial"/>
          <w:color w:val="000000"/>
          <w:szCs w:val="20"/>
          <w:lang w:eastAsia="sl-SI"/>
        </w:rPr>
        <w:t xml:space="preserve">, katerega </w:t>
      </w:r>
      <w:r w:rsidRPr="00390BFB">
        <w:rPr>
          <w:rFonts w:cs="Arial"/>
          <w:szCs w:val="20"/>
        </w:rPr>
        <w:t>ključna</w:t>
      </w:r>
      <w:r w:rsidRPr="00390BFB">
        <w:rPr>
          <w:rFonts w:cs="Arial"/>
          <w:color w:val="000000"/>
          <w:szCs w:val="20"/>
          <w:lang w:eastAsia="sl-SI"/>
        </w:rPr>
        <w:t xml:space="preserve"> naloga je upravljanje celotnega programa, vključno z vzpostavitvijo fizičnega prostora, v katerem bo stičišče za vse deležnike in akterje. </w:t>
      </w:r>
    </w:p>
    <w:p w14:paraId="4414E36C" w14:textId="77777777" w:rsidR="00390BFB" w:rsidRPr="00390BFB" w:rsidRDefault="00390BFB" w:rsidP="00390BFB">
      <w:pPr>
        <w:tabs>
          <w:tab w:val="left" w:pos="2266"/>
        </w:tabs>
        <w:spacing w:line="276" w:lineRule="auto"/>
        <w:jc w:val="both"/>
        <w:rPr>
          <w:rFonts w:cs="Arial"/>
          <w:szCs w:val="20"/>
        </w:rPr>
      </w:pPr>
      <w:r w:rsidRPr="00390BFB">
        <w:rPr>
          <w:rFonts w:cs="Arial"/>
          <w:szCs w:val="20"/>
        </w:rPr>
        <w:tab/>
      </w:r>
    </w:p>
    <w:p w14:paraId="70658384" w14:textId="77777777" w:rsidR="00390BFB" w:rsidRPr="00390BFB" w:rsidRDefault="00390BFB" w:rsidP="00390BFB">
      <w:pPr>
        <w:numPr>
          <w:ilvl w:val="2"/>
          <w:numId w:val="6"/>
        </w:numPr>
        <w:spacing w:line="276" w:lineRule="auto"/>
        <w:ind w:left="1800"/>
        <w:contextualSpacing/>
        <w:jc w:val="both"/>
        <w:rPr>
          <w:rFonts w:cs="Arial"/>
          <w:szCs w:val="20"/>
        </w:rPr>
      </w:pPr>
      <w:r w:rsidRPr="00390BFB">
        <w:rPr>
          <w:rFonts w:cs="Arial"/>
          <w:b/>
          <w:color w:val="000000"/>
          <w:szCs w:val="20"/>
          <w:u w:val="single"/>
          <w:lang w:eastAsia="sl-SI"/>
        </w:rPr>
        <w:t>Transformacijski kapital</w:t>
      </w:r>
      <w:r w:rsidRPr="00390BFB">
        <w:rPr>
          <w:rFonts w:cs="Arial"/>
          <w:color w:val="000000"/>
          <w:szCs w:val="20"/>
          <w:lang w:eastAsia="sl-SI"/>
        </w:rPr>
        <w:t xml:space="preserve"> </w:t>
      </w:r>
      <w:r w:rsidRPr="00390BFB">
        <w:rPr>
          <w:rFonts w:cs="Arial"/>
          <w:szCs w:val="20"/>
        </w:rPr>
        <w:t xml:space="preserve">(»Transformation Capital«) – Ključni namen izvajanja tega programa je omogočiti strateško </w:t>
      </w:r>
      <w:r w:rsidRPr="00390BFB">
        <w:rPr>
          <w:rFonts w:cs="Arial"/>
          <w:color w:val="000000"/>
          <w:szCs w:val="20"/>
          <w:lang w:eastAsia="sl-SI"/>
        </w:rPr>
        <w:t>kombiniranje</w:t>
      </w:r>
      <w:r w:rsidRPr="00390BFB">
        <w:rPr>
          <w:rFonts w:cs="Arial"/>
          <w:szCs w:val="20"/>
        </w:rPr>
        <w:t xml:space="preserve"> različnih virov financiranja in vzpostaviti novo naložbeno logiko, da bomo s porabljenimi sredstvi dosegli ustrezne transformativne učinke.</w:t>
      </w:r>
    </w:p>
    <w:p w14:paraId="017364A1" w14:textId="77777777" w:rsidR="00390BFB" w:rsidRPr="00390BFB" w:rsidRDefault="00390BFB" w:rsidP="00390BFB">
      <w:pPr>
        <w:autoSpaceDE w:val="0"/>
        <w:autoSpaceDN w:val="0"/>
        <w:adjustRightInd w:val="0"/>
        <w:spacing w:line="276" w:lineRule="auto"/>
        <w:jc w:val="both"/>
        <w:rPr>
          <w:rFonts w:cs="Arial"/>
          <w:szCs w:val="20"/>
        </w:rPr>
      </w:pPr>
    </w:p>
    <w:p w14:paraId="42E829C3" w14:textId="77777777" w:rsidR="00390BFB" w:rsidRPr="00390BFB" w:rsidRDefault="00390BFB" w:rsidP="00390BFB">
      <w:pPr>
        <w:numPr>
          <w:ilvl w:val="2"/>
          <w:numId w:val="6"/>
        </w:numPr>
        <w:spacing w:line="276" w:lineRule="auto"/>
        <w:ind w:left="1800"/>
        <w:contextualSpacing/>
        <w:jc w:val="both"/>
        <w:rPr>
          <w:rFonts w:cs="Arial"/>
          <w:szCs w:val="20"/>
        </w:rPr>
      </w:pPr>
      <w:r w:rsidRPr="00390BFB">
        <w:rPr>
          <w:rFonts w:cs="Arial"/>
          <w:b/>
          <w:szCs w:val="20"/>
          <w:u w:val="single"/>
        </w:rPr>
        <w:t>Krožni piloti</w:t>
      </w:r>
      <w:r w:rsidRPr="00390BFB">
        <w:rPr>
          <w:rFonts w:cs="Arial"/>
          <w:b/>
          <w:szCs w:val="20"/>
        </w:rPr>
        <w:t xml:space="preserve"> </w:t>
      </w:r>
      <w:r w:rsidRPr="00390BFB">
        <w:rPr>
          <w:rFonts w:cs="Arial"/>
          <w:szCs w:val="20"/>
        </w:rPr>
        <w:t xml:space="preserve">(»Circular Transition Pilots«) – je sklop programov, ki izhaja iz področij, ki so identificirana v okviru Slovenske strategije pametne specializacije in ki so jih prepoznali tudi pripravljavci Kažipota Slovenije za </w:t>
      </w:r>
      <w:r w:rsidRPr="00390BFB">
        <w:rPr>
          <w:rFonts w:cs="Arial"/>
          <w:color w:val="000000"/>
          <w:szCs w:val="20"/>
          <w:lang w:eastAsia="sl-SI"/>
        </w:rPr>
        <w:t>prehod</w:t>
      </w:r>
      <w:r w:rsidRPr="00390BFB">
        <w:rPr>
          <w:rFonts w:cs="Arial"/>
          <w:szCs w:val="20"/>
        </w:rPr>
        <w:t xml:space="preserve"> v krožno gospodarstvo. Posamezni programi bodo prispevali k oblikovanju poti/temeljev za razogljičenje in prehod v krožne poslovne modele na področju vseh industrij in še specifično na petih ključnih sektorjih/področjih:</w:t>
      </w:r>
    </w:p>
    <w:p w14:paraId="5F96FD4C" w14:textId="77777777" w:rsidR="00390BFB" w:rsidRPr="00390BFB" w:rsidRDefault="00390BFB" w:rsidP="00390BFB">
      <w:pPr>
        <w:numPr>
          <w:ilvl w:val="2"/>
          <w:numId w:val="6"/>
        </w:numPr>
        <w:autoSpaceDE w:val="0"/>
        <w:autoSpaceDN w:val="0"/>
        <w:adjustRightInd w:val="0"/>
        <w:spacing w:line="276" w:lineRule="auto"/>
        <w:contextualSpacing/>
        <w:jc w:val="both"/>
        <w:rPr>
          <w:rFonts w:cs="Arial"/>
          <w:szCs w:val="20"/>
        </w:rPr>
      </w:pPr>
      <w:r w:rsidRPr="00390BFB">
        <w:rPr>
          <w:rFonts w:cs="Arial"/>
          <w:i/>
          <w:szCs w:val="20"/>
        </w:rPr>
        <w:t>Vse industrije</w:t>
      </w:r>
      <w:r w:rsidRPr="00390BFB">
        <w:rPr>
          <w:rFonts w:cs="Arial"/>
          <w:b/>
          <w:szCs w:val="20"/>
        </w:rPr>
        <w:t xml:space="preserve"> </w:t>
      </w:r>
      <w:r w:rsidRPr="00390BFB">
        <w:rPr>
          <w:rFonts w:cs="Arial"/>
          <w:szCs w:val="20"/>
        </w:rPr>
        <w:t>(All industries) predstavlja podlago za izvajanje vseh ostalih projektov v okviru tega programa, pridobivanje vpogleda za oblikovanje okvira/obsega posameznih ukrepov za učinkovit prehod v nizkoogljično krožno gospodarstvo.</w:t>
      </w:r>
    </w:p>
    <w:p w14:paraId="3E8041A6" w14:textId="2BB237B3" w:rsidR="00390BFB" w:rsidRPr="00390BFB" w:rsidRDefault="00390BFB" w:rsidP="00390BFB">
      <w:pPr>
        <w:numPr>
          <w:ilvl w:val="2"/>
          <w:numId w:val="6"/>
        </w:numPr>
        <w:autoSpaceDE w:val="0"/>
        <w:autoSpaceDN w:val="0"/>
        <w:adjustRightInd w:val="0"/>
        <w:spacing w:line="276" w:lineRule="auto"/>
        <w:contextualSpacing/>
        <w:jc w:val="both"/>
        <w:rPr>
          <w:rFonts w:cs="Arial"/>
          <w:szCs w:val="20"/>
        </w:rPr>
      </w:pPr>
      <w:r w:rsidRPr="00390BFB">
        <w:rPr>
          <w:rFonts w:cs="Arial"/>
          <w:i/>
          <w:szCs w:val="20"/>
        </w:rPr>
        <w:t>Gozdarstvo</w:t>
      </w:r>
      <w:r w:rsidRPr="00390BFB">
        <w:rPr>
          <w:rFonts w:cs="Arial"/>
          <w:szCs w:val="20"/>
        </w:rPr>
        <w:t xml:space="preserve"> </w:t>
      </w:r>
      <w:r w:rsidR="005D390A" w:rsidRPr="0042121F">
        <w:rPr>
          <w:rFonts w:cs="Arial"/>
          <w:i/>
          <w:szCs w:val="20"/>
        </w:rPr>
        <w:t>oziroma gozdno lesna veriga</w:t>
      </w:r>
      <w:r w:rsidR="005D390A">
        <w:rPr>
          <w:rFonts w:cs="Arial"/>
          <w:szCs w:val="20"/>
        </w:rPr>
        <w:t xml:space="preserve"> </w:t>
      </w:r>
      <w:r w:rsidRPr="00390BFB">
        <w:rPr>
          <w:rFonts w:cs="Arial"/>
          <w:szCs w:val="20"/>
        </w:rPr>
        <w:t xml:space="preserve">– </w:t>
      </w:r>
      <w:r w:rsidR="005D390A">
        <w:rPr>
          <w:rFonts w:cs="Arial"/>
          <w:szCs w:val="20"/>
        </w:rPr>
        <w:t>zagotovitev zadostnih količin kakovostnega lesa, pospeševanje uporabe sodobnih tehnologij predelave z ustrezno dodano vrednostjo na vseh ravneh, do oblikovanja in trženja ter primerne izrabe vsega lesa v verigi.</w:t>
      </w:r>
    </w:p>
    <w:p w14:paraId="59634C81" w14:textId="77777777" w:rsidR="00390BFB" w:rsidRPr="00390BFB" w:rsidRDefault="00390BFB" w:rsidP="00390BFB">
      <w:pPr>
        <w:numPr>
          <w:ilvl w:val="2"/>
          <w:numId w:val="6"/>
        </w:numPr>
        <w:autoSpaceDE w:val="0"/>
        <w:autoSpaceDN w:val="0"/>
        <w:adjustRightInd w:val="0"/>
        <w:spacing w:line="276" w:lineRule="auto"/>
        <w:contextualSpacing/>
        <w:jc w:val="both"/>
        <w:rPr>
          <w:rFonts w:cs="Arial"/>
          <w:szCs w:val="20"/>
        </w:rPr>
      </w:pPr>
      <w:r w:rsidRPr="00390BFB">
        <w:rPr>
          <w:rFonts w:cs="Arial"/>
          <w:i/>
          <w:szCs w:val="20"/>
        </w:rPr>
        <w:t>Predelovalne dejavnosti</w:t>
      </w:r>
      <w:r w:rsidRPr="00390BFB">
        <w:rPr>
          <w:rFonts w:cs="Arial"/>
          <w:szCs w:val="20"/>
        </w:rPr>
        <w:t xml:space="preserve"> – ocena tveganja, javni razpisi s poudarkom na ekodizajnu, krožnosti nevarnih odpadkov, novih materialih, poslovnih modelih z razširjeno odgovornostjo proizvajalca …</w:t>
      </w:r>
    </w:p>
    <w:p w14:paraId="517ACA7A" w14:textId="77777777" w:rsidR="00390BFB" w:rsidRPr="00390BFB" w:rsidRDefault="00390BFB" w:rsidP="00390BFB">
      <w:pPr>
        <w:numPr>
          <w:ilvl w:val="2"/>
          <w:numId w:val="6"/>
        </w:numPr>
        <w:autoSpaceDE w:val="0"/>
        <w:autoSpaceDN w:val="0"/>
        <w:adjustRightInd w:val="0"/>
        <w:spacing w:line="276" w:lineRule="auto"/>
        <w:contextualSpacing/>
        <w:jc w:val="both"/>
        <w:rPr>
          <w:rFonts w:cs="Arial"/>
          <w:szCs w:val="20"/>
        </w:rPr>
      </w:pPr>
      <w:r w:rsidRPr="00390BFB">
        <w:rPr>
          <w:rFonts w:cs="Arial"/>
          <w:i/>
          <w:szCs w:val="20"/>
        </w:rPr>
        <w:t xml:space="preserve">Mobilnost </w:t>
      </w:r>
      <w:r w:rsidRPr="00390BFB">
        <w:rPr>
          <w:rFonts w:cs="Arial"/>
          <w:szCs w:val="20"/>
        </w:rPr>
        <w:t>– shema uporabe večmodalne mobilnosti, piloti na področju mobilnosti …</w:t>
      </w:r>
    </w:p>
    <w:p w14:paraId="6EB68D73" w14:textId="77777777" w:rsidR="00390BFB" w:rsidRPr="00390BFB" w:rsidRDefault="00390BFB" w:rsidP="00390BFB">
      <w:pPr>
        <w:numPr>
          <w:ilvl w:val="2"/>
          <w:numId w:val="6"/>
        </w:numPr>
        <w:autoSpaceDE w:val="0"/>
        <w:autoSpaceDN w:val="0"/>
        <w:adjustRightInd w:val="0"/>
        <w:spacing w:line="276" w:lineRule="auto"/>
        <w:contextualSpacing/>
        <w:jc w:val="both"/>
        <w:rPr>
          <w:rFonts w:cs="Arial"/>
          <w:szCs w:val="20"/>
        </w:rPr>
      </w:pPr>
      <w:r w:rsidRPr="00390BFB">
        <w:rPr>
          <w:rFonts w:cs="Arial"/>
          <w:i/>
          <w:szCs w:val="20"/>
        </w:rPr>
        <w:t xml:space="preserve">Hrana </w:t>
      </w:r>
      <w:r w:rsidRPr="00390BFB">
        <w:rPr>
          <w:rFonts w:cs="Arial"/>
          <w:szCs w:val="20"/>
        </w:rPr>
        <w:t>– lokalna nizkoogljična pridelava in predelava, bioodpadki, spreminjanje potrošnih navad, alternativne sestavine.</w:t>
      </w:r>
    </w:p>
    <w:p w14:paraId="6C5D5A87" w14:textId="77777777" w:rsidR="00390BFB" w:rsidRPr="00390BFB" w:rsidRDefault="00390BFB" w:rsidP="00390BFB">
      <w:pPr>
        <w:numPr>
          <w:ilvl w:val="2"/>
          <w:numId w:val="6"/>
        </w:numPr>
        <w:autoSpaceDE w:val="0"/>
        <w:autoSpaceDN w:val="0"/>
        <w:adjustRightInd w:val="0"/>
        <w:spacing w:line="276" w:lineRule="auto"/>
        <w:contextualSpacing/>
        <w:jc w:val="both"/>
        <w:rPr>
          <w:rFonts w:cs="Arial"/>
          <w:szCs w:val="20"/>
        </w:rPr>
      </w:pPr>
      <w:r w:rsidRPr="00390BFB">
        <w:rPr>
          <w:rFonts w:cs="Arial"/>
          <w:i/>
          <w:szCs w:val="20"/>
        </w:rPr>
        <w:t>Grajeno okolje</w:t>
      </w:r>
      <w:r w:rsidRPr="00390BFB">
        <w:rPr>
          <w:rFonts w:cs="Arial"/>
          <w:szCs w:val="20"/>
        </w:rPr>
        <w:t xml:space="preserve"> – vzpostavitev spodbud za gradbene projekte, da se omogoči večjo uporabo krožnih gradbenih metod, materialov …</w:t>
      </w:r>
    </w:p>
    <w:p w14:paraId="5466E0A8" w14:textId="77777777" w:rsidR="00390BFB" w:rsidRPr="00390BFB" w:rsidRDefault="00390BFB" w:rsidP="00390BFB">
      <w:pPr>
        <w:autoSpaceDE w:val="0"/>
        <w:autoSpaceDN w:val="0"/>
        <w:adjustRightInd w:val="0"/>
        <w:spacing w:line="276" w:lineRule="auto"/>
        <w:jc w:val="both"/>
        <w:rPr>
          <w:rFonts w:cs="Arial"/>
          <w:szCs w:val="20"/>
        </w:rPr>
      </w:pPr>
    </w:p>
    <w:p w14:paraId="09C5715D" w14:textId="77777777" w:rsidR="00390BFB" w:rsidRPr="00390BFB" w:rsidRDefault="00390BFB" w:rsidP="00390BFB">
      <w:pPr>
        <w:autoSpaceDE w:val="0"/>
        <w:autoSpaceDN w:val="0"/>
        <w:adjustRightInd w:val="0"/>
        <w:spacing w:line="276" w:lineRule="auto"/>
        <w:jc w:val="both"/>
        <w:rPr>
          <w:rFonts w:cs="Arial"/>
          <w:szCs w:val="20"/>
        </w:rPr>
      </w:pPr>
      <w:r w:rsidRPr="00390BFB">
        <w:rPr>
          <w:rFonts w:cs="Arial"/>
          <w:szCs w:val="20"/>
        </w:rPr>
        <w:t>Spodaj je shematski prikaz vseh programov in njihove medsebojne povezanosti</w:t>
      </w:r>
    </w:p>
    <w:p w14:paraId="769AB893" w14:textId="77777777" w:rsidR="00390BFB" w:rsidRPr="00390BFB" w:rsidRDefault="00390BFB" w:rsidP="00390BFB">
      <w:pPr>
        <w:autoSpaceDE w:val="0"/>
        <w:autoSpaceDN w:val="0"/>
        <w:adjustRightInd w:val="0"/>
        <w:spacing w:line="276" w:lineRule="auto"/>
        <w:jc w:val="both"/>
        <w:rPr>
          <w:rFonts w:cs="Arial"/>
          <w:szCs w:val="20"/>
        </w:rPr>
      </w:pPr>
      <w:r w:rsidRPr="00390BFB">
        <w:rPr>
          <w:noProof/>
          <w:lang w:eastAsia="sl-SI"/>
        </w:rPr>
        <w:lastRenderedPageBreak/>
        <w:drawing>
          <wp:inline distT="0" distB="0" distL="0" distR="0" wp14:anchorId="07638912" wp14:editId="108E36DC">
            <wp:extent cx="5581015" cy="3723005"/>
            <wp:effectExtent l="0" t="0" r="63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81015" cy="3723005"/>
                    </a:xfrm>
                    <a:prstGeom prst="rect">
                      <a:avLst/>
                    </a:prstGeom>
                  </pic:spPr>
                </pic:pic>
              </a:graphicData>
            </a:graphic>
          </wp:inline>
        </w:drawing>
      </w:r>
    </w:p>
    <w:p w14:paraId="28A7DDA9" w14:textId="77777777" w:rsidR="00390BFB" w:rsidRPr="00390BFB" w:rsidRDefault="00390BFB" w:rsidP="00390BFB">
      <w:pPr>
        <w:spacing w:line="276" w:lineRule="auto"/>
        <w:jc w:val="both"/>
        <w:rPr>
          <w:rFonts w:cs="Arial"/>
          <w:szCs w:val="20"/>
        </w:rPr>
      </w:pPr>
    </w:p>
    <w:p w14:paraId="4AEF526B" w14:textId="77777777" w:rsidR="00390BFB" w:rsidRPr="00390BFB" w:rsidRDefault="00390BFB" w:rsidP="00390BFB">
      <w:pPr>
        <w:spacing w:line="276" w:lineRule="auto"/>
        <w:jc w:val="both"/>
        <w:rPr>
          <w:rFonts w:cs="Arial"/>
          <w:szCs w:val="20"/>
        </w:rPr>
      </w:pPr>
    </w:p>
    <w:p w14:paraId="5A39AB49" w14:textId="77777777" w:rsidR="00390BFB" w:rsidRPr="00390BFB" w:rsidRDefault="00390BFB" w:rsidP="00390BFB">
      <w:pPr>
        <w:numPr>
          <w:ilvl w:val="0"/>
          <w:numId w:val="6"/>
        </w:numPr>
        <w:spacing w:line="276" w:lineRule="auto"/>
        <w:contextualSpacing/>
        <w:jc w:val="both"/>
        <w:rPr>
          <w:rFonts w:cs="Arial"/>
          <w:szCs w:val="20"/>
        </w:rPr>
      </w:pPr>
      <w:r w:rsidRPr="00390BFB">
        <w:rPr>
          <w:rFonts w:cs="Arial"/>
          <w:b/>
          <w:szCs w:val="20"/>
        </w:rPr>
        <w:t>Predlog strateškega projekta je IZHODIŠČE za dokončno opredelitev vsebinskih in finančnih okvirov</w:t>
      </w:r>
      <w:r w:rsidRPr="00390BFB">
        <w:rPr>
          <w:rFonts w:cs="Arial"/>
          <w:szCs w:val="20"/>
        </w:rPr>
        <w:t>. Oboje je odvisno od stopnje ambicije, ki jo z njegovim izvajanjem želi zasledovati Republika Slovenija.</w:t>
      </w:r>
    </w:p>
    <w:p w14:paraId="716CF63E" w14:textId="77777777" w:rsidR="00390BFB" w:rsidRPr="00390BFB" w:rsidRDefault="00390BFB" w:rsidP="00390BFB">
      <w:pPr>
        <w:spacing w:line="276" w:lineRule="auto"/>
        <w:jc w:val="both"/>
        <w:rPr>
          <w:rFonts w:cs="Arial"/>
          <w:szCs w:val="20"/>
        </w:rPr>
      </w:pPr>
    </w:p>
    <w:p w14:paraId="7C2FA9D9" w14:textId="77777777" w:rsidR="00390BFB" w:rsidRPr="00390BFB" w:rsidRDefault="00390BFB" w:rsidP="00390BFB">
      <w:pPr>
        <w:numPr>
          <w:ilvl w:val="0"/>
          <w:numId w:val="11"/>
        </w:numPr>
        <w:spacing w:line="276" w:lineRule="auto"/>
        <w:contextualSpacing/>
        <w:jc w:val="both"/>
        <w:rPr>
          <w:rFonts w:cs="Arial"/>
          <w:b/>
          <w:szCs w:val="20"/>
        </w:rPr>
      </w:pPr>
      <w:r w:rsidRPr="00390BFB">
        <w:rPr>
          <w:rFonts w:cs="Arial"/>
          <w:b/>
          <w:szCs w:val="20"/>
        </w:rPr>
        <w:t>Utemeljitev za izvajanje celovitega strateškega projekta razogljičenja ter prehoda v krožno gospodarstvo</w:t>
      </w:r>
    </w:p>
    <w:p w14:paraId="4B93D774" w14:textId="77777777" w:rsidR="00390BFB" w:rsidRPr="00390BFB" w:rsidRDefault="00390BFB" w:rsidP="00390BFB">
      <w:pPr>
        <w:spacing w:line="276" w:lineRule="auto"/>
        <w:jc w:val="both"/>
        <w:rPr>
          <w:rFonts w:cs="Arial"/>
          <w:szCs w:val="20"/>
        </w:rPr>
      </w:pPr>
    </w:p>
    <w:p w14:paraId="01BD4D18" w14:textId="77777777" w:rsidR="00390BFB" w:rsidRPr="00390BFB" w:rsidRDefault="00390BFB" w:rsidP="00390BFB">
      <w:pPr>
        <w:numPr>
          <w:ilvl w:val="0"/>
          <w:numId w:val="6"/>
        </w:numPr>
        <w:spacing w:line="276" w:lineRule="auto"/>
        <w:contextualSpacing/>
        <w:jc w:val="both"/>
        <w:rPr>
          <w:rFonts w:cs="Arial"/>
          <w:szCs w:val="20"/>
        </w:rPr>
      </w:pPr>
      <w:r w:rsidRPr="00390BFB">
        <w:rPr>
          <w:rFonts w:cs="Arial"/>
          <w:szCs w:val="20"/>
        </w:rPr>
        <w:t xml:space="preserve">Z izvajanjem tega strateškega projekta bomo prispevali k doseganju več ciljev različnih strategij in programov, poleg tega bomo z ukrepi odpravili nekatere ključne vrzeli in pomanjkljivosti, ki nam otežkočajo prehod v nizkoogljično krožno gospodarstvo.  </w:t>
      </w:r>
    </w:p>
    <w:p w14:paraId="56433DED" w14:textId="77777777" w:rsidR="00390BFB" w:rsidRPr="00390BFB" w:rsidRDefault="00390BFB" w:rsidP="00390BFB">
      <w:pPr>
        <w:spacing w:line="276" w:lineRule="auto"/>
        <w:jc w:val="both"/>
        <w:rPr>
          <w:rFonts w:cs="Arial"/>
          <w:szCs w:val="20"/>
        </w:rPr>
      </w:pPr>
    </w:p>
    <w:p w14:paraId="6CAB8D61" w14:textId="77777777" w:rsidR="00390BFB" w:rsidRPr="00390BFB" w:rsidRDefault="00390BFB" w:rsidP="00390BFB">
      <w:pPr>
        <w:numPr>
          <w:ilvl w:val="0"/>
          <w:numId w:val="6"/>
        </w:numPr>
        <w:spacing w:line="276" w:lineRule="auto"/>
        <w:contextualSpacing/>
        <w:jc w:val="both"/>
        <w:rPr>
          <w:rFonts w:cs="Arial"/>
          <w:szCs w:val="20"/>
        </w:rPr>
      </w:pPr>
      <w:r w:rsidRPr="00390BFB">
        <w:rPr>
          <w:rFonts w:cs="Arial"/>
          <w:b/>
          <w:szCs w:val="20"/>
        </w:rPr>
        <w:t>Strategija razvoja Slovenije 2030</w:t>
      </w:r>
      <w:r w:rsidRPr="00390BFB">
        <w:rPr>
          <w:rFonts w:cs="Arial"/>
          <w:szCs w:val="20"/>
        </w:rPr>
        <w:t xml:space="preserve"> je krovni strateški razvojni dokument Republike Slovenije, ki si za osrednji cilj postavlja zagotoviti kakovostno življenje za vse, poleg tega pa opredeljuje tudi 12 razvojnih ciljev. Izvajanje tega projekta bo v prvi vrsti seveda prispevalo k doseganju cilja 8 – nizkoogljično krožno gospodarstvo, poleg tega pa tudi k doseganju cilja 6 – konkurenčen in družbeno odgovoren podjetniški in raziskovalni sektor, cilja 2 – znanje in spretnosti za kakovostno življenje in delo, cilja 9 – trajnostno upravljanje naravnih virov ter cilja 12 – učinkovito upravljanje in kakovostne javne storitve.</w:t>
      </w:r>
    </w:p>
    <w:p w14:paraId="0C5BC2BE" w14:textId="77777777" w:rsidR="00390BFB" w:rsidRPr="00390BFB" w:rsidRDefault="00390BFB" w:rsidP="00390BFB">
      <w:pPr>
        <w:spacing w:line="276" w:lineRule="auto"/>
        <w:ind w:left="720"/>
        <w:contextualSpacing/>
        <w:jc w:val="both"/>
        <w:rPr>
          <w:rFonts w:cs="Arial"/>
          <w:b/>
          <w:szCs w:val="20"/>
        </w:rPr>
      </w:pPr>
    </w:p>
    <w:p w14:paraId="374ABA48" w14:textId="77777777" w:rsidR="00390BFB" w:rsidRPr="00390BFB" w:rsidRDefault="00390BFB" w:rsidP="00390BFB">
      <w:pPr>
        <w:numPr>
          <w:ilvl w:val="0"/>
          <w:numId w:val="6"/>
        </w:numPr>
        <w:spacing w:line="276" w:lineRule="auto"/>
        <w:contextualSpacing/>
        <w:jc w:val="both"/>
        <w:rPr>
          <w:rFonts w:cs="Arial"/>
          <w:szCs w:val="20"/>
        </w:rPr>
      </w:pPr>
      <w:r w:rsidRPr="00390BFB">
        <w:rPr>
          <w:rFonts w:cs="Arial"/>
          <w:b/>
          <w:szCs w:val="20"/>
        </w:rPr>
        <w:t>Poročilo o razvoju 2019</w:t>
      </w:r>
      <w:r w:rsidRPr="00390BFB">
        <w:rPr>
          <w:rFonts w:cs="Arial"/>
          <w:szCs w:val="20"/>
        </w:rPr>
        <w:t xml:space="preserve"> med priporočili za boljše izvajanje Strategije razvoja Slovenije 2030 priporoča osredotočanje na štiri vsebinska področja. </w:t>
      </w:r>
      <w:r w:rsidRPr="00390BFB">
        <w:rPr>
          <w:rFonts w:cs="Arial"/>
          <w:b/>
          <w:szCs w:val="20"/>
        </w:rPr>
        <w:t>Predlagani strateški projekt vključuje vsebine kar treh med njimi</w:t>
      </w:r>
      <w:r w:rsidRPr="00390BFB">
        <w:rPr>
          <w:rFonts w:cs="Arial"/>
          <w:szCs w:val="20"/>
        </w:rPr>
        <w:t xml:space="preserve"> in precejšnjega števila specifičnih priporočil znotraj posameznega vsebinskega fokusa:</w:t>
      </w:r>
    </w:p>
    <w:p w14:paraId="48D92C08" w14:textId="77777777" w:rsidR="00390BFB" w:rsidRPr="00390BFB" w:rsidRDefault="00390BFB" w:rsidP="00390BFB">
      <w:pPr>
        <w:numPr>
          <w:ilvl w:val="1"/>
          <w:numId w:val="12"/>
        </w:numPr>
        <w:spacing w:line="276" w:lineRule="auto"/>
        <w:contextualSpacing/>
        <w:jc w:val="both"/>
        <w:rPr>
          <w:rFonts w:cs="Arial"/>
          <w:szCs w:val="20"/>
        </w:rPr>
      </w:pPr>
      <w:r w:rsidRPr="00390BFB">
        <w:rPr>
          <w:rFonts w:cs="Arial"/>
          <w:szCs w:val="20"/>
        </w:rPr>
        <w:t xml:space="preserve">pospešitev rasti produktivnosti za gospodarski napredek in dvig življenjskega standarda prebivalstva: </w:t>
      </w:r>
    </w:p>
    <w:p w14:paraId="4E7AFA82" w14:textId="77777777" w:rsidR="00390BFB" w:rsidRPr="00390BFB" w:rsidRDefault="00390BFB" w:rsidP="00390BFB">
      <w:pPr>
        <w:numPr>
          <w:ilvl w:val="2"/>
          <w:numId w:val="12"/>
        </w:numPr>
        <w:spacing w:line="276" w:lineRule="auto"/>
        <w:contextualSpacing/>
        <w:jc w:val="both"/>
        <w:rPr>
          <w:rFonts w:cs="Arial"/>
          <w:szCs w:val="20"/>
        </w:rPr>
      </w:pPr>
      <w:r w:rsidRPr="00390BFB">
        <w:rPr>
          <w:rFonts w:cs="Arial"/>
          <w:szCs w:val="20"/>
        </w:rPr>
        <w:t>podpora raziskavam;</w:t>
      </w:r>
    </w:p>
    <w:p w14:paraId="5EE931A1" w14:textId="77777777" w:rsidR="00390BFB" w:rsidRPr="00390BFB" w:rsidRDefault="00390BFB" w:rsidP="00390BFB">
      <w:pPr>
        <w:numPr>
          <w:ilvl w:val="2"/>
          <w:numId w:val="12"/>
        </w:numPr>
        <w:spacing w:line="276" w:lineRule="auto"/>
        <w:contextualSpacing/>
        <w:jc w:val="both"/>
        <w:rPr>
          <w:rFonts w:cs="Arial"/>
          <w:szCs w:val="20"/>
        </w:rPr>
      </w:pPr>
      <w:r w:rsidRPr="00390BFB">
        <w:rPr>
          <w:rFonts w:cs="Arial"/>
          <w:szCs w:val="20"/>
        </w:rPr>
        <w:t>prilagajanje izobraževanja;</w:t>
      </w:r>
    </w:p>
    <w:p w14:paraId="3321D69D" w14:textId="77777777" w:rsidR="00390BFB" w:rsidRPr="00390BFB" w:rsidRDefault="00390BFB" w:rsidP="00390BFB">
      <w:pPr>
        <w:numPr>
          <w:ilvl w:val="1"/>
          <w:numId w:val="12"/>
        </w:numPr>
        <w:spacing w:line="276" w:lineRule="auto"/>
        <w:contextualSpacing/>
        <w:jc w:val="both"/>
        <w:rPr>
          <w:rFonts w:cs="Arial"/>
          <w:b/>
          <w:szCs w:val="20"/>
        </w:rPr>
      </w:pPr>
      <w:r w:rsidRPr="00390BFB">
        <w:rPr>
          <w:rFonts w:cs="Arial"/>
          <w:szCs w:val="20"/>
        </w:rPr>
        <w:t>prehod v nizkoogljično krožno gospodarstvo za manjše obremenjevanja okolja in večjo konkurenčnost gospodarstva:</w:t>
      </w:r>
    </w:p>
    <w:p w14:paraId="343318CE" w14:textId="77777777" w:rsidR="00390BFB" w:rsidRPr="00390BFB" w:rsidRDefault="00390BFB" w:rsidP="00390BFB">
      <w:pPr>
        <w:numPr>
          <w:ilvl w:val="2"/>
          <w:numId w:val="12"/>
        </w:numPr>
        <w:spacing w:line="276" w:lineRule="auto"/>
        <w:contextualSpacing/>
        <w:jc w:val="both"/>
        <w:rPr>
          <w:rFonts w:cs="Arial"/>
          <w:b/>
          <w:szCs w:val="20"/>
        </w:rPr>
      </w:pPr>
      <w:r w:rsidRPr="00390BFB">
        <w:rPr>
          <w:rFonts w:cs="Arial"/>
          <w:szCs w:val="20"/>
        </w:rPr>
        <w:lastRenderedPageBreak/>
        <w:t>učinkovitejše izkoriščanje naravnih virov;</w:t>
      </w:r>
    </w:p>
    <w:p w14:paraId="274B7386" w14:textId="77777777" w:rsidR="00390BFB" w:rsidRPr="00390BFB" w:rsidRDefault="00390BFB" w:rsidP="00390BFB">
      <w:pPr>
        <w:numPr>
          <w:ilvl w:val="2"/>
          <w:numId w:val="12"/>
        </w:numPr>
        <w:spacing w:line="276" w:lineRule="auto"/>
        <w:contextualSpacing/>
        <w:jc w:val="both"/>
        <w:rPr>
          <w:rFonts w:cs="Arial"/>
          <w:b/>
          <w:szCs w:val="20"/>
        </w:rPr>
      </w:pPr>
      <w:r w:rsidRPr="00390BFB">
        <w:rPr>
          <w:rFonts w:cs="Arial"/>
          <w:szCs w:val="20"/>
        </w:rPr>
        <w:t>trajnostna mobilnost;</w:t>
      </w:r>
    </w:p>
    <w:p w14:paraId="149BA99C" w14:textId="77777777" w:rsidR="00390BFB" w:rsidRPr="00390BFB" w:rsidRDefault="00390BFB" w:rsidP="00390BFB">
      <w:pPr>
        <w:numPr>
          <w:ilvl w:val="2"/>
          <w:numId w:val="12"/>
        </w:numPr>
        <w:spacing w:line="276" w:lineRule="auto"/>
        <w:contextualSpacing/>
        <w:jc w:val="both"/>
        <w:rPr>
          <w:rFonts w:cs="Arial"/>
          <w:b/>
          <w:szCs w:val="20"/>
        </w:rPr>
      </w:pPr>
      <w:r w:rsidRPr="00390BFB">
        <w:rPr>
          <w:rFonts w:cs="Arial"/>
          <w:szCs w:val="20"/>
        </w:rPr>
        <w:t>izobraževanje in ozaveščanje;</w:t>
      </w:r>
    </w:p>
    <w:p w14:paraId="32C6758D" w14:textId="77777777" w:rsidR="00390BFB" w:rsidRPr="00390BFB" w:rsidRDefault="00390BFB" w:rsidP="00390BFB">
      <w:pPr>
        <w:numPr>
          <w:ilvl w:val="1"/>
          <w:numId w:val="12"/>
        </w:numPr>
        <w:spacing w:line="276" w:lineRule="auto"/>
        <w:contextualSpacing/>
        <w:jc w:val="both"/>
        <w:rPr>
          <w:rFonts w:cs="Arial"/>
          <w:b/>
          <w:szCs w:val="20"/>
        </w:rPr>
      </w:pPr>
      <w:r w:rsidRPr="00390BFB">
        <w:rPr>
          <w:rFonts w:cs="Arial"/>
          <w:szCs w:val="20"/>
        </w:rPr>
        <w:t>krepitev razvojne vloge države in njenih institucij:</w:t>
      </w:r>
    </w:p>
    <w:p w14:paraId="02987EB0" w14:textId="77777777" w:rsidR="00390BFB" w:rsidRPr="00390BFB" w:rsidRDefault="00390BFB" w:rsidP="00390BFB">
      <w:pPr>
        <w:numPr>
          <w:ilvl w:val="2"/>
          <w:numId w:val="12"/>
        </w:numPr>
        <w:spacing w:line="276" w:lineRule="auto"/>
        <w:contextualSpacing/>
        <w:jc w:val="both"/>
        <w:rPr>
          <w:rFonts w:cs="Arial"/>
          <w:b/>
          <w:szCs w:val="20"/>
        </w:rPr>
      </w:pPr>
      <w:r w:rsidRPr="00390BFB">
        <w:rPr>
          <w:rFonts w:cs="Arial"/>
          <w:szCs w:val="20"/>
        </w:rPr>
        <w:t>izboljšanje strateškega upravljanja javnih institucij;</w:t>
      </w:r>
    </w:p>
    <w:p w14:paraId="2F40DEF6" w14:textId="77777777" w:rsidR="00390BFB" w:rsidRPr="00390BFB" w:rsidRDefault="00390BFB" w:rsidP="00390BFB">
      <w:pPr>
        <w:numPr>
          <w:ilvl w:val="2"/>
          <w:numId w:val="12"/>
        </w:numPr>
        <w:spacing w:line="276" w:lineRule="auto"/>
        <w:contextualSpacing/>
        <w:jc w:val="both"/>
        <w:rPr>
          <w:rFonts w:cs="Arial"/>
          <w:b/>
          <w:szCs w:val="20"/>
        </w:rPr>
      </w:pPr>
      <w:r w:rsidRPr="00390BFB">
        <w:rPr>
          <w:rFonts w:cs="Arial"/>
          <w:szCs w:val="20"/>
        </w:rPr>
        <w:t xml:space="preserve">izboljšanje zakonodajnega in poslovnega okolja. </w:t>
      </w:r>
    </w:p>
    <w:p w14:paraId="66B63F9C" w14:textId="77777777" w:rsidR="00390BFB" w:rsidRPr="00390BFB" w:rsidRDefault="00390BFB" w:rsidP="00390BFB">
      <w:pPr>
        <w:spacing w:line="276" w:lineRule="auto"/>
        <w:ind w:left="720"/>
        <w:contextualSpacing/>
        <w:jc w:val="both"/>
        <w:rPr>
          <w:rFonts w:cs="Arial"/>
          <w:b/>
          <w:szCs w:val="20"/>
        </w:rPr>
      </w:pPr>
    </w:p>
    <w:p w14:paraId="78B33602" w14:textId="77777777" w:rsidR="00390BFB" w:rsidRPr="00390BFB" w:rsidRDefault="00390BFB" w:rsidP="00390BFB">
      <w:pPr>
        <w:numPr>
          <w:ilvl w:val="0"/>
          <w:numId w:val="6"/>
        </w:numPr>
        <w:spacing w:line="276" w:lineRule="auto"/>
        <w:contextualSpacing/>
        <w:jc w:val="both"/>
        <w:rPr>
          <w:rFonts w:cs="Arial"/>
          <w:szCs w:val="20"/>
        </w:rPr>
      </w:pPr>
      <w:r w:rsidRPr="00390BFB">
        <w:rPr>
          <w:rFonts w:cs="Arial"/>
          <w:szCs w:val="20"/>
        </w:rPr>
        <w:t xml:space="preserve">Slovenija se sooča s strukturnim problemom nizke snovne, energetske in emisijske produktivnosti in v vseh treh komponentah zaostaja za povprečjem EU-28. Poleg tega je naša država tudi močno odvisna od uvoza surovin in energentov. Ti dve dejstvi za Slovenijo predstavljata dolgoročno tveganje. Na globalnih trgih se namreč povečuje povpraševanja po dostopu do ključnih surovin, poleg tega se zaradi težje dostopnosti draži tudi njihovo pridobivanje. Vse to že vpliva, še bolj pa bo v prihodnje, na rast cen surovin in energentov na globalnih trgih, mogoče pa je tudi pričakovati, da bodo države, ki so bogate z viri, omejile njihov izvoz. </w:t>
      </w:r>
    </w:p>
    <w:p w14:paraId="0E2BF1FA" w14:textId="77777777" w:rsidR="00390BFB" w:rsidRPr="00390BFB" w:rsidRDefault="00390BFB" w:rsidP="00390BFB">
      <w:pPr>
        <w:spacing w:line="276" w:lineRule="auto"/>
        <w:ind w:left="720"/>
        <w:contextualSpacing/>
        <w:jc w:val="both"/>
        <w:rPr>
          <w:rFonts w:cs="Arial"/>
          <w:szCs w:val="20"/>
        </w:rPr>
      </w:pPr>
    </w:p>
    <w:p w14:paraId="46EEB20D" w14:textId="77777777" w:rsidR="00390BFB" w:rsidRPr="00390BFB" w:rsidRDefault="00390BFB" w:rsidP="00390BFB">
      <w:pPr>
        <w:numPr>
          <w:ilvl w:val="0"/>
          <w:numId w:val="6"/>
        </w:numPr>
        <w:spacing w:line="276" w:lineRule="auto"/>
        <w:contextualSpacing/>
        <w:jc w:val="both"/>
        <w:rPr>
          <w:rFonts w:cs="Arial"/>
          <w:szCs w:val="20"/>
        </w:rPr>
      </w:pPr>
      <w:r w:rsidRPr="00390BFB">
        <w:rPr>
          <w:rFonts w:cs="Arial"/>
          <w:szCs w:val="20"/>
        </w:rPr>
        <w:t>S predlaganim celovitim strateškim predstavitvenim projektom bomo v Sloveniji začeli sistematično delovati v smeri izboljševanja vseh treh produktivnosti gospodarstva in s tem prispevali k izboljševanju konkurenčnosti, kar bo prispevalo tudi k povečevanju možnosti/verjetnosti za stabilno in dolgoročno poslovanje podjetij oziroma verig vrednosti na ključnih področjih, kjer ima Slovenija primerjalno prednost.</w:t>
      </w:r>
    </w:p>
    <w:p w14:paraId="4E317955" w14:textId="77777777" w:rsidR="00390BFB" w:rsidRPr="00390BFB" w:rsidRDefault="00390BFB" w:rsidP="00390BFB">
      <w:pPr>
        <w:spacing w:line="276" w:lineRule="auto"/>
        <w:ind w:left="720"/>
        <w:contextualSpacing/>
        <w:jc w:val="both"/>
        <w:rPr>
          <w:rFonts w:cs="Arial"/>
          <w:szCs w:val="20"/>
        </w:rPr>
      </w:pPr>
    </w:p>
    <w:p w14:paraId="5B089F33" w14:textId="77777777" w:rsidR="00390BFB" w:rsidRPr="00390BFB" w:rsidRDefault="00390BFB" w:rsidP="00390BFB">
      <w:pPr>
        <w:numPr>
          <w:ilvl w:val="0"/>
          <w:numId w:val="6"/>
        </w:numPr>
        <w:spacing w:line="276" w:lineRule="auto"/>
        <w:contextualSpacing/>
        <w:jc w:val="both"/>
        <w:rPr>
          <w:rFonts w:cs="Arial"/>
          <w:szCs w:val="20"/>
        </w:rPr>
      </w:pPr>
      <w:r w:rsidRPr="00390BFB">
        <w:rPr>
          <w:rFonts w:cs="Arial"/>
          <w:szCs w:val="20"/>
        </w:rPr>
        <w:t>Poleg tega, programi strateškega projekta razogljičenja in krožnega prehoda vključujejo tudi ukrepe za premoščanje nekaterih vrzeli, ki so jih identificirali ključni deležniki, ki sodelujejo v procesu prehoda v nizkoogljično krožno gospodarstvo. Med njimi so:</w:t>
      </w:r>
    </w:p>
    <w:p w14:paraId="74D041E3" w14:textId="77777777" w:rsidR="00390BFB" w:rsidRPr="00390BFB" w:rsidRDefault="00390BFB" w:rsidP="00390BFB">
      <w:pPr>
        <w:numPr>
          <w:ilvl w:val="1"/>
          <w:numId w:val="6"/>
        </w:numPr>
        <w:spacing w:line="276" w:lineRule="auto"/>
        <w:contextualSpacing/>
        <w:jc w:val="both"/>
        <w:rPr>
          <w:rFonts w:cs="Arial"/>
          <w:szCs w:val="20"/>
        </w:rPr>
      </w:pPr>
      <w:r w:rsidRPr="00390BFB">
        <w:rPr>
          <w:rFonts w:cs="Arial"/>
          <w:szCs w:val="20"/>
        </w:rPr>
        <w:t>Vsebinsko pomanjkljivo podporno okolje za start-upe in za spodbujanje inovacij, procesnih in drugih izboljšav v MSP-jih (tudi v celotnih verigah vrednosti) za hitrejši prehod v smeri razogljičenja in vpeljevanja načel krožnega gospodarstva v njihove poslovne procese, torej za razvoj nizkoogljičnih krožnih poslovnih modelov.</w:t>
      </w:r>
    </w:p>
    <w:p w14:paraId="747CA3EA" w14:textId="77777777" w:rsidR="00390BFB" w:rsidRPr="00390BFB" w:rsidRDefault="00390BFB" w:rsidP="00390BFB">
      <w:pPr>
        <w:numPr>
          <w:ilvl w:val="1"/>
          <w:numId w:val="6"/>
        </w:numPr>
        <w:spacing w:line="276" w:lineRule="auto"/>
        <w:contextualSpacing/>
        <w:jc w:val="both"/>
        <w:rPr>
          <w:rFonts w:cs="Arial"/>
          <w:szCs w:val="20"/>
        </w:rPr>
      </w:pPr>
      <w:r w:rsidRPr="00390BFB">
        <w:rPr>
          <w:rFonts w:cs="Arial"/>
          <w:szCs w:val="20"/>
        </w:rPr>
        <w:t xml:space="preserve">Neustrezne podlage za oblikovanje strategij in pripravo na njih temelječih projektov, na funkcionalnih območjih/regijah, ki otežkočajo razvoj pametnih krožnih skupnosti. </w:t>
      </w:r>
    </w:p>
    <w:p w14:paraId="6CA92AFC" w14:textId="77777777" w:rsidR="00390BFB" w:rsidRPr="00390BFB" w:rsidRDefault="00390BFB" w:rsidP="00390BFB">
      <w:pPr>
        <w:numPr>
          <w:ilvl w:val="1"/>
          <w:numId w:val="6"/>
        </w:numPr>
        <w:spacing w:line="276" w:lineRule="auto"/>
        <w:contextualSpacing/>
        <w:jc w:val="both"/>
        <w:rPr>
          <w:rFonts w:cs="Arial"/>
          <w:szCs w:val="20"/>
        </w:rPr>
      </w:pPr>
      <w:r w:rsidRPr="00390BFB">
        <w:rPr>
          <w:rFonts w:cs="Arial"/>
          <w:szCs w:val="20"/>
        </w:rPr>
        <w:t>Nezadostna vključenost vsebin, ki so relevantne za prehod v nizkoogljično krožno gospodarstvo, v izobraževalne programe in programe usposabljanja na vseh ravneh.</w:t>
      </w:r>
    </w:p>
    <w:p w14:paraId="30E303CD" w14:textId="77777777" w:rsidR="00390BFB" w:rsidRPr="00390BFB" w:rsidRDefault="00390BFB" w:rsidP="00390BFB">
      <w:pPr>
        <w:numPr>
          <w:ilvl w:val="1"/>
          <w:numId w:val="6"/>
        </w:numPr>
        <w:spacing w:line="276" w:lineRule="auto"/>
        <w:contextualSpacing/>
        <w:jc w:val="both"/>
        <w:rPr>
          <w:rFonts w:cs="Arial"/>
          <w:szCs w:val="20"/>
        </w:rPr>
      </w:pPr>
      <w:r w:rsidRPr="00390BFB">
        <w:rPr>
          <w:rFonts w:cs="Arial"/>
          <w:szCs w:val="20"/>
        </w:rPr>
        <w:t>Nepovezano in pogosto nasprotujoče si oblikovanje rešitev v sektorskih politikah, programih, zakonskih predlogih, kar ovira in otežkoča oblikovanje ustreznih in celovitih ukrepov na eni strani, na drugi strani pa to vpliva tudi na manj ugodno in manj predvidljivo okolje za delovanje podjetij.</w:t>
      </w:r>
    </w:p>
    <w:p w14:paraId="1015ABDD" w14:textId="77777777" w:rsidR="00390BFB" w:rsidRPr="00390BFB" w:rsidRDefault="00390BFB" w:rsidP="00390BFB">
      <w:pPr>
        <w:numPr>
          <w:ilvl w:val="1"/>
          <w:numId w:val="6"/>
        </w:numPr>
        <w:spacing w:line="276" w:lineRule="auto"/>
        <w:contextualSpacing/>
        <w:jc w:val="both"/>
        <w:rPr>
          <w:rFonts w:cs="Arial"/>
          <w:szCs w:val="20"/>
        </w:rPr>
      </w:pPr>
      <w:r w:rsidRPr="00390BFB">
        <w:rPr>
          <w:rFonts w:cs="Arial"/>
          <w:szCs w:val="20"/>
        </w:rPr>
        <w:t>Parcialna in neosredotočena ponudba finančnih podpor za ta namen, pomanjkljivi pristopi za privabljanje zasebnih sredstev za podporo razogljičenju in uvajanju načel krožnega gospodarstva v zasebnem in javnem sektorju na nacionalni in lokalni/regijski ravni.</w:t>
      </w:r>
    </w:p>
    <w:p w14:paraId="2A6EEF57" w14:textId="77777777" w:rsidR="00390BFB" w:rsidRPr="00390BFB" w:rsidRDefault="00390BFB" w:rsidP="00390BFB">
      <w:pPr>
        <w:numPr>
          <w:ilvl w:val="1"/>
          <w:numId w:val="6"/>
        </w:numPr>
        <w:spacing w:line="276" w:lineRule="auto"/>
        <w:contextualSpacing/>
        <w:jc w:val="both"/>
        <w:rPr>
          <w:rFonts w:cs="Arial"/>
          <w:szCs w:val="20"/>
        </w:rPr>
      </w:pPr>
      <w:r w:rsidRPr="00390BFB">
        <w:rPr>
          <w:rFonts w:cs="Arial"/>
          <w:szCs w:val="20"/>
        </w:rPr>
        <w:t>Veliko število deležnikov, ki nepovezano delujejo na področju prehoda v nizkoogljično krožno gospodarstvo, kar otežkoča iskanje sinergičnih učinkov med rešitvami, ki jih razvijajo posamezni akterji. Rezultat tega je neoptimalna izkoriščenost tako finančnih kot tudi človeških virov in počasnejši prenos znanj med deležniki v procesu. Nadaljevanje takega procesa lahko oslabi mednarodno prepoznavnost Slovenije kot ene od bolj naprednih držav na tem področju.</w:t>
      </w:r>
    </w:p>
    <w:p w14:paraId="7CE09CF7" w14:textId="77777777" w:rsidR="00390BFB" w:rsidRPr="00390BFB" w:rsidRDefault="00390BFB" w:rsidP="00390BFB">
      <w:pPr>
        <w:spacing w:line="276" w:lineRule="auto"/>
        <w:ind w:left="720"/>
        <w:contextualSpacing/>
        <w:jc w:val="both"/>
        <w:rPr>
          <w:rFonts w:cs="Arial"/>
          <w:b/>
          <w:szCs w:val="20"/>
        </w:rPr>
      </w:pPr>
    </w:p>
    <w:p w14:paraId="4FF2B10E" w14:textId="77777777" w:rsidR="00390BFB" w:rsidRPr="00390BFB" w:rsidRDefault="00390BFB" w:rsidP="00390BFB">
      <w:pPr>
        <w:numPr>
          <w:ilvl w:val="0"/>
          <w:numId w:val="6"/>
        </w:numPr>
        <w:spacing w:line="276" w:lineRule="auto"/>
        <w:contextualSpacing/>
        <w:jc w:val="both"/>
        <w:rPr>
          <w:rFonts w:cs="Arial"/>
          <w:szCs w:val="20"/>
        </w:rPr>
      </w:pPr>
      <w:r w:rsidRPr="00390BFB">
        <w:rPr>
          <w:rFonts w:cs="Arial"/>
          <w:szCs w:val="20"/>
        </w:rPr>
        <w:t xml:space="preserve">Z izvajanjem strateškega projekta razogljičenja in krožnega prehoda bomo </w:t>
      </w:r>
      <w:r w:rsidRPr="00390BFB">
        <w:rPr>
          <w:rFonts w:cs="Arial"/>
          <w:b/>
          <w:szCs w:val="20"/>
        </w:rPr>
        <w:t>podprli tudi izvajanje ukrepov evropske kohezijske politike v obdobju 2014–2020,</w:t>
      </w:r>
      <w:r w:rsidRPr="00390BFB">
        <w:rPr>
          <w:rFonts w:cs="Arial"/>
          <w:szCs w:val="20"/>
        </w:rPr>
        <w:t xml:space="preserve"> in sicer v segmentu, povezanim s </w:t>
      </w:r>
      <w:r w:rsidRPr="00390BFB">
        <w:rPr>
          <w:rFonts w:cs="Arial"/>
          <w:b/>
          <w:szCs w:val="20"/>
        </w:rPr>
        <w:t>Slovensko strategijo pametne specializacije</w:t>
      </w:r>
      <w:r w:rsidRPr="00390BFB">
        <w:rPr>
          <w:rFonts w:cs="Arial"/>
          <w:szCs w:val="20"/>
        </w:rPr>
        <w:t xml:space="preserve">, v katerem je krožno gospodarstvo prepoznano kot eno od devetih področij ukrepanja. Poleg tega bo projekt podprl tudi izvajanje ukrepov na drugih vsebinskih področjih, in sicer </w:t>
      </w:r>
      <w:r w:rsidRPr="00390BFB">
        <w:rPr>
          <w:rFonts w:cs="Arial"/>
          <w:b/>
          <w:szCs w:val="20"/>
        </w:rPr>
        <w:t>podjetništvu, znanosti, izobraževanju in trgu dela,</w:t>
      </w:r>
      <w:r w:rsidRPr="00390BFB">
        <w:rPr>
          <w:rFonts w:cs="Arial"/>
          <w:szCs w:val="20"/>
        </w:rPr>
        <w:t xml:space="preserve"> predvsem v delu, ki mora prispevati k blaženju podnebnih sprememb.</w:t>
      </w:r>
    </w:p>
    <w:p w14:paraId="2C7F53B5" w14:textId="77777777" w:rsidR="00390BFB" w:rsidRPr="00390BFB" w:rsidRDefault="00390BFB" w:rsidP="00390BFB">
      <w:pPr>
        <w:spacing w:line="276" w:lineRule="auto"/>
        <w:ind w:left="720"/>
        <w:contextualSpacing/>
        <w:jc w:val="both"/>
        <w:rPr>
          <w:rFonts w:cs="Arial"/>
          <w:b/>
          <w:szCs w:val="20"/>
        </w:rPr>
      </w:pPr>
    </w:p>
    <w:p w14:paraId="2BBB16A1" w14:textId="77777777" w:rsidR="00390BFB" w:rsidRPr="00390BFB" w:rsidRDefault="00390BFB" w:rsidP="00390BFB">
      <w:pPr>
        <w:numPr>
          <w:ilvl w:val="0"/>
          <w:numId w:val="6"/>
        </w:numPr>
        <w:spacing w:line="276" w:lineRule="auto"/>
        <w:contextualSpacing/>
        <w:jc w:val="both"/>
        <w:rPr>
          <w:rFonts w:cs="Arial"/>
          <w:i/>
          <w:szCs w:val="20"/>
        </w:rPr>
      </w:pPr>
      <w:r w:rsidRPr="00390BFB">
        <w:rPr>
          <w:rFonts w:cs="Arial"/>
          <w:szCs w:val="20"/>
        </w:rPr>
        <w:lastRenderedPageBreak/>
        <w:t xml:space="preserve">Z vidika programiranja porabe sredstev za </w:t>
      </w:r>
      <w:r w:rsidRPr="00390BFB">
        <w:rPr>
          <w:rFonts w:cs="Arial"/>
          <w:b/>
          <w:szCs w:val="20"/>
        </w:rPr>
        <w:t>naslednjo finančno perspektivo</w:t>
      </w:r>
      <w:r w:rsidRPr="00390BFB">
        <w:rPr>
          <w:rFonts w:cs="Arial"/>
          <w:szCs w:val="20"/>
        </w:rPr>
        <w:t xml:space="preserve"> pa bo izvajanje projekta razogljičenja in krožnega prehoda, predvsem programa</w:t>
      </w:r>
      <w:r w:rsidRPr="00390BFB">
        <w:rPr>
          <w:rFonts w:cs="Arial"/>
          <w:b/>
          <w:szCs w:val="20"/>
        </w:rPr>
        <w:t xml:space="preserve"> Krožne sinergije: Pametne in krožne </w:t>
      </w:r>
      <w:r w:rsidR="00AF5AD8">
        <w:rPr>
          <w:rFonts w:cs="Arial"/>
          <w:b/>
          <w:szCs w:val="20"/>
        </w:rPr>
        <w:t>skupnosti</w:t>
      </w:r>
      <w:r w:rsidRPr="00390BFB">
        <w:rPr>
          <w:rFonts w:cs="Arial"/>
          <w:b/>
          <w:szCs w:val="20"/>
        </w:rPr>
        <w:t>,</w:t>
      </w:r>
      <w:r w:rsidRPr="00390BFB">
        <w:rPr>
          <w:rFonts w:cs="Arial"/>
          <w:i/>
          <w:szCs w:val="20"/>
        </w:rPr>
        <w:t xml:space="preserve"> </w:t>
      </w:r>
      <w:r w:rsidRPr="00390BFB">
        <w:rPr>
          <w:rFonts w:cs="Arial"/>
          <w:szCs w:val="20"/>
        </w:rPr>
        <w:t>pripomoglo tudi k temu, da bodo deležniki na lokalni ravni lahko pravočasno pripravili kakovostne projekte na naslednjih področjih:</w:t>
      </w:r>
    </w:p>
    <w:p w14:paraId="435FEA17" w14:textId="77777777" w:rsidR="00390BFB" w:rsidRPr="00390BFB" w:rsidRDefault="00390BFB" w:rsidP="00390BFB">
      <w:pPr>
        <w:numPr>
          <w:ilvl w:val="0"/>
          <w:numId w:val="13"/>
        </w:numPr>
        <w:spacing w:line="276" w:lineRule="auto"/>
        <w:contextualSpacing/>
        <w:jc w:val="both"/>
        <w:rPr>
          <w:rFonts w:cs="Arial"/>
          <w:i/>
          <w:szCs w:val="20"/>
        </w:rPr>
      </w:pPr>
      <w:r w:rsidRPr="00390BFB">
        <w:rPr>
          <w:rFonts w:cs="Arial"/>
          <w:color w:val="000000"/>
          <w:szCs w:val="20"/>
          <w:lang w:eastAsia="sl-SI"/>
        </w:rPr>
        <w:t>regionalna zelena mobilnost;</w:t>
      </w:r>
    </w:p>
    <w:p w14:paraId="51A458C2" w14:textId="77777777" w:rsidR="00390BFB" w:rsidRPr="00390BFB" w:rsidRDefault="00390BFB" w:rsidP="00390BFB">
      <w:pPr>
        <w:numPr>
          <w:ilvl w:val="0"/>
          <w:numId w:val="13"/>
        </w:numPr>
        <w:spacing w:line="276" w:lineRule="auto"/>
        <w:contextualSpacing/>
        <w:jc w:val="both"/>
        <w:rPr>
          <w:rFonts w:cs="Arial"/>
          <w:i/>
          <w:szCs w:val="20"/>
        </w:rPr>
      </w:pPr>
      <w:r w:rsidRPr="00390BFB">
        <w:rPr>
          <w:rFonts w:cs="Arial"/>
          <w:color w:val="000000"/>
          <w:szCs w:val="20"/>
          <w:lang w:eastAsia="sl-SI"/>
        </w:rPr>
        <w:t>učinkovit in pametni energetski sistem;</w:t>
      </w:r>
    </w:p>
    <w:p w14:paraId="28EDF39A" w14:textId="77777777" w:rsidR="00390BFB" w:rsidRPr="00390BFB" w:rsidRDefault="00390BFB" w:rsidP="00390BFB">
      <w:pPr>
        <w:numPr>
          <w:ilvl w:val="0"/>
          <w:numId w:val="13"/>
        </w:numPr>
        <w:spacing w:line="276" w:lineRule="auto"/>
        <w:contextualSpacing/>
        <w:jc w:val="both"/>
        <w:rPr>
          <w:rFonts w:cs="Arial"/>
          <w:i/>
          <w:szCs w:val="20"/>
        </w:rPr>
      </w:pPr>
      <w:r w:rsidRPr="00390BFB">
        <w:rPr>
          <w:rFonts w:cs="Arial"/>
          <w:color w:val="000000"/>
          <w:szCs w:val="20"/>
          <w:lang w:eastAsia="sl-SI"/>
        </w:rPr>
        <w:t xml:space="preserve">regionalne javne storitve in učinkovito ravnanje z viri; </w:t>
      </w:r>
    </w:p>
    <w:p w14:paraId="4BA72EB7" w14:textId="77777777" w:rsidR="00390BFB" w:rsidRPr="00390BFB" w:rsidRDefault="00390BFB" w:rsidP="00390BFB">
      <w:pPr>
        <w:numPr>
          <w:ilvl w:val="0"/>
          <w:numId w:val="13"/>
        </w:numPr>
        <w:spacing w:line="276" w:lineRule="auto"/>
        <w:contextualSpacing/>
        <w:jc w:val="both"/>
        <w:rPr>
          <w:rFonts w:cs="Arial"/>
          <w:i/>
          <w:szCs w:val="20"/>
        </w:rPr>
      </w:pPr>
      <w:r w:rsidRPr="00390BFB">
        <w:rPr>
          <w:rFonts w:cs="Arial"/>
          <w:color w:val="000000"/>
          <w:szCs w:val="20"/>
          <w:lang w:eastAsia="sl-SI"/>
        </w:rPr>
        <w:t xml:space="preserve">okolje in preprečevanje tveganj; </w:t>
      </w:r>
    </w:p>
    <w:p w14:paraId="67B7FF2A" w14:textId="77777777" w:rsidR="00390BFB" w:rsidRPr="00390BFB" w:rsidRDefault="00390BFB" w:rsidP="00390BFB">
      <w:pPr>
        <w:numPr>
          <w:ilvl w:val="0"/>
          <w:numId w:val="13"/>
        </w:numPr>
        <w:spacing w:line="276" w:lineRule="auto"/>
        <w:contextualSpacing/>
        <w:jc w:val="both"/>
        <w:rPr>
          <w:rFonts w:cs="Arial"/>
          <w:i/>
          <w:szCs w:val="20"/>
        </w:rPr>
      </w:pPr>
      <w:r w:rsidRPr="00390BFB">
        <w:rPr>
          <w:rFonts w:cs="Arial"/>
          <w:color w:val="000000"/>
          <w:szCs w:val="20"/>
          <w:lang w:eastAsia="sl-SI"/>
        </w:rPr>
        <w:t>potenciali teritorijev za učinkovito ravnanje z viri.</w:t>
      </w:r>
    </w:p>
    <w:p w14:paraId="18C4E28D" w14:textId="77777777" w:rsidR="00390BFB" w:rsidRPr="00390BFB" w:rsidRDefault="00390BFB" w:rsidP="00390BFB">
      <w:pPr>
        <w:spacing w:line="276" w:lineRule="auto"/>
        <w:ind w:left="720"/>
        <w:contextualSpacing/>
        <w:jc w:val="both"/>
        <w:rPr>
          <w:rFonts w:cs="Arial"/>
          <w:szCs w:val="20"/>
        </w:rPr>
      </w:pPr>
    </w:p>
    <w:p w14:paraId="5433EB1A" w14:textId="77777777" w:rsidR="00390BFB" w:rsidRPr="00390BFB" w:rsidRDefault="00390BFB" w:rsidP="00390BFB">
      <w:pPr>
        <w:numPr>
          <w:ilvl w:val="0"/>
          <w:numId w:val="12"/>
        </w:numPr>
        <w:spacing w:line="276" w:lineRule="auto"/>
        <w:contextualSpacing/>
        <w:jc w:val="both"/>
        <w:rPr>
          <w:rFonts w:cs="Arial"/>
          <w:szCs w:val="20"/>
        </w:rPr>
      </w:pPr>
      <w:r w:rsidRPr="00390BFB">
        <w:rPr>
          <w:rFonts w:cs="Arial"/>
          <w:b/>
          <w:szCs w:val="20"/>
        </w:rPr>
        <w:t xml:space="preserve">Vlada RS je pristopila k pripravi dolgoročne podnebne politike do leta 2050 – Čist planet za vse, </w:t>
      </w:r>
      <w:r w:rsidRPr="00390BFB">
        <w:rPr>
          <w:rFonts w:cs="Arial"/>
          <w:szCs w:val="20"/>
        </w:rPr>
        <w:t>ki bo zagotovila, da bomo v Sloveniji dosegli dolgoročne podnebne cilje. Izvajanje projekta bo predvsem v segmentu izvajanja programa Laboratorij za oblikovanje politik prehoda</w:t>
      </w:r>
      <w:r w:rsidRPr="00390BFB">
        <w:rPr>
          <w:rFonts w:cs="Arial"/>
          <w:b/>
          <w:szCs w:val="20"/>
        </w:rPr>
        <w:t xml:space="preserve"> </w:t>
      </w:r>
      <w:r w:rsidRPr="00390BFB">
        <w:rPr>
          <w:rFonts w:cs="Arial"/>
          <w:szCs w:val="20"/>
        </w:rPr>
        <w:t xml:space="preserve">prispevalo k lažjemu oblikovanju 5-letnih podnebnih načrtov na podlagi ogljičnih proračunov za sektorje pa tudi pri pripravi poročil o izvajanju in določanju (novih) podnebnih ukrepov. V okviru tega strateškega projekta bo identificiran tudi model za simulacijo scenarijev, ki bodo vodili k doseganju ogljične nevtralnosti industrijskega sistema do leta 2050. V sklopu izvajanja programa bo mogoče podpreti tudi pripravo in izvajanje vsebin, povezanih z državnim podnebnim dnevom. Dodatne – močnejše – povezave pa bodo identificirane vzporedno, saj bo med procesom priprave dolgoročne podnebne strategije in izvajanjem programa ves čas potekala izmenjava in pretok informacij. </w:t>
      </w:r>
    </w:p>
    <w:p w14:paraId="66CF20E8" w14:textId="77777777" w:rsidR="00390BFB" w:rsidRPr="00390BFB" w:rsidRDefault="00390BFB" w:rsidP="00390BFB">
      <w:pPr>
        <w:spacing w:line="276" w:lineRule="auto"/>
        <w:ind w:left="720"/>
        <w:contextualSpacing/>
        <w:jc w:val="both"/>
        <w:rPr>
          <w:rFonts w:cs="Arial"/>
          <w:szCs w:val="20"/>
        </w:rPr>
      </w:pPr>
    </w:p>
    <w:p w14:paraId="332E43AB" w14:textId="77777777" w:rsidR="00390BFB" w:rsidRPr="00390BFB" w:rsidRDefault="00390BFB" w:rsidP="00390BFB">
      <w:pPr>
        <w:numPr>
          <w:ilvl w:val="0"/>
          <w:numId w:val="12"/>
        </w:numPr>
        <w:spacing w:line="276" w:lineRule="auto"/>
        <w:contextualSpacing/>
        <w:jc w:val="both"/>
        <w:rPr>
          <w:rFonts w:cs="Arial"/>
          <w:szCs w:val="20"/>
        </w:rPr>
      </w:pPr>
      <w:r w:rsidRPr="00390BFB">
        <w:rPr>
          <w:rFonts w:cs="Arial"/>
          <w:szCs w:val="20"/>
        </w:rPr>
        <w:t xml:space="preserve">Izvajanje predlaganega strateškega predstavitvenega projekta bo podprlo izvajanje </w:t>
      </w:r>
      <w:r w:rsidRPr="00390BFB">
        <w:rPr>
          <w:rFonts w:cs="Arial"/>
          <w:b/>
          <w:szCs w:val="20"/>
        </w:rPr>
        <w:t>Nacionalnega energetsko-podnebnega načrta do leta 2030,</w:t>
      </w:r>
      <w:r w:rsidRPr="00390BFB">
        <w:rPr>
          <w:rFonts w:cs="Arial"/>
          <w:szCs w:val="20"/>
        </w:rPr>
        <w:t xml:space="preserve"> tudi tukaj predvsem v segmentu izvajanja programa </w:t>
      </w:r>
      <w:r w:rsidRPr="00390BFB">
        <w:rPr>
          <w:rFonts w:cs="Arial"/>
          <w:i/>
          <w:szCs w:val="20"/>
        </w:rPr>
        <w:t>Laboratorij za oblikovanje politik</w:t>
      </w:r>
      <w:r w:rsidRPr="00390BFB">
        <w:rPr>
          <w:rFonts w:cs="Arial"/>
          <w:szCs w:val="20"/>
        </w:rPr>
        <w:t xml:space="preserve">, pa tudi v programu </w:t>
      </w:r>
      <w:r w:rsidRPr="00390BFB">
        <w:rPr>
          <w:rFonts w:cs="Arial"/>
          <w:i/>
          <w:szCs w:val="20"/>
        </w:rPr>
        <w:t>Transformacijskega kapitala</w:t>
      </w:r>
      <w:r w:rsidRPr="00390BFB">
        <w:rPr>
          <w:rFonts w:cs="Arial"/>
          <w:szCs w:val="20"/>
        </w:rPr>
        <w:t xml:space="preserve">, v sklopu katerega bi vzpostavili pristope/mehanizme za angažiranje novih/različnih virov, s katerimi bi omogočili izvajanje programa. Pomemben prispevek bo doprinesel tudi program </w:t>
      </w:r>
      <w:r w:rsidRPr="00390BFB">
        <w:rPr>
          <w:rFonts w:cs="Arial"/>
          <w:i/>
          <w:szCs w:val="20"/>
        </w:rPr>
        <w:t>Krožnih pilotov</w:t>
      </w:r>
      <w:r w:rsidRPr="00390BFB">
        <w:rPr>
          <w:rFonts w:cs="Arial"/>
          <w:szCs w:val="20"/>
        </w:rPr>
        <w:t xml:space="preserve">, v katerem je poseben podprogram namenjen iskanju rešitev na področju </w:t>
      </w:r>
      <w:r w:rsidRPr="00390BFB">
        <w:rPr>
          <w:rFonts w:cs="Arial"/>
          <w:i/>
          <w:szCs w:val="20"/>
        </w:rPr>
        <w:t>mobilnosti</w:t>
      </w:r>
      <w:r w:rsidRPr="00390BFB">
        <w:rPr>
          <w:rFonts w:cs="Arial"/>
          <w:szCs w:val="20"/>
        </w:rPr>
        <w:t>, ki je v Sloveniji med ključnimi izzivi tako za doseganje ciljev zmanjševanja izpustov kot tudi ciljev, povezanih z obnovljivimi viri energije.</w:t>
      </w:r>
    </w:p>
    <w:p w14:paraId="10E6B35E" w14:textId="77777777" w:rsidR="00390BFB" w:rsidRPr="00390BFB" w:rsidRDefault="00390BFB" w:rsidP="00390BFB">
      <w:pPr>
        <w:spacing w:line="276" w:lineRule="auto"/>
        <w:jc w:val="both"/>
        <w:rPr>
          <w:rFonts w:cs="Arial"/>
          <w:szCs w:val="20"/>
        </w:rPr>
      </w:pPr>
    </w:p>
    <w:p w14:paraId="7D7BD21F" w14:textId="77777777" w:rsidR="00390BFB" w:rsidRPr="00390BFB" w:rsidRDefault="00390BFB" w:rsidP="00390BFB">
      <w:pPr>
        <w:numPr>
          <w:ilvl w:val="0"/>
          <w:numId w:val="12"/>
        </w:numPr>
        <w:spacing w:line="276" w:lineRule="auto"/>
        <w:contextualSpacing/>
        <w:jc w:val="both"/>
        <w:rPr>
          <w:rFonts w:cs="Arial"/>
          <w:szCs w:val="20"/>
        </w:rPr>
      </w:pPr>
      <w:r w:rsidRPr="00390BFB">
        <w:rPr>
          <w:rFonts w:cs="Arial"/>
          <w:szCs w:val="20"/>
        </w:rPr>
        <w:t xml:space="preserve">Strateški projekt razogljičenja in krožnega prehoda bo delno podprl tudi izvajanje nastajajočega </w:t>
      </w:r>
      <w:r w:rsidRPr="00390BFB">
        <w:rPr>
          <w:rFonts w:cs="Arial"/>
          <w:b/>
          <w:szCs w:val="20"/>
        </w:rPr>
        <w:t xml:space="preserve">Nacionalnega programa varstva okolja do leta 2030 </w:t>
      </w:r>
      <w:r w:rsidRPr="00390BFB">
        <w:rPr>
          <w:rFonts w:cs="Arial"/>
          <w:szCs w:val="20"/>
        </w:rPr>
        <w:t>(NPVO). Ta namreč med večsektorskimi ukrepi predvideva delo na področju priprave boljše zakonodaje in vključevanje ciljev varstva okolja v politike drugih resorjev (program</w:t>
      </w:r>
      <w:r w:rsidRPr="00390BFB">
        <w:rPr>
          <w:rFonts w:cs="Arial"/>
          <w:b/>
          <w:szCs w:val="20"/>
        </w:rPr>
        <w:t xml:space="preserve"> </w:t>
      </w:r>
      <w:r w:rsidRPr="00390BFB">
        <w:rPr>
          <w:rFonts w:cs="Arial"/>
          <w:i/>
          <w:szCs w:val="20"/>
        </w:rPr>
        <w:t xml:space="preserve">Laboratorij za oblikovanje politik prehoda), </w:t>
      </w:r>
      <w:r w:rsidRPr="00390BFB">
        <w:rPr>
          <w:rFonts w:cs="Arial"/>
          <w:szCs w:val="20"/>
        </w:rPr>
        <w:t>raziskav in razvoja ter izobraževanja</w:t>
      </w:r>
      <w:r w:rsidRPr="00390BFB">
        <w:rPr>
          <w:rFonts w:cs="Arial"/>
          <w:i/>
          <w:szCs w:val="20"/>
        </w:rPr>
        <w:t xml:space="preserve"> (</w:t>
      </w:r>
      <w:r w:rsidRPr="00390BFB">
        <w:rPr>
          <w:rFonts w:cs="Arial"/>
          <w:szCs w:val="20"/>
        </w:rPr>
        <w:t>programi</w:t>
      </w:r>
      <w:r w:rsidRPr="00390BFB">
        <w:rPr>
          <w:rFonts w:cs="Arial"/>
          <w:i/>
          <w:szCs w:val="20"/>
        </w:rPr>
        <w:t xml:space="preserve"> Pionirsko krožno visokošolsko izobraževanje, Krožne šole, Krožno učenje in viri)</w:t>
      </w:r>
      <w:r w:rsidRPr="00390BFB">
        <w:rPr>
          <w:rFonts w:cs="Arial"/>
          <w:szCs w:val="20"/>
        </w:rPr>
        <w:t xml:space="preserve">. NPVO prepoznava tudi pomen in vlogo zelenega/krožnega javnega naročanja (program </w:t>
      </w:r>
      <w:r w:rsidRPr="00390BFB">
        <w:rPr>
          <w:rFonts w:cs="Arial"/>
          <w:i/>
          <w:szCs w:val="20"/>
        </w:rPr>
        <w:t>Krožna javna naročila</w:t>
      </w:r>
      <w:r w:rsidRPr="00390BFB">
        <w:rPr>
          <w:rFonts w:cs="Arial"/>
          <w:szCs w:val="20"/>
        </w:rPr>
        <w:t>), poleg tega pa so v njem identificirane tudi potrebe po izboljšanju plasiranja javnih sredstev za namen prehoda v nizkoogljično družbo, prav tako pomembno pa je tudi pripoznanje, da bomo morali za tak prehod angažirati velika sredstva tudi iz zasebne in/ali mednarodne sfere (</w:t>
      </w:r>
      <w:r w:rsidRPr="00390BFB">
        <w:rPr>
          <w:rFonts w:cs="Arial"/>
          <w:i/>
          <w:szCs w:val="20"/>
        </w:rPr>
        <w:t>program Transformacijski kapital</w:t>
      </w:r>
      <w:r w:rsidRPr="00390BFB">
        <w:rPr>
          <w:rFonts w:cs="Arial"/>
          <w:szCs w:val="20"/>
        </w:rPr>
        <w:t xml:space="preserve">). Ne nazadnje pa je v programu predvidena tudi ustanovitev centra učinkovite rabe virov, ki ga predlagani projekt realizira skozi horizontalni program vzpostavitve </w:t>
      </w:r>
      <w:r w:rsidRPr="00390BFB">
        <w:rPr>
          <w:rFonts w:cs="Arial"/>
          <w:i/>
          <w:color w:val="000000"/>
          <w:szCs w:val="20"/>
          <w:lang w:eastAsia="sl-SI"/>
        </w:rPr>
        <w:t>Centra za prehod v pametno in krožno družbo</w:t>
      </w:r>
      <w:r w:rsidRPr="00390BFB">
        <w:rPr>
          <w:rFonts w:cs="Arial"/>
          <w:szCs w:val="20"/>
        </w:rPr>
        <w:t>.</w:t>
      </w:r>
    </w:p>
    <w:p w14:paraId="1238D937" w14:textId="77777777" w:rsidR="00390BFB" w:rsidRPr="00390BFB" w:rsidRDefault="00390BFB" w:rsidP="00390BFB">
      <w:pPr>
        <w:spacing w:line="276" w:lineRule="auto"/>
        <w:jc w:val="both"/>
        <w:rPr>
          <w:rFonts w:cs="Arial"/>
          <w:szCs w:val="20"/>
        </w:rPr>
      </w:pPr>
    </w:p>
    <w:p w14:paraId="29F1C077" w14:textId="77777777" w:rsidR="00390BFB" w:rsidRPr="00390BFB" w:rsidRDefault="00390BFB" w:rsidP="00390BFB">
      <w:pPr>
        <w:numPr>
          <w:ilvl w:val="0"/>
          <w:numId w:val="12"/>
        </w:numPr>
        <w:spacing w:line="276" w:lineRule="auto"/>
        <w:contextualSpacing/>
        <w:jc w:val="both"/>
        <w:rPr>
          <w:rFonts w:cs="Arial"/>
          <w:szCs w:val="20"/>
        </w:rPr>
      </w:pPr>
      <w:r w:rsidRPr="00390BFB">
        <w:rPr>
          <w:rFonts w:cs="Arial"/>
          <w:szCs w:val="20"/>
        </w:rPr>
        <w:t xml:space="preserve">Z izvajanjem strateškega projekta razogljičenja in krožnega prehoda bomo prispevali k </w:t>
      </w:r>
      <w:r w:rsidRPr="00390BFB">
        <w:rPr>
          <w:rFonts w:cs="Arial"/>
          <w:b/>
          <w:szCs w:val="20"/>
        </w:rPr>
        <w:t>izvajanju določenih ukrepov Operativnega programa za zmanjševanje emisij toplogrednih plinov do leta 2020</w:t>
      </w:r>
      <w:r w:rsidRPr="00390BFB">
        <w:rPr>
          <w:rFonts w:cs="Arial"/>
          <w:szCs w:val="20"/>
        </w:rPr>
        <w:t>, predvsem tistih, ki se nanašajo na podporo gospodarstvu, zeleno javno naročanje in izobraževanje ter usposabljanje ključnih deležnikov.</w:t>
      </w:r>
    </w:p>
    <w:p w14:paraId="3A715286" w14:textId="77777777" w:rsidR="00390BFB" w:rsidRPr="00390BFB" w:rsidRDefault="00390BFB" w:rsidP="00390BFB">
      <w:pPr>
        <w:spacing w:line="276" w:lineRule="auto"/>
        <w:ind w:left="720"/>
        <w:contextualSpacing/>
        <w:rPr>
          <w:rFonts w:cs="Arial"/>
          <w:szCs w:val="20"/>
        </w:rPr>
      </w:pPr>
    </w:p>
    <w:p w14:paraId="2877A87C" w14:textId="77777777" w:rsidR="00390BFB" w:rsidRPr="00390BFB" w:rsidRDefault="00390BFB" w:rsidP="00390BFB">
      <w:pPr>
        <w:numPr>
          <w:ilvl w:val="0"/>
          <w:numId w:val="12"/>
        </w:numPr>
        <w:spacing w:line="276" w:lineRule="auto"/>
        <w:contextualSpacing/>
        <w:jc w:val="both"/>
        <w:rPr>
          <w:rFonts w:cs="Arial"/>
          <w:color w:val="000000"/>
          <w:szCs w:val="20"/>
        </w:rPr>
      </w:pPr>
      <w:r w:rsidRPr="00390BFB">
        <w:rPr>
          <w:rFonts w:cs="Arial"/>
          <w:color w:val="000000"/>
          <w:szCs w:val="20"/>
        </w:rPr>
        <w:t xml:space="preserve">Med prednostnimi nalogami nove Evropske komisije je tudi </w:t>
      </w:r>
      <w:r w:rsidRPr="00390BFB">
        <w:rPr>
          <w:rFonts w:cs="Arial"/>
          <w:b/>
          <w:color w:val="000000"/>
          <w:szCs w:val="20"/>
        </w:rPr>
        <w:t>doseganje podnebne nevtralnosti in oblikovanje Evropskega zelenega dogovora</w:t>
      </w:r>
      <w:r w:rsidRPr="00390BFB">
        <w:rPr>
          <w:rFonts w:cs="Arial"/>
          <w:color w:val="000000"/>
          <w:szCs w:val="20"/>
        </w:rPr>
        <w:t xml:space="preserve">, v katerem bo pomembno vlogo igral tudi prehod v krožno gospodarstvo in biogospodarstvo. Slovenija se bo z izvajanjem tega projekta še bolje pozicionirala kot vzorčni primer na tem področju in bo imela zaradi tega boljši/lažji dostop do ključnih odločevalcev na ravni EU. Hkrati pa bo Slovenija z izvajanjem projekta tudi v času </w:t>
      </w:r>
      <w:r w:rsidRPr="00390BFB">
        <w:rPr>
          <w:rFonts w:cs="Arial"/>
          <w:color w:val="000000"/>
          <w:szCs w:val="20"/>
        </w:rPr>
        <w:lastRenderedPageBreak/>
        <w:t xml:space="preserve">predsedovanja Svetu EU v drugem polletju 2021 pokazala doslednost pri prevajanju političnih zavez v ukrepe, ki prispevajo h konkretnim rezultatom. Poleg tega bodo lahko na ta način vidnejšo vlogo dobila tudi slovenska podjetja, ki delujejo v smeri razogljičenja in vzpostavljanja krožnih poslovnih modelov, ter drugi relevantni deležniki.    </w:t>
      </w:r>
    </w:p>
    <w:p w14:paraId="118773AB" w14:textId="77777777" w:rsidR="00390BFB" w:rsidRPr="00390BFB" w:rsidRDefault="00390BFB" w:rsidP="00390BFB">
      <w:pPr>
        <w:spacing w:line="276" w:lineRule="auto"/>
        <w:ind w:left="720"/>
        <w:contextualSpacing/>
        <w:rPr>
          <w:rFonts w:cs="Arial"/>
          <w:szCs w:val="20"/>
        </w:rPr>
      </w:pPr>
    </w:p>
    <w:p w14:paraId="146D19B3" w14:textId="77777777" w:rsidR="00390BFB" w:rsidRPr="00390BFB" w:rsidRDefault="00390BFB" w:rsidP="00390BFB">
      <w:pPr>
        <w:numPr>
          <w:ilvl w:val="0"/>
          <w:numId w:val="12"/>
        </w:numPr>
        <w:spacing w:line="276" w:lineRule="auto"/>
        <w:contextualSpacing/>
        <w:jc w:val="both"/>
        <w:rPr>
          <w:rFonts w:cs="Arial"/>
          <w:szCs w:val="20"/>
        </w:rPr>
      </w:pPr>
      <w:r w:rsidRPr="00390BFB">
        <w:rPr>
          <w:rFonts w:cs="Arial"/>
          <w:szCs w:val="20"/>
        </w:rPr>
        <w:t xml:space="preserve">Z izvajanjem strateškega projekta razogljičenja in krožnega prehoda bomo odgovorili tudi na del </w:t>
      </w:r>
      <w:r w:rsidRPr="00390BFB">
        <w:rPr>
          <w:rFonts w:cs="Arial"/>
          <w:b/>
          <w:szCs w:val="20"/>
        </w:rPr>
        <w:t>zahtev</w:t>
      </w:r>
      <w:r w:rsidRPr="00390BFB">
        <w:rPr>
          <w:rFonts w:cs="Arial"/>
          <w:szCs w:val="20"/>
        </w:rPr>
        <w:t xml:space="preserve">, ki jih je skupina nevladnih organizacij junija 2019 naslovila na Vlado Republike Slovenije in v kateri vlado poziva k izvedbi ukrepov, ki bodo Slovenijo do leta </w:t>
      </w:r>
      <w:r w:rsidRPr="00390BFB">
        <w:rPr>
          <w:rFonts w:cs="Arial"/>
          <w:b/>
          <w:szCs w:val="20"/>
        </w:rPr>
        <w:t>2040 pripeljali v podnebno nevtralnost</w:t>
      </w:r>
      <w:r w:rsidRPr="00390BFB">
        <w:rPr>
          <w:rFonts w:cs="Arial"/>
          <w:szCs w:val="20"/>
        </w:rPr>
        <w:t xml:space="preserve">. Vlada RS je na zahtevo sicer že odgovorila (sklep vlade št. </w:t>
      </w:r>
      <w:r w:rsidRPr="00390BFB">
        <w:rPr>
          <w:rFonts w:cs="Arial"/>
          <w:color w:val="000000"/>
        </w:rPr>
        <w:t>35400-3/2019/11</w:t>
      </w:r>
      <w:r w:rsidRPr="00390BFB">
        <w:rPr>
          <w:rFonts w:cs="Arial"/>
          <w:szCs w:val="20"/>
        </w:rPr>
        <w:t xml:space="preserve"> s 3. 10. 2019) in se je v njej sklicevala na odločitev o pripravi okvira dolgoročne podnebne politike Slovenije – Čist planet za vse. Z izvajanjem tega projekta pa se Vlada RS zavezuje k izvajanju konkretnejših korakov, ki bodo podpirali doseganje dolgoročnih podnebnih ciljev in s tem deloma odgovarja na naslednje zahteve iz poziva:</w:t>
      </w:r>
    </w:p>
    <w:p w14:paraId="387FB2CE" w14:textId="77777777" w:rsidR="00390BFB" w:rsidRPr="00390BFB" w:rsidRDefault="00390BFB" w:rsidP="00390BFB">
      <w:pPr>
        <w:numPr>
          <w:ilvl w:val="1"/>
          <w:numId w:val="12"/>
        </w:numPr>
        <w:spacing w:line="276" w:lineRule="auto"/>
        <w:contextualSpacing/>
        <w:jc w:val="both"/>
        <w:rPr>
          <w:rFonts w:cs="Arial"/>
          <w:szCs w:val="20"/>
        </w:rPr>
      </w:pPr>
      <w:r w:rsidRPr="00390BFB">
        <w:rPr>
          <w:rFonts w:cs="Arial"/>
          <w:szCs w:val="20"/>
        </w:rPr>
        <w:t>7.1. učinkovito sodelovanje sektorjev za dosego podnebnega cilja (programi Laboratorij za tranzicijsko politiko, Pionirsko krožno visokošolsko izobraževanje, Krožno učenje in viri, Krožne šole);</w:t>
      </w:r>
    </w:p>
    <w:p w14:paraId="15FB6D51" w14:textId="77777777" w:rsidR="00390BFB" w:rsidRPr="00390BFB" w:rsidRDefault="00390BFB" w:rsidP="00390BFB">
      <w:pPr>
        <w:numPr>
          <w:ilvl w:val="1"/>
          <w:numId w:val="12"/>
        </w:numPr>
        <w:spacing w:line="276" w:lineRule="auto"/>
        <w:contextualSpacing/>
        <w:jc w:val="both"/>
        <w:rPr>
          <w:rFonts w:cs="Arial"/>
          <w:szCs w:val="20"/>
        </w:rPr>
      </w:pPr>
      <w:r w:rsidRPr="00390BFB">
        <w:rPr>
          <w:rFonts w:cs="Arial"/>
          <w:szCs w:val="20"/>
        </w:rPr>
        <w:t>7.3. v sistem javnih razpisov in javnih naročil vpeljati več pogojev, vezanih na zmanjševanje izpustov toplogrednih plinov (program Krožna javna naročila);</w:t>
      </w:r>
    </w:p>
    <w:p w14:paraId="699D8627" w14:textId="77777777" w:rsidR="00390BFB" w:rsidRPr="00390BFB" w:rsidRDefault="00390BFB" w:rsidP="00390BFB">
      <w:pPr>
        <w:numPr>
          <w:ilvl w:val="1"/>
          <w:numId w:val="12"/>
        </w:numPr>
        <w:spacing w:line="276" w:lineRule="auto"/>
        <w:contextualSpacing/>
        <w:jc w:val="both"/>
        <w:rPr>
          <w:rFonts w:cs="Arial"/>
          <w:szCs w:val="20"/>
        </w:rPr>
      </w:pPr>
      <w:r w:rsidRPr="00390BFB">
        <w:rPr>
          <w:rFonts w:cs="Arial"/>
          <w:szCs w:val="20"/>
        </w:rPr>
        <w:t xml:space="preserve">8.1. spodbujanje krožnega gospodarstva (programi Krožne sinergije: Pametne in krožne </w:t>
      </w:r>
      <w:r w:rsidR="00AF5AD8">
        <w:rPr>
          <w:rFonts w:cs="Arial"/>
          <w:szCs w:val="20"/>
        </w:rPr>
        <w:t>skupnosti</w:t>
      </w:r>
      <w:r w:rsidRPr="00390BFB">
        <w:rPr>
          <w:rFonts w:cs="Arial"/>
          <w:szCs w:val="20"/>
        </w:rPr>
        <w:t>, Krožno odkrivanje, Podpora krožnim inovacijam v MSP-jih, Krožni tranzicijski projekti);</w:t>
      </w:r>
    </w:p>
    <w:p w14:paraId="5B307C2E" w14:textId="77777777" w:rsidR="00390BFB" w:rsidRPr="00390BFB" w:rsidRDefault="00390BFB" w:rsidP="00390BFB">
      <w:pPr>
        <w:numPr>
          <w:ilvl w:val="1"/>
          <w:numId w:val="12"/>
        </w:numPr>
        <w:spacing w:line="276" w:lineRule="auto"/>
        <w:contextualSpacing/>
        <w:jc w:val="both"/>
        <w:rPr>
          <w:rFonts w:cs="Arial"/>
          <w:szCs w:val="20"/>
        </w:rPr>
      </w:pPr>
      <w:r w:rsidRPr="00390BFB">
        <w:rPr>
          <w:rFonts w:cs="Arial"/>
          <w:szCs w:val="20"/>
        </w:rPr>
        <w:t xml:space="preserve">8.2. do leta 2030 bistveno zmanjšati porabo materialov in znižati rabo energije (programi Krožne sinergije: Pametne in krožne </w:t>
      </w:r>
      <w:r w:rsidR="00AF5AD8">
        <w:rPr>
          <w:rFonts w:cs="Arial"/>
          <w:szCs w:val="20"/>
        </w:rPr>
        <w:t>skupnosti</w:t>
      </w:r>
      <w:r w:rsidRPr="00390BFB">
        <w:rPr>
          <w:rFonts w:cs="Arial"/>
          <w:szCs w:val="20"/>
        </w:rPr>
        <w:t>, Krožno odkrivanje, Podpora krožnim inovacijam v MSP, Krožni tranzicijski projekti);</w:t>
      </w:r>
    </w:p>
    <w:p w14:paraId="6E18CDC5" w14:textId="77777777" w:rsidR="00390BFB" w:rsidRPr="00390BFB" w:rsidRDefault="00390BFB" w:rsidP="00390BFB">
      <w:pPr>
        <w:numPr>
          <w:ilvl w:val="1"/>
          <w:numId w:val="12"/>
        </w:numPr>
        <w:spacing w:line="276" w:lineRule="auto"/>
        <w:contextualSpacing/>
        <w:jc w:val="both"/>
        <w:rPr>
          <w:rFonts w:cs="Arial"/>
          <w:szCs w:val="20"/>
        </w:rPr>
      </w:pPr>
      <w:r w:rsidRPr="00390BFB">
        <w:rPr>
          <w:rFonts w:cs="Arial"/>
          <w:szCs w:val="20"/>
        </w:rPr>
        <w:t>8.3. zmanjšanje rabe v energetsko intenzivni industriji (program Krožni tranzicijski projekti);</w:t>
      </w:r>
    </w:p>
    <w:p w14:paraId="489AEF55" w14:textId="77777777" w:rsidR="00390BFB" w:rsidRPr="00390BFB" w:rsidRDefault="00390BFB" w:rsidP="00390BFB">
      <w:pPr>
        <w:numPr>
          <w:ilvl w:val="1"/>
          <w:numId w:val="12"/>
        </w:numPr>
        <w:spacing w:line="276" w:lineRule="auto"/>
        <w:contextualSpacing/>
        <w:jc w:val="both"/>
        <w:rPr>
          <w:rFonts w:cs="Arial"/>
          <w:szCs w:val="20"/>
        </w:rPr>
      </w:pPr>
      <w:r w:rsidRPr="00390BFB">
        <w:rPr>
          <w:rFonts w:cs="Arial"/>
          <w:szCs w:val="20"/>
        </w:rPr>
        <w:t xml:space="preserve">9.1. zmanjšanje rabe energije in povečanje energetske učinkovitosti (programi Krožne sinergije: Pametne in krožne </w:t>
      </w:r>
      <w:r w:rsidR="00AF5AD8">
        <w:rPr>
          <w:rFonts w:cs="Arial"/>
          <w:szCs w:val="20"/>
        </w:rPr>
        <w:t>skupnosti</w:t>
      </w:r>
      <w:r w:rsidRPr="00390BFB">
        <w:rPr>
          <w:rFonts w:cs="Arial"/>
          <w:szCs w:val="20"/>
        </w:rPr>
        <w:t>, Krožno odkrivanje, Podpora krožnim inovacijam v MSP, Krožni tranzicijski projekti);</w:t>
      </w:r>
    </w:p>
    <w:p w14:paraId="7ADC77F3" w14:textId="77777777" w:rsidR="00390BFB" w:rsidRPr="00390BFB" w:rsidRDefault="00390BFB" w:rsidP="00390BFB">
      <w:pPr>
        <w:numPr>
          <w:ilvl w:val="1"/>
          <w:numId w:val="12"/>
        </w:numPr>
        <w:spacing w:line="276" w:lineRule="auto"/>
        <w:contextualSpacing/>
        <w:jc w:val="both"/>
        <w:rPr>
          <w:rFonts w:cs="Arial"/>
          <w:szCs w:val="20"/>
        </w:rPr>
      </w:pPr>
      <w:r w:rsidRPr="00390BFB">
        <w:rPr>
          <w:rFonts w:cs="Arial"/>
          <w:szCs w:val="20"/>
        </w:rPr>
        <w:t>10.3. spodbuditi občine, delodajalce, javne ustanove, da podprejo trajnostno mobilnost (program Krožni tranzicijski projekti – podprogram Mobilnost);</w:t>
      </w:r>
    </w:p>
    <w:p w14:paraId="76F2B0F1" w14:textId="77777777" w:rsidR="00390BFB" w:rsidRPr="00390BFB" w:rsidRDefault="00390BFB" w:rsidP="00390BFB">
      <w:pPr>
        <w:numPr>
          <w:ilvl w:val="1"/>
          <w:numId w:val="12"/>
        </w:numPr>
        <w:spacing w:line="276" w:lineRule="auto"/>
        <w:contextualSpacing/>
        <w:jc w:val="both"/>
        <w:rPr>
          <w:rFonts w:cs="Arial"/>
          <w:szCs w:val="20"/>
        </w:rPr>
      </w:pPr>
      <w:r w:rsidRPr="00390BFB">
        <w:rPr>
          <w:rFonts w:cs="Arial"/>
          <w:szCs w:val="20"/>
        </w:rPr>
        <w:t>11.2. spodbujanje predelave in potrošnje hrane, ki je za ljudi zdrava v skladu s prehranskimi usmeritvami, to je več rastlinske hrane in manj hrane živalskega izvora (program Krožni tranzicijski projekti – podprogram Hrana).</w:t>
      </w:r>
    </w:p>
    <w:p w14:paraId="577AFD91" w14:textId="77777777" w:rsidR="00390BFB" w:rsidRPr="00390BFB" w:rsidRDefault="00390BFB" w:rsidP="00390BFB">
      <w:pPr>
        <w:numPr>
          <w:ilvl w:val="0"/>
          <w:numId w:val="12"/>
        </w:numPr>
        <w:spacing w:line="276" w:lineRule="auto"/>
        <w:contextualSpacing/>
        <w:jc w:val="both"/>
        <w:rPr>
          <w:rFonts w:cs="Arial"/>
          <w:szCs w:val="20"/>
        </w:rPr>
      </w:pPr>
      <w:r w:rsidRPr="00390BFB">
        <w:rPr>
          <w:rFonts w:cs="Arial"/>
          <w:szCs w:val="20"/>
        </w:rPr>
        <w:t>Nedavna posebna raziskava Eurobarometer za področje podnebnih sprememb</w:t>
      </w:r>
      <w:r w:rsidRPr="00390BFB">
        <w:rPr>
          <w:rFonts w:cs="Arial"/>
          <w:szCs w:val="20"/>
          <w:vertAlign w:val="superscript"/>
        </w:rPr>
        <w:footnoteReference w:id="2"/>
      </w:r>
      <w:r w:rsidRPr="00390BFB">
        <w:rPr>
          <w:rFonts w:cs="Arial"/>
          <w:szCs w:val="20"/>
        </w:rPr>
        <w:t xml:space="preserve"> kaže na to, da</w:t>
      </w:r>
      <w:r w:rsidRPr="00390BFB">
        <w:t>:</w:t>
      </w:r>
    </w:p>
    <w:p w14:paraId="245E92CC" w14:textId="77777777" w:rsidR="00390BFB" w:rsidRPr="00390BFB" w:rsidRDefault="00390BFB" w:rsidP="00390BFB">
      <w:pPr>
        <w:numPr>
          <w:ilvl w:val="1"/>
          <w:numId w:val="12"/>
        </w:numPr>
        <w:spacing w:line="276" w:lineRule="auto"/>
        <w:contextualSpacing/>
        <w:jc w:val="both"/>
        <w:rPr>
          <w:rFonts w:cs="Arial"/>
          <w:szCs w:val="20"/>
        </w:rPr>
      </w:pPr>
      <w:r w:rsidRPr="00390BFB">
        <w:t xml:space="preserve">Več kot tri četrtine (76 %) anketirancev v Sloveniji meni, da so podnebne spremembe »zelo resen« problem, pri čemer je povprečje EU-28 79 %. </w:t>
      </w:r>
    </w:p>
    <w:p w14:paraId="5B325DE5" w14:textId="77777777" w:rsidR="00390BFB" w:rsidRPr="00390BFB" w:rsidRDefault="00390BFB" w:rsidP="00390BFB">
      <w:pPr>
        <w:numPr>
          <w:ilvl w:val="1"/>
          <w:numId w:val="12"/>
        </w:numPr>
        <w:spacing w:line="276" w:lineRule="auto"/>
        <w:contextualSpacing/>
        <w:jc w:val="both"/>
        <w:rPr>
          <w:rFonts w:cs="Arial"/>
          <w:szCs w:val="20"/>
        </w:rPr>
      </w:pPr>
      <w:r w:rsidRPr="00390BFB">
        <w:t xml:space="preserve">Približno eden od petih (19 % v primerjavi s povprečjem EU, ki znaša 23 %) meni, da je to prvi najresnejši problem, s katerim se svet sooča, kar je za osem odstotnih točk več kot v pretekli anketi leta 2017. </w:t>
      </w:r>
    </w:p>
    <w:p w14:paraId="36490677" w14:textId="77777777" w:rsidR="00390BFB" w:rsidRPr="00390BFB" w:rsidRDefault="00390BFB" w:rsidP="00390BFB">
      <w:pPr>
        <w:numPr>
          <w:ilvl w:val="1"/>
          <w:numId w:val="12"/>
        </w:numPr>
        <w:spacing w:line="276" w:lineRule="auto"/>
        <w:contextualSpacing/>
        <w:jc w:val="both"/>
        <w:rPr>
          <w:rFonts w:cs="Arial"/>
          <w:szCs w:val="20"/>
        </w:rPr>
      </w:pPr>
      <w:r w:rsidRPr="00390BFB">
        <w:t xml:space="preserve">Odstotek anketirancev v Sloveniji, ki pravijo, da so v zadnjih šestih mesecih osebno storili kako dejanje v boju proti podnebnim spremembam, se je povečal za 13 odstotnih točk, kar je precej nad povprečjem EU (79 % v primerjavi s povprečjem EU, ki znaša 60 %). </w:t>
      </w:r>
    </w:p>
    <w:p w14:paraId="2A89C8C4" w14:textId="77777777" w:rsidR="00390BFB" w:rsidRPr="00390BFB" w:rsidRDefault="00390BFB" w:rsidP="00390BFB">
      <w:pPr>
        <w:numPr>
          <w:ilvl w:val="1"/>
          <w:numId w:val="12"/>
        </w:numPr>
        <w:spacing w:line="276" w:lineRule="auto"/>
        <w:contextualSpacing/>
        <w:jc w:val="both"/>
        <w:rPr>
          <w:rFonts w:cs="Arial"/>
          <w:szCs w:val="20"/>
        </w:rPr>
      </w:pPr>
      <w:r w:rsidRPr="00390BFB">
        <w:t xml:space="preserve">Anketiranci v Sloveniji se v večji meri, kot je povprečje v EU, strinjajo, da lahko zmanjšanje uvoza fosilnih goriv izboljša energetsko varnost in gospodarsko koristi EU (76 % v primerjavi s povprečjem EU, ki znaša 72 %). </w:t>
      </w:r>
    </w:p>
    <w:p w14:paraId="02E7D043" w14:textId="77777777" w:rsidR="00390BFB" w:rsidRPr="00390BFB" w:rsidRDefault="00390BFB" w:rsidP="00390BFB">
      <w:pPr>
        <w:numPr>
          <w:ilvl w:val="1"/>
          <w:numId w:val="12"/>
        </w:numPr>
        <w:spacing w:line="276" w:lineRule="auto"/>
        <w:contextualSpacing/>
        <w:jc w:val="both"/>
        <w:rPr>
          <w:rFonts w:cs="Arial"/>
          <w:szCs w:val="20"/>
        </w:rPr>
      </w:pPr>
      <w:r w:rsidRPr="00390BFB">
        <w:t xml:space="preserve">V večji meri se tudi strinjajo, da mora biti prehod na čisto energijo deležen več javne finančne podpore (89 % v primerjavi s povprečjem EU, ki znaša 84 %), kar je sedem odstotnih točk več kot leta 2017. </w:t>
      </w:r>
    </w:p>
    <w:p w14:paraId="122D51A4" w14:textId="77777777" w:rsidR="00390BFB" w:rsidRPr="00390BFB" w:rsidRDefault="00390BFB" w:rsidP="00390BFB">
      <w:pPr>
        <w:numPr>
          <w:ilvl w:val="1"/>
          <w:numId w:val="12"/>
        </w:numPr>
        <w:spacing w:line="276" w:lineRule="auto"/>
        <w:contextualSpacing/>
        <w:jc w:val="both"/>
        <w:rPr>
          <w:rFonts w:cs="Arial"/>
          <w:szCs w:val="20"/>
        </w:rPr>
      </w:pPr>
      <w:r w:rsidRPr="00390BFB">
        <w:t xml:space="preserve">Odstotek anketirancev, ki se strinjajo, da ima prilagajanje škodljivim vplivom podnebnih sprememb lahko pozitivne posledice za državljane EU, znaša 70 %, kar je enako povprečju EU. </w:t>
      </w:r>
    </w:p>
    <w:p w14:paraId="6FA1B600" w14:textId="77777777" w:rsidR="00390BFB" w:rsidRPr="00390BFB" w:rsidRDefault="00390BFB" w:rsidP="00390BFB">
      <w:pPr>
        <w:numPr>
          <w:ilvl w:val="1"/>
          <w:numId w:val="12"/>
        </w:numPr>
        <w:spacing w:line="276" w:lineRule="auto"/>
        <w:contextualSpacing/>
        <w:jc w:val="both"/>
        <w:rPr>
          <w:rFonts w:cs="Arial"/>
          <w:szCs w:val="20"/>
        </w:rPr>
      </w:pPr>
      <w:r w:rsidRPr="00390BFB">
        <w:lastRenderedPageBreak/>
        <w:t>Anketiranci v Sloveniji se v večji meri strinjajo, da je pomembno, da njihova nacionalna vlada zagotavlja podporo za izboljšanje energetske učinkovitosti do leta 2030 (povišanje za dve odstotni točki na 95 % v primerjavi s povprečjem EU, ki znaša 89 %) in si zastavi ambiciozne cilje za povečanje porabe obnovljive energije do leta 2030 (znižanje za eno odstotno točko na 93 %, vendar rahlo nad povprečjem EU, ki znaša 92 %). Najpomembnejše pa je, da jih velika večina (92 %, kar je enako povprečju EU) podpira cilj podnebno nevtralne EU do leta 2050.</w:t>
      </w:r>
    </w:p>
    <w:p w14:paraId="29D02266" w14:textId="77777777" w:rsidR="00390BFB" w:rsidRPr="00390BFB" w:rsidRDefault="00390BFB" w:rsidP="00390BFB">
      <w:pPr>
        <w:numPr>
          <w:ilvl w:val="0"/>
          <w:numId w:val="12"/>
        </w:numPr>
        <w:spacing w:line="276" w:lineRule="auto"/>
        <w:contextualSpacing/>
        <w:jc w:val="both"/>
        <w:rPr>
          <w:rFonts w:cs="Arial"/>
          <w:szCs w:val="20"/>
        </w:rPr>
      </w:pPr>
      <w:r w:rsidRPr="00390BFB">
        <w:rPr>
          <w:rFonts w:cs="Arial"/>
          <w:szCs w:val="20"/>
        </w:rPr>
        <w:t>Druga raziskava Eurobarometer, ki je bila namenjena analizi mnenja glede politike EU na področju energije,</w:t>
      </w:r>
      <w:r w:rsidRPr="00390BFB">
        <w:rPr>
          <w:rFonts w:cs="Arial"/>
          <w:szCs w:val="20"/>
          <w:vertAlign w:val="superscript"/>
        </w:rPr>
        <w:footnoteReference w:id="3"/>
      </w:r>
      <w:r w:rsidRPr="00390BFB">
        <w:rPr>
          <w:rFonts w:cs="Arial"/>
          <w:szCs w:val="20"/>
        </w:rPr>
        <w:t xml:space="preserve"> pa kaže na to, da:</w:t>
      </w:r>
    </w:p>
    <w:p w14:paraId="30C47B65" w14:textId="77777777" w:rsidR="00390BFB" w:rsidRPr="00390BFB" w:rsidRDefault="00390BFB" w:rsidP="00390BFB">
      <w:pPr>
        <w:numPr>
          <w:ilvl w:val="1"/>
          <w:numId w:val="12"/>
        </w:numPr>
        <w:spacing w:line="276" w:lineRule="auto"/>
        <w:contextualSpacing/>
        <w:jc w:val="both"/>
        <w:rPr>
          <w:rFonts w:cs="Arial"/>
          <w:szCs w:val="20"/>
        </w:rPr>
      </w:pPr>
      <w:r w:rsidRPr="00390BFB">
        <w:rPr>
          <w:rFonts w:cs="Arial"/>
          <w:szCs w:val="20"/>
        </w:rPr>
        <w:t>V Sloveniji anketiranci politiko EU na področju energije razumejo kot preusmerjanje od rabe fosilnih goriv k obnovljivim (SI: 40 %, EU-28: 41 %) ter na področju učinkovite rabe energije (SI: 34 %, EU-28: 28 %).</w:t>
      </w:r>
    </w:p>
    <w:p w14:paraId="7CBEB172" w14:textId="77777777" w:rsidR="00390BFB" w:rsidRPr="00390BFB" w:rsidRDefault="00390BFB" w:rsidP="00390BFB">
      <w:pPr>
        <w:numPr>
          <w:ilvl w:val="1"/>
          <w:numId w:val="12"/>
        </w:numPr>
        <w:spacing w:line="276" w:lineRule="auto"/>
        <w:contextualSpacing/>
        <w:jc w:val="both"/>
        <w:rPr>
          <w:rFonts w:cs="Arial"/>
          <w:szCs w:val="20"/>
        </w:rPr>
      </w:pPr>
      <w:r w:rsidRPr="00390BFB">
        <w:rPr>
          <w:rFonts w:cs="Arial"/>
          <w:szCs w:val="20"/>
        </w:rPr>
        <w:t>Med anketiranci v Sloveniji je 76 % takih, ki se popolnoma strinjajo z izjavo, da mora EU zagotoviti prehod k uporabi virov energije za zniževanje izpustov toplogrednih plinov (EU-28: 57 %).</w:t>
      </w:r>
    </w:p>
    <w:p w14:paraId="3AAA67DD" w14:textId="77777777" w:rsidR="00390BFB" w:rsidRPr="00390BFB" w:rsidRDefault="00390BFB" w:rsidP="00390BFB">
      <w:pPr>
        <w:numPr>
          <w:ilvl w:val="1"/>
          <w:numId w:val="12"/>
        </w:numPr>
        <w:spacing w:line="276" w:lineRule="auto"/>
        <w:contextualSpacing/>
        <w:jc w:val="both"/>
        <w:rPr>
          <w:rFonts w:cs="Arial"/>
          <w:szCs w:val="20"/>
        </w:rPr>
      </w:pPr>
      <w:r w:rsidRPr="00390BFB">
        <w:rPr>
          <w:rFonts w:cs="Arial"/>
          <w:szCs w:val="20"/>
        </w:rPr>
        <w:t>Glede vprašanj, povezanih z zagotavljanjem dostopa do čistih virov energije v EU, so bili slovenski anketiranci mnenja, da je treba:</w:t>
      </w:r>
    </w:p>
    <w:p w14:paraId="365F5018" w14:textId="77777777" w:rsidR="00390BFB" w:rsidRPr="00390BFB" w:rsidRDefault="00390BFB" w:rsidP="00390BFB">
      <w:pPr>
        <w:numPr>
          <w:ilvl w:val="2"/>
          <w:numId w:val="12"/>
        </w:numPr>
        <w:spacing w:line="276" w:lineRule="auto"/>
        <w:contextualSpacing/>
        <w:jc w:val="both"/>
        <w:rPr>
          <w:rFonts w:cs="Arial"/>
          <w:szCs w:val="20"/>
        </w:rPr>
      </w:pPr>
      <w:r w:rsidRPr="00390BFB">
        <w:rPr>
          <w:rFonts w:cs="Arial"/>
          <w:szCs w:val="20"/>
        </w:rPr>
        <w:t xml:space="preserve">spodbujati vlaganja na področju raziskav in razvoja (SI: 72 %, EU-28: 58 %), </w:t>
      </w:r>
    </w:p>
    <w:p w14:paraId="01907526" w14:textId="77777777" w:rsidR="00390BFB" w:rsidRPr="00390BFB" w:rsidRDefault="00390BFB" w:rsidP="00390BFB">
      <w:pPr>
        <w:numPr>
          <w:ilvl w:val="2"/>
          <w:numId w:val="12"/>
        </w:numPr>
        <w:spacing w:line="276" w:lineRule="auto"/>
        <w:contextualSpacing/>
        <w:jc w:val="both"/>
        <w:rPr>
          <w:rFonts w:cs="Arial"/>
          <w:szCs w:val="20"/>
        </w:rPr>
      </w:pPr>
      <w:r w:rsidRPr="00390BFB">
        <w:rPr>
          <w:rFonts w:cs="Arial"/>
          <w:szCs w:val="20"/>
        </w:rPr>
        <w:t>spodbuditi investicije na področju obnovljivih virov energije (SI: 78 %, EU-28: 60 %),</w:t>
      </w:r>
    </w:p>
    <w:p w14:paraId="1DEAF0C6" w14:textId="77777777" w:rsidR="00390BFB" w:rsidRPr="00390BFB" w:rsidRDefault="00390BFB" w:rsidP="00390BFB">
      <w:pPr>
        <w:numPr>
          <w:ilvl w:val="2"/>
          <w:numId w:val="12"/>
        </w:numPr>
        <w:spacing w:line="276" w:lineRule="auto"/>
        <w:contextualSpacing/>
        <w:jc w:val="both"/>
        <w:rPr>
          <w:rFonts w:cs="Arial"/>
          <w:szCs w:val="20"/>
        </w:rPr>
      </w:pPr>
      <w:r w:rsidRPr="00390BFB">
        <w:rPr>
          <w:rFonts w:cs="Arial"/>
          <w:szCs w:val="20"/>
        </w:rPr>
        <w:t>opolnomočiti mesta in lokalne skupnosti za prehod k uporabi čiste energije (SI: 78 %, EU-28: 56 %),</w:t>
      </w:r>
    </w:p>
    <w:p w14:paraId="592397B9" w14:textId="77777777" w:rsidR="00390BFB" w:rsidRPr="00390BFB" w:rsidRDefault="00390BFB" w:rsidP="00390BFB">
      <w:pPr>
        <w:numPr>
          <w:ilvl w:val="2"/>
          <w:numId w:val="12"/>
        </w:numPr>
        <w:spacing w:line="276" w:lineRule="auto"/>
        <w:contextualSpacing/>
        <w:jc w:val="both"/>
        <w:rPr>
          <w:rFonts w:cs="Arial"/>
          <w:szCs w:val="20"/>
        </w:rPr>
      </w:pPr>
      <w:r w:rsidRPr="00390BFB">
        <w:rPr>
          <w:rFonts w:cs="Arial"/>
          <w:szCs w:val="20"/>
        </w:rPr>
        <w:t>podpreti ukrepe za izboljšanje energetske učinkovitosti v stavbah (SI: 75 %, EU-28: 51 %),</w:t>
      </w:r>
    </w:p>
    <w:p w14:paraId="45807799" w14:textId="77777777" w:rsidR="00390BFB" w:rsidRPr="00390BFB" w:rsidRDefault="00390BFB" w:rsidP="00390BFB">
      <w:pPr>
        <w:numPr>
          <w:ilvl w:val="2"/>
          <w:numId w:val="12"/>
        </w:numPr>
        <w:spacing w:line="276" w:lineRule="auto"/>
        <w:contextualSpacing/>
        <w:jc w:val="both"/>
        <w:rPr>
          <w:rFonts w:cs="Arial"/>
          <w:szCs w:val="20"/>
        </w:rPr>
      </w:pPr>
      <w:r w:rsidRPr="00390BFB">
        <w:rPr>
          <w:rFonts w:cs="Arial"/>
          <w:szCs w:val="20"/>
        </w:rPr>
        <w:t>podpreti tretje države k prehodu na sisteme za uporabo čistejših virov energije (SI: 71 %, EU-28: 47 %),</w:t>
      </w:r>
    </w:p>
    <w:p w14:paraId="6C791394" w14:textId="77777777" w:rsidR="00390BFB" w:rsidRPr="00390BFB" w:rsidRDefault="00390BFB" w:rsidP="00390BFB">
      <w:pPr>
        <w:numPr>
          <w:ilvl w:val="1"/>
          <w:numId w:val="12"/>
        </w:numPr>
        <w:spacing w:line="276" w:lineRule="auto"/>
        <w:contextualSpacing/>
        <w:jc w:val="both"/>
        <w:rPr>
          <w:rFonts w:cs="Arial"/>
          <w:szCs w:val="20"/>
        </w:rPr>
      </w:pPr>
      <w:r w:rsidRPr="00390BFB">
        <w:rPr>
          <w:rFonts w:cs="Arial"/>
          <w:szCs w:val="20"/>
        </w:rPr>
        <w:t>Anketiranci iz Slovenije med drugim bolj od povprečja EU podpirajo idejo o opolnomočenju potrošnikov, da proizvajajo in uporabljajo lastno energijo (SI: 71 %, EU-28: 49 %).</w:t>
      </w:r>
    </w:p>
    <w:p w14:paraId="7BF0FD4A" w14:textId="77777777" w:rsidR="00390BFB" w:rsidRPr="00390BFB" w:rsidRDefault="00390BFB" w:rsidP="00390BFB">
      <w:pPr>
        <w:numPr>
          <w:ilvl w:val="1"/>
          <w:numId w:val="12"/>
        </w:numPr>
        <w:spacing w:line="276" w:lineRule="auto"/>
        <w:contextualSpacing/>
        <w:jc w:val="both"/>
        <w:rPr>
          <w:rFonts w:cs="Arial"/>
          <w:szCs w:val="20"/>
        </w:rPr>
      </w:pPr>
      <w:r w:rsidRPr="00390BFB">
        <w:rPr>
          <w:rFonts w:cs="Arial"/>
          <w:szCs w:val="20"/>
        </w:rPr>
        <w:t xml:space="preserve">Je kar 50 % vprašanih mnenja, da bi morala EU v naslednjih 10 letih investirati in vlagati v tehnologije za čisto energijo (EU-28: 47 %) in da jih kar 34 % meni, da bi morali zmanjšati skupno rabo energije v EU (EU-28: 30 %). </w:t>
      </w:r>
    </w:p>
    <w:p w14:paraId="6731E8B5" w14:textId="77777777" w:rsidR="00390BFB" w:rsidRPr="00390BFB" w:rsidRDefault="00390BFB" w:rsidP="00390BFB">
      <w:pPr>
        <w:spacing w:line="276" w:lineRule="auto"/>
        <w:ind w:left="1440"/>
        <w:contextualSpacing/>
        <w:jc w:val="both"/>
        <w:rPr>
          <w:rFonts w:cs="Arial"/>
          <w:szCs w:val="20"/>
        </w:rPr>
      </w:pPr>
    </w:p>
    <w:p w14:paraId="00B94618" w14:textId="77777777" w:rsidR="00390BFB" w:rsidRPr="00390BFB" w:rsidRDefault="00390BFB" w:rsidP="00390BFB">
      <w:pPr>
        <w:numPr>
          <w:ilvl w:val="0"/>
          <w:numId w:val="12"/>
        </w:numPr>
        <w:spacing w:line="276" w:lineRule="auto"/>
        <w:contextualSpacing/>
        <w:jc w:val="both"/>
        <w:rPr>
          <w:rFonts w:cs="Arial"/>
          <w:b/>
          <w:szCs w:val="20"/>
        </w:rPr>
      </w:pPr>
      <w:r w:rsidRPr="00390BFB">
        <w:rPr>
          <w:rFonts w:cs="Arial"/>
          <w:b/>
          <w:szCs w:val="20"/>
        </w:rPr>
        <w:t xml:space="preserve">V skladu z navedenim predstavlja izvedba celovitega strateškega projekta prehoda v nizkoogljično krožno gospodarstvo sistematično, sistemsko, vključujoče in ambiciozno rešitev s številnimi pozitivni učinki ne le na okolje, ampak tudi na gospodarstvo in družbo.  </w:t>
      </w:r>
    </w:p>
    <w:p w14:paraId="5EC2AE21" w14:textId="77777777" w:rsidR="00390BFB" w:rsidRPr="00390BFB" w:rsidRDefault="00390BFB" w:rsidP="00390BFB">
      <w:pPr>
        <w:spacing w:line="276" w:lineRule="auto"/>
        <w:ind w:left="720"/>
        <w:contextualSpacing/>
        <w:jc w:val="both"/>
        <w:rPr>
          <w:rFonts w:cs="Arial"/>
          <w:szCs w:val="20"/>
        </w:rPr>
      </w:pPr>
    </w:p>
    <w:p w14:paraId="6D9F16A8" w14:textId="77777777" w:rsidR="00A24846" w:rsidRDefault="00A24846">
      <w:pPr>
        <w:spacing w:line="240" w:lineRule="auto"/>
        <w:rPr>
          <w:rFonts w:ascii="Calibri" w:eastAsia="Calibri" w:hAnsi="Calibri"/>
          <w:sz w:val="22"/>
          <w:szCs w:val="22"/>
        </w:rPr>
      </w:pPr>
    </w:p>
    <w:sectPr w:rsidR="00A24846" w:rsidSect="00843ECA">
      <w:headerReference w:type="default" r:id="rId9"/>
      <w:headerReference w:type="first" r:id="rId10"/>
      <w:pgSz w:w="11900" w:h="16840" w:code="9"/>
      <w:pgMar w:top="1701" w:right="843" w:bottom="851"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A629F" w14:textId="77777777" w:rsidR="00FC2441" w:rsidRDefault="00FC2441">
      <w:r>
        <w:separator/>
      </w:r>
    </w:p>
  </w:endnote>
  <w:endnote w:type="continuationSeparator" w:id="0">
    <w:p w14:paraId="7A0AAD83" w14:textId="77777777" w:rsidR="00FC2441" w:rsidRDefault="00FC2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C Square Sans Pro Medium">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Republika">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45380" w14:textId="77777777" w:rsidR="00FC2441" w:rsidRDefault="00FC2441">
      <w:r>
        <w:separator/>
      </w:r>
    </w:p>
  </w:footnote>
  <w:footnote w:type="continuationSeparator" w:id="0">
    <w:p w14:paraId="05D8EA08" w14:textId="77777777" w:rsidR="00FC2441" w:rsidRDefault="00FC2441">
      <w:r>
        <w:continuationSeparator/>
      </w:r>
    </w:p>
  </w:footnote>
  <w:footnote w:id="1">
    <w:p w14:paraId="649D750F" w14:textId="77777777" w:rsidR="00390BFB" w:rsidRPr="003238D9" w:rsidRDefault="00390BFB" w:rsidP="00390BFB">
      <w:pPr>
        <w:pStyle w:val="Sprotnaopomba-besedilo"/>
        <w:rPr>
          <w:rFonts w:ascii="Arial" w:hAnsi="Arial" w:cs="Arial"/>
          <w:sz w:val="16"/>
          <w:szCs w:val="16"/>
        </w:rPr>
      </w:pPr>
      <w:r w:rsidRPr="003238D9">
        <w:rPr>
          <w:rStyle w:val="Sprotnaopomba-sklic"/>
          <w:rFonts w:ascii="Arial" w:hAnsi="Arial" w:cs="Arial"/>
          <w:sz w:val="16"/>
          <w:szCs w:val="16"/>
        </w:rPr>
        <w:footnoteRef/>
      </w:r>
      <w:r w:rsidRPr="003238D9">
        <w:rPr>
          <w:rFonts w:ascii="Arial" w:hAnsi="Arial" w:cs="Arial"/>
          <w:sz w:val="16"/>
          <w:szCs w:val="16"/>
        </w:rPr>
        <w:t xml:space="preserve"> </w:t>
      </w:r>
      <w:hyperlink r:id="rId1" w:history="1">
        <w:r w:rsidRPr="003238D9">
          <w:rPr>
            <w:rStyle w:val="Hiperpovezava"/>
            <w:rFonts w:ascii="Arial" w:hAnsi="Arial" w:cs="Arial"/>
            <w:sz w:val="16"/>
            <w:szCs w:val="16"/>
          </w:rPr>
          <w:t>https://www.consilium.europa.eu/media/40805/st12544-en19.pdf</w:t>
        </w:r>
      </w:hyperlink>
    </w:p>
  </w:footnote>
  <w:footnote w:id="2">
    <w:p w14:paraId="07A0A23C" w14:textId="77777777" w:rsidR="00390BFB" w:rsidRPr="00A23875" w:rsidRDefault="00390BFB" w:rsidP="00390BFB">
      <w:pPr>
        <w:pStyle w:val="Sprotnaopomba-besedilo"/>
        <w:rPr>
          <w:rFonts w:ascii="Arial" w:hAnsi="Arial" w:cs="Arial"/>
          <w:sz w:val="16"/>
          <w:szCs w:val="16"/>
        </w:rPr>
      </w:pPr>
      <w:r w:rsidRPr="00A23875">
        <w:rPr>
          <w:rStyle w:val="Sprotnaopomba-sklic"/>
          <w:rFonts w:ascii="Arial" w:hAnsi="Arial" w:cs="Arial"/>
          <w:sz w:val="16"/>
          <w:szCs w:val="16"/>
        </w:rPr>
        <w:footnoteRef/>
      </w:r>
      <w:r w:rsidRPr="00A23875">
        <w:rPr>
          <w:rFonts w:ascii="Arial" w:hAnsi="Arial" w:cs="Arial"/>
          <w:sz w:val="16"/>
          <w:szCs w:val="16"/>
        </w:rPr>
        <w:t xml:space="preserve"> </w:t>
      </w:r>
      <w:hyperlink r:id="rId2" w:history="1">
        <w:r w:rsidRPr="00A23875">
          <w:rPr>
            <w:rStyle w:val="Hiperpovezava"/>
            <w:rFonts w:ascii="Arial" w:hAnsi="Arial" w:cs="Arial"/>
            <w:sz w:val="16"/>
            <w:szCs w:val="16"/>
          </w:rPr>
          <w:t>https://ec.europa.eu/commfrontoffice/publicopinion/index.cfm/survey/getsurveydetail/instruments/special/surveyky/2212</w:t>
        </w:r>
      </w:hyperlink>
    </w:p>
  </w:footnote>
  <w:footnote w:id="3">
    <w:p w14:paraId="387C8CD9" w14:textId="77777777" w:rsidR="00390BFB" w:rsidRPr="006F21D7" w:rsidRDefault="00390BFB" w:rsidP="00390BFB">
      <w:pPr>
        <w:pStyle w:val="Sprotnaopomba-besedilo"/>
        <w:rPr>
          <w:rFonts w:ascii="Arial" w:hAnsi="Arial" w:cs="Arial"/>
          <w:sz w:val="16"/>
          <w:szCs w:val="16"/>
        </w:rPr>
      </w:pPr>
      <w:r w:rsidRPr="006F21D7">
        <w:rPr>
          <w:rStyle w:val="Sprotnaopomba-sklic"/>
          <w:rFonts w:ascii="Arial" w:hAnsi="Arial" w:cs="Arial"/>
          <w:sz w:val="16"/>
          <w:szCs w:val="16"/>
        </w:rPr>
        <w:footnoteRef/>
      </w:r>
      <w:r w:rsidRPr="006F21D7">
        <w:rPr>
          <w:rFonts w:ascii="Arial" w:hAnsi="Arial" w:cs="Arial"/>
          <w:sz w:val="16"/>
          <w:szCs w:val="16"/>
        </w:rPr>
        <w:t xml:space="preserve"> </w:t>
      </w:r>
      <w:hyperlink r:id="rId3" w:history="1">
        <w:r w:rsidRPr="006F21D7">
          <w:rPr>
            <w:rStyle w:val="Hiperpovezava"/>
            <w:rFonts w:ascii="Arial" w:hAnsi="Arial" w:cs="Arial"/>
            <w:sz w:val="16"/>
            <w:szCs w:val="16"/>
          </w:rPr>
          <w:t>https://ec.europa.eu/commfrontoffice/publicopinion/index.cfm/survey/getsurveydetail/instruments/special/surveyky/2238</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7E83A" w14:textId="77777777" w:rsidR="00375F15" w:rsidRPr="00110CBD" w:rsidRDefault="00375F15"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A255C" w14:textId="77777777" w:rsidR="00375F15" w:rsidRPr="008F3500" w:rsidRDefault="00DE332F" w:rsidP="00946C49">
    <w:pPr>
      <w:autoSpaceDE w:val="0"/>
      <w:autoSpaceDN w:val="0"/>
      <w:adjustRightInd w:val="0"/>
      <w:spacing w:line="240" w:lineRule="auto"/>
      <w:rPr>
        <w:rFonts w:ascii="Republika" w:hAnsi="Republika"/>
      </w:rPr>
    </w:pPr>
    <w:r>
      <w:rPr>
        <w:rFonts w:ascii="Republika" w:hAnsi="Republika"/>
        <w:noProof/>
        <w:sz w:val="60"/>
        <w:szCs w:val="60"/>
        <w:lang w:eastAsia="sl-SI"/>
      </w:rPr>
      <w:drawing>
        <wp:anchor distT="0" distB="0" distL="114300" distR="114300" simplePos="0" relativeHeight="251657216" behindDoc="0" locked="0" layoutInCell="1" allowOverlap="1" wp14:anchorId="2B83BB55" wp14:editId="77B678D4">
          <wp:simplePos x="0" y="0"/>
          <wp:positionH relativeFrom="column">
            <wp:posOffset>-470535</wp:posOffset>
          </wp:positionH>
          <wp:positionV relativeFrom="paragraph">
            <wp:posOffset>6985</wp:posOffset>
          </wp:positionV>
          <wp:extent cx="309880" cy="349885"/>
          <wp:effectExtent l="0" t="0" r="0" b="0"/>
          <wp:wrapSquare wrapText="bothSides"/>
          <wp:docPr id="12" name="Slika 12" descr="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880" cy="349885"/>
                  </a:xfrm>
                  <a:prstGeom prst="rect">
                    <a:avLst/>
                  </a:prstGeom>
                  <a:noFill/>
                  <a:ln>
                    <a:noFill/>
                  </a:ln>
                </pic:spPr>
              </pic:pic>
            </a:graphicData>
          </a:graphic>
        </wp:anchor>
      </w:drawing>
    </w:r>
    <w:r w:rsidR="00440A28">
      <w:rPr>
        <w:noProof/>
        <w:lang w:eastAsia="sl-SI"/>
      </w:rPr>
      <mc:AlternateContent>
        <mc:Choice Requires="wps">
          <w:drawing>
            <wp:anchor distT="4294967294" distB="4294967294" distL="114300" distR="114300" simplePos="0" relativeHeight="251658240" behindDoc="1" locked="0" layoutInCell="0" allowOverlap="1" wp14:anchorId="2E464BC3" wp14:editId="59D53D4C">
              <wp:simplePos x="0" y="0"/>
              <wp:positionH relativeFrom="column">
                <wp:posOffset>-431800</wp:posOffset>
              </wp:positionH>
              <wp:positionV relativeFrom="page">
                <wp:posOffset>3600449</wp:posOffset>
              </wp:positionV>
              <wp:extent cx="252095" cy="0"/>
              <wp:effectExtent l="0" t="0" r="14605" b="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884C9FA" id="Line 11"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" o:allowincell="f" strokecolor="#428299" strokeweight=".5pt">
              <w10:wrap anchory="page"/>
            </v:line>
          </w:pict>
        </mc:Fallback>
      </mc:AlternateContent>
    </w:r>
    <w:r w:rsidR="00375F15" w:rsidRPr="008F3500">
      <w:rPr>
        <w:rFonts w:ascii="Republika" w:hAnsi="Republika"/>
      </w:rPr>
      <w:t>REPUBLIKA SLOVENIJA</w:t>
    </w:r>
  </w:p>
  <w:p w14:paraId="4187E535" w14:textId="77777777" w:rsidR="00375F15" w:rsidRPr="00946C49" w:rsidRDefault="00375F15" w:rsidP="00946C49">
    <w:pPr>
      <w:pStyle w:val="Glava"/>
      <w:tabs>
        <w:tab w:val="clear" w:pos="4320"/>
        <w:tab w:val="clear" w:pos="8640"/>
        <w:tab w:val="left" w:pos="5112"/>
      </w:tabs>
      <w:spacing w:after="120" w:line="240" w:lineRule="exact"/>
      <w:rPr>
        <w:rFonts w:ascii="Republika" w:hAnsi="Republika"/>
        <w:b/>
        <w:caps/>
      </w:rPr>
    </w:pPr>
    <w:r>
      <w:rPr>
        <w:rFonts w:ascii="Republika" w:hAnsi="Republika"/>
        <w:b/>
        <w:caps/>
      </w:rPr>
      <w:t>Ministrstvo za gospodarski razvoj in tehnologijo</w:t>
    </w:r>
  </w:p>
  <w:p w14:paraId="1570F13B" w14:textId="77777777" w:rsidR="00375F15" w:rsidRDefault="00375F15" w:rsidP="005712A3">
    <w:pPr>
      <w:pStyle w:val="Glava"/>
      <w:tabs>
        <w:tab w:val="clear" w:pos="4320"/>
        <w:tab w:val="clear" w:pos="8640"/>
        <w:tab w:val="left" w:pos="5112"/>
      </w:tabs>
      <w:spacing w:before="240" w:line="240" w:lineRule="exact"/>
      <w:rPr>
        <w:rFonts w:cs="Arial"/>
        <w:sz w:val="16"/>
      </w:rPr>
    </w:pPr>
  </w:p>
  <w:p w14:paraId="28E32925" w14:textId="77777777" w:rsidR="00375F15" w:rsidRPr="008F3500" w:rsidRDefault="00375F15" w:rsidP="00872C07">
    <w:pPr>
      <w:pStyle w:val="Glava"/>
      <w:tabs>
        <w:tab w:val="clear" w:pos="4320"/>
        <w:tab w:val="clear" w:pos="8640"/>
        <w:tab w:val="left" w:pos="5112"/>
      </w:tabs>
      <w:spacing w:before="240" w:line="240" w:lineRule="exact"/>
      <w:rPr>
        <w:rFonts w:cs="Arial"/>
        <w:sz w:val="16"/>
      </w:rPr>
    </w:pPr>
    <w:r>
      <w:rPr>
        <w:rFonts w:cs="Arial"/>
        <w:sz w:val="16"/>
      </w:rPr>
      <w:t>Kotnikova ulica 5</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01 400 36 00, 01 400 33 11</w:t>
    </w:r>
  </w:p>
  <w:p w14:paraId="2DAE3993" w14:textId="77777777" w:rsidR="00375F15" w:rsidRPr="008F3500" w:rsidRDefault="00375F15" w:rsidP="00872C07">
    <w:pPr>
      <w:pStyle w:val="Glava"/>
      <w:tabs>
        <w:tab w:val="clear" w:pos="4320"/>
        <w:tab w:val="clear" w:pos="8640"/>
        <w:tab w:val="left" w:pos="5112"/>
      </w:tabs>
      <w:spacing w:line="240" w:lineRule="exact"/>
      <w:rPr>
        <w:rFonts w:cs="Arial"/>
        <w:sz w:val="16"/>
      </w:rPr>
    </w:pPr>
    <w:r w:rsidRPr="008F3500">
      <w:rPr>
        <w:rFonts w:cs="Arial"/>
        <w:sz w:val="16"/>
      </w:rPr>
      <w:tab/>
      <w:t xml:space="preserve">E: </w:t>
    </w:r>
    <w:hyperlink r:id="rId2" w:history="1">
      <w:r w:rsidRPr="009403F0">
        <w:rPr>
          <w:rStyle w:val="Hiperpovezava"/>
          <w:rFonts w:cs="Arial"/>
          <w:sz w:val="16"/>
        </w:rPr>
        <w:t>gp.mgrt@gov.si</w:t>
      </w:r>
    </w:hyperlink>
    <w:r>
      <w:rPr>
        <w:rFonts w:cs="Arial"/>
        <w:sz w:val="16"/>
      </w:rPr>
      <w:t xml:space="preserve"> </w:t>
    </w:r>
  </w:p>
  <w:p w14:paraId="0FE37AAC" w14:textId="77777777" w:rsidR="00375F15" w:rsidRPr="008F3500" w:rsidRDefault="00375F15" w:rsidP="00872C07">
    <w:pPr>
      <w:pStyle w:val="Glava"/>
      <w:tabs>
        <w:tab w:val="clear" w:pos="4320"/>
        <w:tab w:val="clear" w:pos="8640"/>
        <w:tab w:val="left" w:pos="5112"/>
      </w:tabs>
      <w:spacing w:line="240" w:lineRule="exact"/>
      <w:rPr>
        <w:rFonts w:cs="Arial"/>
        <w:sz w:val="16"/>
      </w:rPr>
    </w:pPr>
    <w:r w:rsidRPr="008F3500">
      <w:rPr>
        <w:rFonts w:cs="Arial"/>
        <w:sz w:val="16"/>
      </w:rPr>
      <w:tab/>
    </w:r>
    <w:hyperlink r:id="rId3" w:history="1">
      <w:r w:rsidR="00BC4D82" w:rsidRPr="00107CAB">
        <w:rPr>
          <w:rStyle w:val="Hiperpovezava"/>
          <w:rFonts w:cs="Arial"/>
          <w:sz w:val="16"/>
        </w:rPr>
        <w:t>www.gov.si</w:t>
      </w:r>
    </w:hyperlink>
    <w:r>
      <w:rPr>
        <w:rFonts w:cs="Arial"/>
        <w:sz w:val="16"/>
      </w:rPr>
      <w:t xml:space="preserve"> </w:t>
    </w:r>
  </w:p>
  <w:p w14:paraId="24E5C9CA" w14:textId="77777777" w:rsidR="00375F15" w:rsidRPr="008F3500" w:rsidRDefault="00375F15" w:rsidP="00EC0549">
    <w:pPr>
      <w:pStyle w:val="Glava"/>
      <w:tabs>
        <w:tab w:val="clear" w:pos="4320"/>
        <w:tab w:val="clear" w:pos="8640"/>
        <w:tab w:val="left" w:pos="5112"/>
      </w:tabs>
      <w:spacing w:line="240" w:lineRule="exact"/>
      <w:rPr>
        <w:rFonts w:cs="Arial"/>
        <w:sz w:val="16"/>
      </w:rPr>
    </w:pPr>
  </w:p>
  <w:p w14:paraId="1E7B11CB" w14:textId="77777777" w:rsidR="00375F15" w:rsidRPr="008F3500" w:rsidRDefault="00375F15" w:rsidP="00B76818">
    <w:pPr>
      <w:pStyle w:val="Glava"/>
      <w:tabs>
        <w:tab w:val="clear" w:pos="4320"/>
        <w:tab w:val="clear" w:pos="8640"/>
        <w:tab w:val="left" w:pos="5112"/>
      </w:tabs>
      <w:spacing w:line="240" w:lineRule="exact"/>
      <w:rPr>
        <w:rFonts w:cs="Arial"/>
        <w:sz w:val="16"/>
      </w:rPr>
    </w:pPr>
    <w:r w:rsidRPr="008F3500">
      <w:rPr>
        <w:rFonts w:cs="Arial"/>
        <w:sz w:val="16"/>
      </w:rPr>
      <w:tab/>
    </w:r>
  </w:p>
  <w:p w14:paraId="72665031" w14:textId="77777777" w:rsidR="00375F15" w:rsidRPr="008F3500" w:rsidRDefault="00375F15" w:rsidP="005E7866">
    <w:pPr>
      <w:pStyle w:val="Glava"/>
      <w:tabs>
        <w:tab w:val="clear" w:pos="4320"/>
        <w:tab w:val="clear" w:pos="8640"/>
        <w:tab w:val="left" w:pos="5112"/>
      </w:tabs>
      <w:spacing w:after="120" w:line="2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1C7"/>
    <w:multiLevelType w:val="hybridMultilevel"/>
    <w:tmpl w:val="087E455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AD3E35"/>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43E0D1C"/>
    <w:multiLevelType w:val="hybridMultilevel"/>
    <w:tmpl w:val="3F7E2B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A2C0387"/>
    <w:multiLevelType w:val="hybridMultilevel"/>
    <w:tmpl w:val="DEAE37BE"/>
    <w:lvl w:ilvl="0" w:tplc="0424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B09341A"/>
    <w:multiLevelType w:val="hybridMultilevel"/>
    <w:tmpl w:val="81A03950"/>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CBB396D"/>
    <w:multiLevelType w:val="hybridMultilevel"/>
    <w:tmpl w:val="61CC65CE"/>
    <w:lvl w:ilvl="0" w:tplc="4E5A5D5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59A6072B"/>
    <w:multiLevelType w:val="hybridMultilevel"/>
    <w:tmpl w:val="8A08C9FA"/>
    <w:lvl w:ilvl="0" w:tplc="04240001">
      <w:start w:val="1"/>
      <w:numFmt w:val="bullet"/>
      <w:lvlText w:val=""/>
      <w:lvlJc w:val="left"/>
      <w:pPr>
        <w:ind w:left="720" w:hanging="360"/>
      </w:pPr>
      <w:rPr>
        <w:rFonts w:ascii="Symbol" w:hAnsi="Symbol" w:hint="default"/>
      </w:rPr>
    </w:lvl>
    <w:lvl w:ilvl="1" w:tplc="04240013">
      <w:start w:val="1"/>
      <w:numFmt w:val="upperRoman"/>
      <w:lvlText w:val="%2."/>
      <w:lvlJc w:val="right"/>
      <w:pPr>
        <w:ind w:left="1440" w:hanging="360"/>
      </w:pPr>
      <w:rPr>
        <w:rFonts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A3E4F68"/>
    <w:multiLevelType w:val="hybridMultilevel"/>
    <w:tmpl w:val="39C24B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4055042"/>
    <w:multiLevelType w:val="hybridMultilevel"/>
    <w:tmpl w:val="30163EB6"/>
    <w:lvl w:ilvl="0" w:tplc="4ACCD206">
      <w:start w:val="1"/>
      <w:numFmt w:val="decimal"/>
      <w:lvlText w:val="%1."/>
      <w:lvlJc w:val="left"/>
      <w:pPr>
        <w:ind w:left="720" w:hanging="360"/>
      </w:pPr>
      <w:rPr>
        <w:rFonts w:ascii="Arial" w:hAnsi="Arial" w:cs="Arial" w:hint="default"/>
        <w:sz w:val="20"/>
        <w:szCs w:val="2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E603A33"/>
    <w:multiLevelType w:val="hybridMultilevel"/>
    <w:tmpl w:val="E196D18C"/>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15:restartNumberingAfterBreak="0">
    <w:nsid w:val="76A039E3"/>
    <w:multiLevelType w:val="hybridMultilevel"/>
    <w:tmpl w:val="1214022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7"/>
  </w:num>
  <w:num w:numId="4">
    <w:abstractNumId w:val="4"/>
  </w:num>
  <w:num w:numId="5">
    <w:abstractNumId w:val="6"/>
  </w:num>
  <w:num w:numId="6">
    <w:abstractNumId w:val="8"/>
  </w:num>
  <w:num w:numId="7">
    <w:abstractNumId w:val="5"/>
  </w:num>
  <w:num w:numId="8">
    <w:abstractNumId w:val="2"/>
  </w:num>
  <w:num w:numId="9">
    <w:abstractNumId w:val="3"/>
  </w:num>
  <w:num w:numId="10">
    <w:abstractNumId w:val="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3"/>
  </w:num>
  <w:num w:numId="14">
    <w:abstractNumId w:val="0"/>
  </w:num>
  <w:num w:numId="1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8193">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581"/>
    <w:rsid w:val="00004C0E"/>
    <w:rsid w:val="00023A88"/>
    <w:rsid w:val="00043ACB"/>
    <w:rsid w:val="00085D11"/>
    <w:rsid w:val="000902D0"/>
    <w:rsid w:val="000A3D3E"/>
    <w:rsid w:val="000A7238"/>
    <w:rsid w:val="000C3F53"/>
    <w:rsid w:val="000D0989"/>
    <w:rsid w:val="000D63A7"/>
    <w:rsid w:val="000E08A1"/>
    <w:rsid w:val="000E1750"/>
    <w:rsid w:val="000F096D"/>
    <w:rsid w:val="000F2B8B"/>
    <w:rsid w:val="000F5B49"/>
    <w:rsid w:val="0010641E"/>
    <w:rsid w:val="00113103"/>
    <w:rsid w:val="001253DA"/>
    <w:rsid w:val="001259AD"/>
    <w:rsid w:val="00126581"/>
    <w:rsid w:val="001357B2"/>
    <w:rsid w:val="00135ED8"/>
    <w:rsid w:val="00141288"/>
    <w:rsid w:val="001452BC"/>
    <w:rsid w:val="0015735B"/>
    <w:rsid w:val="00171F3F"/>
    <w:rsid w:val="001A0983"/>
    <w:rsid w:val="001C0B24"/>
    <w:rsid w:val="001C2D06"/>
    <w:rsid w:val="001C4FA2"/>
    <w:rsid w:val="001D376C"/>
    <w:rsid w:val="001D5FF4"/>
    <w:rsid w:val="001F2844"/>
    <w:rsid w:val="001F5EF8"/>
    <w:rsid w:val="00202A77"/>
    <w:rsid w:val="00203547"/>
    <w:rsid w:val="0021675C"/>
    <w:rsid w:val="00225A6C"/>
    <w:rsid w:val="00237776"/>
    <w:rsid w:val="00262039"/>
    <w:rsid w:val="002638B7"/>
    <w:rsid w:val="00271CE5"/>
    <w:rsid w:val="00282020"/>
    <w:rsid w:val="00282E0D"/>
    <w:rsid w:val="0028485B"/>
    <w:rsid w:val="002A3807"/>
    <w:rsid w:val="002B4BD9"/>
    <w:rsid w:val="002B654E"/>
    <w:rsid w:val="002B72A8"/>
    <w:rsid w:val="002D06E7"/>
    <w:rsid w:val="002D3C86"/>
    <w:rsid w:val="002E3898"/>
    <w:rsid w:val="00301B23"/>
    <w:rsid w:val="00317E0D"/>
    <w:rsid w:val="00320D5E"/>
    <w:rsid w:val="003223C5"/>
    <w:rsid w:val="0032481F"/>
    <w:rsid w:val="003249EB"/>
    <w:rsid w:val="00356DF2"/>
    <w:rsid w:val="00357A07"/>
    <w:rsid w:val="00361E3E"/>
    <w:rsid w:val="003636BF"/>
    <w:rsid w:val="00363966"/>
    <w:rsid w:val="00363CE9"/>
    <w:rsid w:val="00365160"/>
    <w:rsid w:val="0037479F"/>
    <w:rsid w:val="00375F15"/>
    <w:rsid w:val="00382AB9"/>
    <w:rsid w:val="003845B4"/>
    <w:rsid w:val="003854A3"/>
    <w:rsid w:val="00387B1A"/>
    <w:rsid w:val="00390BFB"/>
    <w:rsid w:val="0039165F"/>
    <w:rsid w:val="0039216E"/>
    <w:rsid w:val="00392E7B"/>
    <w:rsid w:val="003D3D80"/>
    <w:rsid w:val="003E1196"/>
    <w:rsid w:val="003E1C74"/>
    <w:rsid w:val="003E3C82"/>
    <w:rsid w:val="003F4F4E"/>
    <w:rsid w:val="003F62B8"/>
    <w:rsid w:val="0040643D"/>
    <w:rsid w:val="004106EE"/>
    <w:rsid w:val="0042121F"/>
    <w:rsid w:val="00440A28"/>
    <w:rsid w:val="0046396D"/>
    <w:rsid w:val="004708CD"/>
    <w:rsid w:val="0047145E"/>
    <w:rsid w:val="00476BD2"/>
    <w:rsid w:val="0049276C"/>
    <w:rsid w:val="004A54F4"/>
    <w:rsid w:val="004D6718"/>
    <w:rsid w:val="004E445D"/>
    <w:rsid w:val="004E7D87"/>
    <w:rsid w:val="00500C3B"/>
    <w:rsid w:val="00500DB2"/>
    <w:rsid w:val="00502E41"/>
    <w:rsid w:val="00506203"/>
    <w:rsid w:val="00526246"/>
    <w:rsid w:val="00537C34"/>
    <w:rsid w:val="005538B4"/>
    <w:rsid w:val="00555390"/>
    <w:rsid w:val="005601A0"/>
    <w:rsid w:val="005647BB"/>
    <w:rsid w:val="00567106"/>
    <w:rsid w:val="00567ABB"/>
    <w:rsid w:val="005712A3"/>
    <w:rsid w:val="005869C7"/>
    <w:rsid w:val="005969A3"/>
    <w:rsid w:val="005B1B14"/>
    <w:rsid w:val="005B6088"/>
    <w:rsid w:val="005D390A"/>
    <w:rsid w:val="005E1D3C"/>
    <w:rsid w:val="005E7866"/>
    <w:rsid w:val="0060403D"/>
    <w:rsid w:val="0060619D"/>
    <w:rsid w:val="00624C80"/>
    <w:rsid w:val="00632253"/>
    <w:rsid w:val="00636F94"/>
    <w:rsid w:val="00642714"/>
    <w:rsid w:val="006455CE"/>
    <w:rsid w:val="00651FCC"/>
    <w:rsid w:val="00652EF0"/>
    <w:rsid w:val="00661011"/>
    <w:rsid w:val="0068409E"/>
    <w:rsid w:val="00690D03"/>
    <w:rsid w:val="006A5BEA"/>
    <w:rsid w:val="006A6EB3"/>
    <w:rsid w:val="006A6FC6"/>
    <w:rsid w:val="006B2B83"/>
    <w:rsid w:val="006B4678"/>
    <w:rsid w:val="006C01FC"/>
    <w:rsid w:val="006C1DA6"/>
    <w:rsid w:val="006D384B"/>
    <w:rsid w:val="006D42D9"/>
    <w:rsid w:val="00701E75"/>
    <w:rsid w:val="00706BCF"/>
    <w:rsid w:val="007117BE"/>
    <w:rsid w:val="00712251"/>
    <w:rsid w:val="00717ED3"/>
    <w:rsid w:val="00727C3D"/>
    <w:rsid w:val="00733017"/>
    <w:rsid w:val="0074002F"/>
    <w:rsid w:val="00743A69"/>
    <w:rsid w:val="00745355"/>
    <w:rsid w:val="00783310"/>
    <w:rsid w:val="00790879"/>
    <w:rsid w:val="00790A61"/>
    <w:rsid w:val="00795D87"/>
    <w:rsid w:val="007A4A6D"/>
    <w:rsid w:val="007A709B"/>
    <w:rsid w:val="007A7CDF"/>
    <w:rsid w:val="007B2A42"/>
    <w:rsid w:val="007B5467"/>
    <w:rsid w:val="007D1BCF"/>
    <w:rsid w:val="007D2C5F"/>
    <w:rsid w:val="007D75CF"/>
    <w:rsid w:val="007E3644"/>
    <w:rsid w:val="007E6DC5"/>
    <w:rsid w:val="00800B3F"/>
    <w:rsid w:val="00812975"/>
    <w:rsid w:val="00814213"/>
    <w:rsid w:val="00815FFB"/>
    <w:rsid w:val="00820969"/>
    <w:rsid w:val="00823A50"/>
    <w:rsid w:val="00826AAB"/>
    <w:rsid w:val="00830C8C"/>
    <w:rsid w:val="00836C80"/>
    <w:rsid w:val="00843ECA"/>
    <w:rsid w:val="0084459C"/>
    <w:rsid w:val="00856825"/>
    <w:rsid w:val="00871AF9"/>
    <w:rsid w:val="00872C07"/>
    <w:rsid w:val="0088043C"/>
    <w:rsid w:val="00884599"/>
    <w:rsid w:val="00885F77"/>
    <w:rsid w:val="008906C9"/>
    <w:rsid w:val="0089180D"/>
    <w:rsid w:val="008A1589"/>
    <w:rsid w:val="008A7812"/>
    <w:rsid w:val="008B1468"/>
    <w:rsid w:val="008C26B3"/>
    <w:rsid w:val="008C462F"/>
    <w:rsid w:val="008C5738"/>
    <w:rsid w:val="008C6D8A"/>
    <w:rsid w:val="008C7EF6"/>
    <w:rsid w:val="008D04F0"/>
    <w:rsid w:val="008D711A"/>
    <w:rsid w:val="008E36E7"/>
    <w:rsid w:val="008E6D16"/>
    <w:rsid w:val="008F3500"/>
    <w:rsid w:val="00914C65"/>
    <w:rsid w:val="009167B8"/>
    <w:rsid w:val="00924E3C"/>
    <w:rsid w:val="00927A0F"/>
    <w:rsid w:val="009450E5"/>
    <w:rsid w:val="00946458"/>
    <w:rsid w:val="00946C49"/>
    <w:rsid w:val="009568FD"/>
    <w:rsid w:val="00957A57"/>
    <w:rsid w:val="00960417"/>
    <w:rsid w:val="00960B9C"/>
    <w:rsid w:val="009612BB"/>
    <w:rsid w:val="00965AFB"/>
    <w:rsid w:val="009729F2"/>
    <w:rsid w:val="00987951"/>
    <w:rsid w:val="00994F72"/>
    <w:rsid w:val="009A1D23"/>
    <w:rsid w:val="009A24C1"/>
    <w:rsid w:val="009B2262"/>
    <w:rsid w:val="009B27AA"/>
    <w:rsid w:val="009B38CD"/>
    <w:rsid w:val="009D5A00"/>
    <w:rsid w:val="009E09C5"/>
    <w:rsid w:val="00A125C5"/>
    <w:rsid w:val="00A24846"/>
    <w:rsid w:val="00A5039D"/>
    <w:rsid w:val="00A65EE7"/>
    <w:rsid w:val="00A70133"/>
    <w:rsid w:val="00A95083"/>
    <w:rsid w:val="00AA738F"/>
    <w:rsid w:val="00AB749E"/>
    <w:rsid w:val="00AC59DB"/>
    <w:rsid w:val="00AE3E18"/>
    <w:rsid w:val="00AF5AD8"/>
    <w:rsid w:val="00B03033"/>
    <w:rsid w:val="00B17141"/>
    <w:rsid w:val="00B31575"/>
    <w:rsid w:val="00B31A3E"/>
    <w:rsid w:val="00B46D4E"/>
    <w:rsid w:val="00B612C1"/>
    <w:rsid w:val="00B656F1"/>
    <w:rsid w:val="00B76818"/>
    <w:rsid w:val="00B8547D"/>
    <w:rsid w:val="00B93002"/>
    <w:rsid w:val="00BA0CA1"/>
    <w:rsid w:val="00BA0FB6"/>
    <w:rsid w:val="00BA5E1A"/>
    <w:rsid w:val="00BB0093"/>
    <w:rsid w:val="00BC4D82"/>
    <w:rsid w:val="00BC53F0"/>
    <w:rsid w:val="00BD31D1"/>
    <w:rsid w:val="00C22BB6"/>
    <w:rsid w:val="00C250D5"/>
    <w:rsid w:val="00C340EA"/>
    <w:rsid w:val="00C40039"/>
    <w:rsid w:val="00C527F3"/>
    <w:rsid w:val="00C52AF0"/>
    <w:rsid w:val="00C57049"/>
    <w:rsid w:val="00C67F13"/>
    <w:rsid w:val="00C72E7B"/>
    <w:rsid w:val="00C7745F"/>
    <w:rsid w:val="00C91720"/>
    <w:rsid w:val="00C92898"/>
    <w:rsid w:val="00C92AE8"/>
    <w:rsid w:val="00C97431"/>
    <w:rsid w:val="00CA583C"/>
    <w:rsid w:val="00CB1FD0"/>
    <w:rsid w:val="00CC4F46"/>
    <w:rsid w:val="00CC794D"/>
    <w:rsid w:val="00CE3EDD"/>
    <w:rsid w:val="00CE7514"/>
    <w:rsid w:val="00CF12BA"/>
    <w:rsid w:val="00D03A8B"/>
    <w:rsid w:val="00D13754"/>
    <w:rsid w:val="00D14F87"/>
    <w:rsid w:val="00D2370F"/>
    <w:rsid w:val="00D248DE"/>
    <w:rsid w:val="00D30B0F"/>
    <w:rsid w:val="00D31518"/>
    <w:rsid w:val="00D75737"/>
    <w:rsid w:val="00D8542D"/>
    <w:rsid w:val="00DC6A71"/>
    <w:rsid w:val="00DE2751"/>
    <w:rsid w:val="00DE332F"/>
    <w:rsid w:val="00DE5B46"/>
    <w:rsid w:val="00DE771A"/>
    <w:rsid w:val="00E0357D"/>
    <w:rsid w:val="00E07853"/>
    <w:rsid w:val="00E24EC2"/>
    <w:rsid w:val="00E25A6E"/>
    <w:rsid w:val="00E32616"/>
    <w:rsid w:val="00E44978"/>
    <w:rsid w:val="00E50250"/>
    <w:rsid w:val="00E50477"/>
    <w:rsid w:val="00E54C83"/>
    <w:rsid w:val="00E7150D"/>
    <w:rsid w:val="00E8528D"/>
    <w:rsid w:val="00EA5100"/>
    <w:rsid w:val="00EB230A"/>
    <w:rsid w:val="00EC0549"/>
    <w:rsid w:val="00ED6763"/>
    <w:rsid w:val="00EE0523"/>
    <w:rsid w:val="00EE523B"/>
    <w:rsid w:val="00EF2CEF"/>
    <w:rsid w:val="00EF670A"/>
    <w:rsid w:val="00F0359E"/>
    <w:rsid w:val="00F240BB"/>
    <w:rsid w:val="00F370C7"/>
    <w:rsid w:val="00F46724"/>
    <w:rsid w:val="00F51E77"/>
    <w:rsid w:val="00F528CB"/>
    <w:rsid w:val="00F57FED"/>
    <w:rsid w:val="00F70F51"/>
    <w:rsid w:val="00F73151"/>
    <w:rsid w:val="00F92BD9"/>
    <w:rsid w:val="00FC2441"/>
    <w:rsid w:val="00FC7567"/>
    <w:rsid w:val="00FD3538"/>
    <w:rsid w:val="00FD6532"/>
    <w:rsid w:val="00FE20A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428299"/>
    </o:shapedefaults>
    <o:shapelayout v:ext="edit">
      <o:idmap v:ext="edit" data="1"/>
    </o:shapelayout>
  </w:shapeDefaults>
  <w:doNotEmbedSmartTags/>
  <w:decimalSymbol w:val=","/>
  <w:listSeparator w:val=";"/>
  <w14:docId w14:val="5B1507A1"/>
  <w15:docId w15:val="{D6BEB54F-8DEA-42D7-B2CA-FE154B7B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E523B"/>
    <w:pPr>
      <w:spacing w:line="260" w:lineRule="atLeast"/>
    </w:pPr>
    <w:rPr>
      <w:rFonts w:ascii="Arial" w:hAnsi="Arial"/>
      <w:szCs w:val="24"/>
      <w:lang w:eastAsia="en-US"/>
    </w:rPr>
  </w:style>
  <w:style w:type="paragraph" w:styleId="Naslov1">
    <w:name w:val="heading 1"/>
    <w:aliases w:val="NASLOV"/>
    <w:basedOn w:val="Navaden"/>
    <w:next w:val="Navaden"/>
    <w:link w:val="Naslov1Znak1"/>
    <w:autoRedefine/>
    <w:uiPriority w:val="9"/>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uiPriority w:val="9"/>
    <w:semiHidden/>
    <w:unhideWhenUsed/>
    <w:qFormat/>
    <w:rsid w:val="00390BFB"/>
    <w:pPr>
      <w:keepNext/>
      <w:keepLines/>
      <w:spacing w:before="40"/>
      <w:outlineLvl w:val="1"/>
    </w:pPr>
    <w:rPr>
      <w:rFonts w:ascii="Calibri Light" w:hAnsi="Calibri Light"/>
      <w:b/>
      <w:bCs/>
      <w:color w:val="5B9BD5"/>
      <w:sz w:val="26"/>
      <w:szCs w:val="26"/>
      <w:lang w:val="en-US"/>
    </w:rPr>
  </w:style>
  <w:style w:type="paragraph" w:styleId="Naslov3">
    <w:name w:val="heading 3"/>
    <w:basedOn w:val="Navaden"/>
    <w:next w:val="Navaden"/>
    <w:link w:val="Naslov3Znak"/>
    <w:uiPriority w:val="9"/>
    <w:semiHidden/>
    <w:unhideWhenUsed/>
    <w:qFormat/>
    <w:rsid w:val="00390BFB"/>
    <w:pPr>
      <w:keepNext/>
      <w:keepLines/>
      <w:spacing w:before="40"/>
      <w:outlineLvl w:val="2"/>
    </w:pPr>
    <w:rPr>
      <w:rFonts w:ascii="Calibri Light" w:hAnsi="Calibri Light"/>
      <w:b/>
      <w:bCs/>
      <w:color w:val="5B9BD5"/>
      <w:lang w:val="en-US"/>
    </w:rPr>
  </w:style>
  <w:style w:type="paragraph" w:styleId="Naslov4">
    <w:name w:val="heading 4"/>
    <w:basedOn w:val="Navaden"/>
    <w:next w:val="Navaden"/>
    <w:link w:val="Naslov4Znak"/>
    <w:uiPriority w:val="9"/>
    <w:semiHidden/>
    <w:unhideWhenUsed/>
    <w:qFormat/>
    <w:rsid w:val="00390BFB"/>
    <w:pPr>
      <w:keepNext/>
      <w:keepLines/>
      <w:spacing w:before="40"/>
      <w:outlineLvl w:val="3"/>
    </w:pPr>
    <w:rPr>
      <w:rFonts w:ascii="Calibri Light" w:hAnsi="Calibri Light"/>
      <w:i/>
      <w:iCs/>
      <w:color w:val="2E74B5"/>
      <w:sz w:val="22"/>
      <w:szCs w:val="22"/>
    </w:rPr>
  </w:style>
  <w:style w:type="paragraph" w:styleId="Naslov5">
    <w:name w:val="heading 5"/>
    <w:basedOn w:val="Navaden"/>
    <w:next w:val="Navaden"/>
    <w:link w:val="Naslov5Znak"/>
    <w:qFormat/>
    <w:rsid w:val="00390BFB"/>
    <w:pPr>
      <w:spacing w:before="240" w:after="60"/>
      <w:outlineLvl w:val="4"/>
    </w:pPr>
    <w:rPr>
      <w:rFonts w:ascii="Calibri" w:hAnsi="Calibri"/>
      <w:b/>
      <w:bCs/>
      <w:i/>
      <w:iCs/>
      <w:sz w:val="26"/>
      <w:szCs w:val="26"/>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uiPriority w:val="99"/>
    <w:rsid w:val="00B03033"/>
    <w:rPr>
      <w:rFonts w:ascii="Arial" w:hAnsi="Arial"/>
      <w:szCs w:val="24"/>
      <w:lang w:val="en-US" w:eastAsia="en-US"/>
    </w:rPr>
  </w:style>
  <w:style w:type="paragraph" w:styleId="Besedilooblaka">
    <w:name w:val="Balloon Text"/>
    <w:basedOn w:val="Navaden"/>
    <w:link w:val="BesedilooblakaZnak"/>
    <w:uiPriority w:val="99"/>
    <w:rsid w:val="00C97431"/>
    <w:pPr>
      <w:spacing w:line="240" w:lineRule="auto"/>
    </w:pPr>
    <w:rPr>
      <w:rFonts w:ascii="Tahoma" w:hAnsi="Tahoma" w:cs="Tahoma"/>
      <w:sz w:val="16"/>
      <w:szCs w:val="16"/>
    </w:rPr>
  </w:style>
  <w:style w:type="character" w:customStyle="1" w:styleId="BesedilooblakaZnak">
    <w:name w:val="Besedilo oblačka Znak"/>
    <w:link w:val="Besedilooblaka"/>
    <w:uiPriority w:val="99"/>
    <w:rsid w:val="00C97431"/>
    <w:rPr>
      <w:rFonts w:ascii="Tahoma" w:hAnsi="Tahoma" w:cs="Tahoma"/>
      <w:sz w:val="16"/>
      <w:szCs w:val="16"/>
      <w:lang w:eastAsia="en-US"/>
    </w:rPr>
  </w:style>
  <w:style w:type="character" w:customStyle="1" w:styleId="OdstavekseznamaZnak">
    <w:name w:val="Odstavek seznama Znak"/>
    <w:link w:val="Odstavekseznama"/>
    <w:uiPriority w:val="34"/>
    <w:qFormat/>
    <w:locked/>
    <w:rsid w:val="00652EF0"/>
    <w:rPr>
      <w:sz w:val="24"/>
      <w:szCs w:val="24"/>
    </w:rPr>
  </w:style>
  <w:style w:type="paragraph" w:styleId="Odstavekseznama">
    <w:name w:val="List Paragraph"/>
    <w:basedOn w:val="Navaden"/>
    <w:link w:val="OdstavekseznamaZnak"/>
    <w:uiPriority w:val="34"/>
    <w:qFormat/>
    <w:rsid w:val="00652EF0"/>
    <w:pPr>
      <w:spacing w:line="240" w:lineRule="auto"/>
      <w:ind w:left="720"/>
      <w:contextualSpacing/>
    </w:pPr>
    <w:rPr>
      <w:rFonts w:ascii="Times New Roman" w:hAnsi="Times New Roman"/>
      <w:sz w:val="24"/>
      <w:lang w:eastAsia="sl-SI"/>
    </w:rPr>
  </w:style>
  <w:style w:type="paragraph" w:styleId="Navadensplet">
    <w:name w:val="Normal (Web)"/>
    <w:basedOn w:val="Navaden"/>
    <w:uiPriority w:val="99"/>
    <w:unhideWhenUsed/>
    <w:rsid w:val="003223C5"/>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DE33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E332F"/>
    <w:rPr>
      <w:rFonts w:ascii="Arial" w:hAnsi="Arial" w:cs="Arial"/>
      <w:sz w:val="22"/>
      <w:szCs w:val="22"/>
    </w:rPr>
  </w:style>
  <w:style w:type="paragraph" w:customStyle="1" w:styleId="Default">
    <w:name w:val="Default"/>
    <w:rsid w:val="00AB749E"/>
    <w:pPr>
      <w:autoSpaceDE w:val="0"/>
      <w:autoSpaceDN w:val="0"/>
      <w:adjustRightInd w:val="0"/>
    </w:pPr>
    <w:rPr>
      <w:rFonts w:ascii="Tahoma" w:hAnsi="Tahoma" w:cs="Tahoma"/>
      <w:color w:val="000000"/>
      <w:sz w:val="24"/>
      <w:szCs w:val="24"/>
    </w:rPr>
  </w:style>
  <w:style w:type="paragraph" w:customStyle="1" w:styleId="Naslovpredpisa">
    <w:name w:val="Naslov_predpisa"/>
    <w:basedOn w:val="Navaden"/>
    <w:link w:val="NaslovpredpisaZnak"/>
    <w:qFormat/>
    <w:rsid w:val="008A7812"/>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8A7812"/>
    <w:rPr>
      <w:rFonts w:ascii="Arial" w:hAnsi="Arial" w:cs="Arial"/>
      <w:b/>
      <w:sz w:val="22"/>
      <w:szCs w:val="22"/>
    </w:rPr>
  </w:style>
  <w:style w:type="paragraph" w:styleId="Telobesedila">
    <w:name w:val="Body Text"/>
    <w:basedOn w:val="Navaden"/>
    <w:link w:val="TelobesedilaZnak"/>
    <w:rsid w:val="00812975"/>
    <w:pPr>
      <w:spacing w:line="240" w:lineRule="auto"/>
      <w:jc w:val="both"/>
    </w:pPr>
    <w:rPr>
      <w:rFonts w:ascii="Tahoma" w:hAnsi="Tahoma" w:cs="Tahoma"/>
      <w:sz w:val="24"/>
      <w:szCs w:val="22"/>
      <w:lang w:eastAsia="sl-SI"/>
    </w:rPr>
  </w:style>
  <w:style w:type="character" w:customStyle="1" w:styleId="TelobesedilaZnak">
    <w:name w:val="Telo besedila Znak"/>
    <w:basedOn w:val="Privzetapisavaodstavka"/>
    <w:link w:val="Telobesedila"/>
    <w:rsid w:val="00812975"/>
    <w:rPr>
      <w:rFonts w:ascii="Tahoma" w:hAnsi="Tahoma" w:cs="Tahoma"/>
      <w:sz w:val="24"/>
      <w:szCs w:val="22"/>
    </w:rPr>
  </w:style>
  <w:style w:type="paragraph" w:styleId="Revizija">
    <w:name w:val="Revision"/>
    <w:hidden/>
    <w:uiPriority w:val="71"/>
    <w:rsid w:val="006D384B"/>
    <w:rPr>
      <w:rFonts w:ascii="Arial" w:hAnsi="Arial"/>
      <w:szCs w:val="24"/>
      <w:lang w:eastAsia="en-US"/>
    </w:rPr>
  </w:style>
  <w:style w:type="paragraph" w:customStyle="1" w:styleId="Naslov21">
    <w:name w:val="Naslov 21"/>
    <w:basedOn w:val="Navaden"/>
    <w:next w:val="Navaden"/>
    <w:uiPriority w:val="9"/>
    <w:unhideWhenUsed/>
    <w:qFormat/>
    <w:rsid w:val="00390BFB"/>
    <w:pPr>
      <w:keepNext/>
      <w:keepLines/>
      <w:spacing w:before="200"/>
      <w:outlineLvl w:val="1"/>
    </w:pPr>
    <w:rPr>
      <w:rFonts w:ascii="Calibri Light" w:hAnsi="Calibri Light"/>
      <w:b/>
      <w:bCs/>
      <w:color w:val="5B9BD5"/>
      <w:sz w:val="26"/>
      <w:szCs w:val="26"/>
      <w:lang w:val="en-US"/>
    </w:rPr>
  </w:style>
  <w:style w:type="paragraph" w:customStyle="1" w:styleId="Naslov31">
    <w:name w:val="Naslov 31"/>
    <w:basedOn w:val="Navaden"/>
    <w:next w:val="Navaden"/>
    <w:uiPriority w:val="9"/>
    <w:unhideWhenUsed/>
    <w:qFormat/>
    <w:rsid w:val="00390BFB"/>
    <w:pPr>
      <w:keepNext/>
      <w:keepLines/>
      <w:spacing w:before="200"/>
      <w:outlineLvl w:val="2"/>
    </w:pPr>
    <w:rPr>
      <w:rFonts w:ascii="Calibri Light" w:hAnsi="Calibri Light"/>
      <w:b/>
      <w:bCs/>
      <w:color w:val="5B9BD5"/>
      <w:lang w:val="en-US"/>
    </w:rPr>
  </w:style>
  <w:style w:type="paragraph" w:customStyle="1" w:styleId="Naslov41">
    <w:name w:val="Naslov 41"/>
    <w:basedOn w:val="Navaden"/>
    <w:next w:val="Navaden"/>
    <w:uiPriority w:val="9"/>
    <w:unhideWhenUsed/>
    <w:qFormat/>
    <w:rsid w:val="00390BFB"/>
    <w:pPr>
      <w:keepNext/>
      <w:keepLines/>
      <w:spacing w:before="40" w:line="240" w:lineRule="auto"/>
      <w:outlineLvl w:val="3"/>
    </w:pPr>
    <w:rPr>
      <w:rFonts w:ascii="Calibri Light" w:hAnsi="Calibri Light"/>
      <w:i/>
      <w:iCs/>
      <w:color w:val="2E74B5"/>
      <w:sz w:val="22"/>
      <w:szCs w:val="22"/>
    </w:rPr>
  </w:style>
  <w:style w:type="character" w:customStyle="1" w:styleId="Naslov5Znak">
    <w:name w:val="Naslov 5 Znak"/>
    <w:basedOn w:val="Privzetapisavaodstavka"/>
    <w:link w:val="Naslov5"/>
    <w:rsid w:val="00390BFB"/>
    <w:rPr>
      <w:rFonts w:ascii="Calibri" w:hAnsi="Calibri"/>
      <w:b/>
      <w:bCs/>
      <w:i/>
      <w:iCs/>
      <w:sz w:val="26"/>
      <w:szCs w:val="26"/>
      <w:lang w:val="en-US" w:eastAsia="en-US"/>
    </w:rPr>
  </w:style>
  <w:style w:type="character" w:customStyle="1" w:styleId="Naslov1Znak">
    <w:name w:val="Naslov 1 Znak"/>
    <w:basedOn w:val="Privzetapisavaodstavka"/>
    <w:uiPriority w:val="9"/>
    <w:rsid w:val="00390BFB"/>
    <w:rPr>
      <w:rFonts w:ascii="Calibri Light" w:eastAsia="Times New Roman" w:hAnsi="Calibri Light" w:cs="Times New Roman"/>
      <w:color w:val="2E74B5"/>
      <w:sz w:val="32"/>
      <w:szCs w:val="32"/>
      <w:lang w:val="en-US" w:eastAsia="en-US"/>
    </w:rPr>
  </w:style>
  <w:style w:type="character" w:customStyle="1" w:styleId="Naslov2Znak">
    <w:name w:val="Naslov 2 Znak"/>
    <w:basedOn w:val="Privzetapisavaodstavka"/>
    <w:link w:val="Naslov2"/>
    <w:uiPriority w:val="9"/>
    <w:rsid w:val="00390BFB"/>
    <w:rPr>
      <w:rFonts w:ascii="Calibri Light" w:eastAsia="Times New Roman" w:hAnsi="Calibri Light" w:cs="Times New Roman"/>
      <w:b/>
      <w:bCs/>
      <w:color w:val="5B9BD5"/>
      <w:sz w:val="26"/>
      <w:szCs w:val="26"/>
      <w:lang w:val="en-US" w:eastAsia="en-US"/>
    </w:rPr>
  </w:style>
  <w:style w:type="character" w:customStyle="1" w:styleId="Naslov3Znak">
    <w:name w:val="Naslov 3 Znak"/>
    <w:basedOn w:val="Privzetapisavaodstavka"/>
    <w:link w:val="Naslov3"/>
    <w:uiPriority w:val="9"/>
    <w:rsid w:val="00390BFB"/>
    <w:rPr>
      <w:rFonts w:ascii="Calibri Light" w:eastAsia="Times New Roman" w:hAnsi="Calibri Light" w:cs="Times New Roman"/>
      <w:b/>
      <w:bCs/>
      <w:color w:val="5B9BD5"/>
      <w:szCs w:val="24"/>
      <w:lang w:val="en-US" w:eastAsia="en-US"/>
    </w:rPr>
  </w:style>
  <w:style w:type="character" w:customStyle="1" w:styleId="Naslov4Znak">
    <w:name w:val="Naslov 4 Znak"/>
    <w:basedOn w:val="Privzetapisavaodstavka"/>
    <w:link w:val="Naslov4"/>
    <w:uiPriority w:val="9"/>
    <w:rsid w:val="00390BFB"/>
    <w:rPr>
      <w:rFonts w:ascii="Calibri Light" w:eastAsia="Times New Roman" w:hAnsi="Calibri Light" w:cs="Times New Roman"/>
      <w:i/>
      <w:iCs/>
      <w:color w:val="2E74B5"/>
      <w:sz w:val="22"/>
      <w:szCs w:val="22"/>
      <w:lang w:eastAsia="en-US"/>
    </w:rPr>
  </w:style>
  <w:style w:type="character" w:customStyle="1" w:styleId="NogaZnak">
    <w:name w:val="Noga Znak"/>
    <w:basedOn w:val="Privzetapisavaodstavka"/>
    <w:link w:val="Noga"/>
    <w:uiPriority w:val="99"/>
    <w:rsid w:val="00390BFB"/>
    <w:rPr>
      <w:rFonts w:ascii="Arial" w:hAnsi="Arial"/>
      <w:szCs w:val="24"/>
      <w:lang w:eastAsia="en-US"/>
    </w:rPr>
  </w:style>
  <w:style w:type="table" w:customStyle="1" w:styleId="Tabela-mrea">
    <w:name w:val="Tabela - mreža"/>
    <w:basedOn w:val="Navadnatabela"/>
    <w:uiPriority w:val="59"/>
    <w:rsid w:val="00390B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Paragraph1">
    <w:name w:val="List Paragraph1"/>
    <w:basedOn w:val="Navaden"/>
    <w:link w:val="ListParagraphChar"/>
    <w:uiPriority w:val="34"/>
    <w:qFormat/>
    <w:rsid w:val="00390BFB"/>
    <w:pPr>
      <w:spacing w:line="276" w:lineRule="auto"/>
      <w:ind w:left="720"/>
    </w:pPr>
    <w:rPr>
      <w:rFonts w:ascii="Calibri" w:eastAsia="Calibri" w:hAnsi="Calibri"/>
      <w:szCs w:val="20"/>
      <w:lang w:val="x-none"/>
    </w:rPr>
  </w:style>
  <w:style w:type="character" w:customStyle="1" w:styleId="ListParagraphChar">
    <w:name w:val="List Paragraph Char"/>
    <w:link w:val="ListParagraph1"/>
    <w:uiPriority w:val="34"/>
    <w:locked/>
    <w:rsid w:val="00390BFB"/>
    <w:rPr>
      <w:rFonts w:ascii="Calibri" w:eastAsia="Calibri" w:hAnsi="Calibri"/>
      <w:lang w:val="x-none" w:eastAsia="en-US"/>
    </w:rPr>
  </w:style>
  <w:style w:type="character" w:customStyle="1" w:styleId="Barvniseznampoudarek1Znak">
    <w:name w:val="Barvni seznam – poudarek 1 Znak"/>
    <w:link w:val="Barvniseznampoudarek11"/>
    <w:uiPriority w:val="34"/>
    <w:locked/>
    <w:rsid w:val="00390BFB"/>
    <w:rPr>
      <w:rFonts w:ascii="Arial" w:hAnsi="Arial" w:cs="Arial"/>
      <w:szCs w:val="24"/>
      <w:lang w:val="en-US"/>
    </w:rPr>
  </w:style>
  <w:style w:type="paragraph" w:customStyle="1" w:styleId="Barvniseznampoudarek11">
    <w:name w:val="Barvni seznam – poudarek 11"/>
    <w:basedOn w:val="Navaden"/>
    <w:link w:val="Barvniseznampoudarek1Znak"/>
    <w:uiPriority w:val="34"/>
    <w:qFormat/>
    <w:rsid w:val="00390BFB"/>
    <w:pPr>
      <w:spacing w:line="260" w:lineRule="exact"/>
      <w:ind w:left="708"/>
    </w:pPr>
    <w:rPr>
      <w:rFonts w:cs="Arial"/>
      <w:lang w:val="en-US" w:eastAsia="sl-SI"/>
    </w:rPr>
  </w:style>
  <w:style w:type="paragraph" w:customStyle="1" w:styleId="align-justify">
    <w:name w:val="align-justify"/>
    <w:basedOn w:val="Navaden"/>
    <w:rsid w:val="00390BFB"/>
    <w:pPr>
      <w:spacing w:before="100" w:beforeAutospacing="1" w:after="100" w:afterAutospacing="1" w:line="240" w:lineRule="auto"/>
    </w:pPr>
    <w:rPr>
      <w:rFonts w:ascii="Times New Roman" w:hAnsi="Times New Roman"/>
      <w:sz w:val="24"/>
      <w:lang w:eastAsia="sl-SI"/>
    </w:rPr>
  </w:style>
  <w:style w:type="character" w:styleId="Krepko">
    <w:name w:val="Strong"/>
    <w:uiPriority w:val="22"/>
    <w:qFormat/>
    <w:rsid w:val="00390BFB"/>
    <w:rPr>
      <w:b/>
      <w:bCs/>
    </w:rPr>
  </w:style>
  <w:style w:type="paragraph" w:customStyle="1" w:styleId="Odstavekseznama1">
    <w:name w:val="Odstavek seznama1"/>
    <w:basedOn w:val="Navaden"/>
    <w:uiPriority w:val="34"/>
    <w:qFormat/>
    <w:rsid w:val="00390BFB"/>
    <w:pPr>
      <w:spacing w:after="200" w:line="276" w:lineRule="auto"/>
      <w:ind w:left="720"/>
      <w:contextualSpacing/>
    </w:pPr>
    <w:rPr>
      <w:rFonts w:ascii="Calibri" w:hAnsi="Calibri"/>
      <w:sz w:val="22"/>
      <w:szCs w:val="22"/>
    </w:rPr>
  </w:style>
  <w:style w:type="paragraph" w:styleId="Sprotnaopomba-besedilo">
    <w:name w:val="footnote text"/>
    <w:aliases w:val="Footnote,Char Char,Sprotna opomba - besedilo Znak Znak2,Sprotna opomba - besedilo Znak1 Znak Znak1,Sprotna opomba - besedilo Znak1 Znak Znak Znak,Footnot,Char Char Char Char,Sprotna opomba-besedilo,Char Char Char, Footnote,Char"/>
    <w:basedOn w:val="Navaden"/>
    <w:link w:val="Sprotnaopomba-besediloZnak"/>
    <w:unhideWhenUsed/>
    <w:qFormat/>
    <w:rsid w:val="00390BFB"/>
    <w:pPr>
      <w:spacing w:line="240" w:lineRule="auto"/>
    </w:pPr>
    <w:rPr>
      <w:rFonts w:ascii="Times New Roman" w:hAnsi="Times New Roman"/>
      <w:szCs w:val="20"/>
      <w:lang w:eastAsia="sl-SI"/>
    </w:rPr>
  </w:style>
  <w:style w:type="character" w:customStyle="1" w:styleId="Sprotnaopomba-besediloZnak">
    <w:name w:val="Sprotna opomba - besedilo Znak"/>
    <w:aliases w:val="Footnote Znak,Char Char Znak,Sprotna opomba - besedilo Znak Znak2 Znak,Sprotna opomba - besedilo Znak1 Znak Znak1 Znak,Sprotna opomba - besedilo Znak1 Znak Znak Znak Znak,Footnot Znak,Char Char Char Char Znak,Char Znak"/>
    <w:basedOn w:val="Privzetapisavaodstavka"/>
    <w:link w:val="Sprotnaopomba-besedilo"/>
    <w:rsid w:val="00390BFB"/>
  </w:style>
  <w:style w:type="character" w:styleId="Sprotnaopomba-sklic">
    <w:name w:val="footnote reference"/>
    <w:aliases w:val="Footnote symbol,Fussnota,Footnote reference number,note TESI,SUPERS,EN Footnote Reference,-E Fußnotenzeichen,ESPON Footnote No,number,Times 10 Point,Exposant 3 Point,Footnote Reference_LVL6,Footnote Reference_LVL61,Footnote1,E..."/>
    <w:unhideWhenUsed/>
    <w:qFormat/>
    <w:rsid w:val="00390BFB"/>
    <w:rPr>
      <w:vertAlign w:val="superscript"/>
    </w:rPr>
  </w:style>
  <w:style w:type="paragraph" w:styleId="Telobesedila2">
    <w:name w:val="Body Text 2"/>
    <w:basedOn w:val="Navaden"/>
    <w:link w:val="Telobesedila2Znak"/>
    <w:uiPriority w:val="99"/>
    <w:unhideWhenUsed/>
    <w:rsid w:val="00390BFB"/>
    <w:pPr>
      <w:spacing w:after="120" w:line="480" w:lineRule="auto"/>
    </w:pPr>
    <w:rPr>
      <w:rFonts w:ascii="Times New Roman" w:hAnsi="Times New Roman"/>
      <w:sz w:val="24"/>
      <w:lang w:eastAsia="sl-SI"/>
    </w:rPr>
  </w:style>
  <w:style w:type="character" w:customStyle="1" w:styleId="Telobesedila2Znak">
    <w:name w:val="Telo besedila 2 Znak"/>
    <w:basedOn w:val="Privzetapisavaodstavka"/>
    <w:link w:val="Telobesedila2"/>
    <w:uiPriority w:val="99"/>
    <w:rsid w:val="00390BFB"/>
    <w:rPr>
      <w:sz w:val="24"/>
      <w:szCs w:val="24"/>
    </w:rPr>
  </w:style>
  <w:style w:type="paragraph" w:customStyle="1" w:styleId="ZnakZnak4ZnakZnak">
    <w:name w:val="Znak Znak4 Znak Znak"/>
    <w:basedOn w:val="Navaden"/>
    <w:rsid w:val="00390BFB"/>
    <w:pPr>
      <w:spacing w:after="160" w:line="240" w:lineRule="exact"/>
    </w:pPr>
    <w:rPr>
      <w:rFonts w:ascii="Tahoma" w:eastAsia="SimSun" w:hAnsi="Tahoma" w:cs="Tahoma"/>
      <w:szCs w:val="20"/>
      <w:lang w:val="en-US"/>
    </w:rPr>
  </w:style>
  <w:style w:type="paragraph" w:customStyle="1" w:styleId="Text3">
    <w:name w:val="Text 3"/>
    <w:basedOn w:val="Navaden"/>
    <w:rsid w:val="00390BFB"/>
    <w:pPr>
      <w:tabs>
        <w:tab w:val="left" w:pos="2302"/>
      </w:tabs>
      <w:spacing w:after="240" w:line="240" w:lineRule="auto"/>
      <w:ind w:left="1202"/>
      <w:jc w:val="both"/>
    </w:pPr>
    <w:rPr>
      <w:rFonts w:ascii="Times New Roman" w:eastAsia="Arial" w:hAnsi="Times New Roman"/>
      <w:sz w:val="24"/>
      <w:szCs w:val="20"/>
      <w:lang w:val="en-GB"/>
    </w:rPr>
  </w:style>
  <w:style w:type="character" w:styleId="Poudarek">
    <w:name w:val="Emphasis"/>
    <w:uiPriority w:val="20"/>
    <w:qFormat/>
    <w:rsid w:val="00390BFB"/>
    <w:rPr>
      <w:i/>
      <w:iCs/>
    </w:rPr>
  </w:style>
  <w:style w:type="paragraph" w:customStyle="1" w:styleId="documentdescription">
    <w:name w:val="documentdescription"/>
    <w:basedOn w:val="Navaden"/>
    <w:rsid w:val="00390BFB"/>
    <w:pPr>
      <w:spacing w:after="360" w:line="270" w:lineRule="atLeast"/>
    </w:pPr>
    <w:rPr>
      <w:rFonts w:ascii="Times New Roman" w:hAnsi="Times New Roman"/>
      <w:b/>
      <w:bCs/>
      <w:color w:val="004C83"/>
      <w:sz w:val="24"/>
      <w:lang w:eastAsia="sl-SI"/>
    </w:rPr>
  </w:style>
  <w:style w:type="character" w:customStyle="1" w:styleId="apple-style-span">
    <w:name w:val="apple-style-span"/>
    <w:rsid w:val="00390BFB"/>
  </w:style>
  <w:style w:type="character" w:styleId="Pripombasklic">
    <w:name w:val="annotation reference"/>
    <w:uiPriority w:val="99"/>
    <w:rsid w:val="00390BFB"/>
    <w:rPr>
      <w:sz w:val="16"/>
      <w:szCs w:val="16"/>
    </w:rPr>
  </w:style>
  <w:style w:type="paragraph" w:styleId="Pripombabesedilo">
    <w:name w:val="annotation text"/>
    <w:basedOn w:val="Navaden"/>
    <w:link w:val="PripombabesediloZnak"/>
    <w:uiPriority w:val="99"/>
    <w:rsid w:val="00390BFB"/>
    <w:rPr>
      <w:szCs w:val="20"/>
      <w:lang w:val="en-US"/>
    </w:rPr>
  </w:style>
  <w:style w:type="character" w:customStyle="1" w:styleId="PripombabesediloZnak">
    <w:name w:val="Pripomba – besedilo Znak"/>
    <w:basedOn w:val="Privzetapisavaodstavka"/>
    <w:link w:val="Pripombabesedilo"/>
    <w:uiPriority w:val="99"/>
    <w:rsid w:val="00390BFB"/>
    <w:rPr>
      <w:rFonts w:ascii="Arial" w:hAnsi="Arial"/>
      <w:lang w:val="en-US" w:eastAsia="en-US"/>
    </w:rPr>
  </w:style>
  <w:style w:type="paragraph" w:styleId="Zadevapripombe">
    <w:name w:val="annotation subject"/>
    <w:basedOn w:val="Pripombabesedilo"/>
    <w:next w:val="Pripombabesedilo"/>
    <w:link w:val="ZadevapripombeZnak"/>
    <w:uiPriority w:val="99"/>
    <w:rsid w:val="00390BFB"/>
    <w:rPr>
      <w:b/>
      <w:bCs/>
    </w:rPr>
  </w:style>
  <w:style w:type="character" w:customStyle="1" w:styleId="ZadevapripombeZnak">
    <w:name w:val="Zadeva pripombe Znak"/>
    <w:basedOn w:val="PripombabesediloZnak"/>
    <w:link w:val="Zadevapripombe"/>
    <w:uiPriority w:val="99"/>
    <w:rsid w:val="00390BFB"/>
    <w:rPr>
      <w:rFonts w:ascii="Arial" w:hAnsi="Arial"/>
      <w:b/>
      <w:bCs/>
      <w:lang w:val="en-US" w:eastAsia="en-US"/>
    </w:rPr>
  </w:style>
  <w:style w:type="paragraph" w:customStyle="1" w:styleId="CharCharChar1">
    <w:name w:val="Char Char Char1"/>
    <w:basedOn w:val="Navaden"/>
    <w:rsid w:val="00390BFB"/>
    <w:pPr>
      <w:spacing w:after="160" w:line="240" w:lineRule="exact"/>
    </w:pPr>
    <w:rPr>
      <w:rFonts w:ascii="Times New Roman" w:hAnsi="Times New Roman"/>
      <w:noProof/>
      <w:color w:val="000000"/>
      <w:szCs w:val="20"/>
      <w:lang w:eastAsia="sl-SI"/>
    </w:rPr>
  </w:style>
  <w:style w:type="paragraph" w:customStyle="1" w:styleId="BodyText21">
    <w:name w:val="Body Text 21"/>
    <w:basedOn w:val="Navaden"/>
    <w:rsid w:val="00390BFB"/>
    <w:pPr>
      <w:spacing w:line="313" w:lineRule="atLeast"/>
      <w:jc w:val="both"/>
    </w:pPr>
    <w:rPr>
      <w:rFonts w:ascii="Times New Roman" w:hAnsi="Times New Roman"/>
      <w:sz w:val="24"/>
      <w:szCs w:val="20"/>
      <w:lang w:eastAsia="sl-SI"/>
    </w:rPr>
  </w:style>
  <w:style w:type="table" w:customStyle="1" w:styleId="Tabelamrea1">
    <w:name w:val="Tabela – mreža1"/>
    <w:basedOn w:val="Navadnatabela"/>
    <w:next w:val="Tabelamrea"/>
    <w:uiPriority w:val="59"/>
    <w:rsid w:val="00390B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ZnakZnak">
    <w:name w:val="Char Char Znak Znak"/>
    <w:basedOn w:val="Navaden"/>
    <w:rsid w:val="00390BFB"/>
    <w:pPr>
      <w:adjustRightInd w:val="0"/>
      <w:spacing w:line="240" w:lineRule="auto"/>
      <w:jc w:val="both"/>
    </w:pPr>
    <w:rPr>
      <w:rFonts w:ascii="Times New Roman" w:hAnsi="Times New Roman"/>
      <w:sz w:val="24"/>
      <w:lang w:val="pl-PL" w:eastAsia="pl-PL"/>
    </w:rPr>
  </w:style>
  <w:style w:type="paragraph" w:customStyle="1" w:styleId="vstavek">
    <w:name w:val="vstavek"/>
    <w:basedOn w:val="Navaden"/>
    <w:link w:val="vstavekChar"/>
    <w:qFormat/>
    <w:rsid w:val="00390BFB"/>
    <w:pPr>
      <w:spacing w:before="20" w:after="20" w:line="240" w:lineRule="auto"/>
      <w:jc w:val="both"/>
    </w:pPr>
    <w:rPr>
      <w:rFonts w:eastAsia="Calibri"/>
      <w:b/>
      <w:i/>
      <w:noProof/>
      <w:sz w:val="19"/>
      <w:szCs w:val="22"/>
      <w:lang w:eastAsia="x-none"/>
    </w:rPr>
  </w:style>
  <w:style w:type="character" w:customStyle="1" w:styleId="vstavekChar">
    <w:name w:val="vstavek Char"/>
    <w:link w:val="vstavek"/>
    <w:rsid w:val="00390BFB"/>
    <w:rPr>
      <w:rFonts w:ascii="Arial" w:eastAsia="Calibri" w:hAnsi="Arial"/>
      <w:b/>
      <w:i/>
      <w:noProof/>
      <w:sz w:val="19"/>
      <w:szCs w:val="22"/>
      <w:lang w:eastAsia="x-none"/>
    </w:rPr>
  </w:style>
  <w:style w:type="paragraph" w:customStyle="1" w:styleId="Navaden1">
    <w:name w:val="Navaden1"/>
    <w:rsid w:val="00390BFB"/>
    <w:rPr>
      <w:rFonts w:ascii="Arial" w:eastAsia="Arial" w:hAnsi="Arial" w:cs="Arial"/>
      <w:color w:val="000000"/>
      <w:lang w:val="en-US" w:eastAsia="en-US"/>
    </w:rPr>
  </w:style>
  <w:style w:type="paragraph" w:styleId="Telobesedila-zamik">
    <w:name w:val="Body Text Indent"/>
    <w:basedOn w:val="Navaden"/>
    <w:link w:val="Telobesedila-zamikZnak"/>
    <w:rsid w:val="00390BFB"/>
    <w:pPr>
      <w:spacing w:after="120"/>
      <w:ind w:left="283"/>
    </w:pPr>
    <w:rPr>
      <w:lang w:val="en-US"/>
    </w:rPr>
  </w:style>
  <w:style w:type="character" w:customStyle="1" w:styleId="Telobesedila-zamikZnak">
    <w:name w:val="Telo besedila - zamik Znak"/>
    <w:basedOn w:val="Privzetapisavaodstavka"/>
    <w:link w:val="Telobesedila-zamik"/>
    <w:rsid w:val="00390BFB"/>
    <w:rPr>
      <w:rFonts w:ascii="Arial" w:hAnsi="Arial"/>
      <w:szCs w:val="24"/>
      <w:lang w:val="en-US" w:eastAsia="en-US"/>
    </w:rPr>
  </w:style>
  <w:style w:type="character" w:customStyle="1" w:styleId="apple-converted-space">
    <w:name w:val="apple-converted-space"/>
    <w:rsid w:val="00390BFB"/>
  </w:style>
  <w:style w:type="paragraph" w:customStyle="1" w:styleId="Barvnosenenjepoudarek11">
    <w:name w:val="Barvno senčenje – poudarek 11"/>
    <w:hidden/>
    <w:uiPriority w:val="99"/>
    <w:semiHidden/>
    <w:rsid w:val="00390BFB"/>
    <w:rPr>
      <w:rFonts w:ascii="Arial" w:hAnsi="Arial"/>
      <w:szCs w:val="24"/>
      <w:lang w:val="en-US" w:eastAsia="en-US"/>
    </w:rPr>
  </w:style>
  <w:style w:type="paragraph" w:customStyle="1" w:styleId="besedilo">
    <w:name w:val="besedilo"/>
    <w:basedOn w:val="Navaden"/>
    <w:link w:val="besediloChar"/>
    <w:qFormat/>
    <w:rsid w:val="00390BFB"/>
    <w:pPr>
      <w:spacing w:before="20" w:after="20" w:line="240" w:lineRule="auto"/>
      <w:jc w:val="both"/>
    </w:pPr>
    <w:rPr>
      <w:rFonts w:eastAsia="Calibri"/>
      <w:noProof/>
      <w:sz w:val="19"/>
      <w:szCs w:val="22"/>
      <w:lang w:eastAsia="x-none"/>
    </w:rPr>
  </w:style>
  <w:style w:type="character" w:customStyle="1" w:styleId="besediloChar">
    <w:name w:val="besedilo Char"/>
    <w:link w:val="besedilo"/>
    <w:rsid w:val="00390BFB"/>
    <w:rPr>
      <w:rFonts w:ascii="Arial" w:eastAsia="Calibri" w:hAnsi="Arial"/>
      <w:noProof/>
      <w:sz w:val="19"/>
      <w:szCs w:val="22"/>
      <w:lang w:eastAsia="x-none"/>
    </w:rPr>
  </w:style>
  <w:style w:type="character" w:customStyle="1" w:styleId="A3">
    <w:name w:val="A3"/>
    <w:uiPriority w:val="99"/>
    <w:rsid w:val="00390BFB"/>
    <w:rPr>
      <w:rFonts w:cs="EC Square Sans Pro Medium"/>
      <w:color w:val="000000"/>
      <w:sz w:val="14"/>
      <w:szCs w:val="14"/>
    </w:rPr>
  </w:style>
  <w:style w:type="numbering" w:styleId="111111">
    <w:name w:val="Outline List 2"/>
    <w:basedOn w:val="Brezseznama"/>
    <w:uiPriority w:val="99"/>
    <w:semiHidden/>
    <w:unhideWhenUsed/>
    <w:rsid w:val="00390BFB"/>
    <w:pPr>
      <w:numPr>
        <w:numId w:val="10"/>
      </w:numPr>
    </w:pPr>
  </w:style>
  <w:style w:type="character" w:styleId="tevilkastrani">
    <w:name w:val="page number"/>
    <w:basedOn w:val="Privzetapisavaodstavka"/>
    <w:uiPriority w:val="99"/>
    <w:semiHidden/>
    <w:unhideWhenUsed/>
    <w:rsid w:val="00390BFB"/>
  </w:style>
  <w:style w:type="paragraph" w:customStyle="1" w:styleId="NaslovTOC1">
    <w:name w:val="Naslov TOC1"/>
    <w:basedOn w:val="Navaden"/>
    <w:next w:val="Navaden"/>
    <w:uiPriority w:val="39"/>
    <w:unhideWhenUsed/>
    <w:qFormat/>
    <w:rsid w:val="00390BFB"/>
    <w:pPr>
      <w:spacing w:line="240" w:lineRule="auto"/>
    </w:pPr>
    <w:rPr>
      <w:rFonts w:ascii="Calibri Light" w:eastAsia="Calibri" w:hAnsi="Calibri Light"/>
      <w:color w:val="2E74B5"/>
      <w:sz w:val="28"/>
      <w:szCs w:val="28"/>
      <w:lang w:val="en-US"/>
    </w:rPr>
  </w:style>
  <w:style w:type="paragraph" w:customStyle="1" w:styleId="Kazalovsebine21">
    <w:name w:val="Kazalo vsebine 21"/>
    <w:basedOn w:val="Navaden"/>
    <w:next w:val="Navaden"/>
    <w:autoRedefine/>
    <w:uiPriority w:val="39"/>
    <w:unhideWhenUsed/>
    <w:qFormat/>
    <w:rsid w:val="00390BFB"/>
    <w:pPr>
      <w:spacing w:line="240" w:lineRule="auto"/>
      <w:ind w:left="220"/>
    </w:pPr>
    <w:rPr>
      <w:rFonts w:ascii="Calibri" w:eastAsia="Calibri" w:hAnsi="Calibri"/>
      <w:b/>
      <w:sz w:val="22"/>
      <w:szCs w:val="22"/>
    </w:rPr>
  </w:style>
  <w:style w:type="paragraph" w:customStyle="1" w:styleId="Kazalovsebine11">
    <w:name w:val="Kazalo vsebine 11"/>
    <w:basedOn w:val="Navaden"/>
    <w:next w:val="Navaden"/>
    <w:autoRedefine/>
    <w:uiPriority w:val="39"/>
    <w:unhideWhenUsed/>
    <w:qFormat/>
    <w:rsid w:val="00390BFB"/>
    <w:pPr>
      <w:tabs>
        <w:tab w:val="right" w:pos="9396"/>
      </w:tabs>
      <w:spacing w:before="120" w:line="240" w:lineRule="auto"/>
    </w:pPr>
    <w:rPr>
      <w:rFonts w:ascii="Calibri" w:eastAsia="Calibri" w:hAnsi="Calibri"/>
      <w:b/>
      <w:sz w:val="24"/>
    </w:rPr>
  </w:style>
  <w:style w:type="paragraph" w:customStyle="1" w:styleId="Kazalovsebine31">
    <w:name w:val="Kazalo vsebine 31"/>
    <w:basedOn w:val="Navaden"/>
    <w:next w:val="Navaden"/>
    <w:autoRedefine/>
    <w:uiPriority w:val="39"/>
    <w:unhideWhenUsed/>
    <w:qFormat/>
    <w:rsid w:val="00390BFB"/>
    <w:pPr>
      <w:spacing w:line="240" w:lineRule="auto"/>
      <w:ind w:left="440"/>
    </w:pPr>
    <w:rPr>
      <w:rFonts w:ascii="Calibri" w:eastAsia="Calibri" w:hAnsi="Calibri"/>
      <w:sz w:val="22"/>
      <w:szCs w:val="22"/>
    </w:rPr>
  </w:style>
  <w:style w:type="paragraph" w:customStyle="1" w:styleId="Kazalovsebine41">
    <w:name w:val="Kazalo vsebine 41"/>
    <w:basedOn w:val="Navaden"/>
    <w:next w:val="Navaden"/>
    <w:autoRedefine/>
    <w:uiPriority w:val="39"/>
    <w:semiHidden/>
    <w:unhideWhenUsed/>
    <w:rsid w:val="00390BFB"/>
    <w:pPr>
      <w:spacing w:line="240" w:lineRule="auto"/>
      <w:ind w:left="660"/>
    </w:pPr>
    <w:rPr>
      <w:rFonts w:ascii="Calibri" w:eastAsia="Calibri" w:hAnsi="Calibri"/>
      <w:szCs w:val="20"/>
    </w:rPr>
  </w:style>
  <w:style w:type="paragraph" w:customStyle="1" w:styleId="Kazalovsebine51">
    <w:name w:val="Kazalo vsebine 51"/>
    <w:basedOn w:val="Navaden"/>
    <w:next w:val="Navaden"/>
    <w:autoRedefine/>
    <w:uiPriority w:val="39"/>
    <w:semiHidden/>
    <w:unhideWhenUsed/>
    <w:rsid w:val="00390BFB"/>
    <w:pPr>
      <w:spacing w:line="240" w:lineRule="auto"/>
      <w:ind w:left="880"/>
    </w:pPr>
    <w:rPr>
      <w:rFonts w:ascii="Calibri" w:eastAsia="Calibri" w:hAnsi="Calibri"/>
      <w:szCs w:val="20"/>
    </w:rPr>
  </w:style>
  <w:style w:type="paragraph" w:customStyle="1" w:styleId="Kazalovsebine61">
    <w:name w:val="Kazalo vsebine 61"/>
    <w:basedOn w:val="Navaden"/>
    <w:next w:val="Navaden"/>
    <w:autoRedefine/>
    <w:uiPriority w:val="39"/>
    <w:semiHidden/>
    <w:unhideWhenUsed/>
    <w:rsid w:val="00390BFB"/>
    <w:pPr>
      <w:spacing w:line="240" w:lineRule="auto"/>
      <w:ind w:left="1100"/>
    </w:pPr>
    <w:rPr>
      <w:rFonts w:ascii="Calibri" w:eastAsia="Calibri" w:hAnsi="Calibri"/>
      <w:szCs w:val="20"/>
    </w:rPr>
  </w:style>
  <w:style w:type="paragraph" w:customStyle="1" w:styleId="Kazalovsebine71">
    <w:name w:val="Kazalo vsebine 71"/>
    <w:basedOn w:val="Navaden"/>
    <w:next w:val="Navaden"/>
    <w:autoRedefine/>
    <w:uiPriority w:val="39"/>
    <w:semiHidden/>
    <w:unhideWhenUsed/>
    <w:rsid w:val="00390BFB"/>
    <w:pPr>
      <w:spacing w:line="240" w:lineRule="auto"/>
      <w:ind w:left="1320"/>
    </w:pPr>
    <w:rPr>
      <w:rFonts w:ascii="Calibri" w:eastAsia="Calibri" w:hAnsi="Calibri"/>
      <w:szCs w:val="20"/>
    </w:rPr>
  </w:style>
  <w:style w:type="paragraph" w:customStyle="1" w:styleId="Kazalovsebine81">
    <w:name w:val="Kazalo vsebine 81"/>
    <w:basedOn w:val="Navaden"/>
    <w:next w:val="Navaden"/>
    <w:autoRedefine/>
    <w:uiPriority w:val="39"/>
    <w:semiHidden/>
    <w:unhideWhenUsed/>
    <w:rsid w:val="00390BFB"/>
    <w:pPr>
      <w:spacing w:line="240" w:lineRule="auto"/>
      <w:ind w:left="1540"/>
    </w:pPr>
    <w:rPr>
      <w:rFonts w:ascii="Calibri" w:eastAsia="Calibri" w:hAnsi="Calibri"/>
      <w:szCs w:val="20"/>
    </w:rPr>
  </w:style>
  <w:style w:type="paragraph" w:customStyle="1" w:styleId="Kazalovsebine91">
    <w:name w:val="Kazalo vsebine 91"/>
    <w:basedOn w:val="Navaden"/>
    <w:next w:val="Navaden"/>
    <w:autoRedefine/>
    <w:uiPriority w:val="39"/>
    <w:semiHidden/>
    <w:unhideWhenUsed/>
    <w:rsid w:val="00390BFB"/>
    <w:pPr>
      <w:spacing w:line="240" w:lineRule="auto"/>
      <w:ind w:left="1760"/>
    </w:pPr>
    <w:rPr>
      <w:rFonts w:ascii="Calibri" w:eastAsia="Calibri" w:hAnsi="Calibri"/>
      <w:szCs w:val="20"/>
    </w:rPr>
  </w:style>
  <w:style w:type="paragraph" w:styleId="Konnaopomba-besedilo">
    <w:name w:val="endnote text"/>
    <w:basedOn w:val="Navaden"/>
    <w:link w:val="Konnaopomba-besediloZnak"/>
    <w:uiPriority w:val="99"/>
    <w:semiHidden/>
    <w:unhideWhenUsed/>
    <w:rsid w:val="00390BFB"/>
    <w:pPr>
      <w:spacing w:line="240" w:lineRule="auto"/>
    </w:pPr>
    <w:rPr>
      <w:rFonts w:ascii="Calibri" w:eastAsia="Calibri" w:hAnsi="Calibri"/>
      <w:szCs w:val="20"/>
    </w:rPr>
  </w:style>
  <w:style w:type="character" w:customStyle="1" w:styleId="Konnaopomba-besediloZnak">
    <w:name w:val="Končna opomba - besedilo Znak"/>
    <w:basedOn w:val="Privzetapisavaodstavka"/>
    <w:link w:val="Konnaopomba-besedilo"/>
    <w:uiPriority w:val="99"/>
    <w:semiHidden/>
    <w:rsid w:val="00390BFB"/>
    <w:rPr>
      <w:rFonts w:ascii="Calibri" w:eastAsia="Calibri" w:hAnsi="Calibri"/>
      <w:lang w:eastAsia="en-US"/>
    </w:rPr>
  </w:style>
  <w:style w:type="character" w:styleId="Konnaopomba-sklic">
    <w:name w:val="endnote reference"/>
    <w:basedOn w:val="Privzetapisavaodstavka"/>
    <w:uiPriority w:val="99"/>
    <w:semiHidden/>
    <w:unhideWhenUsed/>
    <w:rsid w:val="00390BFB"/>
    <w:rPr>
      <w:vertAlign w:val="superscript"/>
    </w:rPr>
  </w:style>
  <w:style w:type="paragraph" w:customStyle="1" w:styleId="Napis1">
    <w:name w:val="Napis1"/>
    <w:basedOn w:val="Navaden"/>
    <w:next w:val="Navaden"/>
    <w:autoRedefine/>
    <w:uiPriority w:val="35"/>
    <w:unhideWhenUsed/>
    <w:qFormat/>
    <w:rsid w:val="00390BFB"/>
    <w:pPr>
      <w:keepNext/>
      <w:spacing w:line="240" w:lineRule="auto"/>
    </w:pPr>
    <w:rPr>
      <w:rFonts w:eastAsia="Calibri"/>
      <w:b/>
      <w:bCs/>
      <w:i/>
      <w:color w:val="404040"/>
      <w:szCs w:val="18"/>
    </w:rPr>
  </w:style>
  <w:style w:type="character" w:customStyle="1" w:styleId="Naslov1Znak1">
    <w:name w:val="Naslov 1 Znak1"/>
    <w:aliases w:val="NASLOV Znak"/>
    <w:basedOn w:val="Privzetapisavaodstavka"/>
    <w:link w:val="Naslov1"/>
    <w:uiPriority w:val="9"/>
    <w:rsid w:val="00390BFB"/>
    <w:rPr>
      <w:rFonts w:ascii="Arial" w:hAnsi="Arial"/>
      <w:b/>
      <w:kern w:val="32"/>
      <w:sz w:val="28"/>
      <w:szCs w:val="32"/>
    </w:rPr>
  </w:style>
  <w:style w:type="character" w:customStyle="1" w:styleId="indicatorreportsubsectiontitletext">
    <w:name w:val="indicator_report_subsection_title_text"/>
    <w:basedOn w:val="Privzetapisavaodstavka"/>
    <w:rsid w:val="00390BFB"/>
  </w:style>
  <w:style w:type="character" w:customStyle="1" w:styleId="graphtitle2">
    <w:name w:val="graph_title2"/>
    <w:basedOn w:val="Privzetapisavaodstavka"/>
    <w:rsid w:val="00390BFB"/>
  </w:style>
  <w:style w:type="character" w:customStyle="1" w:styleId="indname">
    <w:name w:val="ind_name"/>
    <w:basedOn w:val="Privzetapisavaodstavka"/>
    <w:rsid w:val="00390BFB"/>
  </w:style>
  <w:style w:type="character" w:customStyle="1" w:styleId="intro">
    <w:name w:val="intro"/>
    <w:basedOn w:val="Privzetapisavaodstavka"/>
    <w:rsid w:val="00390BFB"/>
  </w:style>
  <w:style w:type="paragraph" w:customStyle="1" w:styleId="bodytext">
    <w:name w:val="bodytext"/>
    <w:basedOn w:val="Navaden"/>
    <w:rsid w:val="00390BFB"/>
    <w:pPr>
      <w:spacing w:before="100" w:beforeAutospacing="1" w:after="100" w:afterAutospacing="1" w:line="240" w:lineRule="auto"/>
    </w:pPr>
    <w:rPr>
      <w:rFonts w:ascii="Times New Roman" w:hAnsi="Times New Roman"/>
      <w:sz w:val="24"/>
      <w:lang w:eastAsia="sl-SI"/>
    </w:rPr>
  </w:style>
  <w:style w:type="character" w:customStyle="1" w:styleId="Naslov2Znak1">
    <w:name w:val="Naslov 2 Znak1"/>
    <w:basedOn w:val="Privzetapisavaodstavka"/>
    <w:semiHidden/>
    <w:rsid w:val="00390BFB"/>
    <w:rPr>
      <w:rFonts w:asciiTheme="majorHAnsi" w:eastAsiaTheme="majorEastAsia" w:hAnsiTheme="majorHAnsi" w:cstheme="majorBidi"/>
      <w:color w:val="365F91" w:themeColor="accent1" w:themeShade="BF"/>
      <w:sz w:val="26"/>
      <w:szCs w:val="26"/>
      <w:lang w:eastAsia="en-US"/>
    </w:rPr>
  </w:style>
  <w:style w:type="character" w:customStyle="1" w:styleId="Naslov3Znak1">
    <w:name w:val="Naslov 3 Znak1"/>
    <w:basedOn w:val="Privzetapisavaodstavka"/>
    <w:semiHidden/>
    <w:rsid w:val="00390BFB"/>
    <w:rPr>
      <w:rFonts w:asciiTheme="majorHAnsi" w:eastAsiaTheme="majorEastAsia" w:hAnsiTheme="majorHAnsi" w:cstheme="majorBidi"/>
      <w:color w:val="243F60" w:themeColor="accent1" w:themeShade="7F"/>
      <w:sz w:val="24"/>
      <w:szCs w:val="24"/>
      <w:lang w:eastAsia="en-US"/>
    </w:rPr>
  </w:style>
  <w:style w:type="character" w:customStyle="1" w:styleId="Naslov4Znak1">
    <w:name w:val="Naslov 4 Znak1"/>
    <w:basedOn w:val="Privzetapisavaodstavka"/>
    <w:semiHidden/>
    <w:rsid w:val="00390BFB"/>
    <w:rPr>
      <w:rFonts w:asciiTheme="majorHAnsi" w:eastAsiaTheme="majorEastAsia" w:hAnsiTheme="majorHAnsi" w:cstheme="majorBidi"/>
      <w:i/>
      <w:iCs/>
      <w:color w:val="365F91" w:themeColor="accent1" w:themeShade="BF"/>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10711">
      <w:bodyDiv w:val="1"/>
      <w:marLeft w:val="0"/>
      <w:marRight w:val="0"/>
      <w:marTop w:val="0"/>
      <w:marBottom w:val="0"/>
      <w:divBdr>
        <w:top w:val="none" w:sz="0" w:space="0" w:color="auto"/>
        <w:left w:val="none" w:sz="0" w:space="0" w:color="auto"/>
        <w:bottom w:val="none" w:sz="0" w:space="0" w:color="auto"/>
        <w:right w:val="none" w:sz="0" w:space="0" w:color="auto"/>
      </w:divBdr>
    </w:div>
    <w:div w:id="196819737">
      <w:bodyDiv w:val="1"/>
      <w:marLeft w:val="0"/>
      <w:marRight w:val="0"/>
      <w:marTop w:val="0"/>
      <w:marBottom w:val="0"/>
      <w:divBdr>
        <w:top w:val="none" w:sz="0" w:space="0" w:color="auto"/>
        <w:left w:val="none" w:sz="0" w:space="0" w:color="auto"/>
        <w:bottom w:val="none" w:sz="0" w:space="0" w:color="auto"/>
        <w:right w:val="none" w:sz="0" w:space="0" w:color="auto"/>
      </w:divBdr>
    </w:div>
    <w:div w:id="204368441">
      <w:bodyDiv w:val="1"/>
      <w:marLeft w:val="0"/>
      <w:marRight w:val="0"/>
      <w:marTop w:val="0"/>
      <w:marBottom w:val="0"/>
      <w:divBdr>
        <w:top w:val="none" w:sz="0" w:space="0" w:color="auto"/>
        <w:left w:val="none" w:sz="0" w:space="0" w:color="auto"/>
        <w:bottom w:val="none" w:sz="0" w:space="0" w:color="auto"/>
        <w:right w:val="none" w:sz="0" w:space="0" w:color="auto"/>
      </w:divBdr>
    </w:div>
    <w:div w:id="511258685">
      <w:bodyDiv w:val="1"/>
      <w:marLeft w:val="0"/>
      <w:marRight w:val="0"/>
      <w:marTop w:val="0"/>
      <w:marBottom w:val="0"/>
      <w:divBdr>
        <w:top w:val="none" w:sz="0" w:space="0" w:color="auto"/>
        <w:left w:val="none" w:sz="0" w:space="0" w:color="auto"/>
        <w:bottom w:val="none" w:sz="0" w:space="0" w:color="auto"/>
        <w:right w:val="none" w:sz="0" w:space="0" w:color="auto"/>
      </w:divBdr>
    </w:div>
    <w:div w:id="618991965">
      <w:bodyDiv w:val="1"/>
      <w:marLeft w:val="0"/>
      <w:marRight w:val="0"/>
      <w:marTop w:val="0"/>
      <w:marBottom w:val="0"/>
      <w:divBdr>
        <w:top w:val="none" w:sz="0" w:space="0" w:color="auto"/>
        <w:left w:val="none" w:sz="0" w:space="0" w:color="auto"/>
        <w:bottom w:val="none" w:sz="0" w:space="0" w:color="auto"/>
        <w:right w:val="none" w:sz="0" w:space="0" w:color="auto"/>
      </w:divBdr>
    </w:div>
    <w:div w:id="740951007">
      <w:bodyDiv w:val="1"/>
      <w:marLeft w:val="0"/>
      <w:marRight w:val="0"/>
      <w:marTop w:val="0"/>
      <w:marBottom w:val="0"/>
      <w:divBdr>
        <w:top w:val="none" w:sz="0" w:space="0" w:color="auto"/>
        <w:left w:val="none" w:sz="0" w:space="0" w:color="auto"/>
        <w:bottom w:val="none" w:sz="0" w:space="0" w:color="auto"/>
        <w:right w:val="none" w:sz="0" w:space="0" w:color="auto"/>
      </w:divBdr>
    </w:div>
    <w:div w:id="764500413">
      <w:bodyDiv w:val="1"/>
      <w:marLeft w:val="0"/>
      <w:marRight w:val="0"/>
      <w:marTop w:val="0"/>
      <w:marBottom w:val="0"/>
      <w:divBdr>
        <w:top w:val="none" w:sz="0" w:space="0" w:color="auto"/>
        <w:left w:val="none" w:sz="0" w:space="0" w:color="auto"/>
        <w:bottom w:val="none" w:sz="0" w:space="0" w:color="auto"/>
        <w:right w:val="none" w:sz="0" w:space="0" w:color="auto"/>
      </w:divBdr>
    </w:div>
    <w:div w:id="768738083">
      <w:bodyDiv w:val="1"/>
      <w:marLeft w:val="0"/>
      <w:marRight w:val="0"/>
      <w:marTop w:val="0"/>
      <w:marBottom w:val="0"/>
      <w:divBdr>
        <w:top w:val="none" w:sz="0" w:space="0" w:color="auto"/>
        <w:left w:val="none" w:sz="0" w:space="0" w:color="auto"/>
        <w:bottom w:val="none" w:sz="0" w:space="0" w:color="auto"/>
        <w:right w:val="none" w:sz="0" w:space="0" w:color="auto"/>
      </w:divBdr>
    </w:div>
    <w:div w:id="1175725677">
      <w:bodyDiv w:val="1"/>
      <w:marLeft w:val="0"/>
      <w:marRight w:val="0"/>
      <w:marTop w:val="0"/>
      <w:marBottom w:val="0"/>
      <w:divBdr>
        <w:top w:val="none" w:sz="0" w:space="0" w:color="auto"/>
        <w:left w:val="none" w:sz="0" w:space="0" w:color="auto"/>
        <w:bottom w:val="none" w:sz="0" w:space="0" w:color="auto"/>
        <w:right w:val="none" w:sz="0" w:space="0" w:color="auto"/>
      </w:divBdr>
    </w:div>
    <w:div w:id="1281184801">
      <w:bodyDiv w:val="1"/>
      <w:marLeft w:val="0"/>
      <w:marRight w:val="0"/>
      <w:marTop w:val="0"/>
      <w:marBottom w:val="0"/>
      <w:divBdr>
        <w:top w:val="none" w:sz="0" w:space="0" w:color="auto"/>
        <w:left w:val="none" w:sz="0" w:space="0" w:color="auto"/>
        <w:bottom w:val="none" w:sz="0" w:space="0" w:color="auto"/>
        <w:right w:val="none" w:sz="0" w:space="0" w:color="auto"/>
      </w:divBdr>
    </w:div>
    <w:div w:id="1569609455">
      <w:bodyDiv w:val="1"/>
      <w:marLeft w:val="0"/>
      <w:marRight w:val="0"/>
      <w:marTop w:val="0"/>
      <w:marBottom w:val="0"/>
      <w:divBdr>
        <w:top w:val="none" w:sz="0" w:space="0" w:color="auto"/>
        <w:left w:val="none" w:sz="0" w:space="0" w:color="auto"/>
        <w:bottom w:val="none" w:sz="0" w:space="0" w:color="auto"/>
        <w:right w:val="none" w:sz="0" w:space="0" w:color="auto"/>
      </w:divBdr>
    </w:div>
    <w:div w:id="1772819678">
      <w:bodyDiv w:val="1"/>
      <w:marLeft w:val="0"/>
      <w:marRight w:val="0"/>
      <w:marTop w:val="0"/>
      <w:marBottom w:val="0"/>
      <w:divBdr>
        <w:top w:val="none" w:sz="0" w:space="0" w:color="auto"/>
        <w:left w:val="none" w:sz="0" w:space="0" w:color="auto"/>
        <w:bottom w:val="none" w:sz="0" w:space="0" w:color="auto"/>
        <w:right w:val="none" w:sz="0" w:space="0" w:color="auto"/>
      </w:divBdr>
    </w:div>
    <w:div w:id="204035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gp.gs@gov.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commfrontoffice/publicopinion/index.cfm/survey/getsurveydetail/instruments/special/surveyky/2238" TargetMode="External"/><Relationship Id="rId2" Type="http://schemas.openxmlformats.org/officeDocument/2006/relationships/hyperlink" Target="https://ec.europa.eu/commfrontoffice/publicopinion/index.cfm/survey/getsurveydetail/instruments/special/surveyky/2212" TargetMode="External"/><Relationship Id="rId1" Type="http://schemas.openxmlformats.org/officeDocument/2006/relationships/hyperlink" Target="https://www.consilium.europa.eu/media/40805/st12544-en19.pdf"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gov.si" TargetMode="External"/><Relationship Id="rId2" Type="http://schemas.openxmlformats.org/officeDocument/2006/relationships/hyperlink" Target="mailto:gp.mgrt@gov.si" TargetMode="External"/><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18</Pages>
  <Words>8162</Words>
  <Characters>46525</Characters>
  <Application>Microsoft Office Word</Application>
  <DocSecurity>0</DocSecurity>
  <Lines>387</Lines>
  <Paragraphs>109</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54578</CharactersWithSpaces>
  <SharedDoc>false</SharedDoc>
  <HLinks>
    <vt:vector size="12" baseType="variant">
      <vt:variant>
        <vt:i4>3276833</vt:i4>
      </vt:variant>
      <vt:variant>
        <vt:i4>3</vt:i4>
      </vt:variant>
      <vt:variant>
        <vt:i4>0</vt:i4>
      </vt:variant>
      <vt:variant>
        <vt:i4>5</vt:i4>
      </vt:variant>
      <vt:variant>
        <vt:lpwstr>http://www.mgrt.gov.si/</vt:lpwstr>
      </vt:variant>
      <vt:variant>
        <vt:lpwstr/>
      </vt:variant>
      <vt:variant>
        <vt:i4>5898276</vt:i4>
      </vt:variant>
      <vt:variant>
        <vt:i4>0</vt:i4>
      </vt:variant>
      <vt:variant>
        <vt:i4>0</vt:i4>
      </vt:variant>
      <vt:variant>
        <vt:i4>5</vt:i4>
      </vt:variant>
      <vt:variant>
        <vt:lpwstr>mailto:gp.mgrt@gov.si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natasa vrhovec</dc:creator>
  <cp:lastModifiedBy>Marija Cebular</cp:lastModifiedBy>
  <cp:revision>10</cp:revision>
  <cp:lastPrinted>2019-10-23T13:14:00Z</cp:lastPrinted>
  <dcterms:created xsi:type="dcterms:W3CDTF">2019-11-06T08:50:00Z</dcterms:created>
  <dcterms:modified xsi:type="dcterms:W3CDTF">2019-11-06T13:53:00Z</dcterms:modified>
</cp:coreProperties>
</file>